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147955</wp:posOffset>
            </wp:positionH>
            <wp:positionV relativeFrom="page">
              <wp:posOffset>147955</wp:posOffset>
            </wp:positionV>
            <wp:extent cx="72663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page">
              <wp:posOffset>147955</wp:posOffset>
            </wp:positionH>
            <wp:positionV relativeFrom="page">
              <wp:posOffset>162560</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SECURITIES AND EXCHANGE COMMISSION</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663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324"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2663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352" w:lineRule="exact"/>
        <w:rPr>
          <w:sz w:val="24"/>
          <w:szCs w:val="24"/>
          <w:color w:val="auto"/>
        </w:rPr>
      </w:pPr>
    </w:p>
    <w:p>
      <w:pPr>
        <w:ind w:left="7" w:right="3140" w:hanging="7"/>
        <w:spacing w:after="0" w:line="298" w:lineRule="auto"/>
        <w:tabs>
          <w:tab w:leader="none" w:pos="45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REPORT PURSUANT TO SECTION 13 OR 15(d) OF THE SECURITIES EXCHANGE ACT OF 1934 For the quarterly period ended September 30, 2017</w:t>
      </w:r>
    </w:p>
    <w:p>
      <w:pPr>
        <w:spacing w:after="0" w:line="58" w:lineRule="exact"/>
        <w:rPr>
          <w:sz w:val="24"/>
          <w:szCs w:val="24"/>
          <w:color w:val="auto"/>
        </w:rPr>
      </w:pPr>
    </w:p>
    <w:p>
      <w:pPr>
        <w:ind w:left="447" w:hanging="447"/>
        <w:spacing w:after="0"/>
        <w:tabs>
          <w:tab w:leader="none" w:pos="447"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9" w:lineRule="exact"/>
        <w:rPr>
          <w:sz w:val="24"/>
          <w:szCs w:val="24"/>
          <w:color w:val="auto"/>
        </w:rPr>
      </w:pPr>
    </w:p>
    <w:p>
      <w:pPr>
        <w:ind w:left="7"/>
        <w:spacing w:after="0"/>
        <w:tabs>
          <w:tab w:leader="none" w:pos="2627"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-13335</wp:posOffset>
            </wp:positionV>
            <wp:extent cx="865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5505" cy="7620"/>
                    </a:xfrm>
                    <a:prstGeom prst="rect">
                      <a:avLst/>
                    </a:prstGeom>
                    <a:noFill/>
                  </pic:spPr>
                </pic:pic>
              </a:graphicData>
            </a:graphic>
          </wp:anchor>
        </w:drawing>
      </w:r>
    </w:p>
    <w:p>
      <w:pPr>
        <w:spacing w:after="0" w:line="99" w:lineRule="exact"/>
        <w:rPr>
          <w:sz w:val="24"/>
          <w:szCs w:val="24"/>
          <w:color w:val="auto"/>
        </w:rPr>
      </w:pPr>
    </w:p>
    <w:tbl>
      <w:tblPr>
        <w:tblLayout w:type="fixed"/>
        <w:tblInd w:w="7" w:type="dxa"/>
        <w:tblCellMar>
          <w:top w:w="0" w:type="dxa"/>
          <w:left w:w="0" w:type="dxa"/>
          <w:bottom w:w="0" w:type="dxa"/>
          <w:right w:w="0" w:type="dxa"/>
        </w:tblCellMar>
      </w:tblPr>
      <w:tr>
        <w:trPr>
          <w:trHeight w:val="172"/>
        </w:trPr>
        <w:tc>
          <w:tcPr>
            <w:tcW w:w="7760" w:type="dxa"/>
            <w:vAlign w:val="bottom"/>
            <w:gridSpan w:val="3"/>
          </w:tcPr>
          <w:p>
            <w:pPr>
              <w:jc w:val="center"/>
              <w:ind w:left="3583"/>
              <w:spacing w:after="0"/>
              <w:rPr>
                <w:sz w:val="20"/>
                <w:szCs w:val="20"/>
                <w:color w:val="auto"/>
              </w:rPr>
            </w:pPr>
            <w:r>
              <w:rPr>
                <w:rFonts w:ascii="Arial" w:cs="Arial" w:eastAsia="Arial" w:hAnsi="Arial"/>
                <w:sz w:val="15"/>
                <w:szCs w:val="15"/>
                <w:b w:val="1"/>
                <w:bCs w:val="1"/>
                <w:color w:val="auto"/>
                <w:w w:val="93"/>
              </w:rPr>
              <w:t>Commission file number 001-37973</w:t>
            </w:r>
          </w:p>
        </w:tc>
        <w:tc>
          <w:tcPr>
            <w:tcW w:w="3680" w:type="dxa"/>
            <w:vAlign w:val="bottom"/>
          </w:tcPr>
          <w:p>
            <w:pPr>
              <w:spacing w:after="0"/>
              <w:rPr>
                <w:sz w:val="14"/>
                <w:szCs w:val="14"/>
                <w:color w:val="auto"/>
              </w:rPr>
            </w:pPr>
          </w:p>
        </w:tc>
      </w:tr>
      <w:tr>
        <w:trPr>
          <w:trHeight w:val="26"/>
        </w:trPr>
        <w:tc>
          <w:tcPr>
            <w:tcW w:w="620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99"/>
        </w:trPr>
        <w:tc>
          <w:tcPr>
            <w:tcW w:w="7760" w:type="dxa"/>
            <w:vAlign w:val="bottom"/>
            <w:gridSpan w:val="3"/>
          </w:tcPr>
          <w:p>
            <w:pPr>
              <w:jc w:val="center"/>
              <w:ind w:left="3603"/>
              <w:spacing w:after="0"/>
              <w:rPr>
                <w:sz w:val="20"/>
                <w:szCs w:val="20"/>
                <w:color w:val="auto"/>
              </w:rPr>
            </w:pPr>
            <w:r>
              <w:rPr>
                <w:rFonts w:ascii="Arial" w:cs="Arial" w:eastAsia="Arial" w:hAnsi="Arial"/>
                <w:sz w:val="15"/>
                <w:szCs w:val="15"/>
                <w:b w:val="1"/>
                <w:bCs w:val="1"/>
                <w:color w:val="auto"/>
              </w:rPr>
              <w:t>NI HOLDINGS, INC.</w:t>
            </w:r>
          </w:p>
        </w:tc>
        <w:tc>
          <w:tcPr>
            <w:tcW w:w="3680" w:type="dxa"/>
            <w:vAlign w:val="bottom"/>
          </w:tcPr>
          <w:p>
            <w:pPr>
              <w:spacing w:after="0"/>
              <w:rPr>
                <w:sz w:val="24"/>
                <w:szCs w:val="24"/>
                <w:color w:val="auto"/>
              </w:rPr>
            </w:pPr>
          </w:p>
        </w:tc>
      </w:tr>
      <w:tr>
        <w:trPr>
          <w:trHeight w:val="202"/>
        </w:trPr>
        <w:tc>
          <w:tcPr>
            <w:tcW w:w="7760" w:type="dxa"/>
            <w:vAlign w:val="bottom"/>
            <w:gridSpan w:val="3"/>
          </w:tcPr>
          <w:p>
            <w:pPr>
              <w:jc w:val="center"/>
              <w:ind w:left="3583"/>
              <w:spacing w:after="0"/>
              <w:rPr>
                <w:sz w:val="20"/>
                <w:szCs w:val="20"/>
                <w:color w:val="auto"/>
              </w:rPr>
            </w:pPr>
            <w:r>
              <w:rPr>
                <w:rFonts w:ascii="Arial" w:cs="Arial" w:eastAsia="Arial" w:hAnsi="Arial"/>
                <w:sz w:val="15"/>
                <w:szCs w:val="15"/>
                <w:b w:val="1"/>
                <w:bCs w:val="1"/>
                <w:color w:val="auto"/>
                <w:w w:val="92"/>
              </w:rPr>
              <w:t>(Exact name of registrant as specified in its charter)</w:t>
            </w:r>
          </w:p>
        </w:tc>
        <w:tc>
          <w:tcPr>
            <w:tcW w:w="3680" w:type="dxa"/>
            <w:vAlign w:val="bottom"/>
          </w:tcPr>
          <w:p>
            <w:pPr>
              <w:spacing w:after="0"/>
              <w:rPr>
                <w:sz w:val="17"/>
                <w:szCs w:val="17"/>
                <w:color w:val="auto"/>
              </w:rPr>
            </w:pPr>
          </w:p>
        </w:tc>
      </w:tr>
      <w:tr>
        <w:trPr>
          <w:trHeight w:val="197"/>
        </w:trPr>
        <w:tc>
          <w:tcPr>
            <w:tcW w:w="6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r>
      <w:tr>
        <w:trPr>
          <w:trHeight w:val="369"/>
        </w:trPr>
        <w:tc>
          <w:tcPr>
            <w:tcW w:w="7760" w:type="dxa"/>
            <w:vAlign w:val="bottom"/>
            <w:gridSpan w:val="3"/>
          </w:tcPr>
          <w:p>
            <w:pPr>
              <w:jc w:val="center"/>
              <w:ind w:right="2160"/>
              <w:spacing w:after="0"/>
              <w:rPr>
                <w:sz w:val="20"/>
                <w:szCs w:val="20"/>
                <w:color w:val="auto"/>
              </w:rPr>
            </w:pPr>
            <w:r>
              <w:rPr>
                <w:rFonts w:ascii="Arial" w:cs="Arial" w:eastAsia="Arial" w:hAnsi="Arial"/>
                <w:sz w:val="15"/>
                <w:szCs w:val="15"/>
                <w:b w:val="1"/>
                <w:bCs w:val="1"/>
                <w:color w:val="auto"/>
              </w:rPr>
              <w:t>NORTH DAKOTA</w:t>
            </w:r>
          </w:p>
        </w:tc>
        <w:tc>
          <w:tcPr>
            <w:tcW w:w="3680" w:type="dxa"/>
            <w:vAlign w:val="bottom"/>
          </w:tcPr>
          <w:p>
            <w:pPr>
              <w:jc w:val="right"/>
              <w:ind w:right="2303"/>
              <w:spacing w:after="0"/>
              <w:rPr>
                <w:sz w:val="20"/>
                <w:szCs w:val="20"/>
                <w:color w:val="auto"/>
              </w:rPr>
            </w:pPr>
            <w:r>
              <w:rPr>
                <w:rFonts w:ascii="Arial" w:cs="Arial" w:eastAsia="Arial" w:hAnsi="Arial"/>
                <w:sz w:val="15"/>
                <w:szCs w:val="15"/>
                <w:b w:val="1"/>
                <w:bCs w:val="1"/>
                <w:color w:val="auto"/>
              </w:rPr>
              <w:t>81-2683619</w:t>
            </w:r>
          </w:p>
        </w:tc>
      </w:tr>
      <w:tr>
        <w:trPr>
          <w:trHeight w:val="185"/>
        </w:trPr>
        <w:tc>
          <w:tcPr>
            <w:tcW w:w="7760" w:type="dxa"/>
            <w:vAlign w:val="bottom"/>
            <w:gridSpan w:val="3"/>
          </w:tcPr>
          <w:p>
            <w:pPr>
              <w:jc w:val="center"/>
              <w:ind w:right="2160"/>
              <w:spacing w:after="0"/>
              <w:rPr>
                <w:sz w:val="20"/>
                <w:szCs w:val="20"/>
                <w:color w:val="auto"/>
              </w:rPr>
            </w:pPr>
            <w:r>
              <w:rPr>
                <w:rFonts w:ascii="Arial" w:cs="Arial" w:eastAsia="Arial" w:hAnsi="Arial"/>
                <w:sz w:val="15"/>
                <w:szCs w:val="15"/>
                <w:b w:val="1"/>
                <w:bCs w:val="1"/>
                <w:color w:val="auto"/>
                <w:w w:val="93"/>
              </w:rPr>
              <w:t>(State or other jurisdiction of</w:t>
            </w:r>
          </w:p>
        </w:tc>
        <w:tc>
          <w:tcPr>
            <w:tcW w:w="3680" w:type="dxa"/>
            <w:vAlign w:val="bottom"/>
          </w:tcPr>
          <w:p>
            <w:pPr>
              <w:jc w:val="center"/>
              <w:ind w:right="1723"/>
              <w:spacing w:after="0"/>
              <w:rPr>
                <w:sz w:val="20"/>
                <w:szCs w:val="20"/>
                <w:color w:val="auto"/>
              </w:rPr>
            </w:pPr>
            <w:r>
              <w:rPr>
                <w:rFonts w:ascii="Arial" w:cs="Arial" w:eastAsia="Arial" w:hAnsi="Arial"/>
                <w:sz w:val="15"/>
                <w:szCs w:val="15"/>
                <w:b w:val="1"/>
                <w:bCs w:val="1"/>
                <w:color w:val="auto"/>
                <w:w w:val="97"/>
              </w:rPr>
              <w:t>(IRS Employer</w:t>
            </w:r>
          </w:p>
        </w:tc>
      </w:tr>
      <w:tr>
        <w:trPr>
          <w:trHeight w:val="202"/>
        </w:trPr>
        <w:tc>
          <w:tcPr>
            <w:tcW w:w="7760" w:type="dxa"/>
            <w:vAlign w:val="bottom"/>
            <w:gridSpan w:val="3"/>
          </w:tcPr>
          <w:p>
            <w:pPr>
              <w:jc w:val="center"/>
              <w:ind w:right="2160"/>
              <w:spacing w:after="0"/>
              <w:rPr>
                <w:sz w:val="20"/>
                <w:szCs w:val="20"/>
                <w:color w:val="auto"/>
              </w:rPr>
            </w:pPr>
            <w:r>
              <w:rPr>
                <w:rFonts w:ascii="Arial" w:cs="Arial" w:eastAsia="Arial" w:hAnsi="Arial"/>
                <w:sz w:val="15"/>
                <w:szCs w:val="15"/>
                <w:b w:val="1"/>
                <w:bCs w:val="1"/>
                <w:color w:val="auto"/>
                <w:w w:val="93"/>
              </w:rPr>
              <w:t>incorporation or organization)</w:t>
            </w:r>
          </w:p>
        </w:tc>
        <w:tc>
          <w:tcPr>
            <w:tcW w:w="3680" w:type="dxa"/>
            <w:vAlign w:val="bottom"/>
          </w:tcPr>
          <w:p>
            <w:pPr>
              <w:jc w:val="center"/>
              <w:ind w:right="1743"/>
              <w:spacing w:after="0"/>
              <w:rPr>
                <w:sz w:val="20"/>
                <w:szCs w:val="20"/>
                <w:color w:val="auto"/>
              </w:rPr>
            </w:pPr>
            <w:r>
              <w:rPr>
                <w:rFonts w:ascii="Arial" w:cs="Arial" w:eastAsia="Arial" w:hAnsi="Arial"/>
                <w:sz w:val="15"/>
                <w:szCs w:val="15"/>
                <w:b w:val="1"/>
                <w:bCs w:val="1"/>
                <w:color w:val="auto"/>
                <w:w w:val="96"/>
              </w:rPr>
              <w:t>Identification No.)</w:t>
            </w:r>
          </w:p>
        </w:tc>
      </w:tr>
      <w:tr>
        <w:trPr>
          <w:trHeight w:val="354"/>
        </w:trPr>
        <w:tc>
          <w:tcPr>
            <w:tcW w:w="7760" w:type="dxa"/>
            <w:vAlign w:val="bottom"/>
            <w:gridSpan w:val="3"/>
          </w:tcPr>
          <w:p>
            <w:pPr>
              <w:jc w:val="center"/>
              <w:ind w:right="2160"/>
              <w:spacing w:after="0"/>
              <w:rPr>
                <w:sz w:val="20"/>
                <w:szCs w:val="20"/>
                <w:color w:val="auto"/>
              </w:rPr>
            </w:pPr>
            <w:r>
              <w:rPr>
                <w:rFonts w:ascii="Arial" w:cs="Arial" w:eastAsia="Arial" w:hAnsi="Arial"/>
                <w:sz w:val="15"/>
                <w:szCs w:val="15"/>
                <w:b w:val="1"/>
                <w:bCs w:val="1"/>
                <w:color w:val="auto"/>
                <w:w w:val="92"/>
              </w:rPr>
              <w:t>1101 First Avenue North</w:t>
            </w:r>
          </w:p>
        </w:tc>
        <w:tc>
          <w:tcPr>
            <w:tcW w:w="3680" w:type="dxa"/>
            <w:vAlign w:val="bottom"/>
          </w:tcPr>
          <w:p>
            <w:pPr>
              <w:spacing w:after="0"/>
              <w:rPr>
                <w:sz w:val="24"/>
                <w:szCs w:val="24"/>
                <w:color w:val="auto"/>
              </w:rPr>
            </w:pPr>
          </w:p>
        </w:tc>
      </w:tr>
      <w:tr>
        <w:trPr>
          <w:trHeight w:val="185"/>
        </w:trPr>
        <w:tc>
          <w:tcPr>
            <w:tcW w:w="7760" w:type="dxa"/>
            <w:vAlign w:val="bottom"/>
            <w:gridSpan w:val="3"/>
          </w:tcPr>
          <w:p>
            <w:pPr>
              <w:jc w:val="center"/>
              <w:ind w:right="2160"/>
              <w:spacing w:after="0"/>
              <w:rPr>
                <w:sz w:val="20"/>
                <w:szCs w:val="20"/>
                <w:color w:val="auto"/>
              </w:rPr>
            </w:pPr>
            <w:r>
              <w:rPr>
                <w:rFonts w:ascii="Arial" w:cs="Arial" w:eastAsia="Arial" w:hAnsi="Arial"/>
                <w:sz w:val="15"/>
                <w:szCs w:val="15"/>
                <w:b w:val="1"/>
                <w:bCs w:val="1"/>
                <w:color w:val="auto"/>
                <w:w w:val="97"/>
              </w:rPr>
              <w:t>Fargo, North Dakota</w:t>
            </w:r>
          </w:p>
        </w:tc>
        <w:tc>
          <w:tcPr>
            <w:tcW w:w="3680" w:type="dxa"/>
            <w:vAlign w:val="bottom"/>
          </w:tcPr>
          <w:p>
            <w:pPr>
              <w:jc w:val="right"/>
              <w:ind w:right="2483"/>
              <w:spacing w:after="0"/>
              <w:rPr>
                <w:sz w:val="20"/>
                <w:szCs w:val="20"/>
                <w:color w:val="auto"/>
              </w:rPr>
            </w:pPr>
            <w:r>
              <w:rPr>
                <w:rFonts w:ascii="Arial" w:cs="Arial" w:eastAsia="Arial" w:hAnsi="Arial"/>
                <w:sz w:val="15"/>
                <w:szCs w:val="15"/>
                <w:b w:val="1"/>
                <w:bCs w:val="1"/>
                <w:color w:val="auto"/>
              </w:rPr>
              <w:t>58102</w:t>
            </w:r>
          </w:p>
        </w:tc>
      </w:tr>
      <w:tr>
        <w:trPr>
          <w:trHeight w:val="202"/>
        </w:trPr>
        <w:tc>
          <w:tcPr>
            <w:tcW w:w="7760" w:type="dxa"/>
            <w:vAlign w:val="bottom"/>
            <w:gridSpan w:val="3"/>
          </w:tcPr>
          <w:p>
            <w:pPr>
              <w:jc w:val="center"/>
              <w:ind w:right="2160"/>
              <w:spacing w:after="0"/>
              <w:rPr>
                <w:sz w:val="20"/>
                <w:szCs w:val="20"/>
                <w:color w:val="auto"/>
              </w:rPr>
            </w:pPr>
            <w:r>
              <w:rPr>
                <w:rFonts w:ascii="Arial" w:cs="Arial" w:eastAsia="Arial" w:hAnsi="Arial"/>
                <w:sz w:val="15"/>
                <w:szCs w:val="15"/>
                <w:b w:val="1"/>
                <w:bCs w:val="1"/>
                <w:color w:val="auto"/>
                <w:w w:val="91"/>
              </w:rPr>
              <w:t>(Address of principal executive offices)</w:t>
            </w:r>
          </w:p>
        </w:tc>
        <w:tc>
          <w:tcPr>
            <w:tcW w:w="3680" w:type="dxa"/>
            <w:vAlign w:val="bottom"/>
          </w:tcPr>
          <w:p>
            <w:pPr>
              <w:jc w:val="center"/>
              <w:ind w:right="1743"/>
              <w:spacing w:after="0"/>
              <w:rPr>
                <w:sz w:val="20"/>
                <w:szCs w:val="20"/>
                <w:color w:val="auto"/>
              </w:rPr>
            </w:pPr>
            <w:r>
              <w:rPr>
                <w:rFonts w:ascii="Arial" w:cs="Arial" w:eastAsia="Arial" w:hAnsi="Arial"/>
                <w:sz w:val="15"/>
                <w:szCs w:val="15"/>
                <w:b w:val="1"/>
                <w:bCs w:val="1"/>
                <w:color w:val="auto"/>
                <w:w w:val="94"/>
              </w:rPr>
              <w:t>(Zip Code)</w:t>
            </w:r>
          </w:p>
        </w:tc>
      </w:tr>
      <w:tr>
        <w:trPr>
          <w:trHeight w:val="296"/>
        </w:trPr>
        <w:tc>
          <w:tcPr>
            <w:tcW w:w="6200" w:type="dxa"/>
            <w:vAlign w:val="bottom"/>
          </w:tcPr>
          <w:p>
            <w:pPr>
              <w:jc w:val="center"/>
              <w:ind w:left="5163"/>
              <w:spacing w:after="0"/>
              <w:rPr>
                <w:sz w:val="20"/>
                <w:szCs w:val="20"/>
                <w:color w:val="auto"/>
              </w:rPr>
            </w:pPr>
            <w:r>
              <w:rPr>
                <w:rFonts w:ascii="Arial" w:cs="Arial" w:eastAsia="Arial" w:hAnsi="Arial"/>
                <w:sz w:val="15"/>
                <w:szCs w:val="15"/>
                <w:b w:val="1"/>
                <w:bCs w:val="1"/>
                <w:color w:val="auto"/>
                <w:w w:val="93"/>
              </w:rPr>
              <w:t>(701) 298-4200</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2"/>
        </w:trPr>
        <w:tc>
          <w:tcPr>
            <w:tcW w:w="7760" w:type="dxa"/>
            <w:vAlign w:val="bottom"/>
            <w:gridSpan w:val="3"/>
          </w:tcPr>
          <w:p>
            <w:pPr>
              <w:jc w:val="center"/>
              <w:ind w:left="3583"/>
              <w:spacing w:after="0"/>
              <w:rPr>
                <w:sz w:val="20"/>
                <w:szCs w:val="20"/>
                <w:color w:val="auto"/>
              </w:rPr>
            </w:pPr>
            <w:r>
              <w:rPr>
                <w:rFonts w:ascii="Arial" w:cs="Arial" w:eastAsia="Arial" w:hAnsi="Arial"/>
                <w:sz w:val="15"/>
                <w:szCs w:val="15"/>
                <w:b w:val="1"/>
                <w:bCs w:val="1"/>
                <w:color w:val="auto"/>
                <w:w w:val="91"/>
              </w:rPr>
              <w:t>Registrant’s telephone number, including area code</w:t>
            </w:r>
          </w:p>
        </w:tc>
        <w:tc>
          <w:tcPr>
            <w:tcW w:w="3680" w:type="dxa"/>
            <w:vAlign w:val="bottom"/>
          </w:tcPr>
          <w:p>
            <w:pPr>
              <w:spacing w:after="0"/>
              <w:rPr>
                <w:sz w:val="17"/>
                <w:szCs w:val="17"/>
                <w:color w:val="auto"/>
              </w:rPr>
            </w:pPr>
          </w:p>
        </w:tc>
      </w:tr>
    </w:tbl>
    <w:p>
      <w:pPr>
        <w:spacing w:after="0" w:line="111"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Not Applicable</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663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330" w:lineRule="exact"/>
        <w:rPr>
          <w:sz w:val="24"/>
          <w:szCs w:val="24"/>
          <w:color w:val="auto"/>
        </w:rPr>
      </w:pPr>
    </w:p>
    <w:p>
      <w:pPr>
        <w:ind w:left="7" w:right="6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No o</w:t>
      </w:r>
    </w:p>
    <w:p>
      <w:pPr>
        <w:spacing w:after="0" w:line="91" w:lineRule="exact"/>
        <w:rPr>
          <w:sz w:val="24"/>
          <w:szCs w:val="24"/>
          <w:color w:val="auto"/>
        </w:rPr>
      </w:pPr>
    </w:p>
    <w:p>
      <w:pPr>
        <w:jc w:val="both"/>
        <w:ind w:left="7" w:right="180"/>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No o</w:t>
      </w:r>
    </w:p>
    <w:p>
      <w:pPr>
        <w:spacing w:after="0" w:line="101" w:lineRule="exact"/>
        <w:rPr>
          <w:sz w:val="24"/>
          <w:szCs w:val="24"/>
          <w:color w:val="auto"/>
        </w:rPr>
      </w:pPr>
    </w:p>
    <w:p>
      <w:pPr>
        <w:ind w:left="7"/>
        <w:spacing w:after="0" w:line="327" w:lineRule="auto"/>
        <w:rPr>
          <w:sz w:val="20"/>
          <w:szCs w:val="20"/>
          <w:color w:val="auto"/>
        </w:rPr>
      </w:pPr>
      <w:r>
        <w:rPr>
          <w:rFonts w:ascii="Arial" w:cs="Arial" w:eastAsia="Arial" w:hAnsi="Arial"/>
          <w:sz w:val="14"/>
          <w:szCs w:val="14"/>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7"/>
          </w:cols>
          <w:pgMar w:left="233" w:top="262" w:right="219" w:bottom="1440" w:gutter="0" w:footer="0" w:header="0"/>
        </w:sectPr>
      </w:pPr>
    </w:p>
    <w:p>
      <w:pPr>
        <w:spacing w:after="0" w:line="129" w:lineRule="exact"/>
        <w:rPr>
          <w:sz w:val="24"/>
          <w:szCs w:val="24"/>
          <w:color w:val="auto"/>
        </w:rPr>
      </w:pPr>
    </w:p>
    <w:p>
      <w:pPr>
        <w:ind w:left="7"/>
        <w:spacing w:after="0"/>
        <w:rPr>
          <w:sz w:val="20"/>
          <w:szCs w:val="20"/>
          <w:color w:val="auto"/>
        </w:rPr>
      </w:pPr>
      <w:r>
        <w:rPr>
          <w:rFonts w:ascii="Arial" w:cs="Arial" w:eastAsia="Arial" w:hAnsi="Arial"/>
          <w:sz w:val="15"/>
          <w:szCs w:val="15"/>
          <w:color w:val="auto"/>
        </w:rPr>
        <w:t>Large accelerated filer</w:t>
      </w:r>
    </w:p>
    <w:p>
      <w:pPr>
        <w:spacing w:after="0" w:line="24" w:lineRule="exact"/>
        <w:rPr>
          <w:sz w:val="24"/>
          <w:szCs w:val="24"/>
          <w:color w:val="auto"/>
        </w:rPr>
      </w:pPr>
    </w:p>
    <w:p>
      <w:pPr>
        <w:ind w:left="7"/>
        <w:spacing w:after="0"/>
        <w:rPr>
          <w:sz w:val="20"/>
          <w:szCs w:val="20"/>
          <w:color w:val="auto"/>
        </w:rPr>
      </w:pPr>
      <w:r>
        <w:rPr>
          <w:rFonts w:ascii="Arial" w:cs="Arial" w:eastAsia="Arial" w:hAnsi="Arial"/>
          <w:sz w:val="15"/>
          <w:szCs w:val="15"/>
          <w:color w:val="auto"/>
        </w:rPr>
        <w:t>Accelerated filer</w:t>
      </w:r>
    </w:p>
    <w:p>
      <w:pPr>
        <w:spacing w:after="0" w:line="24" w:lineRule="exact"/>
        <w:rPr>
          <w:sz w:val="24"/>
          <w:szCs w:val="24"/>
          <w:color w:val="auto"/>
        </w:rPr>
      </w:pPr>
    </w:p>
    <w:p>
      <w:pPr>
        <w:ind w:left="7"/>
        <w:spacing w:after="0"/>
        <w:rPr>
          <w:sz w:val="20"/>
          <w:szCs w:val="20"/>
          <w:color w:val="auto"/>
        </w:rPr>
      </w:pPr>
      <w:r>
        <w:rPr>
          <w:rFonts w:ascii="Arial" w:cs="Arial" w:eastAsia="Arial" w:hAnsi="Arial"/>
          <w:sz w:val="15"/>
          <w:szCs w:val="15"/>
          <w:color w:val="auto"/>
        </w:rPr>
        <w:t>Non-accelerated filer</w:t>
      </w:r>
    </w:p>
    <w:p>
      <w:pPr>
        <w:spacing w:after="0" w:line="24" w:lineRule="exact"/>
        <w:rPr>
          <w:sz w:val="24"/>
          <w:szCs w:val="24"/>
          <w:color w:val="auto"/>
        </w:rPr>
      </w:pPr>
    </w:p>
    <w:p>
      <w:pPr>
        <w:ind w:left="7"/>
        <w:spacing w:after="0"/>
        <w:rPr>
          <w:sz w:val="20"/>
          <w:szCs w:val="20"/>
          <w:color w:val="auto"/>
        </w:rPr>
      </w:pPr>
      <w:r>
        <w:rPr>
          <w:rFonts w:ascii="Arial" w:cs="Arial" w:eastAsia="Arial" w:hAnsi="Arial"/>
          <w:sz w:val="14"/>
          <w:szCs w:val="14"/>
          <w:color w:val="auto"/>
        </w:rPr>
        <w:t>Smaller reporting company</w:t>
      </w:r>
    </w:p>
    <w:p>
      <w:pPr>
        <w:spacing w:after="0" w:line="36" w:lineRule="exact"/>
        <w:rPr>
          <w:sz w:val="24"/>
          <w:szCs w:val="24"/>
          <w:color w:val="auto"/>
        </w:rPr>
      </w:pPr>
    </w:p>
    <w:p>
      <w:pPr>
        <w:ind w:left="7"/>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x</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3"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(Do not check if a smaller reporting company)</w:t>
      </w:r>
    </w:p>
    <w:p>
      <w:pPr>
        <w:spacing w:after="0" w:line="603" w:lineRule="exact"/>
        <w:rPr>
          <w:sz w:val="24"/>
          <w:szCs w:val="24"/>
          <w:color w:val="auto"/>
        </w:rPr>
      </w:pPr>
    </w:p>
    <w:p>
      <w:pPr>
        <w:sectPr>
          <w:pgSz w:w="11900" w:h="16838" w:orient="portrait"/>
          <w:cols w:equalWidth="0" w:num="3">
            <w:col w:w="2847" w:space="720"/>
            <w:col w:w="1720" w:space="720"/>
            <w:col w:w="5440"/>
          </w:cols>
          <w:pgMar w:left="233" w:top="262" w:right="219" w:bottom="1440" w:gutter="0" w:footer="0" w:header="0"/>
          <w:type w:val="continuous"/>
        </w:sectPr>
      </w:pPr>
    </w:p>
    <w:p>
      <w:pPr>
        <w:ind w:left="7"/>
        <w:spacing w:after="0" w:line="289"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ind w:left="7"/>
        <w:spacing w:after="0" w:line="173" w:lineRule="exact"/>
        <w:tabs>
          <w:tab w:leader="none" w:pos="7587" w:val="left"/>
        </w:tabs>
        <w:rPr>
          <w:sz w:val="20"/>
          <w:szCs w:val="20"/>
          <w:color w:val="auto"/>
        </w:rPr>
      </w:pPr>
      <w:r>
        <w:rPr>
          <w:rFonts w:ascii="Arial" w:cs="Arial" w:eastAsia="Arial" w:hAnsi="Arial"/>
          <w:sz w:val="15"/>
          <w:szCs w:val="15"/>
          <w:color w:val="auto"/>
        </w:rPr>
        <w:t>Indicate by checkmark whether the registrant is a shell company (as defined in Rule 12b-2 of the Exchange Act).  o Yes</w:t>
        <w:tab/>
        <w:t xml:space="preserve">No </w:t>
      </w:r>
      <w:r>
        <w:rPr>
          <w:rFonts w:ascii="MS PGothic" w:cs="MS PGothic" w:eastAsia="MS PGothic" w:hAnsi="MS PGothic"/>
          <w:sz w:val="15"/>
          <w:szCs w:val="15"/>
          <w:color w:val="auto"/>
        </w:rPr>
        <w:t>☒</w:t>
      </w:r>
    </w:p>
    <w:p>
      <w:pPr>
        <w:spacing w:after="0" w:line="158" w:lineRule="exact"/>
        <w:rPr>
          <w:sz w:val="24"/>
          <w:szCs w:val="24"/>
          <w:color w:val="auto"/>
        </w:rPr>
      </w:pPr>
    </w:p>
    <w:p>
      <w:pPr>
        <w:ind w:left="7"/>
        <w:spacing w:after="0"/>
        <w:rPr>
          <w:sz w:val="20"/>
          <w:szCs w:val="20"/>
          <w:color w:val="auto"/>
        </w:rPr>
      </w:pPr>
      <w:r>
        <w:rPr>
          <w:rFonts w:ascii="Arial" w:cs="Arial" w:eastAsia="Arial" w:hAnsi="Arial"/>
          <w:sz w:val="15"/>
          <w:szCs w:val="15"/>
          <w:color w:val="auto"/>
        </w:rPr>
        <w:t>The number of shares of Registrant’s common stock outstanding on November 10, 2017 was 22,313,329.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2663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235585</wp:posOffset>
            </wp:positionV>
            <wp:extent cx="72663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6"/>
        <w:spacing w:after="0"/>
        <w:rPr>
          <w:sz w:val="20"/>
          <w:szCs w:val="20"/>
          <w:color w:val="auto"/>
        </w:rPr>
      </w:pPr>
      <w:r>
        <w:rPr>
          <w:rFonts w:ascii="Arial" w:cs="Arial" w:eastAsia="Arial" w:hAnsi="Arial"/>
          <w:sz w:val="15"/>
          <w:szCs w:val="15"/>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66305" cy="2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7"/>
          </w:cols>
          <w:pgMar w:left="233" w:top="262"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40" w:type="dxa"/>
            <w:vAlign w:val="bottom"/>
            <w:gridSpan w:val="3"/>
          </w:tcPr>
          <w:p>
            <w:pPr>
              <w:ind w:left="40"/>
              <w:spacing w:after="0"/>
              <w:rPr>
                <w:sz w:val="20"/>
                <w:szCs w:val="20"/>
                <w:color w:val="auto"/>
              </w:rPr>
            </w:pPr>
            <w:r>
              <w:rPr>
                <w:rFonts w:ascii="Arial" w:cs="Arial" w:eastAsia="Arial" w:hAnsi="Arial"/>
                <w:sz w:val="15"/>
                <w:szCs w:val="15"/>
                <w:b w:val="1"/>
                <w:bCs w:val="1"/>
                <w:color w:val="auto"/>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2400" w:type="dxa"/>
            <w:vAlign w:val="bottom"/>
            <w:gridSpan w:val="9"/>
          </w:tcPr>
          <w:p>
            <w:pPr>
              <w:spacing w:after="0"/>
              <w:rPr>
                <w:rFonts w:ascii="Arial" w:cs="Arial" w:eastAsia="Arial" w:hAnsi="Arial"/>
                <w:sz w:val="15"/>
                <w:szCs w:val="15"/>
                <w:color w:val="0000EE"/>
                <w:w w:val="97"/>
              </w:rPr>
            </w:pPr>
            <w:hyperlink w:anchor="page5">
              <w:r>
                <w:rPr>
                  <w:rFonts w:ascii="Arial" w:cs="Arial" w:eastAsia="Arial" w:hAnsi="Arial"/>
                  <w:sz w:val="15"/>
                  <w:szCs w:val="15"/>
                  <w:color w:val="0000EE"/>
                  <w:w w:val="97"/>
                </w:rPr>
                <w:t>Part I. - FINANCIAL INFORMATION</w:t>
              </w:r>
            </w:hyperlink>
          </w:p>
        </w:tc>
        <w:tc>
          <w:tcPr>
            <w:tcW w:w="8880" w:type="dxa"/>
            <w:vAlign w:val="bottom"/>
            <w:gridSpan w:val="12"/>
          </w:tcPr>
          <w:p>
            <w:pPr>
              <w:spacing w:after="0"/>
              <w:rPr>
                <w:sz w:val="24"/>
                <w:szCs w:val="24"/>
                <w:color w:val="auto"/>
              </w:rPr>
            </w:pPr>
          </w:p>
        </w:tc>
        <w:tc>
          <w:tcPr>
            <w:tcW w:w="160" w:type="dxa"/>
            <w:vAlign w:val="bottom"/>
            <w:gridSpan w:val="2"/>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16"/>
        </w:trPr>
        <w:tc>
          <w:tcPr>
            <w:tcW w:w="540" w:type="dxa"/>
            <w:vAlign w:val="bottom"/>
          </w:tcPr>
          <w:p>
            <w:pPr>
              <w:spacing w:after="0"/>
              <w:rPr>
                <w:sz w:val="24"/>
                <w:szCs w:val="24"/>
                <w:color w:val="auto"/>
              </w:rPr>
            </w:pPr>
          </w:p>
        </w:tc>
        <w:tc>
          <w:tcPr>
            <w:tcW w:w="1860" w:type="dxa"/>
            <w:vAlign w:val="bottom"/>
            <w:gridSpan w:val="8"/>
          </w:tcPr>
          <w:p>
            <w:pPr>
              <w:spacing w:after="0"/>
              <w:rPr>
                <w:rFonts w:ascii="Arial" w:cs="Arial" w:eastAsia="Arial" w:hAnsi="Arial"/>
                <w:sz w:val="15"/>
                <w:szCs w:val="15"/>
                <w:color w:val="0000EE"/>
                <w:w w:val="91"/>
              </w:rPr>
            </w:pPr>
            <w:hyperlink w:anchor="page5">
              <w:r>
                <w:rPr>
                  <w:rFonts w:ascii="Arial" w:cs="Arial" w:eastAsia="Arial" w:hAnsi="Arial"/>
                  <w:sz w:val="15"/>
                  <w:szCs w:val="15"/>
                  <w:color w:val="0000EE"/>
                  <w:w w:val="91"/>
                </w:rPr>
                <w:t>Item 1. - Financial Statements</w:t>
              </w:r>
            </w:hyperlink>
          </w:p>
        </w:tc>
        <w:tc>
          <w:tcPr>
            <w:tcW w:w="8880" w:type="dxa"/>
            <w:vAlign w:val="bottom"/>
            <w:gridSpan w:val="12"/>
          </w:tcPr>
          <w:p>
            <w:pPr>
              <w:spacing w:after="0"/>
              <w:rPr>
                <w:sz w:val="24"/>
                <w:szCs w:val="24"/>
                <w:color w:val="auto"/>
              </w:rPr>
            </w:pPr>
          </w:p>
        </w:tc>
        <w:tc>
          <w:tcPr>
            <w:tcW w:w="160" w:type="dxa"/>
            <w:vAlign w:val="bottom"/>
            <w:gridSpan w:val="2"/>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3</w:t>
              </w:r>
            </w:hyperlink>
          </w:p>
        </w:tc>
      </w:tr>
      <w:tr>
        <w:trPr>
          <w:trHeight w:val="20"/>
        </w:trPr>
        <w:tc>
          <w:tcPr>
            <w:tcW w:w="54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16"/>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gridSpan w:val="10"/>
          </w:tcPr>
          <w:p>
            <w:pPr>
              <w:spacing w:after="0"/>
              <w:rPr>
                <w:rFonts w:ascii="Arial" w:cs="Arial" w:eastAsia="Arial" w:hAnsi="Arial"/>
                <w:sz w:val="15"/>
                <w:szCs w:val="15"/>
                <w:color w:val="0000EE"/>
                <w:w w:val="90"/>
              </w:rPr>
            </w:pPr>
            <w:hyperlink w:anchor="page5">
              <w:r>
                <w:rPr>
                  <w:rFonts w:ascii="Arial" w:cs="Arial" w:eastAsia="Arial" w:hAnsi="Arial"/>
                  <w:sz w:val="15"/>
                  <w:szCs w:val="15"/>
                  <w:color w:val="0000EE"/>
                  <w:w w:val="90"/>
                </w:rPr>
                <w:t>Unaudited Consolidated Balance Sheets</w:t>
              </w:r>
            </w:hyperlink>
          </w:p>
        </w:tc>
        <w:tc>
          <w:tcPr>
            <w:tcW w:w="7700" w:type="dxa"/>
            <w:vAlign w:val="bottom"/>
            <w:gridSpan w:val="9"/>
          </w:tcPr>
          <w:p>
            <w:pPr>
              <w:spacing w:after="0"/>
              <w:rPr>
                <w:sz w:val="24"/>
                <w:szCs w:val="24"/>
                <w:color w:val="auto"/>
              </w:rPr>
            </w:pPr>
          </w:p>
        </w:tc>
        <w:tc>
          <w:tcPr>
            <w:tcW w:w="160" w:type="dxa"/>
            <w:vAlign w:val="bottom"/>
            <w:gridSpan w:val="2"/>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3</w:t>
              </w:r>
            </w:hyperlink>
          </w:p>
        </w:tc>
      </w:tr>
      <w:tr>
        <w:trPr>
          <w:trHeight w:val="20"/>
        </w:trPr>
        <w:tc>
          <w:tcPr>
            <w:tcW w:w="5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5"/>
        </w:trPr>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80" w:type="dxa"/>
            <w:vAlign w:val="bottom"/>
            <w:gridSpan w:val="11"/>
          </w:tcPr>
          <w:p>
            <w:pPr>
              <w:spacing w:after="0" w:line="166" w:lineRule="exact"/>
              <w:rPr>
                <w:rFonts w:ascii="Arial" w:cs="Arial" w:eastAsia="Arial" w:hAnsi="Arial"/>
                <w:sz w:val="15"/>
                <w:szCs w:val="15"/>
                <w:color w:val="0000EE"/>
                <w:w w:val="91"/>
              </w:rPr>
            </w:pPr>
            <w:hyperlink w:anchor="page6">
              <w:r>
                <w:rPr>
                  <w:rFonts w:ascii="Arial" w:cs="Arial" w:eastAsia="Arial" w:hAnsi="Arial"/>
                  <w:sz w:val="15"/>
                  <w:szCs w:val="15"/>
                  <w:color w:val="0000EE"/>
                  <w:w w:val="91"/>
                </w:rPr>
                <w:t>Unaudited Consolidated Statements of Operations</w:t>
              </w:r>
            </w:hyperlink>
          </w:p>
        </w:tc>
        <w:tc>
          <w:tcPr>
            <w:tcW w:w="7080" w:type="dxa"/>
            <w:vAlign w:val="bottom"/>
            <w:gridSpan w:val="8"/>
          </w:tcPr>
          <w:p>
            <w:pPr>
              <w:spacing w:after="0"/>
              <w:rPr>
                <w:sz w:val="14"/>
                <w:szCs w:val="14"/>
                <w:color w:val="auto"/>
              </w:rPr>
            </w:pPr>
          </w:p>
        </w:tc>
        <w:tc>
          <w:tcPr>
            <w:tcW w:w="160" w:type="dxa"/>
            <w:vAlign w:val="bottom"/>
            <w:gridSpan w:val="2"/>
          </w:tcPr>
          <w:p>
            <w:pPr>
              <w:jc w:val="right"/>
              <w:spacing w:after="0" w:line="166" w:lineRule="exact"/>
              <w:rPr>
                <w:rFonts w:ascii="Arial" w:cs="Arial" w:eastAsia="Arial" w:hAnsi="Arial"/>
                <w:sz w:val="15"/>
                <w:szCs w:val="15"/>
                <w:color w:val="0000EE"/>
              </w:rPr>
            </w:pPr>
            <w:hyperlink w:anchor="page6">
              <w:r>
                <w:rPr>
                  <w:rFonts w:ascii="Arial" w:cs="Arial" w:eastAsia="Arial" w:hAnsi="Arial"/>
                  <w:sz w:val="15"/>
                  <w:szCs w:val="15"/>
                  <w:color w:val="0000EE"/>
                </w:rPr>
                <w:t>4</w:t>
              </w:r>
            </w:hyperlink>
          </w:p>
        </w:tc>
      </w:tr>
      <w:tr>
        <w:trPr>
          <w:trHeight w:val="20"/>
        </w:trPr>
        <w:tc>
          <w:tcPr>
            <w:tcW w:w="5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5"/>
        </w:trPr>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160" w:type="dxa"/>
            <w:vAlign w:val="bottom"/>
            <w:gridSpan w:val="19"/>
          </w:tcPr>
          <w:p>
            <w:pPr>
              <w:spacing w:after="0" w:line="166" w:lineRule="exact"/>
              <w:rPr>
                <w:rFonts w:ascii="Arial" w:cs="Arial" w:eastAsia="Arial" w:hAnsi="Arial"/>
                <w:sz w:val="15"/>
                <w:szCs w:val="15"/>
                <w:color w:val="0000EE"/>
              </w:rPr>
            </w:pPr>
            <w:hyperlink w:anchor="page7">
              <w:r>
                <w:rPr>
                  <w:rFonts w:ascii="Arial" w:cs="Arial" w:eastAsia="Arial" w:hAnsi="Arial"/>
                  <w:sz w:val="15"/>
                  <w:szCs w:val="15"/>
                  <w:color w:val="0000EE"/>
                </w:rPr>
                <w:t>Unaudited Consolidated Statements of Comprehensive Income (Loss)</w:t>
              </w:r>
            </w:hyperlink>
          </w:p>
        </w:tc>
        <w:tc>
          <w:tcPr>
            <w:tcW w:w="160" w:type="dxa"/>
            <w:vAlign w:val="bottom"/>
            <w:gridSpan w:val="2"/>
          </w:tcPr>
          <w:p>
            <w:pPr>
              <w:jc w:val="right"/>
              <w:spacing w:after="0" w:line="166" w:lineRule="exact"/>
              <w:rPr>
                <w:rFonts w:ascii="Arial" w:cs="Arial" w:eastAsia="Arial" w:hAnsi="Arial"/>
                <w:sz w:val="15"/>
                <w:szCs w:val="15"/>
                <w:color w:val="0000EE"/>
              </w:rPr>
            </w:pPr>
            <w:hyperlink w:anchor="page7">
              <w:r>
                <w:rPr>
                  <w:rFonts w:ascii="Arial" w:cs="Arial" w:eastAsia="Arial" w:hAnsi="Arial"/>
                  <w:sz w:val="15"/>
                  <w:szCs w:val="15"/>
                  <w:color w:val="0000EE"/>
                </w:rPr>
                <w:t>5</w:t>
              </w:r>
            </w:hyperlink>
          </w:p>
        </w:tc>
      </w:tr>
      <w:tr>
        <w:trPr>
          <w:trHeight w:val="20"/>
        </w:trPr>
        <w:tc>
          <w:tcPr>
            <w:tcW w:w="5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5"/>
        </w:trPr>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00" w:type="dxa"/>
            <w:vAlign w:val="bottom"/>
            <w:gridSpan w:val="17"/>
          </w:tcPr>
          <w:p>
            <w:pPr>
              <w:spacing w:after="0" w:line="166" w:lineRule="exact"/>
              <w:rPr>
                <w:rFonts w:ascii="Arial" w:cs="Arial" w:eastAsia="Arial" w:hAnsi="Arial"/>
                <w:sz w:val="15"/>
                <w:szCs w:val="15"/>
                <w:color w:val="0000EE"/>
              </w:rPr>
            </w:pPr>
            <w:hyperlink w:anchor="page8">
              <w:r>
                <w:rPr>
                  <w:rFonts w:ascii="Arial" w:cs="Arial" w:eastAsia="Arial" w:hAnsi="Arial"/>
                  <w:sz w:val="15"/>
                  <w:szCs w:val="15"/>
                  <w:color w:val="0000EE"/>
                </w:rPr>
                <w:t>Unaudited Consolidated Statement of Changes in Equity</w:t>
              </w:r>
            </w:hyperlink>
          </w:p>
        </w:tc>
        <w:tc>
          <w:tcPr>
            <w:tcW w:w="5860" w:type="dxa"/>
            <w:vAlign w:val="bottom"/>
            <w:gridSpan w:val="2"/>
          </w:tcPr>
          <w:p>
            <w:pPr>
              <w:spacing w:after="0"/>
              <w:rPr>
                <w:sz w:val="14"/>
                <w:szCs w:val="14"/>
                <w:color w:val="auto"/>
              </w:rPr>
            </w:pPr>
          </w:p>
        </w:tc>
        <w:tc>
          <w:tcPr>
            <w:tcW w:w="160" w:type="dxa"/>
            <w:vAlign w:val="bottom"/>
            <w:gridSpan w:val="2"/>
          </w:tcPr>
          <w:p>
            <w:pPr>
              <w:jc w:val="right"/>
              <w:spacing w:after="0" w:line="166" w:lineRule="exact"/>
              <w:rPr>
                <w:rFonts w:ascii="Arial" w:cs="Arial" w:eastAsia="Arial" w:hAnsi="Arial"/>
                <w:sz w:val="15"/>
                <w:szCs w:val="15"/>
                <w:color w:val="0000EE"/>
              </w:rPr>
            </w:pPr>
            <w:hyperlink w:anchor="page8">
              <w:r>
                <w:rPr>
                  <w:rFonts w:ascii="Arial" w:cs="Arial" w:eastAsia="Arial" w:hAnsi="Arial"/>
                  <w:sz w:val="15"/>
                  <w:szCs w:val="15"/>
                  <w:color w:val="0000EE"/>
                </w:rPr>
                <w:t>6</w:t>
              </w:r>
            </w:hyperlink>
          </w:p>
        </w:tc>
      </w:tr>
      <w:tr>
        <w:trPr>
          <w:trHeight w:val="20"/>
        </w:trPr>
        <w:tc>
          <w:tcPr>
            <w:tcW w:w="5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5"/>
        </w:trPr>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80" w:type="dxa"/>
            <w:vAlign w:val="bottom"/>
            <w:gridSpan w:val="14"/>
          </w:tcPr>
          <w:p>
            <w:pPr>
              <w:spacing w:after="0" w:line="166" w:lineRule="exact"/>
              <w:rPr>
                <w:rFonts w:ascii="Arial" w:cs="Arial" w:eastAsia="Arial" w:hAnsi="Arial"/>
                <w:sz w:val="15"/>
                <w:szCs w:val="15"/>
                <w:color w:val="0000EE"/>
              </w:rPr>
            </w:pPr>
            <w:hyperlink w:anchor="page9">
              <w:r>
                <w:rPr>
                  <w:rFonts w:ascii="Arial" w:cs="Arial" w:eastAsia="Arial" w:hAnsi="Arial"/>
                  <w:sz w:val="15"/>
                  <w:szCs w:val="15"/>
                  <w:color w:val="0000EE"/>
                </w:rPr>
                <w:t>Unaudited Consolidated Statements of Cash Flows</w:t>
              </w:r>
            </w:hyperlink>
          </w:p>
        </w:tc>
        <w:tc>
          <w:tcPr>
            <w:tcW w:w="6680" w:type="dxa"/>
            <w:vAlign w:val="bottom"/>
            <w:gridSpan w:val="5"/>
          </w:tcPr>
          <w:p>
            <w:pPr>
              <w:spacing w:after="0"/>
              <w:rPr>
                <w:sz w:val="14"/>
                <w:szCs w:val="14"/>
                <w:color w:val="auto"/>
              </w:rPr>
            </w:pPr>
          </w:p>
        </w:tc>
        <w:tc>
          <w:tcPr>
            <w:tcW w:w="160" w:type="dxa"/>
            <w:vAlign w:val="bottom"/>
            <w:gridSpan w:val="2"/>
          </w:tcPr>
          <w:p>
            <w:pPr>
              <w:jc w:val="right"/>
              <w:spacing w:after="0" w:line="166" w:lineRule="exact"/>
              <w:rPr>
                <w:rFonts w:ascii="Arial" w:cs="Arial" w:eastAsia="Arial" w:hAnsi="Arial"/>
                <w:sz w:val="15"/>
                <w:szCs w:val="15"/>
                <w:color w:val="0000EE"/>
              </w:rPr>
            </w:pPr>
            <w:hyperlink w:anchor="page9">
              <w:r>
                <w:rPr>
                  <w:rFonts w:ascii="Arial" w:cs="Arial" w:eastAsia="Arial" w:hAnsi="Arial"/>
                  <w:sz w:val="15"/>
                  <w:szCs w:val="15"/>
                  <w:color w:val="0000EE"/>
                </w:rPr>
                <w:t>7</w:t>
              </w:r>
            </w:hyperlink>
          </w:p>
        </w:tc>
      </w:tr>
      <w:tr>
        <w:trPr>
          <w:trHeight w:val="20"/>
        </w:trPr>
        <w:tc>
          <w:tcPr>
            <w:tcW w:w="5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5"/>
        </w:trPr>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160" w:type="dxa"/>
            <w:vAlign w:val="bottom"/>
            <w:gridSpan w:val="19"/>
          </w:tcPr>
          <w:p>
            <w:pPr>
              <w:spacing w:after="0" w:line="166" w:lineRule="exact"/>
              <w:rPr>
                <w:rFonts w:ascii="Arial" w:cs="Arial" w:eastAsia="Arial" w:hAnsi="Arial"/>
                <w:sz w:val="15"/>
                <w:szCs w:val="15"/>
                <w:color w:val="0000EE"/>
              </w:rPr>
            </w:pPr>
            <w:hyperlink w:anchor="page10">
              <w:r>
                <w:rPr>
                  <w:rFonts w:ascii="Arial" w:cs="Arial" w:eastAsia="Arial" w:hAnsi="Arial"/>
                  <w:sz w:val="15"/>
                  <w:szCs w:val="15"/>
                  <w:color w:val="0000EE"/>
                </w:rPr>
                <w:t>Notes to Unaudited Consolidated Financial Statements</w:t>
              </w:r>
            </w:hyperlink>
          </w:p>
        </w:tc>
        <w:tc>
          <w:tcPr>
            <w:tcW w:w="160" w:type="dxa"/>
            <w:vAlign w:val="bottom"/>
            <w:gridSpan w:val="2"/>
          </w:tcPr>
          <w:p>
            <w:pPr>
              <w:jc w:val="right"/>
              <w:spacing w:after="0" w:line="166" w:lineRule="exact"/>
              <w:rPr>
                <w:rFonts w:ascii="Arial" w:cs="Arial" w:eastAsia="Arial" w:hAnsi="Arial"/>
                <w:sz w:val="15"/>
                <w:szCs w:val="15"/>
                <w:color w:val="0000EE"/>
              </w:rPr>
            </w:pPr>
            <w:hyperlink w:anchor="page10">
              <w:r>
                <w:rPr>
                  <w:rFonts w:ascii="Arial" w:cs="Arial" w:eastAsia="Arial" w:hAnsi="Arial"/>
                  <w:sz w:val="15"/>
                  <w:szCs w:val="15"/>
                  <w:color w:val="0000EE"/>
                </w:rPr>
                <w:t>8</w:t>
              </w:r>
            </w:hyperlink>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51"/>
        </w:trPr>
        <w:tc>
          <w:tcPr>
            <w:tcW w:w="540" w:type="dxa"/>
            <w:vAlign w:val="bottom"/>
          </w:tcPr>
          <w:p>
            <w:pPr>
              <w:spacing w:after="0"/>
              <w:rPr>
                <w:sz w:val="24"/>
                <w:szCs w:val="24"/>
                <w:color w:val="auto"/>
              </w:rPr>
            </w:pPr>
          </w:p>
        </w:tc>
        <w:tc>
          <w:tcPr>
            <w:tcW w:w="6120" w:type="dxa"/>
            <w:vAlign w:val="bottom"/>
            <w:tcBorders>
              <w:bottom w:val="single" w:sz="8" w:color="0000EE"/>
            </w:tcBorders>
            <w:gridSpan w:val="19"/>
          </w:tcPr>
          <w:p>
            <w:pPr>
              <w:spacing w:after="0"/>
              <w:rPr>
                <w:rFonts w:ascii="Arial" w:cs="Arial" w:eastAsia="Arial" w:hAnsi="Arial"/>
                <w:sz w:val="15"/>
                <w:szCs w:val="15"/>
                <w:color w:val="0000EE"/>
                <w:w w:val="93"/>
              </w:rPr>
            </w:pPr>
            <w:hyperlink w:anchor="page28">
              <w:r>
                <w:rPr>
                  <w:rFonts w:ascii="Arial" w:cs="Arial" w:eastAsia="Arial" w:hAnsi="Arial"/>
                  <w:sz w:val="15"/>
                  <w:szCs w:val="15"/>
                  <w:color w:val="0000EE"/>
                  <w:w w:val="93"/>
                </w:rPr>
                <w:t>Item 2. - Management’s Discussion and Analysis of Financial Condition and Results of Operations</w:t>
              </w:r>
            </w:hyperlink>
          </w:p>
        </w:tc>
        <w:tc>
          <w:tcPr>
            <w:tcW w:w="462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8">
              <w:r>
                <w:rPr>
                  <w:rFonts w:ascii="Arial" w:cs="Arial" w:eastAsia="Arial" w:hAnsi="Arial"/>
                  <w:sz w:val="15"/>
                  <w:szCs w:val="15"/>
                  <w:color w:val="0000EE"/>
                  <w:w w:val="83"/>
                </w:rPr>
                <w:t>26</w:t>
              </w:r>
            </w:hyperlink>
          </w:p>
        </w:tc>
      </w:tr>
      <w:tr>
        <w:trPr>
          <w:trHeight w:val="165"/>
        </w:trPr>
        <w:tc>
          <w:tcPr>
            <w:tcW w:w="540" w:type="dxa"/>
            <w:vAlign w:val="bottom"/>
          </w:tcPr>
          <w:p>
            <w:pPr>
              <w:spacing w:after="0"/>
              <w:rPr>
                <w:sz w:val="14"/>
                <w:szCs w:val="14"/>
                <w:color w:val="auto"/>
              </w:rPr>
            </w:pPr>
          </w:p>
        </w:tc>
        <w:tc>
          <w:tcPr>
            <w:tcW w:w="10740" w:type="dxa"/>
            <w:vAlign w:val="bottom"/>
            <w:gridSpan w:val="20"/>
          </w:tcPr>
          <w:p>
            <w:pPr>
              <w:spacing w:after="0" w:line="166" w:lineRule="exact"/>
              <w:rPr>
                <w:rFonts w:ascii="Arial" w:cs="Arial" w:eastAsia="Arial" w:hAnsi="Arial"/>
                <w:sz w:val="15"/>
                <w:szCs w:val="15"/>
                <w:color w:val="0000EE"/>
              </w:rPr>
            </w:pPr>
            <w:hyperlink w:anchor="page47">
              <w:r>
                <w:rPr>
                  <w:rFonts w:ascii="Arial" w:cs="Arial" w:eastAsia="Arial" w:hAnsi="Arial"/>
                  <w:sz w:val="15"/>
                  <w:szCs w:val="15"/>
                  <w:color w:val="0000EE"/>
                </w:rPr>
                <w:t>Item 3. - Quantitative and Qualitative Disclosures about Market Risk</w:t>
              </w:r>
            </w:hyperlink>
          </w:p>
        </w:tc>
        <w:tc>
          <w:tcPr>
            <w:tcW w:w="160" w:type="dxa"/>
            <w:vAlign w:val="bottom"/>
            <w:gridSpan w:val="2"/>
          </w:tcPr>
          <w:p>
            <w:pPr>
              <w:jc w:val="right"/>
              <w:spacing w:after="0" w:line="166" w:lineRule="exact"/>
              <w:rPr>
                <w:rFonts w:ascii="Arial" w:cs="Arial" w:eastAsia="Arial" w:hAnsi="Arial"/>
                <w:sz w:val="15"/>
                <w:szCs w:val="15"/>
                <w:color w:val="0000EE"/>
                <w:w w:val="83"/>
              </w:rPr>
            </w:pPr>
            <w:hyperlink w:anchor="page47">
              <w:r>
                <w:rPr>
                  <w:rFonts w:ascii="Arial" w:cs="Arial" w:eastAsia="Arial" w:hAnsi="Arial"/>
                  <w:sz w:val="15"/>
                  <w:szCs w:val="15"/>
                  <w:color w:val="0000EE"/>
                  <w:w w:val="83"/>
                </w:rPr>
                <w:t>45</w:t>
              </w:r>
            </w:hyperlink>
          </w:p>
        </w:tc>
      </w:tr>
      <w:tr>
        <w:trPr>
          <w:trHeight w:val="165"/>
        </w:trPr>
        <w:tc>
          <w:tcPr>
            <w:tcW w:w="54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9"/>
          </w:tcPr>
          <w:p>
            <w:pPr>
              <w:spacing w:after="0" w:line="166" w:lineRule="exact"/>
              <w:rPr>
                <w:rFonts w:ascii="Arial" w:cs="Arial" w:eastAsia="Arial" w:hAnsi="Arial"/>
                <w:sz w:val="15"/>
                <w:szCs w:val="15"/>
                <w:color w:val="0000EE"/>
                <w:w w:val="92"/>
              </w:rPr>
            </w:pPr>
            <w:hyperlink w:anchor="page47">
              <w:r>
                <w:rPr>
                  <w:rFonts w:ascii="Arial" w:cs="Arial" w:eastAsia="Arial" w:hAnsi="Arial"/>
                  <w:sz w:val="15"/>
                  <w:szCs w:val="15"/>
                  <w:color w:val="0000EE"/>
                  <w:w w:val="92"/>
                </w:rPr>
                <w:t>Item 4. - Controls and Procedures</w:t>
              </w:r>
            </w:hyperlink>
          </w:p>
        </w:tc>
        <w:tc>
          <w:tcPr>
            <w:tcW w:w="2160" w:type="dxa"/>
            <w:vAlign w:val="bottom"/>
            <w:tcBorders>
              <w:top w:val="single" w:sz="8" w:color="0000EE"/>
            </w:tcBorders>
            <w:gridSpan w:val="7"/>
          </w:tcPr>
          <w:p>
            <w:pPr>
              <w:spacing w:after="0"/>
              <w:rPr>
                <w:sz w:val="14"/>
                <w:szCs w:val="14"/>
                <w:color w:val="auto"/>
              </w:rPr>
            </w:pPr>
          </w:p>
        </w:tc>
        <w:tc>
          <w:tcPr>
            <w:tcW w:w="6480" w:type="dxa"/>
            <w:vAlign w:val="bottom"/>
            <w:gridSpan w:val="4"/>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6" w:lineRule="exact"/>
              <w:rPr>
                <w:rFonts w:ascii="Arial" w:cs="Arial" w:eastAsia="Arial" w:hAnsi="Arial"/>
                <w:sz w:val="15"/>
                <w:szCs w:val="15"/>
                <w:color w:val="0000EE"/>
                <w:w w:val="83"/>
              </w:rPr>
            </w:pPr>
            <w:hyperlink w:anchor="page47">
              <w:r>
                <w:rPr>
                  <w:rFonts w:ascii="Arial" w:cs="Arial" w:eastAsia="Arial" w:hAnsi="Arial"/>
                  <w:sz w:val="15"/>
                  <w:szCs w:val="15"/>
                  <w:color w:val="0000EE"/>
                  <w:w w:val="83"/>
                </w:rPr>
                <w:t>45</w:t>
              </w:r>
            </w:hyperlink>
          </w:p>
        </w:tc>
      </w:tr>
      <w:tr>
        <w:trPr>
          <w:trHeight w:val="316"/>
        </w:trPr>
        <w:tc>
          <w:tcPr>
            <w:tcW w:w="11280" w:type="dxa"/>
            <w:vAlign w:val="bottom"/>
            <w:gridSpan w:val="21"/>
          </w:tcPr>
          <w:p>
            <w:pPr>
              <w:spacing w:after="0"/>
              <w:rPr>
                <w:rFonts w:ascii="Arial" w:cs="Arial" w:eastAsia="Arial" w:hAnsi="Arial"/>
                <w:sz w:val="15"/>
                <w:szCs w:val="15"/>
                <w:color w:val="0000EE"/>
              </w:rPr>
            </w:pPr>
            <w:hyperlink w:anchor="page48">
              <w:r>
                <w:rPr>
                  <w:rFonts w:ascii="Arial" w:cs="Arial" w:eastAsia="Arial" w:hAnsi="Arial"/>
                  <w:sz w:val="15"/>
                  <w:szCs w:val="15"/>
                  <w:color w:val="0000EE"/>
                </w:rPr>
                <w:t>Part II. - OTHER INFORMATION</w:t>
              </w:r>
            </w:hyperlink>
          </w:p>
        </w:tc>
        <w:tc>
          <w:tcPr>
            <w:tcW w:w="160" w:type="dxa"/>
            <w:vAlign w:val="bottom"/>
            <w:gridSpan w:val="2"/>
          </w:tcPr>
          <w:p>
            <w:pPr>
              <w:jc w:val="right"/>
              <w:spacing w:after="0"/>
              <w:rPr>
                <w:rFonts w:ascii="Arial" w:cs="Arial" w:eastAsia="Arial" w:hAnsi="Arial"/>
                <w:sz w:val="15"/>
                <w:szCs w:val="15"/>
                <w:color w:val="0000EE"/>
                <w:w w:val="83"/>
              </w:rPr>
            </w:pPr>
            <w:hyperlink w:anchor="page48">
              <w:r>
                <w:rPr>
                  <w:rFonts w:ascii="Arial" w:cs="Arial" w:eastAsia="Arial" w:hAnsi="Arial"/>
                  <w:sz w:val="15"/>
                  <w:szCs w:val="15"/>
                  <w:color w:val="0000EE"/>
                  <w:w w:val="83"/>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16"/>
        </w:trPr>
        <w:tc>
          <w:tcPr>
            <w:tcW w:w="540" w:type="dxa"/>
            <w:vAlign w:val="bottom"/>
          </w:tcPr>
          <w:p>
            <w:pPr>
              <w:spacing w:after="0"/>
              <w:rPr>
                <w:sz w:val="24"/>
                <w:szCs w:val="24"/>
                <w:color w:val="auto"/>
              </w:rPr>
            </w:pPr>
          </w:p>
        </w:tc>
        <w:tc>
          <w:tcPr>
            <w:tcW w:w="1720" w:type="dxa"/>
            <w:vAlign w:val="bottom"/>
            <w:tcBorders>
              <w:bottom w:val="single" w:sz="8" w:color="0000EE"/>
            </w:tcBorders>
            <w:gridSpan w:val="7"/>
          </w:tcPr>
          <w:p>
            <w:pPr>
              <w:spacing w:after="0"/>
              <w:rPr>
                <w:rFonts w:ascii="Arial" w:cs="Arial" w:eastAsia="Arial" w:hAnsi="Arial"/>
                <w:sz w:val="15"/>
                <w:szCs w:val="15"/>
                <w:color w:val="0000EE"/>
                <w:w w:val="92"/>
              </w:rPr>
            </w:pPr>
            <w:hyperlink w:anchor="page48">
              <w:r>
                <w:rPr>
                  <w:rFonts w:ascii="Arial" w:cs="Arial" w:eastAsia="Arial" w:hAnsi="Arial"/>
                  <w:sz w:val="15"/>
                  <w:szCs w:val="15"/>
                  <w:color w:val="0000EE"/>
                  <w:w w:val="92"/>
                </w:rPr>
                <w:t>Item 1. - Legal Proceedings</w:t>
              </w:r>
            </w:hyperlink>
          </w:p>
        </w:tc>
        <w:tc>
          <w:tcPr>
            <w:tcW w:w="9020" w:type="dxa"/>
            <w:vAlign w:val="bottom"/>
            <w:gridSpan w:val="13"/>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48">
              <w:r>
                <w:rPr>
                  <w:rFonts w:ascii="Arial" w:cs="Arial" w:eastAsia="Arial" w:hAnsi="Arial"/>
                  <w:sz w:val="15"/>
                  <w:szCs w:val="15"/>
                  <w:color w:val="0000EE"/>
                  <w:w w:val="83"/>
                </w:rPr>
                <w:t>46</w:t>
              </w:r>
            </w:hyperlink>
          </w:p>
        </w:tc>
      </w:tr>
      <w:tr>
        <w:trPr>
          <w:trHeight w:val="165"/>
        </w:trPr>
        <w:tc>
          <w:tcPr>
            <w:tcW w:w="540" w:type="dxa"/>
            <w:vAlign w:val="bottom"/>
          </w:tcPr>
          <w:p>
            <w:pPr>
              <w:spacing w:after="0"/>
              <w:rPr>
                <w:sz w:val="14"/>
                <w:szCs w:val="14"/>
                <w:color w:val="auto"/>
              </w:rPr>
            </w:pPr>
          </w:p>
        </w:tc>
        <w:tc>
          <w:tcPr>
            <w:tcW w:w="10740" w:type="dxa"/>
            <w:vAlign w:val="bottom"/>
            <w:gridSpan w:val="20"/>
          </w:tcPr>
          <w:p>
            <w:pPr>
              <w:spacing w:after="0" w:line="166" w:lineRule="exact"/>
              <w:rPr>
                <w:rFonts w:ascii="Arial" w:cs="Arial" w:eastAsia="Arial" w:hAnsi="Arial"/>
                <w:sz w:val="15"/>
                <w:szCs w:val="15"/>
                <w:color w:val="0000EE"/>
              </w:rPr>
            </w:pPr>
            <w:hyperlink w:anchor="page48">
              <w:r>
                <w:rPr>
                  <w:rFonts w:ascii="Arial" w:cs="Arial" w:eastAsia="Arial" w:hAnsi="Arial"/>
                  <w:sz w:val="15"/>
                  <w:szCs w:val="15"/>
                  <w:color w:val="0000EE"/>
                </w:rPr>
                <w:t>Item 1A. - Risk Factors</w:t>
              </w:r>
            </w:hyperlink>
          </w:p>
        </w:tc>
        <w:tc>
          <w:tcPr>
            <w:tcW w:w="160" w:type="dxa"/>
            <w:vAlign w:val="bottom"/>
            <w:gridSpan w:val="2"/>
          </w:tcPr>
          <w:p>
            <w:pPr>
              <w:jc w:val="right"/>
              <w:spacing w:after="0" w:line="166" w:lineRule="exact"/>
              <w:rPr>
                <w:rFonts w:ascii="Arial" w:cs="Arial" w:eastAsia="Arial" w:hAnsi="Arial"/>
                <w:sz w:val="15"/>
                <w:szCs w:val="15"/>
                <w:color w:val="0000EE"/>
                <w:w w:val="83"/>
              </w:rPr>
            </w:pPr>
            <w:hyperlink w:anchor="page48">
              <w:r>
                <w:rPr>
                  <w:rFonts w:ascii="Arial" w:cs="Arial" w:eastAsia="Arial" w:hAnsi="Arial"/>
                  <w:sz w:val="15"/>
                  <w:szCs w:val="15"/>
                  <w:color w:val="0000EE"/>
                  <w:w w:val="83"/>
                </w:rPr>
                <w:t>46</w:t>
              </w:r>
            </w:hyperlink>
          </w:p>
        </w:tc>
      </w:tr>
      <w:tr>
        <w:trPr>
          <w:trHeight w:val="20"/>
        </w:trPr>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65"/>
        </w:trPr>
        <w:tc>
          <w:tcPr>
            <w:tcW w:w="540" w:type="dxa"/>
            <w:vAlign w:val="bottom"/>
          </w:tcPr>
          <w:p>
            <w:pPr>
              <w:spacing w:after="0"/>
              <w:rPr>
                <w:sz w:val="14"/>
                <w:szCs w:val="14"/>
                <w:color w:val="auto"/>
              </w:rPr>
            </w:pPr>
          </w:p>
        </w:tc>
        <w:tc>
          <w:tcPr>
            <w:tcW w:w="10740" w:type="dxa"/>
            <w:vAlign w:val="bottom"/>
            <w:gridSpan w:val="20"/>
          </w:tcPr>
          <w:p>
            <w:pPr>
              <w:spacing w:after="0" w:line="166" w:lineRule="exact"/>
              <w:rPr>
                <w:rFonts w:ascii="Arial" w:cs="Arial" w:eastAsia="Arial" w:hAnsi="Arial"/>
                <w:sz w:val="15"/>
                <w:szCs w:val="15"/>
                <w:color w:val="0000EE"/>
              </w:rPr>
            </w:pPr>
            <w:hyperlink w:anchor="page48">
              <w:r>
                <w:rPr>
                  <w:rFonts w:ascii="Arial" w:cs="Arial" w:eastAsia="Arial" w:hAnsi="Arial"/>
                  <w:sz w:val="15"/>
                  <w:szCs w:val="15"/>
                  <w:color w:val="0000EE"/>
                </w:rPr>
                <w:t>Item 2. - Unregistered Sales of Equity Securities and Use of Proceeds</w:t>
              </w:r>
            </w:hyperlink>
          </w:p>
        </w:tc>
        <w:tc>
          <w:tcPr>
            <w:tcW w:w="160" w:type="dxa"/>
            <w:vAlign w:val="bottom"/>
            <w:gridSpan w:val="2"/>
          </w:tcPr>
          <w:p>
            <w:pPr>
              <w:jc w:val="right"/>
              <w:spacing w:after="0" w:line="166" w:lineRule="exact"/>
              <w:rPr>
                <w:rFonts w:ascii="Arial" w:cs="Arial" w:eastAsia="Arial" w:hAnsi="Arial"/>
                <w:sz w:val="15"/>
                <w:szCs w:val="15"/>
                <w:color w:val="0000EE"/>
                <w:w w:val="83"/>
              </w:rPr>
            </w:pPr>
            <w:hyperlink w:anchor="page48">
              <w:r>
                <w:rPr>
                  <w:rFonts w:ascii="Arial" w:cs="Arial" w:eastAsia="Arial" w:hAnsi="Arial"/>
                  <w:sz w:val="15"/>
                  <w:szCs w:val="15"/>
                  <w:color w:val="0000EE"/>
                  <w:w w:val="83"/>
                </w:rPr>
                <w:t>46</w:t>
              </w:r>
            </w:hyperlink>
          </w:p>
        </w:tc>
      </w:tr>
      <w:tr>
        <w:trPr>
          <w:trHeight w:val="165"/>
        </w:trPr>
        <w:tc>
          <w:tcPr>
            <w:tcW w:w="540" w:type="dxa"/>
            <w:vAlign w:val="bottom"/>
          </w:tcPr>
          <w:p>
            <w:pPr>
              <w:spacing w:after="0"/>
              <w:rPr>
                <w:sz w:val="14"/>
                <w:szCs w:val="14"/>
                <w:color w:val="auto"/>
              </w:rPr>
            </w:pPr>
          </w:p>
        </w:tc>
        <w:tc>
          <w:tcPr>
            <w:tcW w:w="2540" w:type="dxa"/>
            <w:vAlign w:val="bottom"/>
            <w:tcBorders>
              <w:top w:val="single" w:sz="8" w:color="0000EE"/>
              <w:bottom w:val="single" w:sz="8" w:color="0000EE"/>
            </w:tcBorders>
            <w:gridSpan w:val="10"/>
          </w:tcPr>
          <w:p>
            <w:pPr>
              <w:spacing w:after="0" w:line="166" w:lineRule="exact"/>
              <w:rPr>
                <w:rFonts w:ascii="Arial" w:cs="Arial" w:eastAsia="Arial" w:hAnsi="Arial"/>
                <w:sz w:val="15"/>
                <w:szCs w:val="15"/>
                <w:color w:val="0000EE"/>
                <w:w w:val="93"/>
              </w:rPr>
            </w:pPr>
            <w:hyperlink w:anchor="page49">
              <w:r>
                <w:rPr>
                  <w:rFonts w:ascii="Arial" w:cs="Arial" w:eastAsia="Arial" w:hAnsi="Arial"/>
                  <w:sz w:val="15"/>
                  <w:szCs w:val="15"/>
                  <w:color w:val="0000EE"/>
                  <w:w w:val="93"/>
                </w:rPr>
                <w:t>Item 3. - Defaults upon Senior Securities</w:t>
              </w:r>
            </w:hyperlink>
          </w:p>
        </w:tc>
        <w:tc>
          <w:tcPr>
            <w:tcW w:w="1760" w:type="dxa"/>
            <w:vAlign w:val="bottom"/>
            <w:tcBorders>
              <w:top w:val="single" w:sz="8" w:color="0000EE"/>
            </w:tcBorders>
            <w:gridSpan w:val="7"/>
          </w:tcPr>
          <w:p>
            <w:pPr>
              <w:spacing w:after="0"/>
              <w:rPr>
                <w:sz w:val="14"/>
                <w:szCs w:val="14"/>
                <w:color w:val="auto"/>
              </w:rPr>
            </w:pPr>
          </w:p>
        </w:tc>
        <w:tc>
          <w:tcPr>
            <w:tcW w:w="6440" w:type="dxa"/>
            <w:vAlign w:val="bottom"/>
            <w:gridSpan w:val="3"/>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6" w:lineRule="exact"/>
              <w:rPr>
                <w:rFonts w:ascii="Arial" w:cs="Arial" w:eastAsia="Arial" w:hAnsi="Arial"/>
                <w:sz w:val="15"/>
                <w:szCs w:val="15"/>
                <w:color w:val="0000EE"/>
                <w:w w:val="83"/>
              </w:rPr>
            </w:pPr>
            <w:hyperlink w:anchor="page49">
              <w:r>
                <w:rPr>
                  <w:rFonts w:ascii="Arial" w:cs="Arial" w:eastAsia="Arial" w:hAnsi="Arial"/>
                  <w:sz w:val="15"/>
                  <w:szCs w:val="15"/>
                  <w:color w:val="0000EE"/>
                  <w:w w:val="83"/>
                </w:rPr>
                <w:t>47</w:t>
              </w:r>
            </w:hyperlink>
          </w:p>
        </w:tc>
      </w:tr>
      <w:tr>
        <w:trPr>
          <w:trHeight w:val="165"/>
        </w:trPr>
        <w:tc>
          <w:tcPr>
            <w:tcW w:w="540" w:type="dxa"/>
            <w:vAlign w:val="bottom"/>
          </w:tcPr>
          <w:p>
            <w:pPr>
              <w:spacing w:after="0"/>
              <w:rPr>
                <w:sz w:val="14"/>
                <w:szCs w:val="14"/>
                <w:color w:val="auto"/>
              </w:rPr>
            </w:pPr>
          </w:p>
        </w:tc>
        <w:tc>
          <w:tcPr>
            <w:tcW w:w="2100" w:type="dxa"/>
            <w:vAlign w:val="bottom"/>
            <w:tcBorders>
              <w:bottom w:val="single" w:sz="8" w:color="0000EE"/>
            </w:tcBorders>
            <w:gridSpan w:val="9"/>
          </w:tcPr>
          <w:p>
            <w:pPr>
              <w:spacing w:after="0" w:line="166" w:lineRule="exact"/>
              <w:rPr>
                <w:rFonts w:ascii="Arial" w:cs="Arial" w:eastAsia="Arial" w:hAnsi="Arial"/>
                <w:sz w:val="15"/>
                <w:szCs w:val="15"/>
                <w:color w:val="0000EE"/>
                <w:w w:val="94"/>
              </w:rPr>
            </w:pPr>
            <w:hyperlink w:anchor="page49">
              <w:r>
                <w:rPr>
                  <w:rFonts w:ascii="Arial" w:cs="Arial" w:eastAsia="Arial" w:hAnsi="Arial"/>
                  <w:sz w:val="15"/>
                  <w:szCs w:val="15"/>
                  <w:color w:val="0000EE"/>
                  <w:w w:val="94"/>
                </w:rPr>
                <w:t>Item 4. - Mine Safety Disclosures</w:t>
              </w:r>
            </w:hyperlink>
          </w:p>
        </w:tc>
        <w:tc>
          <w:tcPr>
            <w:tcW w:w="8640" w:type="dxa"/>
            <w:vAlign w:val="bottom"/>
            <w:gridSpan w:val="11"/>
          </w:tcPr>
          <w:p>
            <w:pPr>
              <w:spacing w:after="0"/>
              <w:rPr>
                <w:sz w:val="14"/>
                <w:szCs w:val="14"/>
                <w:color w:val="auto"/>
              </w:rPr>
            </w:pPr>
          </w:p>
        </w:tc>
        <w:tc>
          <w:tcPr>
            <w:tcW w:w="160" w:type="dxa"/>
            <w:vAlign w:val="bottom"/>
            <w:tcBorders>
              <w:bottom w:val="single" w:sz="8" w:color="0000EE"/>
            </w:tcBorders>
            <w:gridSpan w:val="2"/>
          </w:tcPr>
          <w:p>
            <w:pPr>
              <w:jc w:val="right"/>
              <w:spacing w:after="0" w:line="166" w:lineRule="exact"/>
              <w:rPr>
                <w:rFonts w:ascii="Arial" w:cs="Arial" w:eastAsia="Arial" w:hAnsi="Arial"/>
                <w:sz w:val="15"/>
                <w:szCs w:val="15"/>
                <w:color w:val="0000EE"/>
                <w:w w:val="83"/>
              </w:rPr>
            </w:pPr>
            <w:hyperlink w:anchor="page49">
              <w:r>
                <w:rPr>
                  <w:rFonts w:ascii="Arial" w:cs="Arial" w:eastAsia="Arial" w:hAnsi="Arial"/>
                  <w:sz w:val="15"/>
                  <w:szCs w:val="15"/>
                  <w:color w:val="0000EE"/>
                  <w:w w:val="83"/>
                </w:rPr>
                <w:t>47</w:t>
              </w:r>
            </w:hyperlink>
          </w:p>
        </w:tc>
      </w:tr>
      <w:tr>
        <w:trPr>
          <w:trHeight w:val="165"/>
        </w:trPr>
        <w:tc>
          <w:tcPr>
            <w:tcW w:w="540" w:type="dxa"/>
            <w:vAlign w:val="bottom"/>
          </w:tcPr>
          <w:p>
            <w:pPr>
              <w:spacing w:after="0"/>
              <w:rPr>
                <w:sz w:val="14"/>
                <w:szCs w:val="14"/>
                <w:color w:val="auto"/>
              </w:rPr>
            </w:pPr>
          </w:p>
        </w:tc>
        <w:tc>
          <w:tcPr>
            <w:tcW w:w="10740" w:type="dxa"/>
            <w:vAlign w:val="bottom"/>
            <w:gridSpan w:val="20"/>
          </w:tcPr>
          <w:p>
            <w:pPr>
              <w:spacing w:after="0" w:line="166" w:lineRule="exact"/>
              <w:rPr>
                <w:rFonts w:ascii="Arial" w:cs="Arial" w:eastAsia="Arial" w:hAnsi="Arial"/>
                <w:sz w:val="15"/>
                <w:szCs w:val="15"/>
                <w:color w:val="0000EE"/>
              </w:rPr>
            </w:pPr>
            <w:hyperlink w:anchor="page49">
              <w:r>
                <w:rPr>
                  <w:rFonts w:ascii="Arial" w:cs="Arial" w:eastAsia="Arial" w:hAnsi="Arial"/>
                  <w:sz w:val="15"/>
                  <w:szCs w:val="15"/>
                  <w:color w:val="0000EE"/>
                </w:rPr>
                <w:t>Item 5. - Other Information</w:t>
              </w:r>
            </w:hyperlink>
          </w:p>
        </w:tc>
        <w:tc>
          <w:tcPr>
            <w:tcW w:w="160" w:type="dxa"/>
            <w:vAlign w:val="bottom"/>
            <w:gridSpan w:val="2"/>
          </w:tcPr>
          <w:p>
            <w:pPr>
              <w:jc w:val="right"/>
              <w:spacing w:after="0" w:line="166" w:lineRule="exact"/>
              <w:rPr>
                <w:rFonts w:ascii="Arial" w:cs="Arial" w:eastAsia="Arial" w:hAnsi="Arial"/>
                <w:sz w:val="15"/>
                <w:szCs w:val="15"/>
                <w:color w:val="0000EE"/>
                <w:w w:val="83"/>
              </w:rPr>
            </w:pPr>
            <w:hyperlink w:anchor="page49">
              <w:r>
                <w:rPr>
                  <w:rFonts w:ascii="Arial" w:cs="Arial" w:eastAsia="Arial" w:hAnsi="Arial"/>
                  <w:sz w:val="15"/>
                  <w:szCs w:val="15"/>
                  <w:color w:val="0000EE"/>
                  <w:w w:val="83"/>
                </w:rPr>
                <w:t>47</w:t>
              </w:r>
            </w:hyperlink>
          </w:p>
        </w:tc>
      </w:tr>
      <w:tr>
        <w:trPr>
          <w:trHeight w:val="165"/>
        </w:trPr>
        <w:tc>
          <w:tcPr>
            <w:tcW w:w="540" w:type="dxa"/>
            <w:vAlign w:val="bottom"/>
          </w:tcPr>
          <w:p>
            <w:pPr>
              <w:spacing w:after="0"/>
              <w:rPr>
                <w:sz w:val="14"/>
                <w:szCs w:val="14"/>
                <w:color w:val="auto"/>
              </w:rPr>
            </w:pPr>
          </w:p>
        </w:tc>
        <w:tc>
          <w:tcPr>
            <w:tcW w:w="1700" w:type="dxa"/>
            <w:vAlign w:val="bottom"/>
            <w:tcBorders>
              <w:top w:val="single" w:sz="8" w:color="0000EE"/>
            </w:tcBorders>
            <w:gridSpan w:val="6"/>
          </w:tcPr>
          <w:p>
            <w:pPr>
              <w:spacing w:after="0" w:line="166" w:lineRule="exact"/>
              <w:rPr>
                <w:rFonts w:ascii="Arial" w:cs="Arial" w:eastAsia="Arial" w:hAnsi="Arial"/>
                <w:sz w:val="15"/>
                <w:szCs w:val="15"/>
                <w:color w:val="0000EE"/>
              </w:rPr>
            </w:pPr>
            <w:hyperlink w:anchor="page49">
              <w:r>
                <w:rPr>
                  <w:rFonts w:ascii="Arial" w:cs="Arial" w:eastAsia="Arial" w:hAnsi="Arial"/>
                  <w:sz w:val="15"/>
                  <w:szCs w:val="15"/>
                  <w:color w:val="0000EE"/>
                </w:rPr>
                <w:t>Item 6. - Exhibits</w:t>
              </w:r>
            </w:hyperlink>
          </w:p>
        </w:tc>
        <w:tc>
          <w:tcPr>
            <w:tcW w:w="9040" w:type="dxa"/>
            <w:vAlign w:val="bottom"/>
            <w:gridSpan w:val="14"/>
          </w:tcPr>
          <w:p>
            <w:pPr>
              <w:spacing w:after="0"/>
              <w:rPr>
                <w:sz w:val="14"/>
                <w:szCs w:val="14"/>
                <w:color w:val="auto"/>
              </w:rPr>
            </w:pPr>
          </w:p>
        </w:tc>
        <w:tc>
          <w:tcPr>
            <w:tcW w:w="160" w:type="dxa"/>
            <w:vAlign w:val="bottom"/>
            <w:tcBorders>
              <w:top w:val="single" w:sz="8" w:color="0000EE"/>
            </w:tcBorders>
            <w:gridSpan w:val="2"/>
          </w:tcPr>
          <w:p>
            <w:pPr>
              <w:jc w:val="right"/>
              <w:spacing w:after="0" w:line="166" w:lineRule="exact"/>
              <w:rPr>
                <w:rFonts w:ascii="Arial" w:cs="Arial" w:eastAsia="Arial" w:hAnsi="Arial"/>
                <w:sz w:val="15"/>
                <w:szCs w:val="15"/>
                <w:color w:val="0000EE"/>
                <w:w w:val="83"/>
              </w:rPr>
            </w:pPr>
            <w:hyperlink w:anchor="page49">
              <w:r>
                <w:rPr>
                  <w:rFonts w:ascii="Arial" w:cs="Arial" w:eastAsia="Arial" w:hAnsi="Arial"/>
                  <w:sz w:val="15"/>
                  <w:szCs w:val="15"/>
                  <w:color w:val="0000EE"/>
                  <w:w w:val="83"/>
                </w:rPr>
                <w:t>47</w:t>
              </w:r>
            </w:hyperlink>
          </w:p>
        </w:tc>
      </w:tr>
      <w:tr>
        <w:trPr>
          <w:trHeight w:val="165"/>
        </w:trPr>
        <w:tc>
          <w:tcPr>
            <w:tcW w:w="540" w:type="dxa"/>
            <w:vAlign w:val="bottom"/>
          </w:tcPr>
          <w:p>
            <w:pPr>
              <w:spacing w:after="0"/>
              <w:rPr>
                <w:sz w:val="14"/>
                <w:szCs w:val="14"/>
                <w:color w:val="auto"/>
              </w:rPr>
            </w:pPr>
          </w:p>
        </w:tc>
        <w:tc>
          <w:tcPr>
            <w:tcW w:w="1080" w:type="dxa"/>
            <w:vAlign w:val="bottom"/>
            <w:tcBorders>
              <w:top w:val="single" w:sz="8" w:color="0000EE"/>
            </w:tcBorders>
            <w:gridSpan w:val="3"/>
          </w:tcPr>
          <w:p>
            <w:pPr>
              <w:spacing w:after="0" w:line="166" w:lineRule="exact"/>
              <w:rPr>
                <w:rFonts w:ascii="Arial" w:cs="Arial" w:eastAsia="Arial" w:hAnsi="Arial"/>
                <w:sz w:val="15"/>
                <w:szCs w:val="15"/>
                <w:color w:val="0000EE"/>
              </w:rPr>
            </w:pPr>
            <w:hyperlink w:anchor="page50">
              <w:r>
                <w:rPr>
                  <w:rFonts w:ascii="Arial" w:cs="Arial" w:eastAsia="Arial" w:hAnsi="Arial"/>
                  <w:sz w:val="15"/>
                  <w:szCs w:val="15"/>
                  <w:color w:val="0000EE"/>
                </w:rPr>
                <w:t>Signatures</w:t>
              </w:r>
            </w:hyperlink>
          </w:p>
        </w:tc>
        <w:tc>
          <w:tcPr>
            <w:tcW w:w="9660" w:type="dxa"/>
            <w:vAlign w:val="bottom"/>
            <w:gridSpan w:val="17"/>
          </w:tcPr>
          <w:p>
            <w:pPr>
              <w:spacing w:after="0"/>
              <w:rPr>
                <w:sz w:val="14"/>
                <w:szCs w:val="14"/>
                <w:color w:val="auto"/>
              </w:rPr>
            </w:pPr>
          </w:p>
        </w:tc>
        <w:tc>
          <w:tcPr>
            <w:tcW w:w="160" w:type="dxa"/>
            <w:vAlign w:val="bottom"/>
            <w:tcBorders>
              <w:top w:val="single" w:sz="8" w:color="0000EE"/>
            </w:tcBorders>
            <w:gridSpan w:val="2"/>
          </w:tcPr>
          <w:p>
            <w:pPr>
              <w:jc w:val="right"/>
              <w:spacing w:after="0" w:line="166" w:lineRule="exact"/>
              <w:rPr>
                <w:rFonts w:ascii="Arial" w:cs="Arial" w:eastAsia="Arial" w:hAnsi="Arial"/>
                <w:sz w:val="15"/>
                <w:szCs w:val="15"/>
                <w:color w:val="0000EE"/>
                <w:w w:val="83"/>
              </w:rPr>
            </w:pPr>
            <w:hyperlink w:anchor="page50">
              <w:r>
                <w:rPr>
                  <w:rFonts w:ascii="Arial" w:cs="Arial" w:eastAsia="Arial" w:hAnsi="Arial"/>
                  <w:sz w:val="15"/>
                  <w:szCs w:val="15"/>
                  <w:color w:val="0000EE"/>
                  <w:w w:val="83"/>
                </w:rPr>
                <w:t>48</w:t>
              </w:r>
            </w:hyperlink>
          </w:p>
        </w:tc>
      </w:tr>
      <w:tr>
        <w:trPr>
          <w:trHeight w:val="20"/>
        </w:trPr>
        <w:tc>
          <w:tcPr>
            <w:tcW w:w="54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2" w:name="page3"/>
    <w:bookmarkEnd w:id="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2"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CERTAIN IMPORTANT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Unless the context otherwise requires, as used in this quarterly report on Form 10-Q:</w:t>
      </w:r>
    </w:p>
    <w:p>
      <w:pPr>
        <w:spacing w:after="0" w:line="163" w:lineRule="exact"/>
        <w:rPr>
          <w:sz w:val="20"/>
          <w:szCs w:val="20"/>
          <w:color w:val="auto"/>
        </w:rPr>
      </w:pPr>
    </w:p>
    <w:p>
      <w:pPr>
        <w:ind w:left="540" w:right="20" w:hanging="269"/>
        <w:spacing w:after="0" w:line="273"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“NI Holdings”, “the Company”, “we”, “us”, and “our” refer to NI Holdings, Inc., together with Nodak Insurance and its subsidiaries and Battle Creek Mutual Insurance Company, for periods discussed after completion of the conversion, and for periods discussed prior to completion of the conversion refer to Nodak Mutual Insurance Company and all of its subsidiaries and Battle Creek Mutual Insurance Company;</w:t>
      </w:r>
    </w:p>
    <w:p>
      <w:pPr>
        <w:spacing w:after="0" w:line="129" w:lineRule="exact"/>
        <w:rPr>
          <w:rFonts w:ascii="Arial" w:cs="Arial" w:eastAsia="Arial" w:hAnsi="Arial"/>
          <w:sz w:val="15"/>
          <w:szCs w:val="15"/>
          <w:color w:val="auto"/>
        </w:rPr>
      </w:pPr>
    </w:p>
    <w:p>
      <w:pPr>
        <w:ind w:left="540" w:hanging="269"/>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“Mutual Holding Company” and “Nodak Mutual Group” refer to Nodak Mutual Group, Inc., which is the majority shareholder of NI Holdings;</w:t>
      </w:r>
    </w:p>
    <w:p>
      <w:pPr>
        <w:spacing w:after="0" w:line="163" w:lineRule="exact"/>
        <w:rPr>
          <w:rFonts w:ascii="Arial" w:cs="Arial" w:eastAsia="Arial" w:hAnsi="Arial"/>
          <w:sz w:val="15"/>
          <w:szCs w:val="15"/>
          <w:color w:val="auto"/>
        </w:rPr>
      </w:pPr>
    </w:p>
    <w:p>
      <w:pPr>
        <w:ind w:left="540" w:hanging="269"/>
        <w:spacing w:after="0" w:line="327"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“conversion” refers to the series of transactions by which Nodak Mutual Insurance Company converted from a mutual insurance company to a stock insurance company, as Nodak Insurance Company, and became a wholly owned subsidiary of NI Holdings, an intermediate stock holding company formed on the date of conversion;</w:t>
      </w:r>
    </w:p>
    <w:p>
      <w:pPr>
        <w:spacing w:after="0" w:line="82" w:lineRule="exact"/>
        <w:rPr>
          <w:rFonts w:ascii="Arial" w:cs="Arial" w:eastAsia="Arial" w:hAnsi="Arial"/>
          <w:sz w:val="14"/>
          <w:szCs w:val="14"/>
          <w:color w:val="auto"/>
        </w:rPr>
      </w:pPr>
    </w:p>
    <w:p>
      <w:pPr>
        <w:ind w:left="540" w:hanging="269"/>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“Nodak Stock” refers to Nodak Insurance Company, the successor company to Nodak Mutual Insurance Company after the conversion;</w:t>
      </w:r>
    </w:p>
    <w:p>
      <w:pPr>
        <w:spacing w:after="0" w:line="174" w:lineRule="exact"/>
        <w:rPr>
          <w:rFonts w:ascii="Arial" w:cs="Arial" w:eastAsia="Arial" w:hAnsi="Arial"/>
          <w:sz w:val="15"/>
          <w:szCs w:val="15"/>
          <w:color w:val="auto"/>
        </w:rPr>
      </w:pPr>
    </w:p>
    <w:p>
      <w:pPr>
        <w:ind w:left="540" w:hanging="269"/>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“Nodak Mutual” refers to Nodak Mutual Insurance Company, the processor company to Nodak Insurance Company prior to the conversion;</w:t>
      </w:r>
    </w:p>
    <w:p>
      <w:pPr>
        <w:spacing w:after="0" w:line="163" w:lineRule="exact"/>
        <w:rPr>
          <w:rFonts w:ascii="Arial" w:cs="Arial" w:eastAsia="Arial" w:hAnsi="Arial"/>
          <w:sz w:val="15"/>
          <w:szCs w:val="15"/>
          <w:color w:val="auto"/>
        </w:rPr>
      </w:pPr>
    </w:p>
    <w:p>
      <w:pPr>
        <w:ind w:left="540" w:hanging="269"/>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“Nodak Insurance” refers to Nodak Stock or Nodak Mutual interchangeably;</w:t>
      </w:r>
    </w:p>
    <w:p>
      <w:pPr>
        <w:spacing w:after="0" w:line="163" w:lineRule="exact"/>
        <w:rPr>
          <w:rFonts w:ascii="Arial" w:cs="Arial" w:eastAsia="Arial" w:hAnsi="Arial"/>
          <w:sz w:val="15"/>
          <w:szCs w:val="15"/>
          <w:color w:val="auto"/>
        </w:rPr>
      </w:pPr>
    </w:p>
    <w:p>
      <w:pPr>
        <w:ind w:left="540" w:hanging="269"/>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“members” refers to the policyholders of Nodak Insurance, who are the named insureds under insurance policies issued by Nodak Insurance; and</w:t>
      </w:r>
    </w:p>
    <w:p>
      <w:pPr>
        <w:spacing w:after="0" w:line="174" w:lineRule="exact"/>
        <w:rPr>
          <w:rFonts w:ascii="Arial" w:cs="Arial" w:eastAsia="Arial" w:hAnsi="Arial"/>
          <w:sz w:val="15"/>
          <w:szCs w:val="15"/>
          <w:color w:val="auto"/>
        </w:rPr>
      </w:pPr>
    </w:p>
    <w:p>
      <w:pPr>
        <w:ind w:left="540" w:right="80" w:hanging="269"/>
        <w:spacing w:after="0" w:line="273"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“Battle Creek” refers to Battle Creek Mutual Insurance Company. Battle Creek is not a subsidiary of Nodak Insurance, but all of its insurance policies are reinsured by Nodak Insurance through a 100% quota share reinsurance agreement and Battle Creek is controlled by Nodak Insurance as a result of an affiliation agreement between Battle Creek and Nodak Insurance. Battle Creek is consolidated with Nodak Insurance for financial reporting purposes.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FORWARD-LOOKING STATEMENTS</w:t>
      </w:r>
    </w:p>
    <w:p>
      <w:pPr>
        <w:spacing w:after="0" w:line="65" w:lineRule="exact"/>
        <w:rPr>
          <w:sz w:val="20"/>
          <w:szCs w:val="20"/>
          <w:color w:val="auto"/>
        </w:rPr>
      </w:pPr>
    </w:p>
    <w:p>
      <w:pPr>
        <w:ind w:right="680" w:firstLine="556"/>
        <w:spacing w:after="0" w:line="289" w:lineRule="auto"/>
        <w:rPr>
          <w:sz w:val="20"/>
          <w:szCs w:val="20"/>
          <w:color w:val="auto"/>
        </w:rPr>
      </w:pPr>
      <w:r>
        <w:rPr>
          <w:rFonts w:ascii="Arial" w:cs="Arial" w:eastAsia="Arial" w:hAnsi="Arial"/>
          <w:sz w:val="15"/>
          <w:szCs w:val="15"/>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06" w:lineRule="exact"/>
        <w:rPr>
          <w:sz w:val="20"/>
          <w:szCs w:val="20"/>
          <w:color w:val="auto"/>
        </w:rPr>
      </w:pPr>
    </w:p>
    <w:p>
      <w:pPr>
        <w:ind w:left="820" w:hanging="27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statements of goals, intentions and expectations;</w:t>
      </w:r>
    </w:p>
    <w:p>
      <w:pPr>
        <w:spacing w:after="0" w:line="163" w:lineRule="exact"/>
        <w:rPr>
          <w:rFonts w:ascii="Arial" w:cs="Arial" w:eastAsia="Arial" w:hAnsi="Arial"/>
          <w:sz w:val="15"/>
          <w:szCs w:val="15"/>
          <w:color w:val="auto"/>
        </w:rPr>
      </w:pPr>
    </w:p>
    <w:p>
      <w:pPr>
        <w:ind w:left="820" w:hanging="27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statements regarding prospects and business strategy; and</w:t>
      </w:r>
    </w:p>
    <w:p>
      <w:pPr>
        <w:spacing w:after="0" w:line="174" w:lineRule="exact"/>
        <w:rPr>
          <w:rFonts w:ascii="Arial" w:cs="Arial" w:eastAsia="Arial" w:hAnsi="Arial"/>
          <w:sz w:val="15"/>
          <w:szCs w:val="15"/>
          <w:color w:val="auto"/>
        </w:rPr>
      </w:pPr>
    </w:p>
    <w:p>
      <w:pPr>
        <w:ind w:left="820" w:hanging="27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estimates of future costs, benefits and results.</w:t>
      </w:r>
    </w:p>
    <w:p>
      <w:pPr>
        <w:spacing w:after="0" w:line="163" w:lineRule="exact"/>
        <w:rPr>
          <w:sz w:val="20"/>
          <w:szCs w:val="20"/>
          <w:color w:val="auto"/>
        </w:rPr>
      </w:pPr>
    </w:p>
    <w:p>
      <w:pPr>
        <w:ind w:right="260" w:firstLine="556"/>
        <w:spacing w:after="0" w:line="289" w:lineRule="auto"/>
        <w:rPr>
          <w:sz w:val="20"/>
          <w:szCs w:val="20"/>
          <w:color w:val="auto"/>
        </w:rPr>
      </w:pPr>
      <w:r>
        <w:rPr>
          <w:rFonts w:ascii="Arial" w:cs="Arial" w:eastAsia="Arial" w:hAnsi="Arial"/>
          <w:sz w:val="15"/>
          <w:szCs w:val="15"/>
          <w:color w:val="auto"/>
        </w:rPr>
        <w:t>The forward-looking statements are subject to numerous assumptions, risks and uncertainties, including, among other things, the factors discussed under the heading “Risk Factors” that could affect the actual outcome of future events.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All of these factors are difficult to predict and many are beyond our control. These important factors include those discussed under “Risk Factors” and those listed below:</w:t>
      </w:r>
    </w:p>
    <w:p>
      <w:pPr>
        <w:spacing w:after="0" w:line="186" w:lineRule="exact"/>
        <w:rPr>
          <w:sz w:val="20"/>
          <w:szCs w:val="20"/>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material changes to the federal crop insurance program;</w:t>
      </w:r>
    </w:p>
    <w:p>
      <w:pPr>
        <w:spacing w:after="0" w:line="163" w:lineRule="exact"/>
        <w:rPr>
          <w:rFonts w:ascii="Arial" w:cs="Arial" w:eastAsia="Arial" w:hAnsi="Arial"/>
          <w:sz w:val="15"/>
          <w:szCs w:val="15"/>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future economic conditions in the markets in which we compete that are less favorable than expected;</w:t>
      </w:r>
    </w:p>
    <w:p>
      <w:pPr>
        <w:spacing w:after="0" w:line="163" w:lineRule="exact"/>
        <w:rPr>
          <w:rFonts w:ascii="Arial" w:cs="Arial" w:eastAsia="Arial" w:hAnsi="Arial"/>
          <w:sz w:val="15"/>
          <w:szCs w:val="15"/>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effect of legislative, judicial, economic, demographic and regulatory events in the jurisdictions where we do business;</w:t>
      </w:r>
    </w:p>
    <w:p>
      <w:pPr>
        <w:spacing w:after="0" w:line="174" w:lineRule="exact"/>
        <w:rPr>
          <w:rFonts w:ascii="Arial" w:cs="Arial" w:eastAsia="Arial" w:hAnsi="Arial"/>
          <w:sz w:val="15"/>
          <w:szCs w:val="15"/>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enter new markets successfully and capitalize on growth opportunities either through acquisitions or the expansion of our producer network;</w:t>
      </w:r>
    </w:p>
    <w:p>
      <w:pPr>
        <w:spacing w:after="0" w:line="163" w:lineRule="exact"/>
        <w:rPr>
          <w:rFonts w:ascii="Arial" w:cs="Arial" w:eastAsia="Arial" w:hAnsi="Arial"/>
          <w:sz w:val="15"/>
          <w:szCs w:val="15"/>
          <w:color w:val="auto"/>
        </w:rPr>
      </w:pPr>
    </w:p>
    <w:p>
      <w:pPr>
        <w:ind w:left="820" w:hanging="271"/>
        <w:spacing w:after="0" w:line="289" w:lineRule="auto"/>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80"/>
          </w:cols>
          <w:pgMar w:left="240" w:top="222" w:right="279" w:bottom="1440" w:gutter="0" w:footer="0" w:header="0"/>
        </w:sectPr>
      </w:pPr>
    </w:p>
    <w:bookmarkStart w:id="3" w:name="page4"/>
    <w:bookmarkEnd w:id="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left="820" w:right="380" w:hanging="271"/>
        <w:spacing w:after="0" w:line="289" w:lineRule="auto"/>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05"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general economic conditions, including inflation, unemployment, interest rates and other factors;</w:t>
      </w:r>
    </w:p>
    <w:p>
      <w:pPr>
        <w:spacing w:after="0" w:line="174"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estimates and adequacy of loss reserves and trends in loss and loss adjustment expenses;</w:t>
      </w:r>
    </w:p>
    <w:p>
      <w:pPr>
        <w:spacing w:after="0" w:line="163"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the coverage terms required by state laws with respect to minimum auto liability insurance, including higher minimum limits;</w:t>
      </w:r>
    </w:p>
    <w:p>
      <w:pPr>
        <w:spacing w:after="0" w:line="163"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inability to obtain regulatory approval of, or to implement, premium rate increases;</w:t>
      </w:r>
    </w:p>
    <w:p>
      <w:pPr>
        <w:spacing w:after="0" w:line="174" w:lineRule="exact"/>
        <w:rPr>
          <w:rFonts w:ascii="Arial" w:cs="Arial" w:eastAsia="Arial" w:hAnsi="Arial"/>
          <w:sz w:val="15"/>
          <w:szCs w:val="15"/>
          <w:color w:val="auto"/>
        </w:rPr>
      </w:pPr>
    </w:p>
    <w:p>
      <w:pPr>
        <w:ind w:left="820" w:right="140" w:hanging="271"/>
        <w:spacing w:after="0" w:line="289" w:lineRule="auto"/>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obtain reinsurance coverage at reasonable prices or on terms that adequately protect us and to collect amounts that we believe we are entitled to under such reinsurance;</w:t>
      </w:r>
    </w:p>
    <w:p>
      <w:pPr>
        <w:spacing w:after="0" w:line="105" w:lineRule="exact"/>
        <w:rPr>
          <w:rFonts w:ascii="Arial" w:cs="Arial" w:eastAsia="Arial" w:hAnsi="Arial"/>
          <w:sz w:val="15"/>
          <w:szCs w:val="15"/>
          <w:color w:val="auto"/>
        </w:rPr>
      </w:pPr>
    </w:p>
    <w:p>
      <w:pPr>
        <w:ind w:left="820" w:right="200" w:hanging="271"/>
        <w:spacing w:after="0" w:line="289" w:lineRule="auto"/>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05"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unanticipated changes in industry trends and ratings assigned by nationally recognized rating organizations;</w:t>
      </w:r>
    </w:p>
    <w:p>
      <w:pPr>
        <w:spacing w:after="0" w:line="174"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potential impact of fraud, operational errors, systems malfunctions, or cybersecurity incidents;</w:t>
      </w:r>
    </w:p>
    <w:p>
      <w:pPr>
        <w:spacing w:after="0" w:line="163"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adverse litigation or arbitration results; and</w:t>
      </w:r>
    </w:p>
    <w:p>
      <w:pPr>
        <w:spacing w:after="0" w:line="163" w:lineRule="exact"/>
        <w:rPr>
          <w:rFonts w:ascii="Arial" w:cs="Arial" w:eastAsia="Arial" w:hAnsi="Arial"/>
          <w:sz w:val="15"/>
          <w:szCs w:val="15"/>
          <w:color w:val="auto"/>
        </w:rPr>
      </w:pPr>
    </w:p>
    <w:p>
      <w:pPr>
        <w:ind w:left="820" w:hanging="271"/>
        <w:spacing w:after="0" w:line="273" w:lineRule="auto"/>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29" w:lineRule="exact"/>
        <w:rPr>
          <w:sz w:val="20"/>
          <w:szCs w:val="20"/>
          <w:color w:val="auto"/>
        </w:rPr>
      </w:pPr>
    </w:p>
    <w:p>
      <w:pPr>
        <w:ind w:right="180" w:firstLine="556"/>
        <w:spacing w:after="0" w:line="289" w:lineRule="auto"/>
        <w:rPr>
          <w:sz w:val="20"/>
          <w:szCs w:val="20"/>
          <w:color w:val="auto"/>
        </w:rPr>
      </w:pPr>
      <w:r>
        <w:rPr>
          <w:rFonts w:ascii="Arial" w:cs="Arial" w:eastAsia="Arial" w:hAnsi="Arial"/>
          <w:sz w:val="15"/>
          <w:szCs w:val="15"/>
          <w:color w:val="auto"/>
        </w:rPr>
        <w:t>Because forward-looking information is subject to various risks and uncertainties, actual results may differ materially from that expressed or implied by the forward-looking information.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80"/>
          </w:cols>
          <w:pgMar w:left="240" w:top="222" w:right="279" w:bottom="1440" w:gutter="0" w:footer="0" w:header="0"/>
        </w:sectPr>
      </w:pPr>
    </w:p>
    <w:bookmarkStart w:id="4" w:name="page5"/>
    <w:bookmarkEnd w:id="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 -</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FINANCIAL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Item 1. - Financial Statements</w:t>
            </w: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NI Holdings, Inc.</w:t>
            </w: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Unaudited Consolidated Balance Sheets</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(dollar amounts in thousands, except par value)</w:t>
            </w: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5"/>
                <w:szCs w:val="15"/>
                <w:b w:val="1"/>
                <w:bCs w:val="1"/>
                <w:color w:val="auto"/>
              </w:rPr>
              <w:t>September 30, 2017</w:t>
            </w:r>
          </w:p>
        </w:tc>
        <w:tc>
          <w:tcPr>
            <w:tcW w:w="1420" w:type="dxa"/>
            <w:vAlign w:val="bottom"/>
            <w:gridSpan w:val="4"/>
          </w:tcPr>
          <w:p>
            <w:pPr>
              <w:ind w:left="80"/>
              <w:spacing w:after="0"/>
              <w:rPr>
                <w:sz w:val="20"/>
                <w:szCs w:val="20"/>
                <w:color w:val="auto"/>
              </w:rPr>
            </w:pPr>
            <w:r>
              <w:rPr>
                <w:rFonts w:ascii="Arial" w:cs="Arial" w:eastAsia="Arial" w:hAnsi="Arial"/>
                <w:sz w:val="15"/>
                <w:szCs w:val="15"/>
                <w:b w:val="1"/>
                <w:bCs w:val="1"/>
                <w:color w:val="auto"/>
                <w:w w:val="97"/>
              </w:rPr>
              <w:t>December 31, 2016</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Assets:</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3500" w:type="dxa"/>
            <w:vAlign w:val="bottom"/>
            <w:gridSpan w:val="2"/>
          </w:tcPr>
          <w:p>
            <w:pPr>
              <w:ind w:left="30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2,984</w:t>
            </w:r>
          </w:p>
        </w:tc>
        <w:tc>
          <w:tcPr>
            <w:tcW w:w="14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18,318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Fixed income securities, at fair value</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237,389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161,470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Equity securities, at fair value</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43,837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25,917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investments</w:t>
            </w:r>
          </w:p>
        </w:tc>
        <w:tc>
          <w:tcPr>
            <w:tcW w:w="3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1,972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00" w:type="dxa"/>
            <w:vAlign w:val="bottom"/>
          </w:tcPr>
          <w:p>
            <w:pPr>
              <w:ind w:left="240"/>
              <w:spacing w:after="0"/>
              <w:rPr>
                <w:sz w:val="20"/>
                <w:szCs w:val="20"/>
                <w:color w:val="auto"/>
              </w:rPr>
            </w:pPr>
            <w:r>
              <w:rPr>
                <w:rFonts w:ascii="Arial" w:cs="Arial" w:eastAsia="Arial" w:hAnsi="Arial"/>
                <w:sz w:val="15"/>
                <w:szCs w:val="15"/>
                <w:color w:val="auto"/>
              </w:rPr>
              <w:t>Total cash and investments</w:t>
            </w:r>
          </w:p>
        </w:tc>
        <w:tc>
          <w:tcPr>
            <w:tcW w:w="30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286,182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207,677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Premiums and agents' balances receivable</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72,573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21,986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policy acquisition costs</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8,942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Reinsurance premiums receivable</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Reinsurance recoverables on losses</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Accrued investment income</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1,431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Property and equipment</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Receivable from Federal Crop Insurance Corporation</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20,683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16,761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Goodwill</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Federal income tax recoverable</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3,089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2,933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assets</w:t>
            </w:r>
          </w:p>
        </w:tc>
        <w:tc>
          <w:tcPr>
            <w:tcW w:w="30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5"/>
                <w:szCs w:val="15"/>
                <w:color w:val="auto"/>
              </w:rPr>
              <w:t>Total assets</w:t>
            </w:r>
          </w:p>
        </w:tc>
        <w:tc>
          <w:tcPr>
            <w:tcW w:w="3500" w:type="dxa"/>
            <w:vAlign w:val="bottom"/>
            <w:gridSpan w:val="2"/>
          </w:tcPr>
          <w:p>
            <w:pPr>
              <w:ind w:left="30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418,707</w:t>
            </w:r>
          </w:p>
        </w:tc>
        <w:tc>
          <w:tcPr>
            <w:tcW w:w="14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278,703</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500" w:type="dxa"/>
            <w:vAlign w:val="bottom"/>
            <w:tcBorders>
              <w:top w:val="single" w:sz="8" w:color="CCEEFF"/>
            </w:tcBorders>
            <w:shd w:val="clear" w:color="auto" w:fill="CCEEFF"/>
          </w:tcPr>
          <w:p>
            <w:pPr>
              <w:spacing w:after="0"/>
              <w:rPr>
                <w:sz w:val="13"/>
                <w:szCs w:val="13"/>
                <w:color w:val="auto"/>
              </w:rPr>
            </w:pPr>
          </w:p>
        </w:tc>
        <w:tc>
          <w:tcPr>
            <w:tcW w:w="30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Liabilities:</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Unpaid losses and loss adjustment expenses</w:t>
            </w:r>
          </w:p>
        </w:tc>
        <w:tc>
          <w:tcPr>
            <w:tcW w:w="3500" w:type="dxa"/>
            <w:vAlign w:val="bottom"/>
            <w:gridSpan w:val="2"/>
            <w:shd w:val="clear" w:color="auto" w:fill="CCEEFF"/>
          </w:tcPr>
          <w:p>
            <w:pPr>
              <w:ind w:left="30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85,427</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59,632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Unearned premiums</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75,816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57,445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Reinsurance payable</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Deferred income taxes, net</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3,870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2,915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Accrued expenses and other liabilities</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Commitments and contingencies</w:t>
            </w: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liabilities</w:t>
            </w:r>
          </w:p>
        </w:tc>
        <w:tc>
          <w:tcPr>
            <w:tcW w:w="30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178,795</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125,285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Equity:</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Common stock, $0.01 par value, authorized 25,000,000 shares,</w:t>
            </w:r>
          </w:p>
        </w:tc>
        <w:tc>
          <w:tcPr>
            <w:tcW w:w="3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issued: 2017 - 23,000,000 shares, 2016 – none; and</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outstanding: 2017 – 22,313,329 shares, 2016 - none</w:t>
            </w: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230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Preferred stock, without par value, authorized 5,000,000 shares,</w:t>
            </w:r>
          </w:p>
        </w:tc>
        <w:tc>
          <w:tcPr>
            <w:tcW w:w="3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no shares issued or outstanding</w:t>
            </w:r>
          </w:p>
        </w:tc>
        <w:tc>
          <w:tcPr>
            <w:tcW w:w="3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Additional paid-in capital</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92,915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Unearned employee stock ownership plan shares</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(2,400)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Retained earnings</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141,676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139,591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income, net of income taxes</w:t>
            </w:r>
          </w:p>
        </w:tc>
        <w:tc>
          <w:tcPr>
            <w:tcW w:w="3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10,305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Pr>
          <w:p>
            <w:pPr>
              <w:ind w:left="100"/>
              <w:spacing w:after="0"/>
              <w:rPr>
                <w:sz w:val="20"/>
                <w:szCs w:val="20"/>
                <w:color w:val="auto"/>
              </w:rPr>
            </w:pPr>
            <w:r>
              <w:rPr>
                <w:rFonts w:ascii="Arial" w:cs="Arial" w:eastAsia="Arial" w:hAnsi="Arial"/>
                <w:sz w:val="15"/>
                <w:szCs w:val="15"/>
                <w:color w:val="auto"/>
              </w:rPr>
              <w:t>Treasury stock, at cost, 2017 – 446,671 shares, 2016 - none</w:t>
            </w:r>
          </w:p>
        </w:tc>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(8,037)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Non-controlling interest</w:t>
            </w:r>
          </w:p>
        </w:tc>
        <w:tc>
          <w:tcPr>
            <w:tcW w:w="3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3,522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Total equity</w:t>
            </w:r>
          </w:p>
        </w:tc>
        <w:tc>
          <w:tcPr>
            <w:tcW w:w="306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239,912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153,418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Arial" w:cs="Arial" w:eastAsia="Arial" w:hAnsi="Arial"/>
                <w:sz w:val="15"/>
                <w:szCs w:val="15"/>
                <w:color w:val="auto"/>
              </w:rPr>
              <w:t>Total liabilities and equity</w:t>
            </w:r>
          </w:p>
        </w:tc>
        <w:tc>
          <w:tcPr>
            <w:tcW w:w="3500" w:type="dxa"/>
            <w:vAlign w:val="bottom"/>
            <w:gridSpan w:val="2"/>
          </w:tcPr>
          <w:p>
            <w:pPr>
              <w:ind w:left="30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418,707</w:t>
            </w:r>
          </w:p>
        </w:tc>
        <w:tc>
          <w:tcPr>
            <w:tcW w:w="1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278,703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5"/>
                <w:szCs w:val="15"/>
                <w:color w:val="auto"/>
                <w:w w:val="94"/>
              </w:rPr>
              <w:t>The accompanying notes are an integral part of these consolidated financial statements</w:t>
            </w:r>
          </w:p>
        </w:tc>
        <w:tc>
          <w:tcPr>
            <w:tcW w:w="3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20" w:type="dxa"/>
            <w:vAlign w:val="bottom"/>
            <w:gridSpan w:val="2"/>
            <w:vMerge w:val="continue"/>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2723"/>
              <w:spacing w:after="0"/>
              <w:rPr>
                <w:sz w:val="20"/>
                <w:szCs w:val="20"/>
                <w:color w:val="auto"/>
              </w:rPr>
            </w:pPr>
            <w:r>
              <w:rPr>
                <w:rFonts w:ascii="Arial" w:cs="Arial" w:eastAsia="Arial" w:hAnsi="Arial"/>
                <w:sz w:val="15"/>
                <w:szCs w:val="15"/>
                <w:color w:val="auto"/>
              </w:rPr>
              <w:t>3</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22" w:right="2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gridSpan w:val="2"/>
          </w:tcPr>
          <w:p>
            <w:pPr>
              <w:spacing w:after="0"/>
              <w:rPr>
                <w:rFonts w:ascii="Arial" w:cs="Arial" w:eastAsia="Arial" w:hAnsi="Arial"/>
                <w:sz w:val="15"/>
                <w:szCs w:val="15"/>
                <w:i w:val="1"/>
                <w:iCs w:val="1"/>
                <w:color w:val="0000EE"/>
                <w:w w:val="89"/>
              </w:rPr>
            </w:pPr>
            <w:hyperlink w:anchor="page2">
              <w:r>
                <w:rPr>
                  <w:rFonts w:ascii="Arial" w:cs="Arial" w:eastAsia="Arial" w:hAnsi="Arial"/>
                  <w:sz w:val="15"/>
                  <w:szCs w:val="15"/>
                  <w:i w:val="1"/>
                  <w:iCs w:val="1"/>
                  <w:color w:val="0000EE"/>
                  <w:w w:val="89"/>
                </w:rPr>
                <w:t>Table of Contents</w:t>
              </w:r>
            </w:hyperlink>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5600" w:type="dxa"/>
            <w:vAlign w:val="bottom"/>
            <w:gridSpan w:val="3"/>
          </w:tcPr>
          <w:p>
            <w:pPr>
              <w:spacing w:after="0"/>
              <w:rPr>
                <w:sz w:val="20"/>
                <w:szCs w:val="20"/>
                <w:color w:val="auto"/>
              </w:rPr>
            </w:pPr>
            <w:r>
              <w:rPr>
                <w:rFonts w:ascii="Arial" w:cs="Arial" w:eastAsia="Arial" w:hAnsi="Arial"/>
                <w:sz w:val="15"/>
                <w:szCs w:val="15"/>
                <w:b w:val="1"/>
                <w:bCs w:val="1"/>
                <w:color w:val="auto"/>
              </w:rPr>
              <w:t>NI Holdings, Inc.</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600" w:type="dxa"/>
            <w:vAlign w:val="bottom"/>
            <w:gridSpan w:val="3"/>
          </w:tcPr>
          <w:p>
            <w:pPr>
              <w:spacing w:after="0"/>
              <w:rPr>
                <w:sz w:val="20"/>
                <w:szCs w:val="20"/>
                <w:color w:val="auto"/>
              </w:rPr>
            </w:pPr>
            <w:r>
              <w:rPr>
                <w:rFonts w:ascii="Arial" w:cs="Arial" w:eastAsia="Arial" w:hAnsi="Arial"/>
                <w:sz w:val="15"/>
                <w:szCs w:val="15"/>
                <w:b w:val="1"/>
                <w:bCs w:val="1"/>
                <w:color w:val="auto"/>
              </w:rPr>
              <w:t>Unaudited Consolidated Statements of Operations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0" w:type="dxa"/>
            <w:vAlign w:val="bottom"/>
            <w:gridSpan w:val="3"/>
          </w:tcPr>
          <w:p>
            <w:pPr>
              <w:spacing w:after="0"/>
              <w:rPr>
                <w:sz w:val="20"/>
                <w:szCs w:val="20"/>
                <w:color w:val="auto"/>
              </w:rPr>
            </w:pPr>
            <w:r>
              <w:rPr>
                <w:rFonts w:ascii="Arial" w:cs="Arial" w:eastAsia="Arial" w:hAnsi="Arial"/>
                <w:sz w:val="15"/>
                <w:szCs w:val="15"/>
                <w:b w:val="1"/>
                <w:bCs w:val="1"/>
                <w:color w:val="auto"/>
              </w:rPr>
              <w:t>(dollar amounts in thousands, except per share data)</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5"/>
          </w:tcPr>
          <w:p>
            <w:pPr>
              <w:jc w:val="right"/>
              <w:ind w:right="74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600" w:type="dxa"/>
            <w:vAlign w:val="bottom"/>
            <w:gridSpan w:val="3"/>
          </w:tcPr>
          <w:p>
            <w:pPr>
              <w:spacing w:after="0"/>
              <w:rPr>
                <w:sz w:val="20"/>
                <w:szCs w:val="20"/>
                <w:color w:val="auto"/>
              </w:rPr>
            </w:pPr>
            <w:r>
              <w:rPr>
                <w:rFonts w:ascii="Arial" w:cs="Arial" w:eastAsia="Arial" w:hAnsi="Arial"/>
                <w:sz w:val="15"/>
                <w:szCs w:val="15"/>
                <w:color w:val="auto"/>
              </w:rPr>
              <w:t>Revenues: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premiums earned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52,525</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52,639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130,987</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119,890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ind w:left="100"/>
              <w:spacing w:after="0"/>
              <w:rPr>
                <w:sz w:val="20"/>
                <w:szCs w:val="20"/>
                <w:color w:val="auto"/>
              </w:rPr>
            </w:pPr>
            <w:r>
              <w:rPr>
                <w:rFonts w:ascii="Arial" w:cs="Arial" w:eastAsia="Arial" w:hAnsi="Arial"/>
                <w:sz w:val="15"/>
                <w:szCs w:val="15"/>
                <w:color w:val="auto"/>
              </w:rPr>
              <w:t>Fee and other income</w:t>
            </w:r>
          </w:p>
        </w:tc>
        <w:tc>
          <w:tcPr>
            <w:tcW w:w="280" w:type="dxa"/>
            <w:vAlign w:val="bottom"/>
          </w:tcPr>
          <w:p>
            <w:pPr>
              <w:spacing w:after="0"/>
              <w:rPr>
                <w:sz w:val="16"/>
                <w:szCs w:val="16"/>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5"/>
                <w:szCs w:val="15"/>
                <w:color w:val="auto"/>
              </w:rPr>
              <w:t>752</w:t>
            </w:r>
          </w:p>
        </w:tc>
        <w:tc>
          <w:tcPr>
            <w:tcW w:w="420" w:type="dxa"/>
            <w:vAlign w:val="bottom"/>
          </w:tcPr>
          <w:p>
            <w:pPr>
              <w:spacing w:after="0"/>
              <w:rPr>
                <w:sz w:val="16"/>
                <w:szCs w:val="16"/>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1,492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investment income</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1,549</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971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gridSpan w:val="2"/>
          </w:tcPr>
          <w:p>
            <w:pPr>
              <w:ind w:left="100"/>
              <w:spacing w:after="0"/>
              <w:rPr>
                <w:sz w:val="20"/>
                <w:szCs w:val="20"/>
                <w:color w:val="auto"/>
              </w:rPr>
            </w:pPr>
            <w:r>
              <w:rPr>
                <w:rFonts w:ascii="Arial" w:cs="Arial" w:eastAsia="Arial" w:hAnsi="Arial"/>
                <w:sz w:val="15"/>
                <w:szCs w:val="15"/>
                <w:color w:val="auto"/>
              </w:rPr>
              <w:t>Net realized capital gain on investments</w:t>
            </w:r>
          </w:p>
        </w:tc>
        <w:tc>
          <w:tcPr>
            <w:tcW w:w="280" w:type="dxa"/>
            <w:vAlign w:val="bottom"/>
          </w:tcPr>
          <w:p>
            <w:pPr>
              <w:spacing w:after="0"/>
              <w:rPr>
                <w:sz w:val="17"/>
                <w:szCs w:val="17"/>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5"/>
                <w:szCs w:val="15"/>
                <w:color w:val="auto"/>
              </w:rPr>
              <w:t>1,885</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5,215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8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Total revenues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56,711</w:t>
            </w: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59,286</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139,386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129,883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ind w:left="100"/>
              <w:spacing w:after="0"/>
              <w:rPr>
                <w:sz w:val="20"/>
                <w:szCs w:val="20"/>
                <w:color w:val="auto"/>
              </w:rPr>
            </w:pPr>
            <w:r>
              <w:rPr>
                <w:rFonts w:ascii="Arial" w:cs="Arial" w:eastAsia="Arial" w:hAnsi="Arial"/>
                <w:sz w:val="15"/>
                <w:szCs w:val="15"/>
                <w:color w:val="auto"/>
              </w:rPr>
              <w:t>Losses and loss adjustment expenses</w:t>
            </w:r>
          </w:p>
        </w:tc>
        <w:tc>
          <w:tcPr>
            <w:tcW w:w="280" w:type="dxa"/>
            <w:vAlign w:val="bottom"/>
          </w:tcPr>
          <w:p>
            <w:pPr>
              <w:spacing w:after="0"/>
              <w:rPr>
                <w:sz w:val="16"/>
                <w:szCs w:val="16"/>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5"/>
                <w:szCs w:val="15"/>
                <w:color w:val="auto"/>
              </w:rPr>
              <w:t>49,599</w:t>
            </w:r>
          </w:p>
        </w:tc>
        <w:tc>
          <w:tcPr>
            <w:tcW w:w="420" w:type="dxa"/>
            <w:vAlign w:val="bottom"/>
          </w:tcPr>
          <w:p>
            <w:pPr>
              <w:spacing w:after="0"/>
              <w:rPr>
                <w:sz w:val="16"/>
                <w:szCs w:val="16"/>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5"/>
                <w:szCs w:val="15"/>
                <w:color w:val="auto"/>
              </w:rPr>
              <w:t>50,675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103,550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93,260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Amortization of deferred policy acquisition costs</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9,792</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21,102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16,878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gridSpan w:val="2"/>
          </w:tcPr>
          <w:p>
            <w:pPr>
              <w:ind w:left="100"/>
              <w:spacing w:after="0"/>
              <w:rPr>
                <w:sz w:val="20"/>
                <w:szCs w:val="20"/>
                <w:color w:val="auto"/>
              </w:rPr>
            </w:pPr>
            <w:r>
              <w:rPr>
                <w:rFonts w:ascii="Arial" w:cs="Arial" w:eastAsia="Arial" w:hAnsi="Arial"/>
                <w:sz w:val="15"/>
                <w:szCs w:val="15"/>
                <w:color w:val="auto"/>
              </w:rPr>
              <w:t>Other underwriting and general expenses</w:t>
            </w:r>
          </w:p>
        </w:tc>
        <w:tc>
          <w:tcPr>
            <w:tcW w:w="280" w:type="dxa"/>
            <w:vAlign w:val="bottom"/>
          </w:tcPr>
          <w:p>
            <w:pPr>
              <w:spacing w:after="0"/>
              <w:rPr>
                <w:sz w:val="17"/>
                <w:szCs w:val="17"/>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5"/>
                <w:szCs w:val="15"/>
                <w:color w:val="auto"/>
              </w:rPr>
              <w:t>445</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10,867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15,270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8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Total expenses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59,836</w:t>
            </w: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61,847</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135,519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125,408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(loss) before income taxes</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(3,125)</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(2,561)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Arial" w:cs="Arial" w:eastAsia="Arial" w:hAnsi="Arial"/>
                <w:sz w:val="15"/>
                <w:szCs w:val="15"/>
                <w:color w:val="auto"/>
              </w:rPr>
              <w:t>Income taxes</w:t>
            </w:r>
          </w:p>
        </w:tc>
        <w:tc>
          <w:tcPr>
            <w:tcW w:w="280" w:type="dxa"/>
            <w:vAlign w:val="bottom"/>
          </w:tcPr>
          <w:p>
            <w:pPr>
              <w:spacing w:after="0"/>
              <w:rPr>
                <w:sz w:val="17"/>
                <w:szCs w:val="17"/>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5"/>
                <w:szCs w:val="15"/>
                <w:color w:val="auto"/>
              </w:rPr>
              <w:t>(432)</w:t>
            </w:r>
          </w:p>
        </w:tc>
        <w:tc>
          <w:tcPr>
            <w:tcW w:w="420" w:type="dxa"/>
            <w:vAlign w:val="bottom"/>
          </w:tcPr>
          <w:p>
            <w:pPr>
              <w:spacing w:after="0"/>
              <w:rPr>
                <w:sz w:val="17"/>
                <w:szCs w:val="17"/>
                <w:color w:val="auto"/>
              </w:rPr>
            </w:pPr>
          </w:p>
        </w:tc>
        <w:tc>
          <w:tcPr>
            <w:tcW w:w="980" w:type="dxa"/>
            <w:vAlign w:val="bottom"/>
            <w:gridSpan w:val="2"/>
          </w:tcPr>
          <w:p>
            <w:pPr>
              <w:jc w:val="right"/>
              <w:ind w:right="3"/>
              <w:spacing w:after="0"/>
              <w:rPr>
                <w:sz w:val="20"/>
                <w:szCs w:val="20"/>
                <w:color w:val="auto"/>
              </w:rPr>
            </w:pPr>
            <w:r>
              <w:rPr>
                <w:rFonts w:ascii="Arial" w:cs="Arial" w:eastAsia="Arial" w:hAnsi="Arial"/>
                <w:sz w:val="15"/>
                <w:szCs w:val="15"/>
                <w:color w:val="auto"/>
              </w:rPr>
              <w:t>(1,562)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Net income (loss)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Arial" w:cs="Arial" w:eastAsia="Arial" w:hAnsi="Arial"/>
                <w:sz w:val="15"/>
                <w:szCs w:val="15"/>
                <w:color w:val="auto"/>
              </w:rPr>
              <w:t>Net income (loss) attributable to non-controlling interest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Net income (loss) attributable to NI Holdings, Inc.</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(2,733</w:t>
            </w:r>
          </w:p>
        </w:tc>
        <w:tc>
          <w:tcPr>
            <w:tcW w:w="22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140" w:type="dxa"/>
            <w:vAlign w:val="bottom"/>
            <w:vMerge w:val="continue"/>
            <w:shd w:val="clear" w:color="auto" w:fill="CCEEFF"/>
          </w:tcPr>
          <w:p>
            <w:pPr>
              <w:spacing w:after="0"/>
              <w:rPr>
                <w:sz w:val="16"/>
                <w:szCs w:val="16"/>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2,085</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restart"/>
          </w:tcPr>
          <w:p>
            <w:pPr>
              <w:spacing w:after="0"/>
              <w:rPr>
                <w:sz w:val="13"/>
                <w:szCs w:val="13"/>
                <w:color w:val="auto"/>
              </w:rPr>
            </w:pPr>
          </w:p>
        </w:tc>
        <w:tc>
          <w:tcPr>
            <w:tcW w:w="10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Earnings per common share: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gridSpan w:val="2"/>
          </w:tcPr>
          <w:p>
            <w:pPr>
              <w:ind w:left="100"/>
              <w:spacing w:after="0"/>
              <w:rPr>
                <w:sz w:val="20"/>
                <w:szCs w:val="20"/>
                <w:color w:val="auto"/>
              </w:rPr>
            </w:pPr>
            <w:r>
              <w:rPr>
                <w:rFonts w:ascii="Arial" w:cs="Arial" w:eastAsia="Arial" w:hAnsi="Arial"/>
                <w:sz w:val="15"/>
                <w:szCs w:val="15"/>
                <w:color w:val="auto"/>
              </w:rPr>
              <w:t>Weighted average shares outstanding</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22,313,329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22,577,233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rPr>
              <w:t>Basic and diluted net income (loss) per share</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22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10" w:right="21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ectPr>
          <w:pgSz w:w="11900" w:h="16838" w:orient="portrait"/>
          <w:cols w:equalWidth="0" w:num="1">
            <w:col w:w="11520"/>
          </w:cols>
          <w:pgMar w:left="240" w:top="222" w:right="1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Consolidated Statements of Comprehensive Income (Loss)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Net income (loss)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 (loss), before income taxes: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Holding gains on investments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Reclassification adjustment for net realized capital loss (gain) included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gridSpan w:val="9"/>
          </w:tcPr>
          <w:p>
            <w:pPr>
              <w:jc w:val="right"/>
              <w:ind w:right="203"/>
              <w:spacing w:after="0"/>
              <w:rPr>
                <w:sz w:val="20"/>
                <w:szCs w:val="20"/>
                <w:color w:val="auto"/>
              </w:rPr>
            </w:pPr>
            <w:r>
              <w:rPr>
                <w:rFonts w:ascii="Arial" w:cs="Arial" w:eastAsia="Arial" w:hAnsi="Arial"/>
                <w:sz w:val="15"/>
                <w:szCs w:val="15"/>
                <w:b w:val="1"/>
                <w:bCs w:val="1"/>
                <w:color w:val="auto"/>
                <w:w w:val="95"/>
              </w:rPr>
              <w:t>Three Months Ended September 30, 2017</w:t>
            </w:r>
          </w:p>
        </w:tc>
        <w:tc>
          <w:tcPr>
            <w:tcW w:w="80" w:type="dxa"/>
            <w:vAlign w:val="bottom"/>
          </w:tcPr>
          <w:p>
            <w:pPr>
              <w:spacing w:after="0"/>
              <w:rPr>
                <w:sz w:val="17"/>
                <w:szCs w:val="17"/>
                <w:color w:val="auto"/>
              </w:rPr>
            </w:pPr>
          </w:p>
        </w:tc>
        <w:tc>
          <w:tcPr>
            <w:tcW w:w="2800" w:type="dxa"/>
            <w:vAlign w:val="bottom"/>
            <w:gridSpan w:val="9"/>
          </w:tcPr>
          <w:p>
            <w:pPr>
              <w:jc w:val="right"/>
              <w:ind w:right="140"/>
              <w:spacing w:after="0"/>
              <w:rPr>
                <w:sz w:val="20"/>
                <w:szCs w:val="20"/>
                <w:color w:val="auto"/>
              </w:rPr>
            </w:pPr>
            <w:r>
              <w:rPr>
                <w:rFonts w:ascii="Arial" w:cs="Arial" w:eastAsia="Arial" w:hAnsi="Arial"/>
                <w:sz w:val="15"/>
                <w:szCs w:val="15"/>
                <w:b w:val="1"/>
                <w:bCs w:val="1"/>
                <w:color w:val="auto"/>
                <w:w w:val="92"/>
              </w:rPr>
              <w:t>Nine Months Ended September 30, 2017</w:t>
            </w:r>
          </w:p>
        </w:tc>
      </w:tr>
      <w:tr>
        <w:trPr>
          <w:trHeight w:val="161"/>
        </w:trPr>
        <w:tc>
          <w:tcPr>
            <w:tcW w:w="20" w:type="dxa"/>
            <w:vAlign w:val="bottom"/>
          </w:tcPr>
          <w:p>
            <w:pPr>
              <w:spacing w:after="0"/>
              <w:rPr>
                <w:sz w:val="13"/>
                <w:szCs w:val="13"/>
                <w:color w:val="auto"/>
              </w:rPr>
            </w:pPr>
          </w:p>
        </w:tc>
        <w:tc>
          <w:tcPr>
            <w:tcW w:w="1040" w:type="dxa"/>
            <w:vAlign w:val="bottom"/>
            <w:tcBorders>
              <w:top w:val="single" w:sz="8" w:color="auto"/>
            </w:tcBorders>
            <w:gridSpan w:val="3"/>
          </w:tcPr>
          <w:p>
            <w:pPr>
              <w:jc w:val="center"/>
              <w:ind w:right="60"/>
              <w:spacing w:after="0" w:line="161" w:lineRule="exact"/>
              <w:rPr>
                <w:sz w:val="20"/>
                <w:szCs w:val="20"/>
                <w:color w:val="auto"/>
              </w:rPr>
            </w:pPr>
            <w:r>
              <w:rPr>
                <w:rFonts w:ascii="Arial" w:cs="Arial" w:eastAsia="Arial" w:hAnsi="Arial"/>
                <w:sz w:val="15"/>
                <w:szCs w:val="15"/>
                <w:b w:val="1"/>
                <w:bCs w:val="1"/>
                <w:color w:val="auto"/>
                <w:w w:val="95"/>
              </w:rPr>
              <w:t>Attributable to</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Non-</w:t>
            </w:r>
          </w:p>
        </w:tc>
        <w:tc>
          <w:tcPr>
            <w:tcW w:w="80" w:type="dxa"/>
            <w:vAlign w:val="bottom"/>
          </w:tcPr>
          <w:p>
            <w:pPr>
              <w:spacing w:after="0"/>
              <w:rPr>
                <w:sz w:val="16"/>
                <w:szCs w:val="16"/>
                <w:color w:val="auto"/>
              </w:rPr>
            </w:pPr>
          </w:p>
        </w:tc>
        <w:tc>
          <w:tcPr>
            <w:tcW w:w="1300" w:type="dxa"/>
            <w:vAlign w:val="bottom"/>
            <w:gridSpan w:val="4"/>
          </w:tcPr>
          <w:p>
            <w:pPr>
              <w:jc w:val="center"/>
              <w:ind w:right="223"/>
              <w:spacing w:after="0"/>
              <w:rPr>
                <w:sz w:val="20"/>
                <w:szCs w:val="20"/>
                <w:color w:val="auto"/>
              </w:rPr>
            </w:pPr>
            <w:r>
              <w:rPr>
                <w:rFonts w:ascii="Arial" w:cs="Arial" w:eastAsia="Arial" w:hAnsi="Arial"/>
                <w:sz w:val="15"/>
                <w:szCs w:val="15"/>
                <w:b w:val="1"/>
                <w:bCs w:val="1"/>
                <w:color w:val="auto"/>
                <w:w w:val="97"/>
              </w:rPr>
              <w:t>Attributable to</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Attributable to</w:t>
            </w:r>
          </w:p>
        </w:tc>
        <w:tc>
          <w:tcPr>
            <w:tcW w:w="100" w:type="dxa"/>
            <w:vAlign w:val="bottom"/>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5"/>
              </w:rPr>
              <w:t>Attributable to</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5"/>
                <w:szCs w:val="15"/>
                <w:b w:val="1"/>
                <w:bCs w:val="1"/>
                <w:color w:val="auto"/>
              </w:rPr>
              <w:t>Controlling</w:t>
            </w:r>
          </w:p>
        </w:tc>
        <w:tc>
          <w:tcPr>
            <w:tcW w:w="80" w:type="dxa"/>
            <w:vAlign w:val="bottom"/>
          </w:tcPr>
          <w:p>
            <w:pPr>
              <w:spacing w:after="0"/>
              <w:rPr>
                <w:sz w:val="16"/>
                <w:szCs w:val="16"/>
                <w:color w:val="auto"/>
              </w:rPr>
            </w:pPr>
          </w:p>
        </w:tc>
        <w:tc>
          <w:tcPr>
            <w:tcW w:w="1300" w:type="dxa"/>
            <w:vAlign w:val="bottom"/>
            <w:gridSpan w:val="4"/>
          </w:tcPr>
          <w:p>
            <w:pPr>
              <w:jc w:val="center"/>
              <w:ind w:right="263"/>
              <w:spacing w:after="0"/>
              <w:rPr>
                <w:sz w:val="20"/>
                <w:szCs w:val="20"/>
                <w:color w:val="auto"/>
              </w:rPr>
            </w:pPr>
            <w:r>
              <w:rPr>
                <w:rFonts w:ascii="Arial" w:cs="Arial" w:eastAsia="Arial" w:hAnsi="Arial"/>
                <w:sz w:val="15"/>
                <w:szCs w:val="15"/>
                <w:b w:val="1"/>
                <w:bCs w:val="1"/>
                <w:color w:val="auto"/>
                <w:w w:val="95"/>
              </w:rPr>
              <w:t>NI Holdings,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Non-Controlling</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5"/>
              </w:rPr>
              <w:t>NI Holdings,</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5"/>
              </w:rPr>
              <w:t>Interest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center"/>
              <w:ind w:right="443"/>
              <w:spacing w:after="0"/>
              <w:rPr>
                <w:sz w:val="20"/>
                <w:szCs w:val="20"/>
                <w:color w:val="auto"/>
              </w:rPr>
            </w:pPr>
            <w:r>
              <w:rPr>
                <w:rFonts w:ascii="Arial" w:cs="Arial" w:eastAsia="Arial" w:hAnsi="Arial"/>
                <w:sz w:val="15"/>
                <w:szCs w:val="15"/>
                <w:b w:val="1"/>
                <w:bCs w:val="1"/>
                <w:color w:val="auto"/>
                <w:w w:val="92"/>
              </w:rPr>
              <w:t>Inc.</w:t>
            </w:r>
          </w:p>
        </w:tc>
        <w:tc>
          <w:tcPr>
            <w:tcW w:w="760" w:type="dxa"/>
            <w:vAlign w:val="bottom"/>
            <w:gridSpan w:val="2"/>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80" w:type="dxa"/>
            <w:vAlign w:val="bottom"/>
          </w:tcPr>
          <w:p>
            <w:pPr>
              <w:spacing w:after="0"/>
              <w:rPr>
                <w:sz w:val="17"/>
                <w:szCs w:val="17"/>
                <w:color w:val="auto"/>
              </w:rPr>
            </w:pPr>
          </w:p>
        </w:tc>
        <w:tc>
          <w:tcPr>
            <w:tcW w:w="1040" w:type="dxa"/>
            <w:vAlign w:val="bottom"/>
          </w:tcPr>
          <w:p>
            <w:pPr>
              <w:jc w:val="center"/>
              <w:ind w:right="3"/>
              <w:spacing w:after="0"/>
              <w:rPr>
                <w:sz w:val="20"/>
                <w:szCs w:val="20"/>
                <w:color w:val="auto"/>
              </w:rPr>
            </w:pPr>
            <w:r>
              <w:rPr>
                <w:rFonts w:ascii="Arial" w:cs="Arial" w:eastAsia="Arial" w:hAnsi="Arial"/>
                <w:sz w:val="15"/>
                <w:szCs w:val="15"/>
                <w:b w:val="1"/>
                <w:bCs w:val="1"/>
                <w:color w:val="auto"/>
                <w:w w:val="95"/>
              </w:rPr>
              <w:t>Interest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Inc.</w:t>
            </w:r>
          </w:p>
        </w:tc>
        <w:tc>
          <w:tcPr>
            <w:tcW w:w="20" w:type="dxa"/>
            <w:vAlign w:val="bottom"/>
          </w:tcPr>
          <w:p>
            <w:pPr>
              <w:spacing w:after="0"/>
              <w:rPr>
                <w:sz w:val="17"/>
                <w:szCs w:val="17"/>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Total</w:t>
            </w:r>
          </w:p>
        </w:tc>
      </w:tr>
      <w:tr>
        <w:trPr>
          <w:trHeight w:val="177"/>
        </w:trPr>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(2,733</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(2,693</w:t>
            </w:r>
          </w:p>
        </w:tc>
        <w:tc>
          <w:tcPr>
            <w:tcW w:w="12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$ 2,173</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5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3"/>
              <w:spacing w:after="0"/>
              <w:rPr>
                <w:sz w:val="20"/>
                <w:szCs w:val="20"/>
                <w:color w:val="auto"/>
              </w:rPr>
            </w:pPr>
            <w:r>
              <w:rPr>
                <w:rFonts w:ascii="Arial" w:cs="Arial" w:eastAsia="Arial" w:hAnsi="Arial"/>
                <w:sz w:val="15"/>
                <w:szCs w:val="15"/>
                <w:color w:val="auto"/>
              </w:rPr>
              <w:t>1,611</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5,299</w:t>
            </w:r>
          </w:p>
        </w:tc>
        <w:tc>
          <w:tcPr>
            <w:tcW w:w="8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5"/>
                <w:szCs w:val="15"/>
                <w:color w:val="auto"/>
              </w:rPr>
              <w:t>5,322</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5"/>
                <w:szCs w:val="15"/>
                <w:color w:val="auto"/>
              </w:rPr>
              <w:t>(1,909)</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(1,885)</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(2,891)</w:t>
            </w:r>
          </w:p>
        </w:tc>
        <w:tc>
          <w:tcPr>
            <w:tcW w:w="560" w:type="dxa"/>
            <w:vAlign w:val="bottom"/>
            <w:gridSpan w:val="4"/>
          </w:tcPr>
          <w:p>
            <w:pPr>
              <w:jc w:val="right"/>
              <w:spacing w:after="0"/>
              <w:rPr>
                <w:sz w:val="20"/>
                <w:szCs w:val="20"/>
                <w:color w:val="auto"/>
              </w:rPr>
            </w:pPr>
            <w:r>
              <w:rPr>
                <w:rFonts w:ascii="Arial" w:cs="Arial" w:eastAsia="Arial" w:hAnsi="Arial"/>
                <w:sz w:val="15"/>
                <w:szCs w:val="15"/>
                <w:color w:val="auto"/>
              </w:rPr>
              <w:t>(2,840)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-490855</wp:posOffset>
            </wp:positionV>
            <wp:extent cx="7319645" cy="12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9645" cy="12509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-240665</wp:posOffset>
            </wp:positionV>
            <wp:extent cx="7319645" cy="11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9645" cy="11747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400" w:space="40"/>
            <w:col w:w="6080"/>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4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59"/>
        </w:trPr>
        <w:tc>
          <w:tcPr>
            <w:tcW w:w="5440" w:type="dxa"/>
            <w:vAlign w:val="bottom"/>
            <w:tcBorders>
              <w:right w:val="single" w:sz="8" w:color="CCEEFF"/>
            </w:tcBorders>
            <w:shd w:val="clear" w:color="auto" w:fill="CCEEFF"/>
          </w:tcPr>
          <w:p>
            <w:pPr>
              <w:ind w:left="280"/>
              <w:spacing w:after="0" w:line="159" w:lineRule="exact"/>
              <w:rPr>
                <w:sz w:val="20"/>
                <w:szCs w:val="20"/>
                <w:color w:val="auto"/>
              </w:rPr>
            </w:pPr>
            <w:r>
              <w:rPr>
                <w:rFonts w:ascii="Arial" w:cs="Arial" w:eastAsia="Arial" w:hAnsi="Arial"/>
                <w:sz w:val="15"/>
                <w:szCs w:val="15"/>
                <w:color w:val="auto"/>
              </w:rPr>
              <w:t>Other comprehensive income (loss), before income taxes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color w:val="auto"/>
              </w:rPr>
              <w:t>33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gridSpan w:val="4"/>
            <w:shd w:val="clear" w:color="auto" w:fill="CCEEFF"/>
          </w:tcPr>
          <w:p>
            <w:pPr>
              <w:jc w:val="right"/>
              <w:ind w:right="41"/>
              <w:spacing w:after="0" w:line="159" w:lineRule="exact"/>
              <w:rPr>
                <w:sz w:val="20"/>
                <w:szCs w:val="20"/>
                <w:color w:val="auto"/>
              </w:rPr>
            </w:pPr>
            <w:r>
              <w:rPr>
                <w:rFonts w:ascii="Arial" w:cs="Arial" w:eastAsia="Arial" w:hAnsi="Arial"/>
                <w:sz w:val="15"/>
                <w:szCs w:val="15"/>
                <w:color w:val="auto"/>
              </w:rPr>
              <w:t>(307)</w:t>
            </w:r>
          </w:p>
        </w:tc>
        <w:tc>
          <w:tcPr>
            <w:tcW w:w="14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4"/>
            <w:shd w:val="clear" w:color="auto" w:fill="CCEEFF"/>
          </w:tcPr>
          <w:p>
            <w:pPr>
              <w:jc w:val="right"/>
              <w:spacing w:after="0" w:line="159" w:lineRule="exact"/>
              <w:rPr>
                <w:sz w:val="20"/>
                <w:szCs w:val="20"/>
                <w:color w:val="auto"/>
              </w:rPr>
            </w:pPr>
            <w:r>
              <w:rPr>
                <w:rFonts w:ascii="Arial" w:cs="Arial" w:eastAsia="Arial" w:hAnsi="Arial"/>
                <w:sz w:val="15"/>
                <w:szCs w:val="15"/>
                <w:color w:val="auto"/>
              </w:rPr>
              <w:t>(274)</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tcBorders>
              <w:right w:val="single" w:sz="8" w:color="CCEEFF"/>
            </w:tcBorders>
            <w:gridSpan w:val="2"/>
            <w:shd w:val="clear" w:color="auto" w:fill="CCEEFF"/>
          </w:tcPr>
          <w:p>
            <w:pPr>
              <w:jc w:val="right"/>
              <w:ind w:right="32"/>
              <w:spacing w:after="0" w:line="159" w:lineRule="exact"/>
              <w:rPr>
                <w:sz w:val="20"/>
                <w:szCs w:val="20"/>
                <w:color w:val="auto"/>
              </w:rPr>
            </w:pPr>
            <w:r>
              <w:rPr>
                <w:rFonts w:ascii="Arial" w:cs="Arial" w:eastAsia="Arial" w:hAnsi="Arial"/>
                <w:sz w:val="15"/>
                <w:szCs w:val="15"/>
                <w:color w:val="auto"/>
              </w:rPr>
              <w:t>74</w:t>
            </w:r>
          </w:p>
        </w:tc>
        <w:tc>
          <w:tcPr>
            <w:tcW w:w="6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5"/>
                <w:szCs w:val="15"/>
                <w:color w:val="auto"/>
                <w:w w:val="95"/>
              </w:rPr>
              <w:t>2,408</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5"/>
                <w:szCs w:val="15"/>
                <w:color w:val="auto"/>
              </w:rPr>
              <w:t>2,482</w:t>
            </w:r>
          </w:p>
        </w:tc>
      </w:tr>
      <w:tr>
        <w:trPr>
          <w:trHeight w:val="197"/>
        </w:trPr>
        <w:tc>
          <w:tcPr>
            <w:tcW w:w="5440" w:type="dxa"/>
            <w:vAlign w:val="bottom"/>
          </w:tcPr>
          <w:p>
            <w:pPr>
              <w:ind w:left="140"/>
              <w:spacing w:after="0"/>
              <w:rPr>
                <w:sz w:val="20"/>
                <w:szCs w:val="20"/>
                <w:color w:val="auto"/>
              </w:rPr>
            </w:pPr>
            <w:r>
              <w:rPr>
                <w:rFonts w:ascii="Arial" w:cs="Arial" w:eastAsia="Arial" w:hAnsi="Arial"/>
                <w:sz w:val="15"/>
                <w:szCs w:val="15"/>
                <w:color w:val="auto"/>
              </w:rPr>
              <w:t>Income tax benefit (expense) related to items of other comprehensive income</w:t>
            </w:r>
          </w:p>
        </w:tc>
        <w:tc>
          <w:tcPr>
            <w:tcW w:w="140" w:type="dxa"/>
            <w:vAlign w:val="bottom"/>
          </w:tcPr>
          <w:p>
            <w:pPr>
              <w:spacing w:after="0"/>
              <w:rPr>
                <w:sz w:val="17"/>
                <w:szCs w:val="17"/>
                <w:color w:val="auto"/>
              </w:rPr>
            </w:pPr>
          </w:p>
        </w:tc>
        <w:tc>
          <w:tcPr>
            <w:tcW w:w="1000" w:type="dxa"/>
            <w:vAlign w:val="bottom"/>
            <w:gridSpan w:val="3"/>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040" w:type="dxa"/>
            <w:vAlign w:val="bottom"/>
            <w:gridSpan w:val="4"/>
          </w:tcPr>
          <w:p>
            <w:pPr>
              <w:jc w:val="right"/>
              <w:ind w:right="81"/>
              <w:spacing w:after="0"/>
              <w:rPr>
                <w:sz w:val="20"/>
                <w:szCs w:val="20"/>
                <w:color w:val="auto"/>
              </w:rPr>
            </w:pPr>
            <w:r>
              <w:rPr>
                <w:rFonts w:ascii="Arial" w:cs="Arial" w:eastAsia="Arial" w:hAnsi="Arial"/>
                <w:sz w:val="15"/>
                <w:szCs w:val="15"/>
                <w:color w:val="auto"/>
              </w:rPr>
              <w:t>107</w:t>
            </w:r>
          </w:p>
        </w:tc>
        <w:tc>
          <w:tcPr>
            <w:tcW w:w="140" w:type="dxa"/>
            <w:vAlign w:val="bottom"/>
          </w:tcPr>
          <w:p>
            <w:pPr>
              <w:spacing w:after="0"/>
              <w:rPr>
                <w:sz w:val="17"/>
                <w:szCs w:val="17"/>
                <w:color w:val="auto"/>
              </w:rPr>
            </w:pPr>
          </w:p>
        </w:tc>
        <w:tc>
          <w:tcPr>
            <w:tcW w:w="780" w:type="dxa"/>
            <w:vAlign w:val="bottom"/>
            <w:gridSpan w:val="4"/>
          </w:tcPr>
          <w:p>
            <w:pPr>
              <w:jc w:val="right"/>
              <w:ind w:right="43"/>
              <w:spacing w:after="0"/>
              <w:rPr>
                <w:sz w:val="20"/>
                <w:szCs w:val="20"/>
                <w:color w:val="auto"/>
              </w:rPr>
            </w:pPr>
            <w:r>
              <w:rPr>
                <w:rFonts w:ascii="Arial" w:cs="Arial" w:eastAsia="Arial" w:hAnsi="Arial"/>
                <w:sz w:val="15"/>
                <w:szCs w:val="15"/>
                <w:color w:val="auto"/>
              </w:rPr>
              <w:t>95</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640" w:type="dxa"/>
            <w:vAlign w:val="bottom"/>
          </w:tcPr>
          <w:p>
            <w:pPr>
              <w:spacing w:after="0"/>
              <w:rPr>
                <w:sz w:val="17"/>
                <w:szCs w:val="17"/>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5"/>
                <w:szCs w:val="15"/>
                <w:color w:val="auto"/>
              </w:rPr>
              <w:t>(843)</w:t>
            </w: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(869)</w:t>
            </w:r>
          </w:p>
        </w:tc>
      </w:tr>
      <w:tr>
        <w:trPr>
          <w:trHeight w:val="177"/>
        </w:trPr>
        <w:tc>
          <w:tcPr>
            <w:tcW w:w="5440" w:type="dxa"/>
            <w:vAlign w:val="bottom"/>
            <w:tcBorders>
              <w:top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Other comprehensive income (loss), net of income taxes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Borders>
              <w:top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48</w:t>
            </w: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95"/>
              </w:rPr>
              <w:t>1,565</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1,613</w:t>
            </w:r>
          </w:p>
        </w:tc>
        <w:tc>
          <w:tcPr>
            <w:tcW w:w="40" w:type="dxa"/>
            <w:vAlign w:val="bottom"/>
            <w:tcBorders>
              <w:top w:val="single" w:sz="8" w:color="CCEEFF"/>
            </w:tcBorders>
            <w:shd w:val="clear" w:color="auto" w:fill="CCEEFF"/>
          </w:tcPr>
          <w:p>
            <w:pPr>
              <w:spacing w:after="0"/>
              <w:rPr>
                <w:sz w:val="15"/>
                <w:szCs w:val="15"/>
                <w:color w:val="auto"/>
              </w:rPr>
            </w:pPr>
          </w:p>
        </w:tc>
      </w:tr>
      <w:tr>
        <w:trPr>
          <w:trHeight w:val="188"/>
        </w:trPr>
        <w:tc>
          <w:tcPr>
            <w:tcW w:w="5440" w:type="dxa"/>
            <w:vAlign w:val="bottom"/>
          </w:tcPr>
          <w:p>
            <w:pPr>
              <w:spacing w:after="0"/>
              <w:rPr>
                <w:sz w:val="20"/>
                <w:szCs w:val="20"/>
                <w:color w:val="auto"/>
              </w:rPr>
            </w:pPr>
            <w:r>
              <w:rPr>
                <w:rFonts w:ascii="Arial" w:cs="Arial" w:eastAsia="Arial" w:hAnsi="Arial"/>
                <w:sz w:val="15"/>
                <w:szCs w:val="15"/>
                <w:color w:val="auto"/>
              </w:rPr>
              <w:t>Comprehensive income (loss)</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(2,933</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(2,872</w:t>
            </w:r>
          </w:p>
        </w:tc>
        <w:tc>
          <w:tcPr>
            <w:tcW w:w="12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80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6"/>
                <w:szCs w:val="16"/>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5"/>
                <w:szCs w:val="15"/>
                <w:color w:val="auto"/>
                <w:w w:val="95"/>
              </w:rPr>
              <w:t>136</w:t>
            </w:r>
          </w:p>
        </w:tc>
        <w:tc>
          <w:tcPr>
            <w:tcW w:w="640" w:type="dxa"/>
            <w:vAlign w:val="bottom"/>
          </w:tcPr>
          <w:p>
            <w:pPr>
              <w:jc w:val="right"/>
              <w:ind w:right="483"/>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w w:val="95"/>
              </w:rPr>
              <w:t>3,650</w:t>
            </w:r>
          </w:p>
        </w:tc>
        <w:tc>
          <w:tcPr>
            <w:tcW w:w="120" w:type="dxa"/>
            <w:vAlign w:val="bottom"/>
          </w:tcPr>
          <w:p>
            <w:pPr>
              <w:spacing w:after="0"/>
              <w:rPr>
                <w:sz w:val="16"/>
                <w:szCs w:val="16"/>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5"/>
                <w:szCs w:val="15"/>
                <w:color w:val="auto"/>
                <w:w w:val="91"/>
              </w:rPr>
              <w:t>$ 3,786</w:t>
            </w:r>
          </w:p>
        </w:tc>
      </w:tr>
      <w:tr>
        <w:trPr>
          <w:trHeight w:val="20"/>
        </w:trPr>
        <w:tc>
          <w:tcPr>
            <w:tcW w:w="5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1"/>
        </w:trPr>
        <w:tc>
          <w:tcPr>
            <w:tcW w:w="5440" w:type="dxa"/>
            <w:vAlign w:val="bottom"/>
          </w:tcPr>
          <w:p>
            <w:pPr>
              <w:spacing w:after="0"/>
              <w:rPr>
                <w:sz w:val="24"/>
                <w:szCs w:val="24"/>
                <w:color w:val="auto"/>
              </w:rPr>
            </w:pPr>
          </w:p>
        </w:tc>
        <w:tc>
          <w:tcPr>
            <w:tcW w:w="3200" w:type="dxa"/>
            <w:vAlign w:val="bottom"/>
            <w:gridSpan w:val="14"/>
          </w:tcPr>
          <w:p>
            <w:pPr>
              <w:ind w:left="80"/>
              <w:spacing w:after="0"/>
              <w:rPr>
                <w:sz w:val="20"/>
                <w:szCs w:val="20"/>
                <w:color w:val="auto"/>
              </w:rPr>
            </w:pPr>
            <w:r>
              <w:rPr>
                <w:rFonts w:ascii="Arial" w:cs="Arial" w:eastAsia="Arial" w:hAnsi="Arial"/>
                <w:sz w:val="15"/>
                <w:szCs w:val="15"/>
                <w:b w:val="1"/>
                <w:bCs w:val="1"/>
                <w:color w:val="auto"/>
              </w:rPr>
              <w:t>Three Months Ended September 30, 2016</w:t>
            </w:r>
          </w:p>
        </w:tc>
        <w:tc>
          <w:tcPr>
            <w:tcW w:w="2880" w:type="dxa"/>
            <w:vAlign w:val="bottom"/>
            <w:gridSpan w:val="12"/>
          </w:tcPr>
          <w:p>
            <w:pPr>
              <w:jc w:val="right"/>
              <w:ind w:right="280"/>
              <w:spacing w:after="0"/>
              <w:rPr>
                <w:sz w:val="20"/>
                <w:szCs w:val="20"/>
                <w:color w:val="auto"/>
              </w:rPr>
            </w:pPr>
            <w:r>
              <w:rPr>
                <w:rFonts w:ascii="Arial" w:cs="Arial" w:eastAsia="Arial" w:hAnsi="Arial"/>
                <w:sz w:val="15"/>
                <w:szCs w:val="15"/>
                <w:b w:val="1"/>
                <w:bCs w:val="1"/>
                <w:color w:val="auto"/>
                <w:w w:val="90"/>
              </w:rPr>
              <w:t>Nine Months Ended September 30, 2016</w:t>
            </w:r>
          </w:p>
        </w:tc>
      </w:tr>
      <w:tr>
        <w:trPr>
          <w:trHeight w:val="160"/>
        </w:trPr>
        <w:tc>
          <w:tcPr>
            <w:tcW w:w="5440" w:type="dxa"/>
            <w:vAlign w:val="bottom"/>
          </w:tcPr>
          <w:p>
            <w:pPr>
              <w:spacing w:after="0"/>
              <w:rPr>
                <w:sz w:val="13"/>
                <w:szCs w:val="13"/>
                <w:color w:val="auto"/>
              </w:rPr>
            </w:pPr>
          </w:p>
        </w:tc>
        <w:tc>
          <w:tcPr>
            <w:tcW w:w="1000" w:type="dxa"/>
            <w:vAlign w:val="bottom"/>
            <w:tcBorders>
              <w:top w:val="single" w:sz="8" w:color="auto"/>
            </w:tcBorders>
            <w:gridSpan w:val="3"/>
          </w:tcPr>
          <w:p>
            <w:pPr>
              <w:ind w:left="20"/>
              <w:spacing w:after="0" w:line="161" w:lineRule="exact"/>
              <w:rPr>
                <w:sz w:val="20"/>
                <w:szCs w:val="20"/>
                <w:color w:val="auto"/>
              </w:rPr>
            </w:pPr>
            <w:r>
              <w:rPr>
                <w:rFonts w:ascii="Arial" w:cs="Arial" w:eastAsia="Arial" w:hAnsi="Arial"/>
                <w:sz w:val="15"/>
                <w:szCs w:val="15"/>
                <w:b w:val="1"/>
                <w:bCs w:val="1"/>
                <w:color w:val="auto"/>
              </w:rPr>
              <w:t>Attributable</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top w:val="single" w:sz="8" w:color="auto"/>
            </w:tcBorders>
            <w:gridSpan w:val="4"/>
          </w:tcPr>
          <w:p>
            <w:pPr>
              <w:jc w:val="center"/>
              <w:ind w:right="41"/>
              <w:spacing w:after="0" w:line="161" w:lineRule="exact"/>
              <w:rPr>
                <w:sz w:val="20"/>
                <w:szCs w:val="20"/>
                <w:color w:val="auto"/>
              </w:rPr>
            </w:pPr>
            <w:r>
              <w:rPr>
                <w:rFonts w:ascii="Arial" w:cs="Arial" w:eastAsia="Arial" w:hAnsi="Arial"/>
                <w:sz w:val="15"/>
                <w:szCs w:val="15"/>
                <w:b w:val="1"/>
                <w:bCs w:val="1"/>
                <w:color w:val="auto"/>
                <w:w w:val="97"/>
              </w:rPr>
              <w:t>Attributable to</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5"/>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03"/>
              <w:spacing w:after="0"/>
              <w:rPr>
                <w:sz w:val="20"/>
                <w:szCs w:val="20"/>
                <w:color w:val="auto"/>
              </w:rPr>
            </w:pPr>
            <w:r>
              <w:rPr>
                <w:rFonts w:ascii="Arial" w:cs="Arial" w:eastAsia="Arial" w:hAnsi="Arial"/>
                <w:sz w:val="15"/>
                <w:szCs w:val="15"/>
                <w:b w:val="1"/>
                <w:bCs w:val="1"/>
                <w:color w:val="auto"/>
                <w:w w:val="95"/>
              </w:rPr>
              <w:t>to Non-</w:t>
            </w:r>
          </w:p>
        </w:tc>
        <w:tc>
          <w:tcPr>
            <w:tcW w:w="1060" w:type="dxa"/>
            <w:vAlign w:val="bottom"/>
            <w:gridSpan w:val="4"/>
          </w:tcPr>
          <w:p>
            <w:pPr>
              <w:jc w:val="right"/>
              <w:ind w:right="141"/>
              <w:spacing w:after="0"/>
              <w:rPr>
                <w:sz w:val="20"/>
                <w:szCs w:val="20"/>
                <w:color w:val="auto"/>
              </w:rPr>
            </w:pPr>
            <w:r>
              <w:rPr>
                <w:rFonts w:ascii="Arial" w:cs="Arial" w:eastAsia="Arial" w:hAnsi="Arial"/>
                <w:sz w:val="15"/>
                <w:szCs w:val="15"/>
                <w:b w:val="1"/>
                <w:bCs w:val="1"/>
                <w:color w:val="auto"/>
              </w:rPr>
              <w:t>Attributable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61"/>
              <w:spacing w:after="0"/>
              <w:rPr>
                <w:sz w:val="20"/>
                <w:szCs w:val="20"/>
                <w:color w:val="auto"/>
              </w:rPr>
            </w:pPr>
            <w:r>
              <w:rPr>
                <w:rFonts w:ascii="Arial" w:cs="Arial" w:eastAsia="Arial" w:hAnsi="Arial"/>
                <w:sz w:val="15"/>
                <w:szCs w:val="15"/>
                <w:b w:val="1"/>
                <w:bCs w:val="1"/>
                <w:color w:val="auto"/>
                <w:w w:val="93"/>
              </w:rPr>
              <w:t>Non-</w:t>
            </w:r>
          </w:p>
        </w:tc>
        <w:tc>
          <w:tcPr>
            <w:tcW w:w="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w w:val="99"/>
              </w:rPr>
              <w:t>Attributable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5"/>
        </w:trPr>
        <w:tc>
          <w:tcPr>
            <w:tcW w:w="5440" w:type="dxa"/>
            <w:vAlign w:val="bottom"/>
          </w:tcPr>
          <w:p>
            <w:pPr>
              <w:spacing w:after="0"/>
              <w:rPr>
                <w:sz w:val="16"/>
                <w:szCs w:val="16"/>
                <w:color w:val="auto"/>
              </w:rPr>
            </w:pPr>
          </w:p>
        </w:tc>
        <w:tc>
          <w:tcPr>
            <w:tcW w:w="1000" w:type="dxa"/>
            <w:vAlign w:val="bottom"/>
            <w:gridSpan w:val="3"/>
          </w:tcPr>
          <w:p>
            <w:pPr>
              <w:jc w:val="center"/>
              <w:ind w:right="43"/>
              <w:spacing w:after="0"/>
              <w:rPr>
                <w:sz w:val="20"/>
                <w:szCs w:val="20"/>
                <w:color w:val="auto"/>
              </w:rPr>
            </w:pPr>
            <w:r>
              <w:rPr>
                <w:rFonts w:ascii="Arial" w:cs="Arial" w:eastAsia="Arial" w:hAnsi="Arial"/>
                <w:sz w:val="15"/>
                <w:szCs w:val="15"/>
                <w:b w:val="1"/>
                <w:bCs w:val="1"/>
                <w:color w:val="auto"/>
                <w:w w:val="94"/>
              </w:rPr>
              <w:t>Controlling</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401"/>
              <w:spacing w:after="0"/>
              <w:rPr>
                <w:sz w:val="20"/>
                <w:szCs w:val="20"/>
                <w:color w:val="auto"/>
              </w:rPr>
            </w:pPr>
            <w:r>
              <w:rPr>
                <w:rFonts w:ascii="Arial" w:cs="Arial" w:eastAsia="Arial" w:hAnsi="Arial"/>
                <w:sz w:val="15"/>
                <w:szCs w:val="15"/>
                <w:b w:val="1"/>
                <w:bCs w:val="1"/>
                <w:color w:val="auto"/>
              </w:rPr>
              <w:t>to NI</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jc w:val="right"/>
              <w:ind w:right="181"/>
              <w:spacing w:after="0"/>
              <w:rPr>
                <w:sz w:val="20"/>
                <w:szCs w:val="20"/>
                <w:color w:val="auto"/>
              </w:rPr>
            </w:pPr>
            <w:r>
              <w:rPr>
                <w:rFonts w:ascii="Arial" w:cs="Arial" w:eastAsia="Arial" w:hAnsi="Arial"/>
                <w:sz w:val="15"/>
                <w:szCs w:val="15"/>
                <w:b w:val="1"/>
                <w:bCs w:val="1"/>
                <w:color w:val="auto"/>
              </w:rPr>
              <w:t>Controlling</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243"/>
              <w:spacing w:after="0"/>
              <w:rPr>
                <w:sz w:val="20"/>
                <w:szCs w:val="20"/>
                <w:color w:val="auto"/>
              </w:rPr>
            </w:pPr>
            <w:r>
              <w:rPr>
                <w:rFonts w:ascii="Arial" w:cs="Arial" w:eastAsia="Arial" w:hAnsi="Arial"/>
                <w:sz w:val="15"/>
                <w:szCs w:val="15"/>
                <w:b w:val="1"/>
                <w:bCs w:val="1"/>
                <w:color w:val="auto"/>
                <w:w w:val="89"/>
              </w:rPr>
              <w:t>to NI</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2"/>
        </w:trPr>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83"/>
              <w:spacing w:after="0"/>
              <w:rPr>
                <w:sz w:val="20"/>
                <w:szCs w:val="20"/>
                <w:color w:val="auto"/>
              </w:rPr>
            </w:pPr>
            <w:r>
              <w:rPr>
                <w:rFonts w:ascii="Arial" w:cs="Arial" w:eastAsia="Arial" w:hAnsi="Arial"/>
                <w:sz w:val="15"/>
                <w:szCs w:val="15"/>
                <w:b w:val="1"/>
                <w:bCs w:val="1"/>
                <w:color w:val="auto"/>
                <w:w w:val="95"/>
              </w:rPr>
              <w:t>Interest</w:t>
            </w:r>
          </w:p>
        </w:tc>
        <w:tc>
          <w:tcPr>
            <w:tcW w:w="1060" w:type="dxa"/>
            <w:vAlign w:val="bottom"/>
            <w:gridSpan w:val="4"/>
          </w:tcPr>
          <w:p>
            <w:pPr>
              <w:spacing w:after="0"/>
              <w:rPr>
                <w:sz w:val="20"/>
                <w:szCs w:val="20"/>
                <w:color w:val="auto"/>
              </w:rPr>
            </w:pPr>
            <w:r>
              <w:rPr>
                <w:rFonts w:ascii="Arial" w:cs="Arial" w:eastAsia="Arial" w:hAnsi="Arial"/>
                <w:sz w:val="15"/>
                <w:szCs w:val="15"/>
                <w:b w:val="1"/>
                <w:bCs w:val="1"/>
                <w:color w:val="auto"/>
              </w:rPr>
              <w:t>Holdings, Inc.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ind w:left="20"/>
              <w:spacing w:after="0"/>
              <w:rPr>
                <w:sz w:val="20"/>
                <w:szCs w:val="20"/>
                <w:color w:val="auto"/>
              </w:rPr>
            </w:pPr>
            <w:r>
              <w:rPr>
                <w:rFonts w:ascii="Arial" w:cs="Arial" w:eastAsia="Arial" w:hAnsi="Arial"/>
                <w:sz w:val="15"/>
                <w:szCs w:val="15"/>
                <w:b w:val="1"/>
                <w:bCs w:val="1"/>
                <w:color w:val="auto"/>
              </w:rPr>
              <w:t>Total</w:t>
            </w:r>
          </w:p>
        </w:tc>
        <w:tc>
          <w:tcPr>
            <w:tcW w:w="860" w:type="dxa"/>
            <w:vAlign w:val="bottom"/>
            <w:gridSpan w:val="2"/>
          </w:tcPr>
          <w:p>
            <w:pPr>
              <w:jc w:val="center"/>
              <w:ind w:right="261"/>
              <w:spacing w:after="0"/>
              <w:rPr>
                <w:sz w:val="20"/>
                <w:szCs w:val="20"/>
                <w:color w:val="auto"/>
              </w:rPr>
            </w:pPr>
            <w:r>
              <w:rPr>
                <w:rFonts w:ascii="Arial" w:cs="Arial" w:eastAsia="Arial" w:hAnsi="Arial"/>
                <w:sz w:val="15"/>
                <w:szCs w:val="15"/>
                <w:b w:val="1"/>
                <w:bCs w:val="1"/>
                <w:color w:val="auto"/>
                <w:w w:val="95"/>
              </w:rPr>
              <w:t>Interest</w:t>
            </w: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w w:val="91"/>
              </w:rPr>
              <w:t>Holdings, Inc.</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tcPr>
          <w:p>
            <w:pPr>
              <w:jc w:val="right"/>
              <w:ind w:right="320"/>
              <w:spacing w:after="0"/>
              <w:rPr>
                <w:sz w:val="20"/>
                <w:szCs w:val="20"/>
                <w:color w:val="auto"/>
              </w:rPr>
            </w:pPr>
            <w:r>
              <w:rPr>
                <w:rFonts w:ascii="Arial" w:cs="Arial" w:eastAsia="Arial" w:hAnsi="Arial"/>
                <w:sz w:val="15"/>
                <w:szCs w:val="15"/>
                <w:b w:val="1"/>
                <w:bCs w:val="1"/>
                <w:color w:val="auto"/>
              </w:rPr>
              <w:t>Total</w:t>
            </w:r>
          </w:p>
        </w:tc>
      </w:tr>
      <w:tr>
        <w:trPr>
          <w:trHeight w:val="177"/>
        </w:trPr>
        <w:tc>
          <w:tcPr>
            <w:tcW w:w="54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120" w:type="dxa"/>
            <w:vAlign w:val="bottom"/>
            <w:tcBorders>
              <w:top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right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3,455</w:t>
            </w:r>
          </w:p>
        </w:tc>
        <w:tc>
          <w:tcPr>
            <w:tcW w:w="160" w:type="dxa"/>
            <w:vAlign w:val="bottom"/>
            <w:tcBorders>
              <w:top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3,401</w:t>
            </w: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Other comprehensive income (loss), before income taxes: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5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Holding gains on investments</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2,281</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2,292</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150</w:t>
            </w: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7,913</w:t>
            </w:r>
          </w:p>
        </w:tc>
        <w:tc>
          <w:tcPr>
            <w:tcW w:w="40" w:type="dxa"/>
            <w:vAlign w:val="bottom"/>
          </w:tcPr>
          <w:p>
            <w:pPr>
              <w:spacing w:after="0"/>
              <w:rPr>
                <w:sz w:val="16"/>
                <w:szCs w:val="16"/>
                <w:color w:val="auto"/>
              </w:rPr>
            </w:pPr>
          </w:p>
        </w:tc>
      </w:tr>
      <w:tr>
        <w:trPr>
          <w:trHeight w:val="197"/>
        </w:trPr>
        <w:tc>
          <w:tcPr>
            <w:tcW w:w="5440" w:type="dxa"/>
            <w:vAlign w:val="bottom"/>
          </w:tcPr>
          <w:p>
            <w:pPr>
              <w:ind w:left="140"/>
              <w:spacing w:after="0"/>
              <w:rPr>
                <w:sz w:val="20"/>
                <w:szCs w:val="20"/>
                <w:color w:val="auto"/>
              </w:rPr>
            </w:pPr>
            <w:r>
              <w:rPr>
                <w:rFonts w:ascii="Arial" w:cs="Arial" w:eastAsia="Arial" w:hAnsi="Arial"/>
                <w:sz w:val="15"/>
                <w:szCs w:val="15"/>
                <w:color w:val="auto"/>
                <w:w w:val="94"/>
              </w:rPr>
              <w:t>Reclassification adjustment for net realized capital loss (gain) included in net income</w:t>
            </w:r>
          </w:p>
        </w:tc>
        <w:tc>
          <w:tcPr>
            <w:tcW w:w="14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5"/>
                <w:szCs w:val="15"/>
                <w:color w:val="auto"/>
              </w:rPr>
              <w:t>(4,996)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(4,996)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23"/>
              <w:spacing w:after="0"/>
              <w:rPr>
                <w:sz w:val="20"/>
                <w:szCs w:val="20"/>
                <w:color w:val="auto"/>
              </w:rPr>
            </w:pPr>
            <w:r>
              <w:rPr>
                <w:rFonts w:ascii="Arial" w:cs="Arial" w:eastAsia="Arial" w:hAnsi="Arial"/>
                <w:sz w:val="15"/>
                <w:szCs w:val="15"/>
                <w:color w:val="auto"/>
              </w:rPr>
              <w:t>(5,225)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w w:val="92"/>
              </w:rPr>
              <w:t>(5,215)</w:t>
            </w:r>
          </w:p>
        </w:tc>
        <w:tc>
          <w:tcPr>
            <w:tcW w:w="40" w:type="dxa"/>
            <w:vAlign w:val="bottom"/>
          </w:tcPr>
          <w:p>
            <w:pPr>
              <w:spacing w:after="0"/>
              <w:rPr>
                <w:sz w:val="17"/>
                <w:szCs w:val="17"/>
                <w:color w:val="auto"/>
              </w:rPr>
            </w:pPr>
          </w:p>
        </w:tc>
      </w:tr>
      <w:tr>
        <w:trPr>
          <w:trHeight w:val="177"/>
        </w:trPr>
        <w:tc>
          <w:tcPr>
            <w:tcW w:w="5440" w:type="dxa"/>
            <w:vAlign w:val="bottom"/>
            <w:tcBorders>
              <w:top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Other comprehensive income (loss), before income taxes</w:t>
            </w: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(2,715)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(2,704)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righ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2,538</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2,698</w:t>
            </w: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5440" w:type="dxa"/>
            <w:vAlign w:val="bottom"/>
          </w:tcPr>
          <w:p>
            <w:pPr>
              <w:ind w:left="140"/>
              <w:spacing w:after="0"/>
              <w:rPr>
                <w:sz w:val="20"/>
                <w:szCs w:val="20"/>
                <w:color w:val="auto"/>
              </w:rPr>
            </w:pPr>
            <w:r>
              <w:rPr>
                <w:rFonts w:ascii="Arial" w:cs="Arial" w:eastAsia="Arial" w:hAnsi="Arial"/>
                <w:sz w:val="15"/>
                <w:szCs w:val="15"/>
                <w:color w:val="auto"/>
              </w:rPr>
              <w:t>Income tax benefit (expense) related to items of other comprehensive income</w:t>
            </w:r>
          </w:p>
        </w:tc>
        <w:tc>
          <w:tcPr>
            <w:tcW w:w="140" w:type="dxa"/>
            <w:vAlign w:val="bottom"/>
          </w:tcPr>
          <w:p>
            <w:pPr>
              <w:spacing w:after="0"/>
              <w:rPr>
                <w:sz w:val="17"/>
                <w:szCs w:val="17"/>
                <w:color w:val="auto"/>
              </w:rPr>
            </w:pPr>
          </w:p>
        </w:tc>
        <w:tc>
          <w:tcPr>
            <w:tcW w:w="860" w:type="dxa"/>
            <w:vAlign w:val="bottom"/>
            <w:gridSpan w:val="2"/>
          </w:tcPr>
          <w:p>
            <w:pPr>
              <w:jc w:val="right"/>
              <w:ind w:right="3"/>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5"/>
                <w:szCs w:val="15"/>
                <w:color w:val="auto"/>
              </w:rPr>
              <w:t>951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43"/>
              <w:spacing w:after="0"/>
              <w:rPr>
                <w:sz w:val="20"/>
                <w:szCs w:val="20"/>
                <w:color w:val="auto"/>
              </w:rPr>
            </w:pPr>
            <w:r>
              <w:rPr>
                <w:rFonts w:ascii="Arial" w:cs="Arial" w:eastAsia="Arial" w:hAnsi="Arial"/>
                <w:sz w:val="15"/>
                <w:szCs w:val="15"/>
                <w:color w:val="auto"/>
              </w:rPr>
              <w:t>947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23"/>
              <w:spacing w:after="0"/>
              <w:rPr>
                <w:sz w:val="20"/>
                <w:szCs w:val="20"/>
                <w:color w:val="auto"/>
              </w:rPr>
            </w:pPr>
            <w:r>
              <w:rPr>
                <w:rFonts w:ascii="Arial" w:cs="Arial" w:eastAsia="Arial" w:hAnsi="Arial"/>
                <w:sz w:val="15"/>
                <w:szCs w:val="15"/>
                <w:color w:val="auto"/>
              </w:rPr>
              <w:t>(888)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(944)</w:t>
            </w:r>
          </w:p>
        </w:tc>
        <w:tc>
          <w:tcPr>
            <w:tcW w:w="40" w:type="dxa"/>
            <w:vAlign w:val="bottom"/>
          </w:tcPr>
          <w:p>
            <w:pPr>
              <w:spacing w:after="0"/>
              <w:rPr>
                <w:sz w:val="17"/>
                <w:szCs w:val="17"/>
                <w:color w:val="auto"/>
              </w:rPr>
            </w:pPr>
          </w:p>
        </w:tc>
      </w:tr>
      <w:tr>
        <w:trPr>
          <w:trHeight w:val="177"/>
        </w:trPr>
        <w:tc>
          <w:tcPr>
            <w:tcW w:w="5440" w:type="dxa"/>
            <w:vAlign w:val="bottom"/>
            <w:tcBorders>
              <w:top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Other comprehensive income (loss), net of income taxes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120" w:type="dxa"/>
            <w:vAlign w:val="bottom"/>
            <w:tcBorders>
              <w:top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(1,757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1,650</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1,754</w:t>
            </w: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8"/>
        </w:trPr>
        <w:tc>
          <w:tcPr>
            <w:tcW w:w="5440" w:type="dxa"/>
            <w:vAlign w:val="bottom"/>
          </w:tcPr>
          <w:p>
            <w:pPr>
              <w:spacing w:after="0"/>
              <w:rPr>
                <w:sz w:val="20"/>
                <w:szCs w:val="20"/>
                <w:color w:val="auto"/>
              </w:rPr>
            </w:pPr>
            <w:r>
              <w:rPr>
                <w:rFonts w:ascii="Arial" w:cs="Arial" w:eastAsia="Arial" w:hAnsi="Arial"/>
                <w:sz w:val="15"/>
                <w:szCs w:val="15"/>
                <w:color w:val="auto"/>
              </w:rPr>
              <w:t>Comprehensive income (loss)</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63"/>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(2,761</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8"/>
              </w:rPr>
              <w:t>(2,756</w:t>
            </w:r>
          </w:p>
        </w:tc>
        <w:tc>
          <w:tcPr>
            <w:tcW w:w="12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6"/>
                <w:szCs w:val="16"/>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5"/>
                <w:szCs w:val="15"/>
                <w:color w:val="auto"/>
              </w:rPr>
              <w:t>50</w:t>
            </w:r>
          </w:p>
        </w:tc>
        <w:tc>
          <w:tcPr>
            <w:tcW w:w="360" w:type="dxa"/>
            <w:vAlign w:val="bottom"/>
            <w:gridSpan w:val="2"/>
          </w:tcPr>
          <w:p>
            <w:pPr>
              <w:jc w:val="right"/>
              <w:ind w:right="152"/>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5,105</w:t>
            </w:r>
          </w:p>
        </w:tc>
        <w:tc>
          <w:tcPr>
            <w:tcW w:w="380" w:type="dxa"/>
            <w:vAlign w:val="bottom"/>
            <w:gridSpan w:val="3"/>
          </w:tcPr>
          <w:p>
            <w:pPr>
              <w:jc w:val="right"/>
              <w:ind w:right="9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5,155</w:t>
            </w:r>
          </w:p>
        </w:tc>
        <w:tc>
          <w:tcPr>
            <w:tcW w:w="40" w:type="dxa"/>
            <w:vAlign w:val="bottom"/>
          </w:tcPr>
          <w:p>
            <w:pPr>
              <w:spacing w:after="0"/>
              <w:rPr>
                <w:sz w:val="16"/>
                <w:szCs w:val="16"/>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520"/>
          </w:cols>
          <w:pgMar w:left="240" w:top="222" w:right="139" w:bottom="1440" w:gutter="0" w:footer="0" w:header="0"/>
          <w:type w:val="continuous"/>
        </w:sectPr>
      </w:pPr>
    </w:p>
    <w:bookmarkStart w:id="7" w:name="page8"/>
    <w:bookmarkEnd w:id="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Consolidated Statement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(dollar amounts in thousands)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Nine Months Ended September 30,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61" w:lineRule="exact"/>
              <w:rPr>
                <w:sz w:val="20"/>
                <w:szCs w:val="20"/>
                <w:color w:val="auto"/>
              </w:rPr>
            </w:pPr>
            <w:r>
              <w:rPr>
                <w:rFonts w:ascii="Arial" w:cs="Arial" w:eastAsia="Arial" w:hAnsi="Arial"/>
                <w:sz w:val="15"/>
                <w:szCs w:val="15"/>
                <w:b w:val="1"/>
                <w:bCs w:val="1"/>
                <w:color w:val="auto"/>
                <w:w w:val="95"/>
              </w:rPr>
              <w:t>Unearned</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00"/>
              <w:spacing w:after="0" w:line="161" w:lineRule="exact"/>
              <w:rPr>
                <w:sz w:val="20"/>
                <w:szCs w:val="20"/>
                <w:color w:val="auto"/>
              </w:rPr>
            </w:pPr>
            <w:r>
              <w:rPr>
                <w:rFonts w:ascii="Arial" w:cs="Arial" w:eastAsia="Arial" w:hAnsi="Arial"/>
                <w:sz w:val="15"/>
                <w:szCs w:val="15"/>
                <w:b w:val="1"/>
                <w:bCs w:val="1"/>
                <w:color w:val="auto"/>
                <w:w w:val="93"/>
              </w:rPr>
              <w:t>Accumulated</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r>
      <w:tr>
        <w:trPr>
          <w:trHeight w:val="185"/>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Employee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8"/>
              </w:rPr>
              <w:t>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Ownership</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Retained</w:t>
            </w: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Income, Net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Treasury</w:t>
            </w:r>
          </w:p>
        </w:tc>
        <w:tc>
          <w:tcPr>
            <w:tcW w:w="8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5"/>
                <w:szCs w:val="15"/>
                <w:b w:val="1"/>
                <w:bCs w:val="1"/>
                <w:color w:val="auto"/>
              </w:rPr>
              <w:t>Non-Controlling</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2"/>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Plan 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Stock</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5"/>
                <w:szCs w:val="15"/>
                <w:b w:val="1"/>
                <w:bCs w:val="1"/>
                <w:color w:val="auto"/>
              </w:rPr>
              <w:t>Interest</w:t>
            </w:r>
          </w:p>
        </w:tc>
        <w:tc>
          <w:tcPr>
            <w:tcW w:w="900" w:type="dxa"/>
            <w:vAlign w:val="bottom"/>
            <w:gridSpan w:val="3"/>
          </w:tcPr>
          <w:p>
            <w:pPr>
              <w:spacing w:after="0"/>
              <w:rPr>
                <w:sz w:val="20"/>
                <w:szCs w:val="20"/>
                <w:color w:val="auto"/>
              </w:rPr>
            </w:pPr>
            <w:r>
              <w:rPr>
                <w:rFonts w:ascii="Arial" w:cs="Arial" w:eastAsia="Arial" w:hAnsi="Arial"/>
                <w:sz w:val="15"/>
                <w:szCs w:val="15"/>
                <w:b w:val="1"/>
                <w:bCs w:val="1"/>
                <w:color w:val="auto"/>
              </w:rPr>
              <w:t>Total Equity</w:t>
            </w:r>
          </w:p>
        </w:tc>
      </w:tr>
      <w:tr>
        <w:trPr>
          <w:trHeight w:val="155"/>
        </w:trPr>
        <w:tc>
          <w:tcPr>
            <w:tcW w:w="17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5"/>
                <w:szCs w:val="15"/>
                <w:color w:val="auto"/>
              </w:rPr>
              <w:t>Balance,</w:t>
            </w: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96"/>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rPr>
              <w:t>January 1, 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139,591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10,305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3,522</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153,418</w:t>
            </w:r>
          </w:p>
        </w:tc>
        <w:tc>
          <w:tcPr>
            <w:tcW w:w="60" w:type="dxa"/>
            <w:vAlign w:val="bottom"/>
            <w:shd w:val="clear" w:color="auto" w:fill="CCEEFF"/>
          </w:tcPr>
          <w:p>
            <w:pPr>
              <w:spacing w:after="0"/>
              <w:rPr>
                <w:sz w:val="17"/>
                <w:szCs w:val="17"/>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5"/>
                <w:szCs w:val="15"/>
                <w:color w:val="auto"/>
                <w:w w:val="95"/>
              </w:rPr>
              <w:t>Issuance of common stock</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92,915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(2,400)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90,745</w:t>
            </w:r>
          </w:p>
        </w:tc>
      </w:tr>
      <w:tr>
        <w:trPr>
          <w:trHeight w:val="185"/>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2,085</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2,173</w:t>
            </w:r>
          </w:p>
        </w:tc>
        <w:tc>
          <w:tcPr>
            <w:tcW w:w="60" w:type="dxa"/>
            <w:vAlign w:val="bottom"/>
            <w:shd w:val="clear" w:color="auto" w:fill="CCEEFF"/>
          </w:tcPr>
          <w:p>
            <w:pPr>
              <w:spacing w:after="0"/>
              <w:rPr>
                <w:sz w:val="16"/>
                <w:szCs w:val="16"/>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5"/>
                <w:szCs w:val="15"/>
                <w:color w:val="auto"/>
              </w:rPr>
              <w:t>Other comprehensive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1720" w:type="dxa"/>
            <w:vAlign w:val="bottom"/>
          </w:tcPr>
          <w:p>
            <w:pPr>
              <w:spacing w:after="0"/>
              <w:rPr>
                <w:sz w:val="20"/>
                <w:szCs w:val="20"/>
                <w:color w:val="auto"/>
              </w:rPr>
            </w:pPr>
            <w:r>
              <w:rPr>
                <w:rFonts w:ascii="Arial" w:cs="Arial" w:eastAsia="Arial" w:hAnsi="Arial"/>
                <w:sz w:val="15"/>
                <w:szCs w:val="15"/>
                <w:color w:val="auto"/>
              </w:rPr>
              <w:t>income, net of income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720" w:type="dxa"/>
            <w:vAlign w:val="bottom"/>
          </w:tcPr>
          <w:p>
            <w:pPr>
              <w:spacing w:after="0"/>
              <w:rPr>
                <w:sz w:val="20"/>
                <w:szCs w:val="20"/>
                <w:color w:val="auto"/>
              </w:rPr>
            </w:pPr>
            <w:r>
              <w:rPr>
                <w:rFonts w:ascii="Arial" w:cs="Arial" w:eastAsia="Arial" w:hAnsi="Arial"/>
                <w:sz w:val="15"/>
                <w:szCs w:val="15"/>
                <w:color w:val="auto"/>
              </w:rPr>
              <w:t>taxes</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1,565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1,613</w:t>
            </w:r>
          </w:p>
        </w:tc>
        <w:tc>
          <w:tcPr>
            <w:tcW w:w="60" w:type="dxa"/>
            <w:vAlign w:val="bottom"/>
          </w:tcPr>
          <w:p>
            <w:pPr>
              <w:spacing w:after="0"/>
              <w:rPr>
                <w:sz w:val="17"/>
                <w:szCs w:val="17"/>
                <w:color w:val="auto"/>
              </w:rPr>
            </w:pPr>
          </w:p>
        </w:tc>
      </w:tr>
      <w:tr>
        <w:trPr>
          <w:trHeight w:val="197"/>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w w:val="95"/>
              </w:rPr>
              <w:t>Purchase of treasury stock</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(8,037)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(8,037)</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5"/>
                <w:szCs w:val="15"/>
                <w:color w:val="auto"/>
              </w:rPr>
              <w:t>Balance,</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9"/>
        </w:trPr>
        <w:tc>
          <w:tcPr>
            <w:tcW w:w="1720" w:type="dxa"/>
            <w:vAlign w:val="bottom"/>
          </w:tcPr>
          <w:p>
            <w:pPr>
              <w:spacing w:after="0"/>
              <w:rPr>
                <w:sz w:val="20"/>
                <w:szCs w:val="20"/>
                <w:color w:val="auto"/>
              </w:rPr>
            </w:pPr>
            <w:r>
              <w:rPr>
                <w:rFonts w:ascii="Arial" w:cs="Arial" w:eastAsia="Arial" w:hAnsi="Arial"/>
                <w:sz w:val="15"/>
                <w:szCs w:val="15"/>
                <w:color w:val="auto"/>
              </w:rPr>
              <w:t>September 30, 2017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230</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92,915</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(2,400)</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141,676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11,870</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(8,037)</w:t>
            </w:r>
          </w:p>
        </w:tc>
        <w:tc>
          <w:tcPr>
            <w:tcW w:w="26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3,658</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239,912</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gridSpan w:val="2"/>
          </w:tcPr>
          <w:p>
            <w:pPr>
              <w:spacing w:after="0"/>
              <w:rPr>
                <w:rFonts w:ascii="Arial" w:cs="Arial" w:eastAsia="Arial" w:hAnsi="Arial"/>
                <w:sz w:val="15"/>
                <w:szCs w:val="15"/>
                <w:i w:val="1"/>
                <w:iCs w:val="1"/>
                <w:color w:val="0000EE"/>
                <w:w w:val="89"/>
              </w:rPr>
            </w:pPr>
            <w:hyperlink w:anchor="page2">
              <w:r>
                <w:rPr>
                  <w:rFonts w:ascii="Arial" w:cs="Arial" w:eastAsia="Arial" w:hAnsi="Arial"/>
                  <w:sz w:val="15"/>
                  <w:szCs w:val="15"/>
                  <w:i w:val="1"/>
                  <w:iCs w:val="1"/>
                  <w:color w:val="0000EE"/>
                  <w:w w:val="89"/>
                </w:rPr>
                <w:t>Table of Contents</w:t>
              </w:r>
            </w:hyperlink>
          </w:p>
        </w:tc>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8800" w:type="dxa"/>
            <w:vAlign w:val="bottom"/>
            <w:gridSpan w:val="3"/>
          </w:tcPr>
          <w:p>
            <w:pPr>
              <w:spacing w:after="0"/>
              <w:rPr>
                <w:sz w:val="20"/>
                <w:szCs w:val="20"/>
                <w:color w:val="auto"/>
              </w:rPr>
            </w:pPr>
            <w:r>
              <w:rPr>
                <w:rFonts w:ascii="Arial" w:cs="Arial" w:eastAsia="Arial" w:hAnsi="Arial"/>
                <w:sz w:val="15"/>
                <w:szCs w:val="15"/>
                <w:b w:val="1"/>
                <w:bCs w:val="1"/>
                <w:color w:val="auto"/>
              </w:rPr>
              <w:t>NI Holdings, Inc.</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800" w:type="dxa"/>
            <w:vAlign w:val="bottom"/>
            <w:gridSpan w:val="3"/>
          </w:tcPr>
          <w:p>
            <w:pPr>
              <w:spacing w:after="0"/>
              <w:rPr>
                <w:sz w:val="20"/>
                <w:szCs w:val="20"/>
                <w:color w:val="auto"/>
              </w:rPr>
            </w:pPr>
            <w:r>
              <w:rPr>
                <w:rFonts w:ascii="Arial" w:cs="Arial" w:eastAsia="Arial" w:hAnsi="Arial"/>
                <w:sz w:val="15"/>
                <w:szCs w:val="15"/>
                <w:b w:val="1"/>
                <w:bCs w:val="1"/>
                <w:color w:val="auto"/>
              </w:rPr>
              <w:t>Unaudited Consolidated Statements of Cash Flows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800" w:type="dxa"/>
            <w:vAlign w:val="bottom"/>
            <w:gridSpan w:val="3"/>
          </w:tcPr>
          <w:p>
            <w:pPr>
              <w:spacing w:after="0"/>
              <w:rPr>
                <w:sz w:val="20"/>
                <w:szCs w:val="20"/>
                <w:color w:val="auto"/>
              </w:rPr>
            </w:pPr>
            <w:r>
              <w:rPr>
                <w:rFonts w:ascii="Arial" w:cs="Arial" w:eastAsia="Arial" w:hAnsi="Arial"/>
                <w:sz w:val="15"/>
                <w:szCs w:val="15"/>
                <w:b w:val="1"/>
                <w:bCs w:val="1"/>
                <w:color w:val="auto"/>
              </w:rPr>
              <w:t>(dollar amounts in thousands)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jc w:val="right"/>
              <w:ind w:right="181"/>
              <w:spacing w:after="0"/>
              <w:rPr>
                <w:sz w:val="20"/>
                <w:szCs w:val="20"/>
                <w:color w:val="auto"/>
              </w:rPr>
            </w:pPr>
            <w:r>
              <w:rPr>
                <w:rFonts w:ascii="Arial" w:cs="Arial" w:eastAsia="Arial" w:hAnsi="Arial"/>
                <w:sz w:val="15"/>
                <w:szCs w:val="15"/>
                <w:b w:val="1"/>
                <w:bCs w:val="1"/>
                <w:color w:val="auto"/>
                <w:w w:val="93"/>
              </w:rPr>
              <w:t>Nine Months Ended 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20"/>
              <w:spacing w:after="0"/>
              <w:rPr>
                <w:sz w:val="20"/>
                <w:szCs w:val="20"/>
                <w:color w:val="auto"/>
              </w:rPr>
            </w:pPr>
            <w:r>
              <w:rPr>
                <w:rFonts w:ascii="Arial" w:cs="Arial" w:eastAsia="Arial" w:hAnsi="Arial"/>
                <w:sz w:val="15"/>
                <w:szCs w:val="15"/>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2,173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3,401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used in operating activities: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260"/>
              <w:spacing w:after="0"/>
              <w:rPr>
                <w:sz w:val="20"/>
                <w:szCs w:val="20"/>
                <w:color w:val="auto"/>
              </w:rPr>
            </w:pPr>
            <w:r>
              <w:rPr>
                <w:rFonts w:ascii="Arial" w:cs="Arial" w:eastAsia="Arial" w:hAnsi="Arial"/>
                <w:sz w:val="15"/>
                <w:szCs w:val="15"/>
                <w:color w:val="auto"/>
              </w:rPr>
              <w:t>Net realized capital gain on investments</w:t>
            </w:r>
          </w:p>
        </w:tc>
        <w:tc>
          <w:tcPr>
            <w:tcW w:w="10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5"/>
                <w:szCs w:val="15"/>
                <w:color w:val="auto"/>
              </w:rPr>
              <w:t>(2,840)</w:t>
            </w:r>
          </w:p>
        </w:tc>
        <w:tc>
          <w:tcPr>
            <w:tcW w:w="260" w:type="dxa"/>
            <w:vAlign w:val="bottom"/>
          </w:tcPr>
          <w:p>
            <w:pPr>
              <w:spacing w:after="0"/>
              <w:rPr>
                <w:sz w:val="16"/>
                <w:szCs w:val="16"/>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5"/>
                <w:szCs w:val="15"/>
                <w:color w:val="auto"/>
              </w:rPr>
              <w:t>(5,215)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Deferred income tax expense</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260"/>
              <w:spacing w:after="0"/>
              <w:rPr>
                <w:sz w:val="20"/>
                <w:szCs w:val="20"/>
                <w:color w:val="auto"/>
              </w:rPr>
            </w:pPr>
            <w:r>
              <w:rPr>
                <w:rFonts w:ascii="Arial" w:cs="Arial" w:eastAsia="Arial" w:hAnsi="Arial"/>
                <w:sz w:val="15"/>
                <w:szCs w:val="15"/>
                <w:color w:val="auto"/>
              </w:rPr>
              <w:t>Depreciation of property and equipment</w:t>
            </w:r>
          </w:p>
        </w:tc>
        <w:tc>
          <w:tcPr>
            <w:tcW w:w="10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376</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373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Amortization of intangibles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260"/>
              <w:spacing w:after="0"/>
              <w:rPr>
                <w:sz w:val="20"/>
                <w:szCs w:val="20"/>
                <w:color w:val="auto"/>
              </w:rPr>
            </w:pPr>
            <w:r>
              <w:rPr>
                <w:rFonts w:ascii="Arial" w:cs="Arial" w:eastAsia="Arial" w:hAnsi="Arial"/>
                <w:sz w:val="15"/>
                <w:szCs w:val="15"/>
                <w:color w:val="auto"/>
              </w:rPr>
              <w:t>Amortization of deferred policy acquisition costs</w:t>
            </w:r>
          </w:p>
        </w:tc>
        <w:tc>
          <w:tcPr>
            <w:tcW w:w="10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21,102</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16,878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Deferral of policy acquisition costs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(23,913)</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(18,152)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260"/>
              <w:spacing w:after="0"/>
              <w:rPr>
                <w:sz w:val="20"/>
                <w:szCs w:val="20"/>
                <w:color w:val="auto"/>
              </w:rPr>
            </w:pPr>
            <w:r>
              <w:rPr>
                <w:rFonts w:ascii="Arial" w:cs="Arial" w:eastAsia="Arial" w:hAnsi="Arial"/>
                <w:sz w:val="15"/>
                <w:szCs w:val="15"/>
                <w:color w:val="auto"/>
              </w:rPr>
              <w:t>Net amortization of premiums and discounts on investments</w:t>
            </w:r>
          </w:p>
        </w:tc>
        <w:tc>
          <w:tcPr>
            <w:tcW w:w="10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973</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Changes in assets and liabilities which provided (used) cash:</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320"/>
              <w:spacing w:after="0"/>
              <w:rPr>
                <w:sz w:val="20"/>
                <w:szCs w:val="20"/>
                <w:color w:val="auto"/>
              </w:rPr>
            </w:pPr>
            <w:r>
              <w:rPr>
                <w:rFonts w:ascii="Arial" w:cs="Arial" w:eastAsia="Arial" w:hAnsi="Arial"/>
                <w:sz w:val="15"/>
                <w:szCs w:val="15"/>
                <w:color w:val="auto"/>
              </w:rPr>
              <w:t>Premiums and agents’ balances receivable</w:t>
            </w:r>
          </w:p>
        </w:tc>
        <w:tc>
          <w:tcPr>
            <w:tcW w:w="10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5"/>
                <w:szCs w:val="15"/>
                <w:color w:val="auto"/>
              </w:rPr>
              <w:t>(50,587)</w:t>
            </w:r>
          </w:p>
        </w:tc>
        <w:tc>
          <w:tcPr>
            <w:tcW w:w="260" w:type="dxa"/>
            <w:vAlign w:val="bottom"/>
          </w:tcPr>
          <w:p>
            <w:pPr>
              <w:spacing w:after="0"/>
              <w:rPr>
                <w:sz w:val="16"/>
                <w:szCs w:val="16"/>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5"/>
                <w:szCs w:val="15"/>
                <w:color w:val="auto"/>
              </w:rPr>
              <w:t>(39,169)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Reinsurance premiums receivable</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(2,527)</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320"/>
              <w:spacing w:after="0"/>
              <w:rPr>
                <w:sz w:val="20"/>
                <w:szCs w:val="20"/>
                <w:color w:val="auto"/>
              </w:rPr>
            </w:pPr>
            <w:r>
              <w:rPr>
                <w:rFonts w:ascii="Arial" w:cs="Arial" w:eastAsia="Arial" w:hAnsi="Arial"/>
                <w:sz w:val="15"/>
                <w:szCs w:val="15"/>
                <w:color w:val="auto"/>
              </w:rPr>
              <w:t>Reinsurance recoverables on losses</w:t>
            </w:r>
          </w:p>
        </w:tc>
        <w:tc>
          <w:tcPr>
            <w:tcW w:w="10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5"/>
                <w:szCs w:val="15"/>
                <w:color w:val="auto"/>
              </w:rPr>
              <w:t>(1,488)</w:t>
            </w:r>
          </w:p>
        </w:tc>
        <w:tc>
          <w:tcPr>
            <w:tcW w:w="260" w:type="dxa"/>
            <w:vAlign w:val="bottom"/>
          </w:tcPr>
          <w:p>
            <w:pPr>
              <w:spacing w:after="0"/>
              <w:rPr>
                <w:sz w:val="16"/>
                <w:szCs w:val="16"/>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5"/>
                <w:szCs w:val="15"/>
                <w:color w:val="auto"/>
              </w:rPr>
              <w:t>(12,789)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Accrued investment income</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(473)</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320"/>
              <w:spacing w:after="0"/>
              <w:rPr>
                <w:sz w:val="20"/>
                <w:szCs w:val="20"/>
                <w:color w:val="auto"/>
              </w:rPr>
            </w:pPr>
            <w:r>
              <w:rPr>
                <w:rFonts w:ascii="Arial" w:cs="Arial" w:eastAsia="Arial" w:hAnsi="Arial"/>
                <w:sz w:val="15"/>
                <w:szCs w:val="15"/>
                <w:color w:val="auto"/>
              </w:rPr>
              <w:t>Receivable from Federal Crop Insurance Corporation</w:t>
            </w:r>
          </w:p>
        </w:tc>
        <w:tc>
          <w:tcPr>
            <w:tcW w:w="10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5"/>
                <w:szCs w:val="15"/>
                <w:color w:val="auto"/>
              </w:rPr>
              <w:t>(3,922)</w:t>
            </w:r>
          </w:p>
        </w:tc>
        <w:tc>
          <w:tcPr>
            <w:tcW w:w="260" w:type="dxa"/>
            <w:vAlign w:val="bottom"/>
          </w:tcPr>
          <w:p>
            <w:pPr>
              <w:spacing w:after="0"/>
              <w:rPr>
                <w:sz w:val="16"/>
                <w:szCs w:val="16"/>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5"/>
                <w:szCs w:val="15"/>
                <w:color w:val="auto"/>
              </w:rPr>
              <w:t>(15,312)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Federal income tax recoverable</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(156)</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(3,474)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3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885</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Unpaid losses and loss adjustment expenses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25,795</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30,666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320"/>
              <w:spacing w:after="0"/>
              <w:rPr>
                <w:sz w:val="20"/>
                <w:szCs w:val="20"/>
                <w:color w:val="auto"/>
              </w:rPr>
            </w:pPr>
            <w:r>
              <w:rPr>
                <w:rFonts w:ascii="Arial" w:cs="Arial" w:eastAsia="Arial" w:hAnsi="Arial"/>
                <w:sz w:val="15"/>
                <w:szCs w:val="15"/>
                <w:color w:val="auto"/>
              </w:rPr>
              <w:t>Unearned premiums</w:t>
            </w:r>
          </w:p>
        </w:tc>
        <w:tc>
          <w:tcPr>
            <w:tcW w:w="10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18,371</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10,804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Reinsurance payables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3,760</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8,284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2"/>
          </w:tcPr>
          <w:p>
            <w:pPr>
              <w:ind w:left="320"/>
              <w:spacing w:after="0"/>
              <w:rPr>
                <w:sz w:val="20"/>
                <w:szCs w:val="20"/>
                <w:color w:val="auto"/>
              </w:rPr>
            </w:pPr>
            <w:r>
              <w:rPr>
                <w:rFonts w:ascii="Arial" w:cs="Arial" w:eastAsia="Arial" w:hAnsi="Arial"/>
                <w:sz w:val="15"/>
                <w:szCs w:val="15"/>
                <w:color w:val="auto"/>
              </w:rPr>
              <w:t>Accrued expenses and other liabilities</w:t>
            </w:r>
          </w:p>
        </w:tc>
        <w:tc>
          <w:tcPr>
            <w:tcW w:w="100" w:type="dxa"/>
            <w:vAlign w:val="bottom"/>
          </w:tcPr>
          <w:p>
            <w:pPr>
              <w:spacing w:after="0"/>
              <w:rPr>
                <w:sz w:val="17"/>
                <w:szCs w:val="17"/>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4,642</w:t>
            </w:r>
          </w:p>
        </w:tc>
        <w:tc>
          <w:tcPr>
            <w:tcW w:w="26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3,156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5"/>
                <w:szCs w:val="15"/>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(7,795</w:t>
            </w:r>
          </w:p>
        </w:tc>
        <w:tc>
          <w:tcPr>
            <w:tcW w:w="220" w:type="dxa"/>
            <w:vAlign w:val="bottom"/>
            <w:tcBorders>
              <w:top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(19,005</w:t>
            </w:r>
          </w:p>
        </w:tc>
        <w:tc>
          <w:tcPr>
            <w:tcW w:w="10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20"/>
              <w:spacing w:after="0"/>
              <w:rPr>
                <w:sz w:val="20"/>
                <w:szCs w:val="20"/>
                <w:color w:val="auto"/>
              </w:rPr>
            </w:pPr>
            <w:r>
              <w:rPr>
                <w:rFonts w:ascii="Arial" w:cs="Arial" w:eastAsia="Arial" w:hAnsi="Arial"/>
                <w:sz w:val="15"/>
                <w:szCs w:val="15"/>
                <w:color w:val="auto"/>
              </w:rPr>
              <w:t>Proceeds from sales of fixed income securities</w:t>
            </w:r>
          </w:p>
        </w:tc>
        <w:tc>
          <w:tcPr>
            <w:tcW w:w="10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19,800</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15,108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sales of equity securities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6,679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8,489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20"/>
              <w:spacing w:after="0"/>
              <w:rPr>
                <w:sz w:val="20"/>
                <w:szCs w:val="20"/>
                <w:color w:val="auto"/>
              </w:rPr>
            </w:pPr>
            <w:r>
              <w:rPr>
                <w:rFonts w:ascii="Arial" w:cs="Arial" w:eastAsia="Arial" w:hAnsi="Arial"/>
                <w:sz w:val="15"/>
                <w:szCs w:val="15"/>
                <w:color w:val="auto"/>
              </w:rPr>
              <w:t>Purchases of fixed income securities</w:t>
            </w:r>
          </w:p>
        </w:tc>
        <w:tc>
          <w:tcPr>
            <w:tcW w:w="10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5"/>
                <w:szCs w:val="15"/>
                <w:color w:val="auto"/>
              </w:rPr>
              <w:t>(95,008)</w:t>
            </w:r>
          </w:p>
        </w:tc>
        <w:tc>
          <w:tcPr>
            <w:tcW w:w="260" w:type="dxa"/>
            <w:vAlign w:val="bottom"/>
          </w:tcPr>
          <w:p>
            <w:pPr>
              <w:spacing w:after="0"/>
              <w:rPr>
                <w:sz w:val="16"/>
                <w:szCs w:val="16"/>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5"/>
                <w:szCs w:val="15"/>
                <w:color w:val="auto"/>
              </w:rPr>
              <w:t>(19,969)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Purchases of equity securities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(20,891)</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(2,179)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20"/>
              <w:spacing w:after="0"/>
              <w:rPr>
                <w:sz w:val="20"/>
                <w:szCs w:val="20"/>
                <w:color w:val="auto"/>
              </w:rPr>
            </w:pPr>
            <w:r>
              <w:rPr>
                <w:rFonts w:ascii="Arial" w:cs="Arial" w:eastAsia="Arial" w:hAnsi="Arial"/>
                <w:sz w:val="15"/>
                <w:szCs w:val="15"/>
                <w:color w:val="auto"/>
              </w:rPr>
              <w:t>Purchases of property and equipment, net</w:t>
            </w:r>
          </w:p>
        </w:tc>
        <w:tc>
          <w:tcPr>
            <w:tcW w:w="10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5"/>
                <w:szCs w:val="15"/>
                <w:color w:val="auto"/>
              </w:rPr>
              <w:t>(829)</w:t>
            </w:r>
          </w:p>
        </w:tc>
        <w:tc>
          <w:tcPr>
            <w:tcW w:w="260" w:type="dxa"/>
            <w:vAlign w:val="bottom"/>
          </w:tcPr>
          <w:p>
            <w:pPr>
              <w:spacing w:after="0"/>
              <w:rPr>
                <w:sz w:val="16"/>
                <w:szCs w:val="16"/>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2</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color w:val="auto"/>
              </w:rPr>
              <w:t>Net cash (used in) provided by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(90,247</w:t>
            </w:r>
          </w:p>
        </w:tc>
        <w:tc>
          <w:tcPr>
            <w:tcW w:w="220" w:type="dxa"/>
            <w:vAlign w:val="bottom"/>
            <w:tcBorders>
              <w:bottom w:val="single" w:sz="8" w:color="CCEEFF"/>
            </w:tcBorders>
          </w:tcPr>
          <w:p>
            <w:pPr>
              <w:jc w:val="right"/>
              <w:ind w:right="141"/>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780" w:type="dxa"/>
            <w:vAlign w:val="bottom"/>
            <w:gridSpan w:val="2"/>
          </w:tcPr>
          <w:p>
            <w:pPr>
              <w:spacing w:after="0"/>
              <w:rPr>
                <w:sz w:val="20"/>
                <w:szCs w:val="20"/>
                <w:color w:val="auto"/>
              </w:rPr>
            </w:pPr>
            <w:r>
              <w:rPr>
                <w:rFonts w:ascii="Arial" w:cs="Arial" w:eastAsia="Arial" w:hAnsi="Arial"/>
                <w:sz w:val="15"/>
                <w:szCs w:val="15"/>
                <w:color w:val="auto"/>
              </w:rPr>
              <w:t>Cash flows from financing activities: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issuance of common stock</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93,145</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20"/>
              <w:spacing w:after="0"/>
              <w:rPr>
                <w:sz w:val="20"/>
                <w:szCs w:val="20"/>
                <w:color w:val="auto"/>
              </w:rPr>
            </w:pPr>
            <w:r>
              <w:rPr>
                <w:rFonts w:ascii="Arial" w:cs="Arial" w:eastAsia="Arial" w:hAnsi="Arial"/>
                <w:sz w:val="15"/>
                <w:szCs w:val="15"/>
                <w:color w:val="auto"/>
              </w:rPr>
              <w:t>Purchases of treasury stock</w:t>
            </w:r>
          </w:p>
        </w:tc>
        <w:tc>
          <w:tcPr>
            <w:tcW w:w="10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5"/>
                <w:szCs w:val="15"/>
                <w:color w:val="auto"/>
              </w:rPr>
              <w:t>(8,037)</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Loan to employee stock ownership plan</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(2,400)</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2"/>
          </w:tcPr>
          <w:p>
            <w:pPr>
              <w:ind w:left="120"/>
              <w:spacing w:after="0"/>
              <w:rPr>
                <w:sz w:val="20"/>
                <w:szCs w:val="20"/>
                <w:color w:val="auto"/>
              </w:rPr>
            </w:pPr>
            <w:r>
              <w:rPr>
                <w:rFonts w:ascii="Arial" w:cs="Arial" w:eastAsia="Arial" w:hAnsi="Arial"/>
                <w:sz w:val="15"/>
                <w:szCs w:val="15"/>
                <w:color w:val="auto"/>
              </w:rPr>
              <w:t>Proceeds from bank overdraft</w:t>
            </w:r>
          </w:p>
        </w:tc>
        <w:tc>
          <w:tcPr>
            <w:tcW w:w="100" w:type="dxa"/>
            <w:vAlign w:val="bottom"/>
          </w:tcPr>
          <w:p>
            <w:pPr>
              <w:spacing w:after="0"/>
              <w:rPr>
                <w:sz w:val="17"/>
                <w:szCs w:val="17"/>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8,311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82,708</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Net decrease in cash and cash equivalents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(15,334)</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(9,881)</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106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at beginning of period</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18,318</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14,521</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2,984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4,640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10" w:right="219" w:bottom="1440" w:gutter="0" w:footer="0" w:header="0"/>
        </w:sectPr>
      </w:pPr>
    </w:p>
    <w:bookmarkStart w:id="9" w:name="page10"/>
    <w:bookmarkEnd w:id="9"/>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(dollar amounts in thousands)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FFFFFF"/>
        </w:rPr>
        <w:t>Notes to Unaudited Consolidated Financial Statements</w:t>
      </w:r>
    </w:p>
    <w:p>
      <w:pPr>
        <w:spacing w:after="0" w:line="29" w:lineRule="exact"/>
        <w:rPr>
          <w:sz w:val="20"/>
          <w:szCs w:val="20"/>
          <w:color w:val="auto"/>
        </w:rPr>
      </w:pPr>
    </w:p>
    <w:p>
      <w:pPr>
        <w:ind w:left="547" w:hanging="547"/>
        <w:spacing w:after="0"/>
        <w:tabs>
          <w:tab w:leader="none" w:pos="547"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w:t>
      </w:r>
    </w:p>
    <w:p>
      <w:pPr>
        <w:spacing w:after="0" w:line="188" w:lineRule="exact"/>
        <w:rPr>
          <w:sz w:val="20"/>
          <w:szCs w:val="20"/>
          <w:color w:val="auto"/>
        </w:rPr>
      </w:pPr>
    </w:p>
    <w:p>
      <w:pPr>
        <w:ind w:left="7" w:right="20" w:firstLine="556"/>
        <w:spacing w:after="0" w:line="263" w:lineRule="auto"/>
        <w:rPr>
          <w:sz w:val="20"/>
          <w:szCs w:val="20"/>
          <w:color w:val="auto"/>
        </w:rPr>
      </w:pPr>
      <w:r>
        <w:rPr>
          <w:rFonts w:ascii="Arial" w:cs="Arial" w:eastAsia="Arial" w:hAnsi="Arial"/>
          <w:sz w:val="15"/>
          <w:szCs w:val="15"/>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25" w:lineRule="exact"/>
        <w:rPr>
          <w:sz w:val="20"/>
          <w:szCs w:val="20"/>
          <w:color w:val="auto"/>
        </w:rPr>
      </w:pPr>
    </w:p>
    <w:p>
      <w:pPr>
        <w:ind w:left="7" w:right="200" w:firstLine="556"/>
        <w:spacing w:after="0" w:line="273" w:lineRule="auto"/>
        <w:rPr>
          <w:sz w:val="20"/>
          <w:szCs w:val="20"/>
          <w:color w:val="auto"/>
        </w:rPr>
      </w:pPr>
      <w:r>
        <w:rPr>
          <w:rFonts w:ascii="Arial" w:cs="Arial" w:eastAsia="Arial" w:hAnsi="Arial"/>
          <w:sz w:val="15"/>
          <w:szCs w:val="15"/>
          <w:color w:val="auto"/>
        </w:rPr>
        <w:t>The consolidated financial statements of NI Holdings consist primarily of five entities: Nodak Insurance Company (“Nodak Insurance”, formerly Nodak Mutual Insurance Company prior to the conversion), Nodak Agency, Inc. (“Nodak Agency”), American West Insurance Company (“American West”), Primero Insurance Company (“Primero”), and an affiliated company, Battle Creek Mutual Insurance Company (“Battle Creek”).</w:t>
      </w:r>
    </w:p>
    <w:p>
      <w:pPr>
        <w:spacing w:after="0" w:line="129" w:lineRule="exact"/>
        <w:rPr>
          <w:sz w:val="20"/>
          <w:szCs w:val="20"/>
          <w:color w:val="auto"/>
        </w:rPr>
      </w:pPr>
    </w:p>
    <w:p>
      <w:pPr>
        <w:jc w:val="both"/>
        <w:ind w:left="7" w:right="320" w:firstLine="556"/>
        <w:spacing w:after="0" w:line="302" w:lineRule="auto"/>
        <w:rPr>
          <w:sz w:val="20"/>
          <w:szCs w:val="20"/>
          <w:color w:val="auto"/>
        </w:rPr>
      </w:pPr>
      <w:r>
        <w:rPr>
          <w:rFonts w:ascii="Arial" w:cs="Arial" w:eastAsia="Arial" w:hAnsi="Arial"/>
          <w:sz w:val="14"/>
          <w:szCs w:val="14"/>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Nodak Insurance is a leading writer of property and casualty insurance in North Dakota, specializing in providing private passenger auto, homeowners, farmowners, commercial, crop hail, and Federal multi-peril crop insurance coverages.</w:t>
      </w:r>
    </w:p>
    <w:p>
      <w:pPr>
        <w:spacing w:after="0" w:line="99"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Nodak Agency, a wholly-owned subsidiary of Nodak Insurance, is an inactive shell corporation.</w:t>
      </w:r>
    </w:p>
    <w:p>
      <w:pPr>
        <w:spacing w:after="0" w:line="163" w:lineRule="exact"/>
        <w:rPr>
          <w:sz w:val="20"/>
          <w:szCs w:val="20"/>
          <w:color w:val="auto"/>
        </w:rPr>
      </w:pPr>
    </w:p>
    <w:p>
      <w:pPr>
        <w:ind w:left="7" w:right="180" w:firstLine="556"/>
        <w:spacing w:after="0" w:line="273" w:lineRule="auto"/>
        <w:rPr>
          <w:sz w:val="20"/>
          <w:szCs w:val="20"/>
          <w:color w:val="auto"/>
        </w:rPr>
      </w:pPr>
      <w:r>
        <w:rPr>
          <w:rFonts w:ascii="Arial" w:cs="Arial" w:eastAsia="Arial" w:hAnsi="Arial"/>
          <w:sz w:val="15"/>
          <w:szCs w:val="15"/>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29" w:lineRule="exact"/>
        <w:rPr>
          <w:sz w:val="20"/>
          <w:szCs w:val="20"/>
          <w:color w:val="auto"/>
        </w:rPr>
      </w:pPr>
    </w:p>
    <w:p>
      <w:pPr>
        <w:ind w:left="7" w:right="380" w:firstLine="556"/>
        <w:spacing w:after="0" w:line="289" w:lineRule="auto"/>
        <w:rPr>
          <w:sz w:val="20"/>
          <w:szCs w:val="20"/>
          <w:color w:val="auto"/>
        </w:rPr>
      </w:pPr>
      <w:r>
        <w:rPr>
          <w:rFonts w:ascii="Arial" w:cs="Arial" w:eastAsia="Arial" w:hAnsi="Arial"/>
          <w:sz w:val="15"/>
          <w:szCs w:val="15"/>
          <w:color w:val="auto"/>
        </w:rPr>
        <w:t>Primero Insurance Company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06" w:lineRule="exact"/>
        <w:rPr>
          <w:sz w:val="20"/>
          <w:szCs w:val="20"/>
          <w:color w:val="auto"/>
        </w:rPr>
      </w:pPr>
    </w:p>
    <w:p>
      <w:pPr>
        <w:ind w:left="7" w:right="420" w:firstLine="556"/>
        <w:spacing w:after="0" w:line="273" w:lineRule="auto"/>
        <w:rPr>
          <w:sz w:val="20"/>
          <w:szCs w:val="20"/>
          <w:color w:val="auto"/>
        </w:rPr>
      </w:pPr>
      <w:r>
        <w:rPr>
          <w:rFonts w:ascii="Arial" w:cs="Arial" w:eastAsia="Arial" w:hAnsi="Arial"/>
          <w:sz w:val="15"/>
          <w:szCs w:val="15"/>
          <w:color w:val="auto"/>
        </w:rPr>
        <w:t>Battle Creek is controlled by Nodak Insurance via a surplus note and 100% quota share agreement. The terms of the surplus note and quota share agreement allow Nodak Insurance to appoint two-thirds of the Battle Creek Board of Directors. Battle Creek is a property and casualty insurance company writing personal auto, homeowners, and farm coverages solely in the state of Nebraska.</w:t>
      </w:r>
    </w:p>
    <w:p>
      <w:pPr>
        <w:spacing w:after="0" w:line="118" w:lineRule="exact"/>
        <w:rPr>
          <w:sz w:val="20"/>
          <w:szCs w:val="20"/>
          <w:color w:val="auto"/>
        </w:rPr>
      </w:pPr>
    </w:p>
    <w:p>
      <w:pPr>
        <w:jc w:val="both"/>
        <w:ind w:left="7" w:right="40" w:firstLine="556"/>
        <w:spacing w:after="0" w:line="302" w:lineRule="auto"/>
        <w:rPr>
          <w:sz w:val="20"/>
          <w:szCs w:val="20"/>
          <w:color w:val="auto"/>
        </w:rPr>
      </w:pPr>
      <w:r>
        <w:rPr>
          <w:rFonts w:ascii="Arial" w:cs="Arial" w:eastAsia="Arial" w:hAnsi="Arial"/>
          <w:sz w:val="14"/>
          <w:szCs w:val="14"/>
          <w:color w:val="auto"/>
        </w:rPr>
        <w:t>The same executive management and underwriting personnel administer products, classes of business, pricing practices, and underwriting standards of Nodak Insurance and its insurance subsidiaries. In addition,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04" w:lineRule="exact"/>
        <w:rPr>
          <w:sz w:val="20"/>
          <w:szCs w:val="20"/>
          <w:color w:val="auto"/>
        </w:rPr>
      </w:pPr>
    </w:p>
    <w:p>
      <w:pPr>
        <w:ind w:left="547" w:hanging="547"/>
        <w:spacing w:after="0"/>
        <w:tabs>
          <w:tab w:leader="none" w:pos="547"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w:t>
      </w:r>
    </w:p>
    <w:p>
      <w:pPr>
        <w:spacing w:after="0" w:line="204" w:lineRule="exact"/>
        <w:rPr>
          <w:sz w:val="20"/>
          <w:szCs w:val="20"/>
          <w:color w:val="auto"/>
        </w:rPr>
      </w:pPr>
    </w:p>
    <w:p>
      <w:pPr>
        <w:ind w:left="7" w:firstLine="556"/>
        <w:spacing w:after="0" w:line="273" w:lineRule="auto"/>
        <w:rPr>
          <w:sz w:val="20"/>
          <w:szCs w:val="20"/>
          <w:color w:val="auto"/>
        </w:rPr>
      </w:pPr>
      <w:r>
        <w:rPr>
          <w:rFonts w:ascii="Arial" w:cs="Arial" w:eastAsia="Arial" w:hAnsi="Arial"/>
          <w:sz w:val="15"/>
          <w:szCs w:val="15"/>
          <w:color w:val="auto"/>
        </w:rPr>
        <w:t>Our consolidated financial statements, which we have prepared in accordance with accounting principles generally accepted in the United States of America (“GAAP”),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12" w:lineRule="exact"/>
        <w:rPr>
          <w:sz w:val="20"/>
          <w:szCs w:val="20"/>
          <w:color w:val="auto"/>
        </w:rPr>
      </w:pPr>
    </w:p>
    <w:p>
      <w:pPr>
        <w:ind w:left="547" w:right="8000" w:hanging="547"/>
        <w:spacing w:after="0" w:line="519" w:lineRule="auto"/>
        <w:tabs>
          <w:tab w:leader="none" w:pos="547"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u w:val="single" w:color="auto"/>
          <w:color w:val="auto"/>
        </w:rPr>
        <w:t>Use of Estimates:</w:t>
      </w:r>
    </w:p>
    <w:p>
      <w:pPr>
        <w:spacing w:after="0" w:line="1" w:lineRule="exact"/>
        <w:rPr>
          <w:sz w:val="20"/>
          <w:szCs w:val="20"/>
          <w:color w:val="auto"/>
        </w:rPr>
      </w:pPr>
    </w:p>
    <w:p>
      <w:pPr>
        <w:ind w:left="7" w:right="320" w:firstLine="556"/>
        <w:spacing w:after="0" w:line="289" w:lineRule="auto"/>
        <w:rPr>
          <w:sz w:val="20"/>
          <w:szCs w:val="20"/>
          <w:color w:val="auto"/>
        </w:rPr>
      </w:pPr>
      <w:r>
        <w:rPr>
          <w:rFonts w:ascii="Arial" w:cs="Arial" w:eastAsia="Arial" w:hAnsi="Arial"/>
          <w:sz w:val="15"/>
          <w:szCs w:val="15"/>
          <w:color w:val="auto"/>
        </w:rPr>
        <w:t>In preparing our consolidated financial statements, management makes estimates and assumptions that affect the reported amounts of assets and liabilities at the date of the balance sheet and revenues and expenses for the periods then ended. Actual results</w:t>
      </w:r>
    </w:p>
    <w:p>
      <w:pPr>
        <w:spacing w:after="0" w:line="141"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7"/>
          </w:cols>
          <w:pgMar w:left="233" w:top="222" w:right="219" w:bottom="1440" w:gutter="0" w:footer="0" w:header="0"/>
        </w:sectPr>
      </w:pPr>
    </w:p>
    <w:bookmarkStart w:id="10" w:name="page11"/>
    <w:bookmarkEnd w:id="1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could differ significantly from those estimates.</w:t>
      </w:r>
    </w:p>
    <w:p>
      <w:pPr>
        <w:spacing w:after="0" w:line="198" w:lineRule="exact"/>
        <w:rPr>
          <w:sz w:val="20"/>
          <w:szCs w:val="20"/>
          <w:color w:val="auto"/>
        </w:rPr>
      </w:pPr>
    </w:p>
    <w:p>
      <w:pPr>
        <w:ind w:firstLine="556"/>
        <w:spacing w:after="0" w:line="265" w:lineRule="auto"/>
        <w:rPr>
          <w:sz w:val="20"/>
          <w:szCs w:val="20"/>
          <w:color w:val="auto"/>
        </w:rPr>
      </w:pPr>
      <w:r>
        <w:rPr>
          <w:rFonts w:ascii="Arial" w:cs="Arial" w:eastAsia="Arial" w:hAnsi="Arial"/>
          <w:sz w:val="15"/>
          <w:szCs w:val="15"/>
          <w:color w:val="auto"/>
        </w:rPr>
        <w:t>We make estimates and assumptions that can have a significant effect on amounts and disclosures we report in our consolidated financial statements. The most significant estimates relate to our reserves for unpaid losses and loss adjustment expenses, valuation of investments, determination of other-than-temporary impairments, valuation allowances for deferred income tax assets, and deferred policy acquisition costs.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Variable-Interest Entities: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company deemed to be a variable interest entity (“VIE”) is required to be consolidated by the primary beneficiary of the VIE.</w:t>
      </w:r>
    </w:p>
    <w:p>
      <w:pPr>
        <w:spacing w:after="0" w:line="198" w:lineRule="exact"/>
        <w:rPr>
          <w:sz w:val="20"/>
          <w:szCs w:val="20"/>
          <w:color w:val="auto"/>
        </w:rPr>
      </w:pPr>
    </w:p>
    <w:p>
      <w:pPr>
        <w:ind w:right="40" w:firstLine="556"/>
        <w:spacing w:after="0" w:line="286" w:lineRule="auto"/>
        <w:rPr>
          <w:sz w:val="20"/>
          <w:szCs w:val="20"/>
          <w:color w:val="auto"/>
        </w:rPr>
      </w:pPr>
      <w:r>
        <w:rPr>
          <w:rFonts w:ascii="Arial" w:cs="Arial" w:eastAsia="Arial" w:hAnsi="Arial"/>
          <w:sz w:val="14"/>
          <w:szCs w:val="14"/>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46" w:lineRule="exact"/>
        <w:rPr>
          <w:sz w:val="20"/>
          <w:szCs w:val="20"/>
          <w:color w:val="auto"/>
        </w:rPr>
      </w:pPr>
    </w:p>
    <w:p>
      <w:pPr>
        <w:ind w:right="120" w:firstLine="556"/>
        <w:spacing w:after="0" w:line="268" w:lineRule="auto"/>
        <w:rPr>
          <w:sz w:val="20"/>
          <w:szCs w:val="20"/>
          <w:color w:val="auto"/>
        </w:rPr>
      </w:pPr>
      <w:r>
        <w:rPr>
          <w:rFonts w:ascii="Arial" w:cs="Arial" w:eastAsia="Arial" w:hAnsi="Arial"/>
          <w:sz w:val="15"/>
          <w:szCs w:val="15"/>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56" w:lineRule="exact"/>
        <w:rPr>
          <w:sz w:val="20"/>
          <w:szCs w:val="20"/>
          <w:color w:val="auto"/>
        </w:rPr>
      </w:pPr>
    </w:p>
    <w:p>
      <w:pPr>
        <w:ind w:right="140" w:firstLine="556"/>
        <w:spacing w:after="0" w:line="268" w:lineRule="auto"/>
        <w:rPr>
          <w:sz w:val="20"/>
          <w:szCs w:val="20"/>
          <w:color w:val="auto"/>
        </w:rPr>
      </w:pPr>
      <w:r>
        <w:rPr>
          <w:rFonts w:ascii="Arial" w:cs="Arial" w:eastAsia="Arial" w:hAnsi="Arial"/>
          <w:sz w:val="15"/>
          <w:szCs w:val="15"/>
          <w:color w:val="auto"/>
        </w:rPr>
        <w:t>We control Battle Creek via a 100% quota share reinsurance agreement between Nodak Insurance and Battle Creek, as well as the ability to control a majority of the Board of Directors of Battle Creek. Through the effects of the 100% quota share agreement with Battle Creek, we are considered the primary beneficiary of Battle Creek’s operating results excluding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Cash and Cash Equivalents:</w:t>
      </w:r>
    </w:p>
    <w:p>
      <w:pPr>
        <w:spacing w:after="0" w:line="198" w:lineRule="exact"/>
        <w:rPr>
          <w:sz w:val="20"/>
          <w:szCs w:val="20"/>
          <w:color w:val="auto"/>
        </w:rPr>
      </w:pPr>
    </w:p>
    <w:p>
      <w:pPr>
        <w:ind w:right="100" w:firstLine="556"/>
        <w:spacing w:after="0" w:line="289" w:lineRule="auto"/>
        <w:rPr>
          <w:sz w:val="20"/>
          <w:szCs w:val="20"/>
          <w:color w:val="auto"/>
        </w:rPr>
      </w:pPr>
      <w:r>
        <w:rPr>
          <w:rFonts w:ascii="Arial" w:cs="Arial" w:eastAsia="Arial" w:hAnsi="Arial"/>
          <w:sz w:val="15"/>
          <w:szCs w:val="15"/>
          <w:color w:val="auto"/>
        </w:rPr>
        <w:t>Cash and cash equivalents include certain investments in highly liquid debt instruments with original maturities of three months or less. Cost approximates fair value for these short-term investments.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Investments:</w:t>
      </w:r>
    </w:p>
    <w:p>
      <w:pPr>
        <w:spacing w:after="0" w:line="198" w:lineRule="exact"/>
        <w:rPr>
          <w:sz w:val="20"/>
          <w:szCs w:val="20"/>
          <w:color w:val="auto"/>
        </w:rPr>
      </w:pPr>
    </w:p>
    <w:p>
      <w:pPr>
        <w:ind w:right="80" w:firstLine="556"/>
        <w:spacing w:after="0" w:line="265" w:lineRule="auto"/>
        <w:rPr>
          <w:sz w:val="20"/>
          <w:szCs w:val="20"/>
          <w:color w:val="auto"/>
        </w:rPr>
      </w:pPr>
      <w:r>
        <w:rPr>
          <w:rFonts w:ascii="Arial" w:cs="Arial" w:eastAsia="Arial" w:hAnsi="Arial"/>
          <w:sz w:val="15"/>
          <w:szCs w:val="15"/>
          <w:color w:val="auto"/>
        </w:rPr>
        <w:t>We have categorized our investment portfolio as “available-for-sale” and have reported the portfolio at fair value, with unrealized gains and losses, net of income taxes,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Realized gains and losses are determined using the specific identification method and included in the determination of net income. Net investment income includes interest and dividend income together with amortization of purchase premiums and discounts, and is net of investment management and custody fees.</w:t>
      </w:r>
    </w:p>
    <w:p>
      <w:pPr>
        <w:spacing w:after="0" w:line="160" w:lineRule="exact"/>
        <w:rPr>
          <w:sz w:val="20"/>
          <w:szCs w:val="20"/>
          <w:color w:val="auto"/>
        </w:rPr>
      </w:pPr>
    </w:p>
    <w:p>
      <w:pPr>
        <w:ind w:firstLine="556"/>
        <w:spacing w:after="0" w:line="286" w:lineRule="auto"/>
        <w:rPr>
          <w:sz w:val="20"/>
          <w:szCs w:val="20"/>
          <w:color w:val="auto"/>
        </w:rPr>
      </w:pPr>
      <w:r>
        <w:rPr>
          <w:rFonts w:ascii="Arial" w:cs="Arial" w:eastAsia="Arial" w:hAnsi="Arial"/>
          <w:sz w:val="14"/>
          <w:szCs w:val="14"/>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1" w:name="page12"/>
    <w:bookmarkEnd w:id="1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recognized as losses in the consolidated statement of operations, but is recognized in other comprehensive income.</w:t>
      </w:r>
    </w:p>
    <w:p>
      <w:pPr>
        <w:spacing w:after="0" w:line="198" w:lineRule="exact"/>
        <w:rPr>
          <w:sz w:val="20"/>
          <w:szCs w:val="20"/>
          <w:color w:val="auto"/>
        </w:rPr>
      </w:pPr>
    </w:p>
    <w:p>
      <w:pPr>
        <w:ind w:firstLine="556"/>
        <w:spacing w:after="0" w:line="273" w:lineRule="auto"/>
        <w:rPr>
          <w:sz w:val="20"/>
          <w:szCs w:val="20"/>
          <w:color w:val="auto"/>
        </w:rPr>
      </w:pPr>
      <w:r>
        <w:rPr>
          <w:rFonts w:ascii="Arial" w:cs="Arial" w:eastAsia="Arial" w:hAnsi="Arial"/>
          <w:sz w:val="15"/>
          <w:szCs w:val="15"/>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Level I – Quoted price in active markets for identical assets and liabilities.</w:t>
      </w:r>
    </w:p>
    <w:p>
      <w:pPr>
        <w:spacing w:after="0" w:line="198" w:lineRule="exact"/>
        <w:rPr>
          <w:sz w:val="20"/>
          <w:szCs w:val="20"/>
          <w:color w:val="auto"/>
        </w:rPr>
      </w:pPr>
    </w:p>
    <w:p>
      <w:pPr>
        <w:ind w:left="540" w:right="420"/>
        <w:spacing w:after="0" w:line="273" w:lineRule="auto"/>
        <w:rPr>
          <w:sz w:val="20"/>
          <w:szCs w:val="20"/>
          <w:color w:val="auto"/>
        </w:rPr>
      </w:pPr>
      <w:r>
        <w:rPr>
          <w:rFonts w:ascii="Arial" w:cs="Arial" w:eastAsia="Arial" w:hAnsi="Arial"/>
          <w:sz w:val="15"/>
          <w:szCs w:val="15"/>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53" w:lineRule="exact"/>
        <w:rPr>
          <w:sz w:val="20"/>
          <w:szCs w:val="20"/>
          <w:color w:val="auto"/>
        </w:rPr>
      </w:pPr>
    </w:p>
    <w:p>
      <w:pPr>
        <w:ind w:left="540" w:right="40"/>
        <w:spacing w:after="0" w:line="268" w:lineRule="auto"/>
        <w:rPr>
          <w:sz w:val="20"/>
          <w:szCs w:val="20"/>
          <w:color w:val="auto"/>
        </w:rPr>
      </w:pPr>
      <w:r>
        <w:rPr>
          <w:rFonts w:ascii="Arial" w:cs="Arial" w:eastAsia="Arial" w:hAnsi="Arial"/>
          <w:sz w:val="15"/>
          <w:szCs w:val="15"/>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Fair Value of Other Financial Instruments:</w:t>
      </w:r>
    </w:p>
    <w:p>
      <w:pPr>
        <w:spacing w:after="0" w:line="198" w:lineRule="exact"/>
        <w:rPr>
          <w:sz w:val="20"/>
          <w:szCs w:val="20"/>
          <w:color w:val="auto"/>
        </w:rPr>
      </w:pPr>
    </w:p>
    <w:p>
      <w:pPr>
        <w:ind w:firstLine="556"/>
        <w:spacing w:after="0" w:line="268" w:lineRule="auto"/>
        <w:rPr>
          <w:sz w:val="20"/>
          <w:szCs w:val="20"/>
          <w:color w:val="auto"/>
        </w:rPr>
      </w:pPr>
      <w:r>
        <w:rPr>
          <w:rFonts w:ascii="Arial" w:cs="Arial" w:eastAsia="Arial" w:hAnsi="Arial"/>
          <w:sz w:val="15"/>
          <w:szCs w:val="15"/>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$1,972 at September 30, 2017 and December 31, 2016.</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Reclassifications: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Certain amounts in the 2016 consolidated financial statements have been reclassified to conform to the 2017 presentation.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Revenue Recognition:</w:t>
      </w:r>
    </w:p>
    <w:p>
      <w:pPr>
        <w:spacing w:after="0" w:line="198" w:lineRule="exact"/>
        <w:rPr>
          <w:sz w:val="20"/>
          <w:szCs w:val="20"/>
          <w:color w:val="auto"/>
        </w:rPr>
      </w:pPr>
    </w:p>
    <w:p>
      <w:pPr>
        <w:ind w:firstLine="556"/>
        <w:spacing w:after="0" w:line="273" w:lineRule="auto"/>
        <w:rPr>
          <w:sz w:val="20"/>
          <w:szCs w:val="20"/>
          <w:color w:val="auto"/>
        </w:rPr>
      </w:pPr>
      <w:r>
        <w:rPr>
          <w:rFonts w:ascii="Arial" w:cs="Arial" w:eastAsia="Arial" w:hAnsi="Arial"/>
          <w:sz w:val="15"/>
          <w:szCs w:val="15"/>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53" w:lineRule="exact"/>
        <w:rPr>
          <w:sz w:val="20"/>
          <w:szCs w:val="20"/>
          <w:color w:val="auto"/>
        </w:rPr>
      </w:pPr>
    </w:p>
    <w:p>
      <w:pPr>
        <w:ind w:right="320" w:firstLine="556"/>
        <w:spacing w:after="0" w:line="273" w:lineRule="auto"/>
        <w:rPr>
          <w:sz w:val="20"/>
          <w:szCs w:val="20"/>
          <w:color w:val="auto"/>
        </w:rPr>
      </w:pPr>
      <w:r>
        <w:rPr>
          <w:rFonts w:ascii="Arial" w:cs="Arial" w:eastAsia="Arial" w:hAnsi="Arial"/>
          <w:sz w:val="15"/>
          <w:szCs w:val="15"/>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Policy Acquisition Costs:</w:t>
      </w:r>
    </w:p>
    <w:p>
      <w:pPr>
        <w:spacing w:after="0" w:line="198" w:lineRule="exact"/>
        <w:rPr>
          <w:sz w:val="20"/>
          <w:szCs w:val="20"/>
          <w:color w:val="auto"/>
        </w:rPr>
      </w:pPr>
    </w:p>
    <w:p>
      <w:pPr>
        <w:ind w:right="140" w:firstLine="556"/>
        <w:spacing w:after="0" w:line="268" w:lineRule="auto"/>
        <w:rPr>
          <w:sz w:val="20"/>
          <w:szCs w:val="20"/>
          <w:color w:val="auto"/>
        </w:rPr>
      </w:pPr>
      <w:r>
        <w:rPr>
          <w:rFonts w:ascii="Arial" w:cs="Arial" w:eastAsia="Arial" w:hAnsi="Arial"/>
          <w:sz w:val="15"/>
          <w:szCs w:val="15"/>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Property and Equipment: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report property and equipment at cost less accumulated depreciation. Depreciation is computed using the straight-line method based upon the estimated useful lives of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assets.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80"/>
          </w:cols>
          <w:pgMar w:left="240" w:top="222" w:right="279" w:bottom="1440" w:gutter="0" w:footer="0" w:header="0"/>
        </w:sectPr>
      </w:pPr>
    </w:p>
    <w:bookmarkStart w:id="12" w:name="page13"/>
    <w:bookmarkEnd w:id="1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Losses and Loss Adjustment Expenses:</w:t>
      </w:r>
    </w:p>
    <w:p>
      <w:pPr>
        <w:spacing w:after="0" w:line="198" w:lineRule="exact"/>
        <w:rPr>
          <w:sz w:val="20"/>
          <w:szCs w:val="20"/>
          <w:color w:val="auto"/>
        </w:rPr>
      </w:pPr>
    </w:p>
    <w:p>
      <w:pPr>
        <w:ind w:firstLine="556"/>
        <w:spacing w:after="0" w:line="264" w:lineRule="auto"/>
        <w:rPr>
          <w:sz w:val="20"/>
          <w:szCs w:val="20"/>
          <w:color w:val="auto"/>
        </w:rPr>
      </w:pPr>
      <w:r>
        <w:rPr>
          <w:rFonts w:ascii="Arial" w:cs="Arial" w:eastAsia="Arial" w:hAnsi="Arial"/>
          <w:sz w:val="15"/>
          <w:szCs w:val="15"/>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59" w:lineRule="exact"/>
        <w:rPr>
          <w:sz w:val="20"/>
          <w:szCs w:val="20"/>
          <w:color w:val="auto"/>
        </w:rPr>
      </w:pPr>
    </w:p>
    <w:p>
      <w:pPr>
        <w:ind w:right="140" w:firstLine="556"/>
        <w:spacing w:after="0" w:line="286" w:lineRule="auto"/>
        <w:rPr>
          <w:sz w:val="20"/>
          <w:szCs w:val="20"/>
          <w:color w:val="auto"/>
        </w:rPr>
      </w:pPr>
      <w:r>
        <w:rPr>
          <w:rFonts w:ascii="Arial" w:cs="Arial" w:eastAsia="Arial" w:hAnsi="Arial"/>
          <w:sz w:val="14"/>
          <w:szCs w:val="14"/>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claims and loss adjustment expenses on the basis of historical information by line of insurance. We account for inflation in the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46" w:lineRule="exact"/>
        <w:rPr>
          <w:sz w:val="20"/>
          <w:szCs w:val="20"/>
          <w:color w:val="auto"/>
        </w:rPr>
      </w:pPr>
    </w:p>
    <w:p>
      <w:pPr>
        <w:ind w:right="100" w:firstLine="556"/>
        <w:spacing w:after="0" w:line="284" w:lineRule="auto"/>
        <w:rPr>
          <w:sz w:val="20"/>
          <w:szCs w:val="20"/>
          <w:color w:val="auto"/>
        </w:rPr>
      </w:pPr>
      <w:r>
        <w:rPr>
          <w:rFonts w:ascii="Arial" w:cs="Arial" w:eastAsia="Arial" w:hAnsi="Arial"/>
          <w:sz w:val="14"/>
          <w:szCs w:val="14"/>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Income Taxes:</w:t>
      </w:r>
    </w:p>
    <w:p>
      <w:pPr>
        <w:spacing w:after="0" w:line="198" w:lineRule="exact"/>
        <w:rPr>
          <w:sz w:val="20"/>
          <w:szCs w:val="20"/>
          <w:color w:val="auto"/>
        </w:rPr>
      </w:pPr>
    </w:p>
    <w:p>
      <w:pPr>
        <w:jc w:val="both"/>
        <w:ind w:right="360" w:firstLine="556"/>
        <w:spacing w:after="0" w:line="273" w:lineRule="auto"/>
        <w:rPr>
          <w:sz w:val="20"/>
          <w:szCs w:val="20"/>
          <w:color w:val="auto"/>
        </w:rPr>
      </w:pPr>
      <w:r>
        <w:rPr>
          <w:rFonts w:ascii="Arial" w:cs="Arial" w:eastAsia="Arial" w:hAnsi="Arial"/>
          <w:sz w:val="15"/>
          <w:szCs w:val="15"/>
          <w:color w:val="auto"/>
        </w:rPr>
        <w:t>With the exception of Battle Creek, which files a stand-alone federal income tax return, we file a consolidated federal income tax return. For the year ended December 31, 2016, the consolidated federal income tax return included Nodak Mutual Insurance Company and its owned subsidiaries. For the year ended December 31, 2017, the consolidated federal income tax return will include NI Holdings, Inc. and its owned subsidiaries.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reports any tax related interest and penalties as part of income tax expense in the year such amounts are determinable.</w:t>
      </w:r>
    </w:p>
    <w:p>
      <w:pPr>
        <w:spacing w:after="0" w:line="198" w:lineRule="exact"/>
        <w:rPr>
          <w:sz w:val="20"/>
          <w:szCs w:val="20"/>
          <w:color w:val="auto"/>
        </w:rPr>
      </w:pPr>
    </w:p>
    <w:p>
      <w:pPr>
        <w:ind w:right="180" w:firstLine="556"/>
        <w:spacing w:after="0" w:line="273" w:lineRule="auto"/>
        <w:rPr>
          <w:sz w:val="20"/>
          <w:szCs w:val="20"/>
          <w:color w:val="auto"/>
        </w:rPr>
      </w:pPr>
      <w:r>
        <w:rPr>
          <w:rFonts w:ascii="Arial" w:cs="Arial" w:eastAsia="Arial" w:hAnsi="Arial"/>
          <w:sz w:val="15"/>
          <w:szCs w:val="15"/>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Credit Risk:</w:t>
      </w:r>
    </w:p>
    <w:p>
      <w:pPr>
        <w:spacing w:after="0" w:line="198"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Our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56" w:lineRule="exact"/>
        <w:rPr>
          <w:sz w:val="20"/>
          <w:szCs w:val="20"/>
          <w:color w:val="auto"/>
        </w:rPr>
      </w:pPr>
    </w:p>
    <w:p>
      <w:pPr>
        <w:ind w:right="160" w:firstLine="556"/>
        <w:spacing w:after="0" w:line="289" w:lineRule="auto"/>
        <w:rPr>
          <w:sz w:val="20"/>
          <w:szCs w:val="20"/>
          <w:color w:val="auto"/>
        </w:rPr>
      </w:pPr>
      <w:r>
        <w:rPr>
          <w:rFonts w:ascii="Arial" w:cs="Arial" w:eastAsia="Arial" w:hAnsi="Arial"/>
          <w:sz w:val="15"/>
          <w:szCs w:val="15"/>
          <w:color w:val="auto"/>
        </w:rPr>
        <w:t>Property and liability insurance coverages are marketed through captive agents in North Dakota and through independent insurance agencies located throughout all operating areas. All business is billed directly to policyholders.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maintain cash balances primarily at one bank, which are insured by the Federal Deposit Insurance Corporation (“FDIC”)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3" w:name="page14"/>
    <w:bookmarkEnd w:id="13"/>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jc w:val="both"/>
        <w:ind w:left="7" w:right="40"/>
        <w:spacing w:after="0" w:line="273" w:lineRule="auto"/>
        <w:rPr>
          <w:sz w:val="20"/>
          <w:szCs w:val="20"/>
          <w:color w:val="auto"/>
        </w:rPr>
      </w:pPr>
      <w:r>
        <w:rPr>
          <w:rFonts w:ascii="Arial" w:cs="Arial" w:eastAsia="Arial" w:hAnsi="Arial"/>
          <w:sz w:val="15"/>
          <w:szCs w:val="15"/>
          <w:color w:val="auto"/>
        </w:rPr>
        <w:t>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i w:val="1"/>
          <w:iCs w:val="1"/>
          <w:u w:val="single" w:color="auto"/>
          <w:color w:val="auto"/>
        </w:rPr>
        <w:t>Reinsurance:</w:t>
      </w:r>
    </w:p>
    <w:p>
      <w:pPr>
        <w:spacing w:after="0" w:line="198" w:lineRule="exact"/>
        <w:rPr>
          <w:sz w:val="20"/>
          <w:szCs w:val="20"/>
          <w:color w:val="auto"/>
        </w:rPr>
      </w:pPr>
    </w:p>
    <w:p>
      <w:pPr>
        <w:ind w:left="7" w:right="80" w:firstLine="556"/>
        <w:spacing w:after="0" w:line="273" w:lineRule="auto"/>
        <w:rPr>
          <w:sz w:val="20"/>
          <w:szCs w:val="20"/>
          <w:color w:val="auto"/>
        </w:rPr>
      </w:pPr>
      <w:r>
        <w:rPr>
          <w:rFonts w:ascii="Arial" w:cs="Arial" w:eastAsia="Arial" w:hAnsi="Arial"/>
          <w:sz w:val="15"/>
          <w:szCs w:val="15"/>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53" w:lineRule="exact"/>
        <w:rPr>
          <w:sz w:val="20"/>
          <w:szCs w:val="20"/>
          <w:color w:val="auto"/>
        </w:rPr>
      </w:pPr>
    </w:p>
    <w:p>
      <w:pPr>
        <w:ind w:left="7" w:right="180" w:firstLine="556"/>
        <w:spacing w:after="0" w:line="289" w:lineRule="auto"/>
        <w:rPr>
          <w:sz w:val="20"/>
          <w:szCs w:val="20"/>
          <w:color w:val="auto"/>
        </w:rPr>
      </w:pPr>
      <w:r>
        <w:rPr>
          <w:rFonts w:ascii="Arial" w:cs="Arial" w:eastAsia="Arial" w:hAnsi="Arial"/>
          <w:sz w:val="15"/>
          <w:szCs w:val="15"/>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41" w:lineRule="exact"/>
        <w:rPr>
          <w:sz w:val="20"/>
          <w:szCs w:val="20"/>
          <w:color w:val="auto"/>
        </w:rPr>
      </w:pPr>
    </w:p>
    <w:p>
      <w:pPr>
        <w:ind w:left="547"/>
        <w:spacing w:after="0"/>
        <w:rPr>
          <w:sz w:val="20"/>
          <w:szCs w:val="20"/>
          <w:color w:val="auto"/>
        </w:rPr>
      </w:pPr>
      <w:r>
        <w:rPr>
          <w:rFonts w:ascii="Arial" w:cs="Arial" w:eastAsia="Arial" w:hAnsi="Arial"/>
          <w:sz w:val="15"/>
          <w:szCs w:val="15"/>
          <w:i w:val="1"/>
          <w:iCs w:val="1"/>
          <w:u w:val="single" w:color="auto"/>
          <w:color w:val="auto"/>
        </w:rPr>
        <w:t>Goodwill and Other Intangible Assets:</w:t>
      </w:r>
    </w:p>
    <w:p>
      <w:pPr>
        <w:spacing w:after="0" w:line="198" w:lineRule="exact"/>
        <w:rPr>
          <w:sz w:val="20"/>
          <w:szCs w:val="20"/>
          <w:color w:val="auto"/>
        </w:rPr>
      </w:pPr>
    </w:p>
    <w:p>
      <w:pPr>
        <w:ind w:left="7" w:right="40" w:firstLine="556"/>
        <w:spacing w:after="0" w:line="286" w:lineRule="auto"/>
        <w:rPr>
          <w:sz w:val="20"/>
          <w:szCs w:val="20"/>
          <w:color w:val="auto"/>
        </w:rPr>
      </w:pPr>
      <w:r>
        <w:rPr>
          <w:rFonts w:ascii="Arial" w:cs="Arial" w:eastAsia="Arial" w:hAnsi="Arial"/>
          <w:sz w:val="14"/>
          <w:szCs w:val="14"/>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nine months ended September 30, 2017, or the year ended December 31, 2016.</w:t>
      </w:r>
    </w:p>
    <w:p>
      <w:pPr>
        <w:spacing w:after="0" w:line="146" w:lineRule="exact"/>
        <w:rPr>
          <w:sz w:val="20"/>
          <w:szCs w:val="20"/>
          <w:color w:val="auto"/>
        </w:rPr>
      </w:pPr>
    </w:p>
    <w:p>
      <w:pPr>
        <w:ind w:left="7" w:right="80" w:firstLine="556"/>
        <w:spacing w:after="0" w:line="265" w:lineRule="auto"/>
        <w:rPr>
          <w:sz w:val="20"/>
          <w:szCs w:val="20"/>
          <w:color w:val="auto"/>
        </w:rPr>
      </w:pPr>
      <w:r>
        <w:rPr>
          <w:rFonts w:ascii="Arial" w:cs="Arial" w:eastAsia="Arial" w:hAnsi="Arial"/>
          <w:sz w:val="15"/>
          <w:szCs w:val="15"/>
          <w:color w:val="auto"/>
        </w:rPr>
        <w:t>Goodwill representing the excess of the purchase price over the fair value of the net assets acquired is reported separately in the consolidated balance sheet.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54" w:lineRule="exact"/>
        <w:rPr>
          <w:sz w:val="20"/>
          <w:szCs w:val="20"/>
          <w:color w:val="auto"/>
        </w:rPr>
      </w:pPr>
    </w:p>
    <w:p>
      <w:pPr>
        <w:ind w:left="547" w:hanging="547"/>
        <w:spacing w:after="0"/>
        <w:tabs>
          <w:tab w:leader="none" w:pos="547"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w:t>
      </w:r>
    </w:p>
    <w:p>
      <w:pPr>
        <w:spacing w:after="0" w:line="204" w:lineRule="exact"/>
        <w:rPr>
          <w:sz w:val="20"/>
          <w:szCs w:val="20"/>
          <w:color w:val="auto"/>
        </w:rPr>
      </w:pPr>
    </w:p>
    <w:p>
      <w:pPr>
        <w:jc w:val="center"/>
        <w:ind w:right="13"/>
        <w:spacing w:after="0"/>
        <w:rPr>
          <w:sz w:val="20"/>
          <w:szCs w:val="20"/>
          <w:color w:val="auto"/>
        </w:rPr>
      </w:pPr>
      <w:r>
        <w:rPr>
          <w:rFonts w:ascii="Arial" w:cs="Arial" w:eastAsia="Arial" w:hAnsi="Arial"/>
          <w:sz w:val="15"/>
          <w:szCs w:val="15"/>
          <w:color w:val="auto"/>
        </w:rPr>
        <w:t>As an emerging growth company, we have elected to use the extended transition period for complying with any new or revised financial accounting standards pursuant</w:t>
      </w:r>
    </w:p>
    <w:p>
      <w:pPr>
        <w:spacing w:after="0" w:line="23" w:lineRule="exact"/>
        <w:rPr>
          <w:sz w:val="20"/>
          <w:szCs w:val="20"/>
          <w:color w:val="auto"/>
        </w:rPr>
      </w:pPr>
    </w:p>
    <w:p>
      <w:pPr>
        <w:ind w:left="7" w:right="240"/>
        <w:spacing w:after="0" w:line="275" w:lineRule="auto"/>
        <w:rPr>
          <w:sz w:val="20"/>
          <w:szCs w:val="20"/>
          <w:color w:val="auto"/>
        </w:rPr>
      </w:pPr>
      <w:r>
        <w:rPr>
          <w:rFonts w:ascii="Arial" w:cs="Arial" w:eastAsia="Arial" w:hAnsi="Arial"/>
          <w:sz w:val="15"/>
          <w:szCs w:val="15"/>
          <w:color w:val="auto"/>
        </w:rPr>
        <w:t>to Section 13(a) of the Exchange Act. The following discussion includes effective dates for both public business entities and emerging growth companies, as well as whether specific guidance may be adopted early.</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Adopted</w:t>
      </w:r>
    </w:p>
    <w:p>
      <w:pPr>
        <w:spacing w:after="0" w:line="198" w:lineRule="exact"/>
        <w:rPr>
          <w:sz w:val="20"/>
          <w:szCs w:val="20"/>
          <w:color w:val="auto"/>
        </w:rPr>
      </w:pPr>
    </w:p>
    <w:p>
      <w:pPr>
        <w:ind w:left="7" w:firstLine="556"/>
        <w:spacing w:after="0" w:line="262" w:lineRule="auto"/>
        <w:rPr>
          <w:sz w:val="20"/>
          <w:szCs w:val="20"/>
          <w:color w:val="auto"/>
        </w:rPr>
      </w:pPr>
      <w:r>
        <w:rPr>
          <w:rFonts w:ascii="Arial" w:cs="Arial" w:eastAsia="Arial" w:hAnsi="Arial"/>
          <w:sz w:val="15"/>
          <w:szCs w:val="15"/>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This guidance is effective for annual and interim reporting periods beginning after December 15, 2019 for public business entities. For private companies and emerging growth companies, this guidance is also effective for annual and interim reporting periods beginning after December 15, 2019. Early adoption is permitted for all entities beginning in 2017. The Company has early adopted this guidance on a prospective basis as a change in accounting principle, therefore at the date of adoption there is no impact to the Company’s financial position or results of operations.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Not Yet Adopted</w:t>
      </w:r>
    </w:p>
    <w:p>
      <w:pPr>
        <w:spacing w:after="0" w:line="198"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May 2014, the FASB issued guidance that establishes the manner in which</w:t>
      </w:r>
    </w:p>
    <w:p>
      <w:pPr>
        <w:spacing w:after="0" w:line="198"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7"/>
          </w:cols>
          <w:pgMar w:left="233" w:top="222" w:right="219" w:bottom="1440" w:gutter="0" w:footer="0" w:header="0"/>
        </w:sectPr>
      </w:pPr>
    </w:p>
    <w:bookmarkStart w:id="14" w:name="page15"/>
    <w:bookmarkEnd w:id="1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an entity recognizes the amount of revenue to which it expects to be entitled for the transfer of promised goods or services to customers. While the guidance will replace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this guidance will have no impact on our financial position, results of operations, or cash flows.</w:t>
      </w:r>
    </w:p>
    <w:p>
      <w:pPr>
        <w:spacing w:after="0" w:line="159" w:lineRule="exact"/>
        <w:rPr>
          <w:sz w:val="20"/>
          <w:szCs w:val="20"/>
          <w:color w:val="auto"/>
        </w:rPr>
      </w:pPr>
    </w:p>
    <w:p>
      <w:pPr>
        <w:ind w:firstLine="556"/>
        <w:spacing w:after="0" w:line="263" w:lineRule="auto"/>
        <w:rPr>
          <w:sz w:val="20"/>
          <w:szCs w:val="20"/>
          <w:color w:val="auto"/>
        </w:rPr>
      </w:pPr>
      <w:r>
        <w:rPr>
          <w:rFonts w:ascii="Arial" w:cs="Arial" w:eastAsia="Arial" w:hAnsi="Arial"/>
          <w:sz w:val="15"/>
          <w:szCs w:val="15"/>
          <w:color w:val="auto"/>
        </w:rPr>
        <w:t>In January 2016, the FASB issued amended guidance that generally requires entities to measure equity securities at fair value and recognize changes in fair value in their results of operations. The amended guidance also simplifies the impairment assessment of equity securities without readily determinable fair values by requiring entities to perform a qualitative assessment to identify impairment. The FASB issued other disclosure and presentation improvements related to financial instruments within the guidance.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We are evaluating the requirements of this amended measurement and classification of financial instruments guidance and the potential impact on our financial position, results of operations, and cash flows.</w:t>
      </w:r>
    </w:p>
    <w:p>
      <w:pPr>
        <w:spacing w:after="0" w:line="159" w:lineRule="exact"/>
        <w:rPr>
          <w:sz w:val="20"/>
          <w:szCs w:val="20"/>
          <w:color w:val="auto"/>
        </w:rPr>
      </w:pPr>
    </w:p>
    <w:p>
      <w:pPr>
        <w:ind w:right="40" w:firstLine="556"/>
        <w:spacing w:after="0" w:line="289" w:lineRule="auto"/>
        <w:rPr>
          <w:sz w:val="20"/>
          <w:szCs w:val="20"/>
          <w:color w:val="auto"/>
        </w:rPr>
      </w:pPr>
      <w:r>
        <w:rPr>
          <w:rFonts w:ascii="Arial" w:cs="Arial" w:eastAsia="Arial" w:hAnsi="Arial"/>
          <w:sz w:val="14"/>
          <w:szCs w:val="14"/>
          <w:color w:val="auto"/>
        </w:rPr>
        <w:t>In February 2016, the FASB issued new guidance that requires lessees to recognize leases, including operating leases, on the lessee’s balance sheet, unless a lease is considered a short-term lease. The new guidance also requires entities to make new judgments to identify leases.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43" w:lineRule="exact"/>
        <w:rPr>
          <w:sz w:val="20"/>
          <w:szCs w:val="20"/>
          <w:color w:val="auto"/>
        </w:rPr>
      </w:pPr>
    </w:p>
    <w:p>
      <w:pPr>
        <w:ind w:right="20" w:firstLine="556"/>
        <w:spacing w:after="0" w:line="280" w:lineRule="auto"/>
        <w:rPr>
          <w:sz w:val="20"/>
          <w:szCs w:val="20"/>
          <w:color w:val="auto"/>
        </w:rPr>
      </w:pPr>
      <w:r>
        <w:rPr>
          <w:rFonts w:ascii="Arial" w:cs="Arial" w:eastAsia="Arial" w:hAnsi="Arial"/>
          <w:sz w:val="14"/>
          <w:szCs w:val="14"/>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55" w:lineRule="exact"/>
        <w:rPr>
          <w:sz w:val="20"/>
          <w:szCs w:val="20"/>
          <w:color w:val="auto"/>
        </w:rPr>
      </w:pPr>
    </w:p>
    <w:p>
      <w:pPr>
        <w:ind w:right="20" w:firstLine="556"/>
        <w:spacing w:after="0" w:line="282" w:lineRule="auto"/>
        <w:rPr>
          <w:sz w:val="20"/>
          <w:szCs w:val="20"/>
          <w:color w:val="auto"/>
        </w:rPr>
      </w:pPr>
      <w:r>
        <w:rPr>
          <w:rFonts w:ascii="Arial" w:cs="Arial" w:eastAsia="Arial" w:hAnsi="Arial"/>
          <w:sz w:val="14"/>
          <w:szCs w:val="14"/>
          <w:color w:val="auto"/>
        </w:rPr>
        <w:t>In August and November 2016, the FASB issued amended guidance on the presentation and classification of various items in the statement of cash flows. The amendments address specific cash flow issues, including debt prepayments and contingent consideration payments made after a business combination. The amended guidance also requires the statement of cash flows to explain the change during the period in the total of cash, cash equivalents, and amounts generally described as restricted cash or restricted cash equivalents. Currently, the statement of cash flows only explains the change in cash and cash equivalents.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not have an impact on our financial position or results of operations. We are evaluating the impact this amended guidance will have on our statement of cash flows.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5" w:name="page16"/>
    <w:bookmarkEnd w:id="1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ind w:firstLine="556"/>
        <w:spacing w:after="0" w:line="263" w:lineRule="auto"/>
        <w:rPr>
          <w:sz w:val="20"/>
          <w:szCs w:val="20"/>
          <w:color w:val="auto"/>
        </w:rPr>
      </w:pPr>
      <w:r>
        <w:rPr>
          <w:rFonts w:ascii="Arial" w:cs="Arial" w:eastAsia="Arial" w:hAnsi="Arial"/>
          <w:sz w:val="15"/>
          <w:szCs w:val="15"/>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280"/>
          </w:cols>
          <w:pgMar w:left="240" w:top="222" w:right="379" w:bottom="1440" w:gutter="0" w:footer="0" w:header="0"/>
        </w:sectPr>
      </w:pPr>
    </w:p>
    <w:bookmarkStart w:id="16" w:name="page17"/>
    <w:bookmarkEnd w:id="16"/>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(dollar amounts in thousands)</w:t>
      </w:r>
    </w:p>
    <w:p>
      <w:pPr>
        <w:spacing w:after="0" w:line="367" w:lineRule="exact"/>
        <w:rPr>
          <w:sz w:val="20"/>
          <w:szCs w:val="20"/>
          <w:color w:val="auto"/>
        </w:rPr>
      </w:pPr>
    </w:p>
    <w:p>
      <w:pPr>
        <w:ind w:left="547" w:hanging="547"/>
        <w:spacing w:after="0"/>
        <w:tabs>
          <w:tab w:leader="none" w:pos="547"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5"/>
          <w:szCs w:val="15"/>
          <w:color w:val="auto"/>
        </w:rPr>
        <w:t>The following tables show the cost or amortized cost, gross unrealized gains and losses, and fair value of the Company’s fixed income and equity securities:</w:t>
      </w:r>
    </w:p>
    <w:p>
      <w:pPr>
        <w:spacing w:after="0" w:line="111"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9"/>
          </w:tcPr>
          <w:p>
            <w:pPr>
              <w:jc w:val="right"/>
              <w:ind w:right="783"/>
              <w:spacing w:after="0"/>
              <w:rPr>
                <w:sz w:val="20"/>
                <w:szCs w:val="20"/>
                <w:color w:val="auto"/>
              </w:rPr>
            </w:pPr>
            <w:r>
              <w:rPr>
                <w:rFonts w:ascii="Arial" w:cs="Arial" w:eastAsia="Arial" w:hAnsi="Arial"/>
                <w:sz w:val="15"/>
                <w:szCs w:val="15"/>
                <w:b w:val="1"/>
                <w:bCs w:val="1"/>
                <w:color w:val="auto"/>
              </w:rPr>
              <w:t>September 30, 2017</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center"/>
              <w:ind w:right="300"/>
              <w:spacing w:after="0" w:line="161" w:lineRule="exact"/>
              <w:rPr>
                <w:sz w:val="20"/>
                <w:szCs w:val="20"/>
                <w:color w:val="auto"/>
              </w:rPr>
            </w:pPr>
            <w:r>
              <w:rPr>
                <w:rFonts w:ascii="Arial" w:cs="Arial" w:eastAsia="Arial" w:hAnsi="Arial"/>
                <w:sz w:val="15"/>
                <w:szCs w:val="15"/>
                <w:b w:val="1"/>
                <w:bCs w:val="1"/>
                <w:color w:val="auto"/>
                <w:w w:val="91"/>
              </w:rPr>
              <w:t>Cost 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5"/>
              </w:rPr>
              <w:t>Amortized</w:t>
            </w:r>
          </w:p>
        </w:tc>
        <w:tc>
          <w:tcPr>
            <w:tcW w:w="80" w:type="dxa"/>
            <w:vAlign w:val="bottom"/>
          </w:tcPr>
          <w:p>
            <w:pPr>
              <w:spacing w:after="0"/>
              <w:rPr>
                <w:sz w:val="16"/>
                <w:szCs w:val="16"/>
                <w:color w:val="auto"/>
              </w:rPr>
            </w:pPr>
          </w:p>
        </w:tc>
        <w:tc>
          <w:tcPr>
            <w:tcW w:w="1280" w:type="dxa"/>
            <w:vAlign w:val="bottom"/>
            <w:gridSpan w:val="5"/>
          </w:tcPr>
          <w:p>
            <w:pPr>
              <w:spacing w:after="0"/>
              <w:rPr>
                <w:sz w:val="20"/>
                <w:szCs w:val="20"/>
                <w:color w:val="auto"/>
              </w:rPr>
            </w:pPr>
            <w:r>
              <w:rPr>
                <w:rFonts w:ascii="Arial" w:cs="Arial" w:eastAsia="Arial" w:hAnsi="Arial"/>
                <w:sz w:val="15"/>
                <w:szCs w:val="15"/>
                <w:b w:val="1"/>
                <w:bCs w:val="1"/>
                <w:color w:val="auto"/>
              </w:rPr>
              <w:t>Gross Unrealized</w:t>
            </w:r>
          </w:p>
        </w:tc>
        <w:tc>
          <w:tcPr>
            <w:tcW w:w="10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Arial" w:cs="Arial" w:eastAsia="Arial" w:hAnsi="Arial"/>
                <w:sz w:val="15"/>
                <w:szCs w:val="15"/>
                <w:b w:val="1"/>
                <w:bCs w:val="1"/>
                <w:color w:val="auto"/>
              </w:rPr>
              <w:t>Gross Unrealized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89"/>
              </w:rPr>
              <w:t>Cost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5"/>
                <w:szCs w:val="15"/>
                <w:b w:val="1"/>
                <w:bCs w:val="1"/>
                <w:color w:val="auto"/>
              </w:rPr>
              <w:t>Gains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523"/>
              <w:spacing w:after="0"/>
              <w:rPr>
                <w:sz w:val="20"/>
                <w:szCs w:val="20"/>
                <w:color w:val="auto"/>
              </w:rPr>
            </w:pPr>
            <w:r>
              <w:rPr>
                <w:rFonts w:ascii="Arial" w:cs="Arial" w:eastAsia="Arial" w:hAnsi="Arial"/>
                <w:sz w:val="15"/>
                <w:szCs w:val="15"/>
                <w:b w:val="1"/>
                <w:bCs w:val="1"/>
                <w:color w:val="auto"/>
              </w:rPr>
              <w:t>Losses</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1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U.S. Government and agencies</w:t>
            </w:r>
          </w:p>
        </w:tc>
        <w:tc>
          <w:tcPr>
            <w:tcW w:w="1880" w:type="dxa"/>
            <w:vAlign w:val="bottom"/>
            <w:gridSpan w:val="2"/>
          </w:tcPr>
          <w:p>
            <w:pPr>
              <w:ind w:left="1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6,796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tcPr>
          <w:p>
            <w:pPr>
              <w:ind w:left="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6"/>
                <w:szCs w:val="16"/>
                <w:color w:val="auto"/>
              </w:rPr>
            </w:pPr>
          </w:p>
        </w:tc>
        <w:tc>
          <w:tcPr>
            <w:tcW w:w="320" w:type="dxa"/>
            <w:vAlign w:val="bottom"/>
            <w:gridSpan w:val="3"/>
          </w:tcPr>
          <w:p>
            <w:pPr>
              <w:ind w:left="100"/>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103"/>
              <w:spacing w:after="0"/>
              <w:rPr>
                <w:sz w:val="20"/>
                <w:szCs w:val="20"/>
                <w:color w:val="auto"/>
              </w:rPr>
            </w:pPr>
            <w:r>
              <w:rPr>
                <w:rFonts w:ascii="Arial" w:cs="Arial" w:eastAsia="Arial" w:hAnsi="Arial"/>
                <w:sz w:val="15"/>
                <w:szCs w:val="15"/>
                <w:color w:val="auto"/>
              </w:rPr>
              <w:t>(35)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6,984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Obligations of states and political subdivisions</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82,429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(109)</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84,221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Corporate securities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90,089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1,051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103"/>
              <w:spacing w:after="0"/>
              <w:rPr>
                <w:sz w:val="20"/>
                <w:szCs w:val="20"/>
                <w:color w:val="auto"/>
              </w:rPr>
            </w:pPr>
            <w:r>
              <w:rPr>
                <w:rFonts w:ascii="Arial" w:cs="Arial" w:eastAsia="Arial" w:hAnsi="Arial"/>
                <w:sz w:val="15"/>
                <w:szCs w:val="15"/>
                <w:color w:val="auto"/>
              </w:rPr>
              <w:t>(57)</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91,083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Residential mortgage-backed securities</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31,707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(143)</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31,773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Commercial mortgage-backed securities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103"/>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7,571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Asset-backed securities</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15,748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(21)</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15,757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Total fixed income securities</w:t>
            </w:r>
          </w:p>
        </w:tc>
        <w:tc>
          <w:tcPr>
            <w:tcW w:w="17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234,252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3,514</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(377</w:t>
            </w:r>
          </w:p>
        </w:tc>
        <w:tc>
          <w:tcPr>
            <w:tcW w:w="240" w:type="dxa"/>
            <w:vAlign w:val="bottom"/>
            <w:tcBorders>
              <w:bottom w:val="single" w:sz="8" w:color="CCEEFF"/>
            </w:tcBorders>
            <w:gridSpan w:val="2"/>
          </w:tcPr>
          <w:p>
            <w:pPr>
              <w:jc w:val="right"/>
              <w:ind w:right="103"/>
              <w:spacing w:after="0"/>
              <w:rPr>
                <w:sz w:val="20"/>
                <w:szCs w:val="20"/>
                <w:color w:val="auto"/>
              </w:rPr>
            </w:pPr>
            <w:r>
              <w:rPr>
                <w:rFonts w:ascii="Arial" w:cs="Arial" w:eastAsia="Arial" w:hAnsi="Arial"/>
                <w:sz w:val="15"/>
                <w:szCs w:val="15"/>
                <w:color w:val="auto"/>
                <w:w w:val="79"/>
              </w:rPr>
              <w:t>)</w:t>
            </w: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237,389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Equity securities: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 materials</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(18)</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Communications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1,089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103"/>
              <w:spacing w:after="0"/>
              <w:rPr>
                <w:sz w:val="20"/>
                <w:szCs w:val="20"/>
                <w:color w:val="auto"/>
              </w:rPr>
            </w:pPr>
            <w:r>
              <w:rPr>
                <w:rFonts w:ascii="Arial" w:cs="Arial" w:eastAsia="Arial" w:hAnsi="Arial"/>
                <w:sz w:val="15"/>
                <w:szCs w:val="15"/>
                <w:color w:val="auto"/>
              </w:rPr>
              <w:t>(131)</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4,109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Consumer, cyclical</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(94)</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7,870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Consumer, non-cyclical</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3,546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103"/>
              <w:spacing w:after="0"/>
              <w:rPr>
                <w:sz w:val="20"/>
                <w:szCs w:val="20"/>
                <w:color w:val="auto"/>
              </w:rPr>
            </w:pPr>
            <w:r>
              <w:rPr>
                <w:rFonts w:ascii="Arial" w:cs="Arial" w:eastAsia="Arial" w:hAnsi="Arial"/>
                <w:sz w:val="15"/>
                <w:szCs w:val="15"/>
                <w:color w:val="auto"/>
              </w:rPr>
              <w:t>(130)</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9,766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Energy</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(190)</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Financial</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16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Industrial</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5,311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(74)</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Technology</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4,105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103"/>
              <w:spacing w:after="0"/>
              <w:rPr>
                <w:sz w:val="20"/>
                <w:szCs w:val="20"/>
                <w:color w:val="auto"/>
              </w:rPr>
            </w:pPr>
            <w:r>
              <w:rPr>
                <w:rFonts w:ascii="Arial" w:cs="Arial" w:eastAsia="Arial" w:hAnsi="Arial"/>
                <w:sz w:val="15"/>
                <w:szCs w:val="15"/>
                <w:color w:val="auto"/>
              </w:rPr>
              <w:t>(235)</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8,738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equity securities</w:t>
            </w:r>
          </w:p>
        </w:tc>
        <w:tc>
          <w:tcPr>
            <w:tcW w:w="1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28,809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15,900</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240" w:type="dxa"/>
            <w:vAlign w:val="bottom"/>
            <w:tcBorders>
              <w:top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5"/>
                <w:szCs w:val="15"/>
                <w:color w:val="auto"/>
                <w:w w:val="79"/>
              </w:rPr>
              <w:t>)</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43,837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tcPr>
          <w:p>
            <w:pPr>
              <w:ind w:left="260"/>
              <w:spacing w:after="0"/>
              <w:rPr>
                <w:sz w:val="20"/>
                <w:szCs w:val="20"/>
                <w:color w:val="auto"/>
              </w:rPr>
            </w:pPr>
            <w:r>
              <w:rPr>
                <w:rFonts w:ascii="Arial" w:cs="Arial" w:eastAsia="Arial" w:hAnsi="Arial"/>
                <w:sz w:val="15"/>
                <w:szCs w:val="15"/>
                <w:color w:val="auto"/>
              </w:rPr>
              <w:t>Total investments</w:t>
            </w:r>
          </w:p>
        </w:tc>
        <w:tc>
          <w:tcPr>
            <w:tcW w:w="1880" w:type="dxa"/>
            <w:vAlign w:val="bottom"/>
            <w:gridSpan w:val="2"/>
          </w:tcPr>
          <w:p>
            <w:pPr>
              <w:ind w:left="1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263,061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tcPr>
          <w:p>
            <w:pPr>
              <w:ind w:left="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19,414</w:t>
            </w:r>
          </w:p>
        </w:tc>
        <w:tc>
          <w:tcPr>
            <w:tcW w:w="100" w:type="dxa"/>
            <w:vAlign w:val="bottom"/>
          </w:tcPr>
          <w:p>
            <w:pPr>
              <w:spacing w:after="0"/>
              <w:rPr>
                <w:sz w:val="16"/>
                <w:szCs w:val="16"/>
                <w:color w:val="auto"/>
              </w:rPr>
            </w:pPr>
          </w:p>
        </w:tc>
        <w:tc>
          <w:tcPr>
            <w:tcW w:w="320" w:type="dxa"/>
            <w:vAlign w:val="bottom"/>
            <w:gridSpan w:val="3"/>
          </w:tcPr>
          <w:p>
            <w:pPr>
              <w:ind w:left="10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(1,249</w:t>
            </w:r>
          </w:p>
        </w:tc>
        <w:tc>
          <w:tcPr>
            <w:tcW w:w="240" w:type="dxa"/>
            <w:vAlign w:val="bottom"/>
            <w:gridSpan w:val="2"/>
          </w:tcPr>
          <w:p>
            <w:pPr>
              <w:jc w:val="right"/>
              <w:ind w:right="103"/>
              <w:spacing w:after="0"/>
              <w:rPr>
                <w:sz w:val="20"/>
                <w:szCs w:val="20"/>
                <w:color w:val="auto"/>
              </w:rPr>
            </w:pPr>
            <w:r>
              <w:rPr>
                <w:rFonts w:ascii="Arial" w:cs="Arial" w:eastAsia="Arial" w:hAnsi="Arial"/>
                <w:sz w:val="15"/>
                <w:szCs w:val="15"/>
                <w:color w:val="auto"/>
                <w:w w:val="79"/>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281,226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ind w:right="803"/>
              <w:spacing w:after="0"/>
              <w:rPr>
                <w:sz w:val="20"/>
                <w:szCs w:val="20"/>
                <w:color w:val="auto"/>
              </w:rPr>
            </w:pPr>
            <w:r>
              <w:rPr>
                <w:rFonts w:ascii="Arial" w:cs="Arial" w:eastAsia="Arial" w:hAnsi="Arial"/>
                <w:sz w:val="15"/>
                <w:szCs w:val="15"/>
                <w:b w:val="1"/>
                <w:bCs w:val="1"/>
                <w:color w:val="auto"/>
              </w:rPr>
              <w:t>December 31, 2016</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00" w:type="dxa"/>
            <w:vAlign w:val="bottom"/>
            <w:gridSpan w:val="4"/>
          </w:tcPr>
          <w:p>
            <w:pPr>
              <w:spacing w:after="0" w:line="161" w:lineRule="exact"/>
              <w:rPr>
                <w:sz w:val="20"/>
                <w:szCs w:val="20"/>
                <w:color w:val="auto"/>
              </w:rPr>
            </w:pPr>
            <w:r>
              <w:rPr>
                <w:rFonts w:ascii="Arial" w:cs="Arial" w:eastAsia="Arial" w:hAnsi="Arial"/>
                <w:sz w:val="15"/>
                <w:szCs w:val="15"/>
                <w:b w:val="1"/>
                <w:bCs w:val="1"/>
                <w:color w:val="auto"/>
                <w:w w:val="98"/>
              </w:rPr>
              <w:t>Cost or Amortized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tcPr>
          <w:p>
            <w:pPr>
              <w:spacing w:after="0" w:line="161" w:lineRule="exact"/>
              <w:rPr>
                <w:sz w:val="20"/>
                <w:szCs w:val="20"/>
                <w:color w:val="auto"/>
              </w:rPr>
            </w:pPr>
            <w:r>
              <w:rPr>
                <w:rFonts w:ascii="Arial" w:cs="Arial" w:eastAsia="Arial" w:hAnsi="Arial"/>
                <w:sz w:val="15"/>
                <w:szCs w:val="15"/>
                <w:b w:val="1"/>
                <w:bCs w:val="1"/>
                <w:color w:val="auto"/>
                <w:w w:val="98"/>
              </w:rPr>
              <w:t>Gross Unrealized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tcPr>
          <w:p>
            <w:pPr>
              <w:jc w:val="right"/>
              <w:ind w:right="143"/>
              <w:spacing w:after="0" w:line="161" w:lineRule="exact"/>
              <w:rPr>
                <w:sz w:val="20"/>
                <w:szCs w:val="20"/>
                <w:color w:val="auto"/>
              </w:rPr>
            </w:pPr>
            <w:r>
              <w:rPr>
                <w:rFonts w:ascii="Arial" w:cs="Arial" w:eastAsia="Arial" w:hAnsi="Arial"/>
                <w:sz w:val="15"/>
                <w:szCs w:val="15"/>
                <w:b w:val="1"/>
                <w:bCs w:val="1"/>
                <w:color w:val="auto"/>
                <w:w w:val="90"/>
              </w:rPr>
              <w:t>Gross Unrealized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ind w:left="300"/>
              <w:spacing w:after="0"/>
              <w:rPr>
                <w:sz w:val="20"/>
                <w:szCs w:val="20"/>
                <w:color w:val="auto"/>
              </w:rPr>
            </w:pPr>
            <w:r>
              <w:rPr>
                <w:rFonts w:ascii="Arial" w:cs="Arial" w:eastAsia="Arial" w:hAnsi="Arial"/>
                <w:sz w:val="15"/>
                <w:szCs w:val="15"/>
                <w:b w:val="1"/>
                <w:bCs w:val="1"/>
                <w:color w:val="auto"/>
              </w:rPr>
              <w:t>Cost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rPr>
              <w:t>Gains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503"/>
              <w:spacing w:after="0"/>
              <w:rPr>
                <w:sz w:val="20"/>
                <w:szCs w:val="20"/>
                <w:color w:val="auto"/>
              </w:rPr>
            </w:pPr>
            <w:r>
              <w:rPr>
                <w:rFonts w:ascii="Arial" w:cs="Arial" w:eastAsia="Arial" w:hAnsi="Arial"/>
                <w:sz w:val="15"/>
                <w:szCs w:val="15"/>
                <w:b w:val="1"/>
                <w:bCs w:val="1"/>
                <w:color w:val="auto"/>
              </w:rPr>
              <w:t>Losses</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1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U.S. Government and agencies</w:t>
            </w:r>
          </w:p>
        </w:tc>
        <w:tc>
          <w:tcPr>
            <w:tcW w:w="1880" w:type="dxa"/>
            <w:vAlign w:val="bottom"/>
            <w:gridSpan w:val="2"/>
          </w:tcPr>
          <w:p>
            <w:pPr>
              <w:ind w:left="172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5,834</w:t>
            </w:r>
          </w:p>
        </w:tc>
        <w:tc>
          <w:tcPr>
            <w:tcW w:w="34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260</w:t>
            </w:r>
          </w:p>
        </w:tc>
        <w:tc>
          <w:tcPr>
            <w:tcW w:w="320" w:type="dxa"/>
            <w:vAlign w:val="bottom"/>
            <w:gridSpan w:val="3"/>
          </w:tcPr>
          <w:p>
            <w:pPr>
              <w:ind w:left="100"/>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63"/>
              <w:spacing w:after="0"/>
              <w:rPr>
                <w:sz w:val="20"/>
                <w:szCs w:val="20"/>
                <w:color w:val="auto"/>
              </w:rPr>
            </w:pPr>
            <w:r>
              <w:rPr>
                <w:rFonts w:ascii="Arial" w:cs="Arial" w:eastAsia="Arial" w:hAnsi="Arial"/>
                <w:sz w:val="15"/>
                <w:szCs w:val="15"/>
                <w:color w:val="auto"/>
              </w:rPr>
              <w:t>(44)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6,050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Obligations of states and political subdivisions</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68,915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882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(401)</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69,396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Corporate securities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50,610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1,028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63"/>
              <w:spacing w:after="0"/>
              <w:rPr>
                <w:sz w:val="20"/>
                <w:szCs w:val="20"/>
                <w:color w:val="auto"/>
              </w:rPr>
            </w:pPr>
            <w:r>
              <w:rPr>
                <w:rFonts w:ascii="Arial" w:cs="Arial" w:eastAsia="Arial" w:hAnsi="Arial"/>
                <w:sz w:val="15"/>
                <w:szCs w:val="15"/>
                <w:color w:val="auto"/>
              </w:rPr>
              <w:t>(468)</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51,170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Residential mortgage-backed securities</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22,750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(215)</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22,637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Commercial mortgage-backed securities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8,033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63"/>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8,096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Asset-backed securities</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4,118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(14)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Total fixed income securities</w:t>
            </w:r>
          </w:p>
        </w:tc>
        <w:tc>
          <w:tcPr>
            <w:tcW w:w="17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160,260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2,393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(1,183</w:t>
            </w:r>
          </w:p>
        </w:tc>
        <w:tc>
          <w:tcPr>
            <w:tcW w:w="200" w:type="dxa"/>
            <w:vAlign w:val="bottom"/>
            <w:tcBorders>
              <w:bottom w:val="single" w:sz="8" w:color="CCEEFF"/>
            </w:tcBorders>
          </w:tcPr>
          <w:p>
            <w:pPr>
              <w:jc w:val="right"/>
              <w:ind w:right="63"/>
              <w:spacing w:after="0"/>
              <w:rPr>
                <w:sz w:val="20"/>
                <w:szCs w:val="20"/>
                <w:color w:val="auto"/>
              </w:rPr>
            </w:pPr>
            <w:r>
              <w:rPr>
                <w:rFonts w:ascii="Arial" w:cs="Arial" w:eastAsia="Arial" w:hAnsi="Arial"/>
                <w:sz w:val="15"/>
                <w:szCs w:val="15"/>
                <w:color w:val="auto"/>
                <w:w w:val="79"/>
              </w:rPr>
              <w:t>)</w:t>
            </w: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161,470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Equity securities: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 materials</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Communications</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1,307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1,601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63"/>
              <w:spacing w:after="0"/>
              <w:rPr>
                <w:sz w:val="20"/>
                <w:szCs w:val="20"/>
                <w:color w:val="auto"/>
              </w:rPr>
            </w:pPr>
            <w:r>
              <w:rPr>
                <w:rFonts w:ascii="Arial" w:cs="Arial" w:eastAsia="Arial" w:hAnsi="Arial"/>
                <w:sz w:val="15"/>
                <w:szCs w:val="15"/>
                <w:color w:val="auto"/>
              </w:rPr>
              <w:t>(81)</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2,827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Consumer, cyclical</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1,665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3,646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(50)</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5,261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Consumer, non-cyclical</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2,015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2,411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63"/>
              <w:spacing w:after="0"/>
              <w:rPr>
                <w:sz w:val="20"/>
                <w:szCs w:val="20"/>
                <w:color w:val="auto"/>
              </w:rPr>
            </w:pPr>
            <w:r>
              <w:rPr>
                <w:rFonts w:ascii="Arial" w:cs="Arial" w:eastAsia="Arial" w:hAnsi="Arial"/>
                <w:sz w:val="15"/>
                <w:szCs w:val="15"/>
                <w:color w:val="auto"/>
              </w:rPr>
              <w:t>(208)</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4,218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Energy</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1,053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Financial</w:t>
            </w: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314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12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591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Industrial</w:t>
            </w: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2,251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2,766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Technology</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2,816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3,855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63"/>
              <w:spacing w:after="0"/>
              <w:rPr>
                <w:sz w:val="20"/>
                <w:szCs w:val="20"/>
                <w:color w:val="auto"/>
              </w:rPr>
            </w:pPr>
            <w:r>
              <w:rPr>
                <w:rFonts w:ascii="Arial" w:cs="Arial" w:eastAsia="Arial" w:hAnsi="Arial"/>
                <w:sz w:val="15"/>
                <w:szCs w:val="15"/>
                <w:color w:val="auto"/>
              </w:rPr>
              <w:t>(57)</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6,614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equity securities</w:t>
            </w:r>
          </w:p>
        </w:tc>
        <w:tc>
          <w:tcPr>
            <w:tcW w:w="1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11,511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14,803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200" w:type="dxa"/>
            <w:vAlign w:val="bottom"/>
            <w:tcBorders>
              <w:top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25,917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tcPr>
          <w:p>
            <w:pPr>
              <w:ind w:left="260"/>
              <w:spacing w:after="0"/>
              <w:rPr>
                <w:sz w:val="20"/>
                <w:szCs w:val="20"/>
                <w:color w:val="auto"/>
              </w:rPr>
            </w:pPr>
            <w:r>
              <w:rPr>
                <w:rFonts w:ascii="Arial" w:cs="Arial" w:eastAsia="Arial" w:hAnsi="Arial"/>
                <w:sz w:val="15"/>
                <w:szCs w:val="15"/>
                <w:color w:val="auto"/>
              </w:rPr>
              <w:t>Total investments</w:t>
            </w:r>
          </w:p>
        </w:tc>
        <w:tc>
          <w:tcPr>
            <w:tcW w:w="1880" w:type="dxa"/>
            <w:vAlign w:val="bottom"/>
            <w:gridSpan w:val="2"/>
          </w:tcPr>
          <w:p>
            <w:pPr>
              <w:ind w:left="172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5"/>
                <w:szCs w:val="15"/>
                <w:color w:val="auto"/>
              </w:rPr>
              <w:t>171,771</w:t>
            </w:r>
          </w:p>
        </w:tc>
        <w:tc>
          <w:tcPr>
            <w:tcW w:w="34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17,196</w:t>
            </w:r>
          </w:p>
        </w:tc>
        <w:tc>
          <w:tcPr>
            <w:tcW w:w="320" w:type="dxa"/>
            <w:vAlign w:val="bottom"/>
            <w:gridSpan w:val="3"/>
          </w:tcPr>
          <w:p>
            <w:pPr>
              <w:ind w:left="1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(1,580</w:t>
            </w:r>
          </w:p>
        </w:tc>
        <w:tc>
          <w:tcPr>
            <w:tcW w:w="200" w:type="dxa"/>
            <w:vAlign w:val="bottom"/>
          </w:tcPr>
          <w:p>
            <w:pPr>
              <w:jc w:val="right"/>
              <w:ind w:right="63"/>
              <w:spacing w:after="0"/>
              <w:rPr>
                <w:sz w:val="20"/>
                <w:szCs w:val="20"/>
                <w:color w:val="auto"/>
              </w:rPr>
            </w:pPr>
            <w:r>
              <w:rPr>
                <w:rFonts w:ascii="Arial" w:cs="Arial" w:eastAsia="Arial" w:hAnsi="Arial"/>
                <w:sz w:val="15"/>
                <w:szCs w:val="15"/>
                <w:color w:val="auto"/>
                <w:w w:val="79"/>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187,387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20" w:type="dxa"/>
            <w:vAlign w:val="bottom"/>
            <w:vMerge w:val="restart"/>
          </w:tcPr>
          <w:p>
            <w:pPr>
              <w:jc w:val="right"/>
              <w:ind w:right="163"/>
              <w:spacing w:after="0"/>
              <w:rPr>
                <w:sz w:val="20"/>
                <w:szCs w:val="20"/>
                <w:color w:val="auto"/>
              </w:rPr>
            </w:pPr>
            <w:r>
              <w:rPr>
                <w:rFonts w:ascii="Arial" w:cs="Arial" w:eastAsia="Arial" w:hAnsi="Arial"/>
                <w:sz w:val="15"/>
                <w:szCs w:val="15"/>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7"/>
          </w:cols>
          <w:pgMar w:left="233" w:top="222" w:right="219" w:bottom="1440" w:gutter="0" w:footer="0" w:header="0"/>
        </w:sectPr>
      </w:pPr>
    </w:p>
    <w:bookmarkStart w:id="17" w:name="page18"/>
    <w:bookmarkEnd w:id="1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ind w:right="380" w:firstLine="544"/>
        <w:spacing w:after="0" w:line="289" w:lineRule="auto"/>
        <w:rPr>
          <w:sz w:val="20"/>
          <w:szCs w:val="20"/>
          <w:color w:val="auto"/>
        </w:rPr>
      </w:pPr>
      <w:r>
        <w:rPr>
          <w:rFonts w:ascii="Arial" w:cs="Arial" w:eastAsia="Arial" w:hAnsi="Arial"/>
          <w:sz w:val="15"/>
          <w:szCs w:val="15"/>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gridSpan w:val="5"/>
          </w:tcPr>
          <w:p>
            <w:pPr>
              <w:ind w:left="260"/>
              <w:spacing w:after="0"/>
              <w:rPr>
                <w:sz w:val="20"/>
                <w:szCs w:val="20"/>
                <w:color w:val="auto"/>
              </w:rPr>
            </w:pPr>
            <w:r>
              <w:rPr>
                <w:rFonts w:ascii="Arial" w:cs="Arial" w:eastAsia="Arial" w:hAnsi="Arial"/>
                <w:sz w:val="15"/>
                <w:szCs w:val="15"/>
                <w:b w:val="1"/>
                <w:bCs w:val="1"/>
                <w:color w:val="auto"/>
              </w:rPr>
              <w:t>September 30, 2017</w:t>
            </w:r>
          </w:p>
        </w:tc>
      </w:tr>
      <w:tr>
        <w:trPr>
          <w:trHeight w:val="189"/>
        </w:trPr>
        <w:tc>
          <w:tcPr>
            <w:tcW w:w="8800" w:type="dxa"/>
            <w:vAlign w:val="bottom"/>
          </w:tcPr>
          <w:p>
            <w:pPr>
              <w:spacing w:after="0"/>
              <w:rPr>
                <w:sz w:val="16"/>
                <w:szCs w:val="16"/>
                <w:color w:val="auto"/>
              </w:rPr>
            </w:pPr>
          </w:p>
        </w:tc>
        <w:tc>
          <w:tcPr>
            <w:tcW w:w="1380" w:type="dxa"/>
            <w:vAlign w:val="bottom"/>
            <w:tcBorders>
              <w:top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Amortized Cost</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6"/>
                <w:szCs w:val="16"/>
                <w:color w:val="auto"/>
              </w:rPr>
            </w:pPr>
          </w:p>
        </w:tc>
      </w:tr>
      <w:tr>
        <w:trPr>
          <w:trHeight w:val="177"/>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Due to mature:</w:t>
            </w:r>
          </w:p>
        </w:tc>
        <w:tc>
          <w:tcPr>
            <w:tcW w:w="3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8800" w:type="dxa"/>
            <w:vAlign w:val="bottom"/>
          </w:tcPr>
          <w:p>
            <w:pPr>
              <w:ind w:left="120"/>
              <w:spacing w:after="0"/>
              <w:rPr>
                <w:sz w:val="20"/>
                <w:szCs w:val="20"/>
                <w:color w:val="auto"/>
              </w:rPr>
            </w:pPr>
            <w:r>
              <w:rPr>
                <w:rFonts w:ascii="Arial" w:cs="Arial" w:eastAsia="Arial" w:hAnsi="Arial"/>
                <w:sz w:val="15"/>
                <w:szCs w:val="15"/>
                <w:color w:val="auto"/>
              </w:rPr>
              <w:t>One year or less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15,884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15,957</w:t>
            </w:r>
          </w:p>
        </w:tc>
      </w:tr>
      <w:tr>
        <w:trPr>
          <w:trHeight w:val="185"/>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After one year through five years</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84,260</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85,799</w:t>
            </w:r>
          </w:p>
        </w:tc>
      </w:tr>
      <w:tr>
        <w:trPr>
          <w:trHeight w:val="185"/>
        </w:trPr>
        <w:tc>
          <w:tcPr>
            <w:tcW w:w="8800" w:type="dxa"/>
            <w:vAlign w:val="bottom"/>
          </w:tcPr>
          <w:p>
            <w:pPr>
              <w:ind w:left="120"/>
              <w:spacing w:after="0"/>
              <w:rPr>
                <w:sz w:val="20"/>
                <w:szCs w:val="20"/>
                <w:color w:val="auto"/>
              </w:rPr>
            </w:pPr>
            <w:r>
              <w:rPr>
                <w:rFonts w:ascii="Arial" w:cs="Arial" w:eastAsia="Arial" w:hAnsi="Arial"/>
                <w:sz w:val="15"/>
                <w:szCs w:val="15"/>
                <w:color w:val="auto"/>
              </w:rPr>
              <w:t>After five years through ten years</w:t>
            </w:r>
          </w:p>
        </w:tc>
        <w:tc>
          <w:tcPr>
            <w:tcW w:w="3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68,934</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70,189</w:t>
            </w:r>
          </w:p>
        </w:tc>
      </w:tr>
      <w:tr>
        <w:trPr>
          <w:trHeight w:val="185"/>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After ten years</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10,236</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10,343</w:t>
            </w:r>
          </w:p>
        </w:tc>
      </w:tr>
      <w:tr>
        <w:trPr>
          <w:trHeight w:val="197"/>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Mortgage / asset-backed securities</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54,938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55,101</w:t>
            </w:r>
          </w:p>
        </w:tc>
        <w:tc>
          <w:tcPr>
            <w:tcW w:w="100" w:type="dxa"/>
            <w:vAlign w:val="bottom"/>
            <w:tcBorders>
              <w:bottom w:val="single" w:sz="8" w:color="CCEEFF"/>
            </w:tcBorders>
          </w:tcPr>
          <w:p>
            <w:pPr>
              <w:spacing w:after="0"/>
              <w:rPr>
                <w:sz w:val="17"/>
                <w:szCs w:val="17"/>
                <w:color w:val="auto"/>
              </w:rPr>
            </w:pPr>
          </w:p>
        </w:tc>
      </w:tr>
      <w:tr>
        <w:trPr>
          <w:trHeight w:val="188"/>
        </w:trPr>
        <w:tc>
          <w:tcPr>
            <w:tcW w:w="88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fixed income securities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234,252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237,389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gridSpan w:val="5"/>
          </w:tcPr>
          <w:p>
            <w:pPr>
              <w:ind w:left="280"/>
              <w:spacing w:after="0"/>
              <w:rPr>
                <w:sz w:val="20"/>
                <w:szCs w:val="20"/>
                <w:color w:val="auto"/>
              </w:rPr>
            </w:pPr>
            <w:r>
              <w:rPr>
                <w:rFonts w:ascii="Arial" w:cs="Arial" w:eastAsia="Arial" w:hAnsi="Arial"/>
                <w:sz w:val="15"/>
                <w:szCs w:val="15"/>
                <w:b w:val="1"/>
                <w:bCs w:val="1"/>
                <w:color w:val="auto"/>
              </w:rPr>
              <w:t>December 31, 2016</w:t>
            </w:r>
          </w:p>
        </w:tc>
      </w:tr>
      <w:tr>
        <w:trPr>
          <w:trHeight w:val="189"/>
        </w:trPr>
        <w:tc>
          <w:tcPr>
            <w:tcW w:w="8800" w:type="dxa"/>
            <w:vAlign w:val="bottom"/>
          </w:tcPr>
          <w:p>
            <w:pPr>
              <w:spacing w:after="0"/>
              <w:rPr>
                <w:sz w:val="16"/>
                <w:szCs w:val="16"/>
                <w:color w:val="auto"/>
              </w:rPr>
            </w:pPr>
          </w:p>
        </w:tc>
        <w:tc>
          <w:tcPr>
            <w:tcW w:w="1380" w:type="dxa"/>
            <w:vAlign w:val="bottom"/>
            <w:tcBorders>
              <w:top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Amortized Cost</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6"/>
                <w:szCs w:val="16"/>
                <w:color w:val="auto"/>
              </w:rPr>
            </w:pPr>
          </w:p>
        </w:tc>
      </w:tr>
      <w:tr>
        <w:trPr>
          <w:trHeight w:val="177"/>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Due to mature:</w:t>
            </w:r>
          </w:p>
        </w:tc>
        <w:tc>
          <w:tcPr>
            <w:tcW w:w="3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8800" w:type="dxa"/>
            <w:vAlign w:val="bottom"/>
          </w:tcPr>
          <w:p>
            <w:pPr>
              <w:ind w:left="120"/>
              <w:spacing w:after="0"/>
              <w:rPr>
                <w:sz w:val="20"/>
                <w:szCs w:val="20"/>
                <w:color w:val="auto"/>
              </w:rPr>
            </w:pPr>
            <w:r>
              <w:rPr>
                <w:rFonts w:ascii="Arial" w:cs="Arial" w:eastAsia="Arial" w:hAnsi="Arial"/>
                <w:sz w:val="15"/>
                <w:szCs w:val="15"/>
                <w:color w:val="auto"/>
              </w:rPr>
              <w:t>One year or less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10,935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11,069</w:t>
            </w:r>
          </w:p>
        </w:tc>
      </w:tr>
      <w:tr>
        <w:trPr>
          <w:trHeight w:val="185"/>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After one year through five years</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45,904</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46,891</w:t>
            </w:r>
          </w:p>
        </w:tc>
      </w:tr>
      <w:tr>
        <w:trPr>
          <w:trHeight w:val="185"/>
        </w:trPr>
        <w:tc>
          <w:tcPr>
            <w:tcW w:w="8800" w:type="dxa"/>
            <w:vAlign w:val="bottom"/>
          </w:tcPr>
          <w:p>
            <w:pPr>
              <w:ind w:left="120"/>
              <w:spacing w:after="0"/>
              <w:rPr>
                <w:sz w:val="20"/>
                <w:szCs w:val="20"/>
                <w:color w:val="auto"/>
              </w:rPr>
            </w:pPr>
            <w:r>
              <w:rPr>
                <w:rFonts w:ascii="Arial" w:cs="Arial" w:eastAsia="Arial" w:hAnsi="Arial"/>
                <w:sz w:val="15"/>
                <w:szCs w:val="15"/>
                <w:color w:val="auto"/>
              </w:rPr>
              <w:t>After five years through ten years</w:t>
            </w:r>
          </w:p>
        </w:tc>
        <w:tc>
          <w:tcPr>
            <w:tcW w:w="3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55,430</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55,619</w:t>
            </w:r>
          </w:p>
        </w:tc>
      </w:tr>
      <w:tr>
        <w:trPr>
          <w:trHeight w:val="185"/>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After ten years</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13,090</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13,037</w:t>
            </w:r>
          </w:p>
        </w:tc>
      </w:tr>
      <w:tr>
        <w:trPr>
          <w:trHeight w:val="197"/>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Mortgage / asset-backed securities</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34,901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34,854</w:t>
            </w:r>
          </w:p>
        </w:tc>
        <w:tc>
          <w:tcPr>
            <w:tcW w:w="100" w:type="dxa"/>
            <w:vAlign w:val="bottom"/>
            <w:tcBorders>
              <w:bottom w:val="single" w:sz="8" w:color="CCEEFF"/>
            </w:tcBorders>
          </w:tcPr>
          <w:p>
            <w:pPr>
              <w:spacing w:after="0"/>
              <w:rPr>
                <w:sz w:val="17"/>
                <w:szCs w:val="17"/>
                <w:color w:val="auto"/>
              </w:rPr>
            </w:pPr>
          </w:p>
        </w:tc>
      </w:tr>
      <w:tr>
        <w:trPr>
          <w:trHeight w:val="188"/>
        </w:trPr>
        <w:tc>
          <w:tcPr>
            <w:tcW w:w="88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fixed income securities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160,260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161,470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67" w:lineRule="exact"/>
        <w:rPr>
          <w:sz w:val="20"/>
          <w:szCs w:val="20"/>
          <w:color w:val="auto"/>
        </w:rPr>
      </w:pPr>
    </w:p>
    <w:p>
      <w:pPr>
        <w:ind w:right="480" w:firstLine="544"/>
        <w:spacing w:after="0" w:line="289" w:lineRule="auto"/>
        <w:rPr>
          <w:sz w:val="20"/>
          <w:szCs w:val="20"/>
          <w:color w:val="auto"/>
        </w:rPr>
      </w:pPr>
      <w:r>
        <w:rPr>
          <w:rFonts w:ascii="Arial" w:cs="Arial" w:eastAsia="Arial" w:hAnsi="Arial"/>
          <w:sz w:val="15"/>
          <w:szCs w:val="15"/>
          <w:color w:val="auto"/>
        </w:rPr>
        <w:t>Fixed income securities with a market value of $3,535 at September 30, 2017 and $3,530 at December 31, 2016 were deposited with various state regulatory agencies as required by law. The Company has not pledged any assets to secure any obligations.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18" w:name="page19"/>
    <w:bookmarkEnd w:id="1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(dollar amounts in thousands)</w:t>
      </w:r>
    </w:p>
    <w:p>
      <w:pPr>
        <w:spacing w:after="0" w:line="200" w:lineRule="exact"/>
        <w:rPr>
          <w:sz w:val="20"/>
          <w:szCs w:val="20"/>
          <w:color w:val="auto"/>
        </w:rPr>
      </w:pPr>
    </w:p>
    <w:p>
      <w:pPr>
        <w:spacing w:after="0" w:line="2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investment category and duration of the Company’s gross unrealized losses on fixed income securities and equity securities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center"/>
              <w:ind w:right="361"/>
              <w:spacing w:after="0"/>
              <w:rPr>
                <w:sz w:val="20"/>
                <w:szCs w:val="20"/>
                <w:color w:val="auto"/>
              </w:rPr>
            </w:pPr>
            <w:r>
              <w:rPr>
                <w:rFonts w:ascii="Arial" w:cs="Arial" w:eastAsia="Arial" w:hAnsi="Arial"/>
                <w:sz w:val="15"/>
                <w:szCs w:val="15"/>
                <w:b w:val="1"/>
                <w:bCs w:val="1"/>
                <w:color w:val="auto"/>
                <w:w w:val="91"/>
              </w:rPr>
              <w:t>September 30, 2017</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right"/>
              <w:ind w:right="643"/>
              <w:spacing w:after="0"/>
              <w:rPr>
                <w:sz w:val="20"/>
                <w:szCs w:val="20"/>
                <w:color w:val="auto"/>
              </w:rPr>
            </w:pPr>
            <w:r>
              <w:rPr>
                <w:rFonts w:ascii="Arial" w:cs="Arial" w:eastAsia="Arial" w:hAnsi="Arial"/>
                <w:sz w:val="15"/>
                <w:szCs w:val="15"/>
                <w:b w:val="1"/>
                <w:bCs w:val="1"/>
                <w:color w:val="auto"/>
              </w:rPr>
              <w:t>Less than 12 Months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center"/>
              <w:ind w:right="341"/>
              <w:spacing w:after="0"/>
              <w:rPr>
                <w:sz w:val="20"/>
                <w:szCs w:val="20"/>
                <w:color w:val="auto"/>
              </w:rPr>
            </w:pPr>
            <w:r>
              <w:rPr>
                <w:rFonts w:ascii="Arial" w:cs="Arial" w:eastAsia="Arial" w:hAnsi="Arial"/>
                <w:sz w:val="15"/>
                <w:szCs w:val="15"/>
                <w:b w:val="1"/>
                <w:bCs w:val="1"/>
                <w:color w:val="auto"/>
                <w:w w:val="93"/>
              </w:rPr>
              <w:t>Greater than 12 months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4"/>
          </w:tcPr>
          <w:p>
            <w:pPr>
              <w:jc w:val="right"/>
              <w:ind w:right="23"/>
              <w:spacing w:after="0"/>
              <w:rPr>
                <w:sz w:val="20"/>
                <w:szCs w:val="20"/>
                <w:color w:val="auto"/>
              </w:rPr>
            </w:pPr>
            <w:r>
              <w:rPr>
                <w:rFonts w:ascii="Arial" w:cs="Arial" w:eastAsia="Arial" w:hAnsi="Arial"/>
                <w:sz w:val="15"/>
                <w:szCs w:val="15"/>
                <w:b w:val="1"/>
                <w:bCs w:val="1"/>
                <w:color w:val="auto"/>
              </w:rPr>
              <w:t>Total</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40"/>
              <w:spacing w:after="0" w:line="161" w:lineRule="exact"/>
              <w:rPr>
                <w:sz w:val="20"/>
                <w:szCs w:val="20"/>
                <w:color w:val="auto"/>
              </w:rPr>
            </w:pPr>
            <w:r>
              <w:rPr>
                <w:rFonts w:ascii="Arial" w:cs="Arial" w:eastAsia="Arial" w:hAnsi="Arial"/>
                <w:sz w:val="15"/>
                <w:szCs w:val="15"/>
                <w:b w:val="1"/>
                <w:bCs w:val="1"/>
                <w:color w:val="auto"/>
              </w:rPr>
              <w:t>Fair</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83"/>
              <w:spacing w:after="0" w:line="161" w:lineRule="exact"/>
              <w:rPr>
                <w:sz w:val="20"/>
                <w:szCs w:val="20"/>
                <w:color w:val="auto"/>
              </w:rPr>
            </w:pPr>
            <w:r>
              <w:rPr>
                <w:rFonts w:ascii="Arial" w:cs="Arial" w:eastAsia="Arial" w:hAnsi="Arial"/>
                <w:sz w:val="15"/>
                <w:szCs w:val="15"/>
                <w:b w:val="1"/>
                <w:bCs w:val="1"/>
                <w:color w:val="auto"/>
                <w:w w:val="94"/>
              </w:rPr>
              <w:t>Unrealized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rPr>
              <w:t>Fair</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43"/>
              <w:spacing w:after="0" w:line="161" w:lineRule="exact"/>
              <w:rPr>
                <w:sz w:val="20"/>
                <w:szCs w:val="20"/>
                <w:color w:val="auto"/>
              </w:rPr>
            </w:pPr>
            <w:r>
              <w:rPr>
                <w:rFonts w:ascii="Arial" w:cs="Arial" w:eastAsia="Arial" w:hAnsi="Arial"/>
                <w:sz w:val="15"/>
                <w:szCs w:val="15"/>
                <w:b w:val="1"/>
                <w:bCs w:val="1"/>
                <w:color w:val="auto"/>
              </w:rPr>
              <w:t>Unrealized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rPr>
              <w:t>Fair</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3"/>
              <w:spacing w:after="0" w:line="161" w:lineRule="exact"/>
              <w:rPr>
                <w:sz w:val="20"/>
                <w:szCs w:val="20"/>
                <w:color w:val="auto"/>
              </w:rPr>
            </w:pPr>
            <w:r>
              <w:rPr>
                <w:rFonts w:ascii="Arial" w:cs="Arial" w:eastAsia="Arial" w:hAnsi="Arial"/>
                <w:sz w:val="15"/>
                <w:szCs w:val="15"/>
                <w:b w:val="1"/>
                <w:bCs w:val="1"/>
                <w:color w:val="auto"/>
                <w:w w:val="97"/>
              </w:rPr>
              <w:t>Unrealized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03"/>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5"/>
                <w:szCs w:val="15"/>
                <w:b w:val="1"/>
                <w:bCs w:val="1"/>
                <w:color w:val="auto"/>
              </w:rPr>
              <w:t>Losses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Value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U.S. Government and agencies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2,491</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(35)</w:t>
            </w:r>
          </w:p>
        </w:tc>
        <w:tc>
          <w:tcPr>
            <w:tcW w:w="32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01"/>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2,491</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Obligations of states and political subdivisions</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9,907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(74)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Corporate securities</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17,757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18,805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Residential mortgage-backed securities</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12,193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(107)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Commercial mortgage-backed securities</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1,422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1,422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Asset-backed securities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Total fixed income securities</w:t>
            </w: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52,499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(244</w:t>
            </w:r>
          </w:p>
        </w:tc>
        <w:tc>
          <w:tcPr>
            <w:tcW w:w="1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7,087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w:t>
            </w:r>
          </w:p>
        </w:tc>
        <w:tc>
          <w:tcPr>
            <w:tcW w:w="140" w:type="dxa"/>
            <w:vAlign w:val="bottom"/>
            <w:tcBorders>
              <w:bottom w:val="single" w:sz="8" w:color="CCEEFF"/>
            </w:tcBorders>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59,586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(377</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Equity securities: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 materials</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Communications</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854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Consumer, cyclical</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(73)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Consumer, non-cyclical</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2,339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Energy</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Industrial</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Technology</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Total equity securities</w:t>
            </w: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6,230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(613</w:t>
            </w:r>
          </w:p>
        </w:tc>
        <w:tc>
          <w:tcPr>
            <w:tcW w:w="1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(259</w:t>
            </w:r>
          </w:p>
        </w:tc>
        <w:tc>
          <w:tcPr>
            <w:tcW w:w="140" w:type="dxa"/>
            <w:vAlign w:val="bottom"/>
            <w:tcBorders>
              <w:bottom w:val="single" w:sz="8" w:color="CCEEFF"/>
            </w:tcBorders>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6,969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(872</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investments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58,729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7,826</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40" w:type="dxa"/>
            <w:vAlign w:val="bottom"/>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32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66,555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0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361"/>
              <w:spacing w:after="0"/>
              <w:rPr>
                <w:sz w:val="20"/>
                <w:szCs w:val="20"/>
                <w:color w:val="auto"/>
              </w:rPr>
            </w:pPr>
            <w:r>
              <w:rPr>
                <w:rFonts w:ascii="Arial" w:cs="Arial" w:eastAsia="Arial" w:hAnsi="Arial"/>
                <w:sz w:val="15"/>
                <w:szCs w:val="15"/>
                <w:b w:val="1"/>
                <w:bCs w:val="1"/>
                <w:color w:val="auto"/>
                <w:w w:val="91"/>
              </w:rPr>
              <w:t>December 31, 2016</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right"/>
              <w:ind w:right="643"/>
              <w:spacing w:after="0"/>
              <w:rPr>
                <w:sz w:val="20"/>
                <w:szCs w:val="20"/>
                <w:color w:val="auto"/>
              </w:rPr>
            </w:pPr>
            <w:r>
              <w:rPr>
                <w:rFonts w:ascii="Arial" w:cs="Arial" w:eastAsia="Arial" w:hAnsi="Arial"/>
                <w:sz w:val="15"/>
                <w:szCs w:val="15"/>
                <w:b w:val="1"/>
                <w:bCs w:val="1"/>
                <w:color w:val="auto"/>
              </w:rPr>
              <w:t>Less than 12 Months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center"/>
              <w:ind w:right="341"/>
              <w:spacing w:after="0"/>
              <w:rPr>
                <w:sz w:val="20"/>
                <w:szCs w:val="20"/>
                <w:color w:val="auto"/>
              </w:rPr>
            </w:pPr>
            <w:r>
              <w:rPr>
                <w:rFonts w:ascii="Arial" w:cs="Arial" w:eastAsia="Arial" w:hAnsi="Arial"/>
                <w:sz w:val="15"/>
                <w:szCs w:val="15"/>
                <w:b w:val="1"/>
                <w:bCs w:val="1"/>
                <w:color w:val="auto"/>
                <w:w w:val="93"/>
              </w:rPr>
              <w:t>Greater than 12 months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4"/>
          </w:tcPr>
          <w:p>
            <w:pPr>
              <w:jc w:val="right"/>
              <w:ind w:right="23"/>
              <w:spacing w:after="0"/>
              <w:rPr>
                <w:sz w:val="20"/>
                <w:szCs w:val="20"/>
                <w:color w:val="auto"/>
              </w:rPr>
            </w:pPr>
            <w:r>
              <w:rPr>
                <w:rFonts w:ascii="Arial" w:cs="Arial" w:eastAsia="Arial" w:hAnsi="Arial"/>
                <w:sz w:val="15"/>
                <w:szCs w:val="15"/>
                <w:b w:val="1"/>
                <w:bCs w:val="1"/>
                <w:color w:val="auto"/>
              </w:rPr>
              <w:t>Total</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40"/>
              <w:spacing w:after="0" w:line="161" w:lineRule="exact"/>
              <w:rPr>
                <w:sz w:val="20"/>
                <w:szCs w:val="20"/>
                <w:color w:val="auto"/>
              </w:rPr>
            </w:pPr>
            <w:r>
              <w:rPr>
                <w:rFonts w:ascii="Arial" w:cs="Arial" w:eastAsia="Arial" w:hAnsi="Arial"/>
                <w:sz w:val="15"/>
                <w:szCs w:val="15"/>
                <w:b w:val="1"/>
                <w:bCs w:val="1"/>
                <w:color w:val="auto"/>
              </w:rPr>
              <w:t>Fair</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83"/>
              <w:spacing w:after="0" w:line="161" w:lineRule="exact"/>
              <w:rPr>
                <w:sz w:val="20"/>
                <w:szCs w:val="20"/>
                <w:color w:val="auto"/>
              </w:rPr>
            </w:pPr>
            <w:r>
              <w:rPr>
                <w:rFonts w:ascii="Arial" w:cs="Arial" w:eastAsia="Arial" w:hAnsi="Arial"/>
                <w:sz w:val="15"/>
                <w:szCs w:val="15"/>
                <w:b w:val="1"/>
                <w:bCs w:val="1"/>
                <w:color w:val="auto"/>
                <w:w w:val="94"/>
              </w:rPr>
              <w:t>Unrealized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rPr>
              <w:t>Fair</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63"/>
              <w:spacing w:after="0" w:line="161" w:lineRule="exact"/>
              <w:rPr>
                <w:sz w:val="20"/>
                <w:szCs w:val="20"/>
                <w:color w:val="auto"/>
              </w:rPr>
            </w:pPr>
            <w:r>
              <w:rPr>
                <w:rFonts w:ascii="Arial" w:cs="Arial" w:eastAsia="Arial" w:hAnsi="Arial"/>
                <w:sz w:val="15"/>
                <w:szCs w:val="15"/>
                <w:b w:val="1"/>
                <w:bCs w:val="1"/>
                <w:color w:val="auto"/>
              </w:rPr>
              <w:t>Unrealized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rPr>
              <w:t>Fair</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3"/>
              <w:spacing w:after="0" w:line="161" w:lineRule="exact"/>
              <w:rPr>
                <w:sz w:val="20"/>
                <w:szCs w:val="20"/>
                <w:color w:val="auto"/>
              </w:rPr>
            </w:pPr>
            <w:r>
              <w:rPr>
                <w:rFonts w:ascii="Arial" w:cs="Arial" w:eastAsia="Arial" w:hAnsi="Arial"/>
                <w:sz w:val="15"/>
                <w:szCs w:val="15"/>
                <w:b w:val="1"/>
                <w:bCs w:val="1"/>
                <w:color w:val="auto"/>
                <w:w w:val="97"/>
              </w:rPr>
              <w:t>Unrealized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03"/>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5"/>
                <w:szCs w:val="15"/>
                <w:b w:val="1"/>
                <w:bCs w:val="1"/>
                <w:color w:val="auto"/>
              </w:rPr>
              <w:t>Losses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Value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U.S. Government and agencies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2,750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(44)</w:t>
            </w:r>
          </w:p>
        </w:tc>
        <w:tc>
          <w:tcPr>
            <w:tcW w:w="32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01"/>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2,750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Obligations of states and political subdivisions</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16,559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(396)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16,804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(401)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Corporate securities</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13,479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15,485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Residential mortgage-backed securities</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15,692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15,692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Commercial mortgage-backed securities</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2,513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2,513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Asset-backed securities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Total fixed income securities</w:t>
            </w: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53,284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(885</w:t>
            </w:r>
          </w:p>
        </w:tc>
        <w:tc>
          <w:tcPr>
            <w:tcW w:w="1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2,251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(298</w:t>
            </w:r>
          </w:p>
        </w:tc>
        <w:tc>
          <w:tcPr>
            <w:tcW w:w="140" w:type="dxa"/>
            <w:vAlign w:val="bottom"/>
            <w:tcBorders>
              <w:bottom w:val="single" w:sz="8" w:color="CCEEFF"/>
            </w:tcBorders>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55,535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(1,183</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Equity securities: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 materials</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Communications</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Consumer, cyclical</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(45)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00"/>
              <w:spacing w:after="0"/>
              <w:rPr>
                <w:sz w:val="20"/>
                <w:szCs w:val="20"/>
                <w:color w:val="auto"/>
              </w:rPr>
            </w:pPr>
            <w:r>
              <w:rPr>
                <w:rFonts w:ascii="Arial" w:cs="Arial" w:eastAsia="Arial" w:hAnsi="Arial"/>
                <w:sz w:val="15"/>
                <w:szCs w:val="15"/>
                <w:color w:val="auto"/>
              </w:rPr>
              <w:t>Consumer, non-cyclical</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Technology</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Total equity securities</w:t>
            </w: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1,044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(352</w:t>
            </w:r>
          </w:p>
        </w:tc>
        <w:tc>
          <w:tcPr>
            <w:tcW w:w="1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40" w:type="dxa"/>
            <w:vAlign w:val="bottom"/>
            <w:tcBorders>
              <w:bottom w:val="single" w:sz="8" w:color="CCEEFF"/>
            </w:tcBorders>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(397</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 investments</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w:t>
            </w:r>
          </w:p>
        </w:tc>
        <w:tc>
          <w:tcPr>
            <w:tcW w:w="140" w:type="dxa"/>
            <w:vAlign w:val="bottom"/>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10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840"/>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22" w:right="219" w:bottom="1440" w:gutter="0" w:footer="0" w:header="0"/>
        </w:sectPr>
      </w:pPr>
    </w:p>
    <w:bookmarkStart w:id="19" w:name="page20"/>
    <w:bookmarkEnd w:id="19"/>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(dollar amounts in thousands)</w:t>
      </w:r>
    </w:p>
    <w:p>
      <w:pPr>
        <w:spacing w:after="0" w:line="200" w:lineRule="exact"/>
        <w:rPr>
          <w:sz w:val="20"/>
          <w:szCs w:val="20"/>
          <w:color w:val="auto"/>
        </w:rPr>
      </w:pPr>
    </w:p>
    <w:p>
      <w:pPr>
        <w:spacing w:after="0" w:line="266" w:lineRule="exact"/>
        <w:rPr>
          <w:sz w:val="20"/>
          <w:szCs w:val="20"/>
          <w:color w:val="auto"/>
        </w:rPr>
      </w:pPr>
    </w:p>
    <w:p>
      <w:pPr>
        <w:ind w:left="7" w:right="100" w:firstLine="544"/>
        <w:spacing w:after="0" w:line="289" w:lineRule="auto"/>
        <w:rPr>
          <w:sz w:val="20"/>
          <w:szCs w:val="20"/>
          <w:color w:val="auto"/>
        </w:rPr>
      </w:pPr>
      <w:r>
        <w:rPr>
          <w:rFonts w:ascii="Arial" w:cs="Arial" w:eastAsia="Arial" w:hAnsi="Arial"/>
          <w:sz w:val="14"/>
          <w:szCs w:val="14"/>
          <w:color w:val="auto"/>
        </w:rPr>
        <w:t>We frequently review our investment portfolio for declines in fair value which are other than temporary.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50" w:lineRule="exact"/>
        <w:rPr>
          <w:sz w:val="20"/>
          <w:szCs w:val="20"/>
          <w:color w:val="auto"/>
        </w:rPr>
      </w:pPr>
    </w:p>
    <w:p>
      <w:pPr>
        <w:ind w:left="7" w:right="420" w:firstLine="544"/>
        <w:spacing w:after="0" w:line="289" w:lineRule="auto"/>
        <w:rPr>
          <w:sz w:val="20"/>
          <w:szCs w:val="20"/>
          <w:color w:val="auto"/>
        </w:rPr>
      </w:pPr>
      <w:r>
        <w:rPr>
          <w:rFonts w:ascii="Arial" w:cs="Arial" w:eastAsia="Arial" w:hAnsi="Arial"/>
          <w:sz w:val="15"/>
          <w:szCs w:val="15"/>
          <w:color w:val="auto"/>
        </w:rPr>
        <w:t>The Company recorded impairments of $124 in the three months ended September 30, 2017 and impairments of $330 in the nine months ended September 30, 2017. The Company did not record any impairments in the three months or nine months ended September 30, 2016.</w:t>
      </w:r>
    </w:p>
    <w:p>
      <w:pPr>
        <w:spacing w:after="0" w:line="48" w:lineRule="exact"/>
        <w:rPr>
          <w:sz w:val="20"/>
          <w:szCs w:val="20"/>
          <w:color w:val="auto"/>
        </w:rPr>
      </w:pPr>
    </w:p>
    <w:p>
      <w:pPr>
        <w:ind w:left="7" w:right="80" w:firstLine="544"/>
        <w:spacing w:after="0" w:line="302" w:lineRule="auto"/>
        <w:rPr>
          <w:sz w:val="20"/>
          <w:szCs w:val="20"/>
          <w:color w:val="auto"/>
        </w:rPr>
      </w:pPr>
      <w:r>
        <w:rPr>
          <w:rFonts w:ascii="Arial" w:cs="Arial" w:eastAsia="Arial" w:hAnsi="Arial"/>
          <w:sz w:val="14"/>
          <w:szCs w:val="14"/>
          <w:color w:val="auto"/>
        </w:rPr>
        <w:t>As of September 30, 2017, we held 135 fixed income securities with unrealized losses. As of December 31, 2016, we held 129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41"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60" w:type="dxa"/>
            <w:vAlign w:val="bottom"/>
          </w:tcPr>
          <w:p>
            <w:pPr>
              <w:ind w:left="520"/>
              <w:spacing w:after="0"/>
              <w:rPr>
                <w:sz w:val="20"/>
                <w:szCs w:val="20"/>
                <w:color w:val="auto"/>
              </w:rPr>
            </w:pPr>
            <w:r>
              <w:rPr>
                <w:rFonts w:ascii="Arial" w:cs="Arial" w:eastAsia="Arial" w:hAnsi="Arial"/>
                <w:sz w:val="15"/>
                <w:szCs w:val="15"/>
                <w:color w:val="auto"/>
              </w:rPr>
              <w:t>Net investment income consisted of the following:</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60" w:type="dxa"/>
            <w:vAlign w:val="bottom"/>
            <w:gridSpan w:val="7"/>
          </w:tcPr>
          <w:p>
            <w:pPr>
              <w:jc w:val="right"/>
              <w:ind w:right="200"/>
              <w:spacing w:after="0"/>
              <w:rPr>
                <w:sz w:val="20"/>
                <w:szCs w:val="20"/>
                <w:color w:val="auto"/>
              </w:rPr>
            </w:pPr>
            <w:r>
              <w:rPr>
                <w:rFonts w:ascii="Arial" w:cs="Arial" w:eastAsia="Arial" w:hAnsi="Arial"/>
                <w:sz w:val="15"/>
                <w:szCs w:val="15"/>
                <w:b w:val="1"/>
                <w:bCs w:val="1"/>
                <w:color w:val="auto"/>
                <w:w w:val="95"/>
              </w:rPr>
              <w:t>Three Months Ended September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5"/>
          </w:tcPr>
          <w:p>
            <w:pPr>
              <w:jc w:val="right"/>
              <w:ind w:right="220"/>
              <w:spacing w:after="0"/>
              <w:rPr>
                <w:sz w:val="20"/>
                <w:szCs w:val="20"/>
                <w:color w:val="auto"/>
              </w:rPr>
            </w:pPr>
            <w:r>
              <w:rPr>
                <w:rFonts w:ascii="Arial" w:cs="Arial" w:eastAsia="Arial" w:hAnsi="Arial"/>
                <w:sz w:val="15"/>
                <w:szCs w:val="15"/>
                <w:b w:val="1"/>
                <w:bCs w:val="1"/>
                <w:color w:val="auto"/>
                <w:w w:val="93"/>
              </w:rPr>
              <w:t>Nine Months Ended 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1440" w:type="dxa"/>
            <w:vAlign w:val="bottom"/>
            <w:gridSpan w:val="2"/>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1,703</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4,664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3,677</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Equity securities</w:t>
            </w: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79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242</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Real estate</w:t>
            </w: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695</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gross investment income</w:t>
            </w:r>
          </w:p>
        </w:tc>
        <w:tc>
          <w:tcPr>
            <w:tcW w:w="6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2,022</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1,683</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5,601</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4,635</w:t>
            </w: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Investment expenses</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473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712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1,462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CEEFF"/>
          </w:tcPr>
          <w:p>
            <w:pPr>
              <w:ind w:left="240"/>
              <w:spacing w:after="0"/>
              <w:rPr>
                <w:sz w:val="20"/>
                <w:szCs w:val="20"/>
                <w:color w:val="auto"/>
              </w:rPr>
            </w:pPr>
            <w:r>
              <w:rPr>
                <w:rFonts w:ascii="Arial" w:cs="Arial" w:eastAsia="Arial" w:hAnsi="Arial"/>
                <w:sz w:val="15"/>
                <w:szCs w:val="15"/>
                <w:color w:val="auto"/>
              </w:rPr>
              <w:t>Net investment income</w:t>
            </w:r>
          </w:p>
        </w:tc>
        <w:tc>
          <w:tcPr>
            <w:tcW w:w="6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36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1,549</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4,139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3,286</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5"/>
                <w:szCs w:val="15"/>
                <w:color w:val="auto"/>
              </w:rPr>
              <w:t>Net realized capital gain on investments consisted of the following:</w:t>
            </w:r>
          </w:p>
        </w:tc>
        <w:tc>
          <w:tcPr>
            <w:tcW w:w="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60" w:type="dxa"/>
            <w:vAlign w:val="bottom"/>
            <w:gridSpan w:val="7"/>
          </w:tcPr>
          <w:p>
            <w:pPr>
              <w:jc w:val="right"/>
              <w:ind w:right="200"/>
              <w:spacing w:after="0"/>
              <w:rPr>
                <w:sz w:val="20"/>
                <w:szCs w:val="20"/>
                <w:color w:val="auto"/>
              </w:rPr>
            </w:pPr>
            <w:r>
              <w:rPr>
                <w:rFonts w:ascii="Arial" w:cs="Arial" w:eastAsia="Arial" w:hAnsi="Arial"/>
                <w:sz w:val="15"/>
                <w:szCs w:val="15"/>
                <w:b w:val="1"/>
                <w:bCs w:val="1"/>
                <w:color w:val="auto"/>
                <w:w w:val="95"/>
              </w:rPr>
              <w:t>Three Months Ended September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5"/>
          </w:tcPr>
          <w:p>
            <w:pPr>
              <w:jc w:val="right"/>
              <w:ind w:right="220"/>
              <w:spacing w:after="0"/>
              <w:rPr>
                <w:sz w:val="20"/>
                <w:szCs w:val="20"/>
                <w:color w:val="auto"/>
              </w:rPr>
            </w:pPr>
            <w:r>
              <w:rPr>
                <w:rFonts w:ascii="Arial" w:cs="Arial" w:eastAsia="Arial" w:hAnsi="Arial"/>
                <w:sz w:val="15"/>
                <w:szCs w:val="15"/>
                <w:b w:val="1"/>
                <w:bCs w:val="1"/>
                <w:color w:val="auto"/>
                <w:w w:val="93"/>
              </w:rPr>
              <w:t>Nine Months Ended 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Gross realized gains</w:t>
            </w:r>
          </w:p>
        </w:tc>
        <w:tc>
          <w:tcPr>
            <w:tcW w:w="1440" w:type="dxa"/>
            <w:vAlign w:val="bottom"/>
            <w:gridSpan w:val="2"/>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2,104</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3,284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5,587</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Gross realized losses, excluding other than</w:t>
            </w: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80" w:type="dxa"/>
            <w:vAlign w:val="bottom"/>
            <w:gridSpan w:val="2"/>
          </w:tcPr>
          <w:p>
            <w:pPr>
              <w:spacing w:after="0"/>
              <w:rPr>
                <w:sz w:val="20"/>
                <w:szCs w:val="20"/>
                <w:color w:val="auto"/>
              </w:rPr>
            </w:pPr>
            <w:r>
              <w:rPr>
                <w:rFonts w:ascii="Arial" w:cs="Arial" w:eastAsia="Arial" w:hAnsi="Arial"/>
                <w:sz w:val="15"/>
                <w:szCs w:val="15"/>
                <w:color w:val="auto"/>
              </w:rPr>
              <w:t>temporary impairment losses</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(114)</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Other than temporary impairment losses</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240"/>
              <w:spacing w:after="0"/>
              <w:rPr>
                <w:sz w:val="20"/>
                <w:szCs w:val="20"/>
                <w:color w:val="auto"/>
              </w:rPr>
            </w:pPr>
            <w:r>
              <w:rPr>
                <w:rFonts w:ascii="Arial" w:cs="Arial" w:eastAsia="Arial" w:hAnsi="Arial"/>
                <w:sz w:val="15"/>
                <w:szCs w:val="15"/>
                <w:color w:val="auto"/>
              </w:rPr>
              <w:t>Net realized capital gain on investments</w:t>
            </w: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1,885</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4,996</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2,840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5,215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547" w:hanging="547"/>
        <w:spacing w:after="0"/>
        <w:tabs>
          <w:tab w:leader="none" w:pos="547"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204" w:lineRule="exact"/>
        <w:rPr>
          <w:sz w:val="20"/>
          <w:szCs w:val="20"/>
          <w:color w:val="auto"/>
        </w:rPr>
      </w:pPr>
    </w:p>
    <w:p>
      <w:pPr>
        <w:ind w:left="7" w:right="60" w:firstLine="544"/>
        <w:spacing w:after="0" w:line="289" w:lineRule="auto"/>
        <w:rPr>
          <w:sz w:val="20"/>
          <w:szCs w:val="20"/>
          <w:color w:val="auto"/>
        </w:rPr>
      </w:pPr>
      <w:r>
        <w:rPr>
          <w:rFonts w:ascii="Arial" w:cs="Arial" w:eastAsia="Arial" w:hAnsi="Arial"/>
          <w:sz w:val="15"/>
          <w:szCs w:val="15"/>
          <w:color w:val="auto"/>
        </w:rPr>
        <w:t>We maximize the use of observable inputs in our valuation techniques and apply unobservable inputs only to the extent that observable inputs are unavailable. The largest class of assets and liabilities carried at fair value by the Company at September 30, 2017 and December 31, 2016 were fixed income securities.</w:t>
      </w:r>
    </w:p>
    <w:p>
      <w:pPr>
        <w:spacing w:after="0" w:line="48" w:lineRule="exact"/>
        <w:rPr>
          <w:sz w:val="20"/>
          <w:szCs w:val="20"/>
          <w:color w:val="auto"/>
        </w:rPr>
      </w:pPr>
    </w:p>
    <w:p>
      <w:pPr>
        <w:ind w:left="547"/>
        <w:spacing w:after="0"/>
        <w:rPr>
          <w:sz w:val="20"/>
          <w:szCs w:val="20"/>
          <w:color w:val="auto"/>
        </w:rPr>
      </w:pPr>
      <w:r>
        <w:rPr>
          <w:rFonts w:ascii="Arial" w:cs="Arial" w:eastAsia="Arial" w:hAnsi="Arial"/>
          <w:sz w:val="15"/>
          <w:szCs w:val="15"/>
          <w:color w:val="auto"/>
        </w:rPr>
        <w:t>Prices provided by independent pricing services and independent broker quotes can vary widely, even for the same security.</w:t>
      </w:r>
    </w:p>
    <w:p>
      <w:pPr>
        <w:spacing w:after="0" w:line="105" w:lineRule="exact"/>
        <w:rPr>
          <w:sz w:val="20"/>
          <w:szCs w:val="20"/>
          <w:color w:val="auto"/>
        </w:rPr>
      </w:pPr>
    </w:p>
    <w:p>
      <w:pPr>
        <w:ind w:left="7" w:right="140" w:firstLine="544"/>
        <w:spacing w:after="0" w:line="265" w:lineRule="auto"/>
        <w:rPr>
          <w:sz w:val="20"/>
          <w:szCs w:val="20"/>
          <w:color w:val="auto"/>
        </w:rPr>
      </w:pPr>
      <w:r>
        <w:rPr>
          <w:rFonts w:ascii="Arial" w:cs="Arial" w:eastAsia="Arial" w:hAnsi="Arial"/>
          <w:sz w:val="15"/>
          <w:szCs w:val="15"/>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September 30, 2017 or December 31, 2016.</w:t>
      </w:r>
    </w:p>
    <w:p>
      <w:pPr>
        <w:spacing w:after="0" w:line="16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7"/>
          </w:cols>
          <w:pgMar w:left="233" w:top="222" w:right="219" w:bottom="1440" w:gutter="0" w:footer="0" w:header="0"/>
        </w:sectPr>
      </w:pPr>
    </w:p>
    <w:bookmarkStart w:id="20" w:name="page21"/>
    <w:bookmarkEnd w:id="2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(dollar amounts in thousands)</w:t>
      </w:r>
    </w:p>
    <w:p>
      <w:pPr>
        <w:spacing w:after="0" w:line="200" w:lineRule="exact"/>
        <w:rPr>
          <w:sz w:val="20"/>
          <w:szCs w:val="20"/>
          <w:color w:val="auto"/>
        </w:rPr>
      </w:pPr>
    </w:p>
    <w:p>
      <w:pPr>
        <w:spacing w:after="0" w:line="2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tables set forth our assets which are measured on a recurring basis by the level within the fair value hierarchy in which fair value measurements fall: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5"/>
                <w:szCs w:val="15"/>
                <w:b w:val="1"/>
                <w:bCs w:val="1"/>
                <w:color w:val="auto"/>
              </w:rPr>
              <w:t>September 30, 2017</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Level I</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Level II</w:t>
            </w:r>
          </w:p>
        </w:tc>
        <w:tc>
          <w:tcPr>
            <w:tcW w:w="18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5"/>
                <w:szCs w:val="15"/>
                <w:b w:val="1"/>
                <w:bCs w:val="1"/>
                <w:color w:val="auto"/>
              </w:rPr>
              <w:t>Level III</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15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ind w:left="120"/>
              <w:spacing w:after="0"/>
              <w:rPr>
                <w:sz w:val="20"/>
                <w:szCs w:val="20"/>
                <w:color w:val="auto"/>
              </w:rPr>
            </w:pPr>
            <w:r>
              <w:rPr>
                <w:rFonts w:ascii="Arial" w:cs="Arial" w:eastAsia="Arial" w:hAnsi="Arial"/>
                <w:sz w:val="15"/>
                <w:szCs w:val="15"/>
                <w:color w:val="auto"/>
              </w:rPr>
              <w:t>U.S. Government and agencies</w:t>
            </w:r>
          </w:p>
        </w:tc>
        <w:tc>
          <w:tcPr>
            <w:tcW w:w="176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6,984</w:t>
            </w:r>
          </w:p>
        </w:tc>
        <w:tc>
          <w:tcPr>
            <w:tcW w:w="1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6,984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Obligations of states and political subdivisions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84,221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84,221</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ind w:left="120"/>
              <w:spacing w:after="0"/>
              <w:rPr>
                <w:sz w:val="20"/>
                <w:szCs w:val="20"/>
                <w:color w:val="auto"/>
              </w:rPr>
            </w:pPr>
            <w:r>
              <w:rPr>
                <w:rFonts w:ascii="Arial" w:cs="Arial" w:eastAsia="Arial" w:hAnsi="Arial"/>
                <w:sz w:val="15"/>
                <w:szCs w:val="15"/>
                <w:color w:val="auto"/>
              </w:rPr>
              <w:t>Corporate securities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91,083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91,083</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Residential mortgage-backed securities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31,773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31,773</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ind w:left="120"/>
              <w:spacing w:after="0"/>
              <w:rPr>
                <w:sz w:val="20"/>
                <w:szCs w:val="20"/>
                <w:color w:val="auto"/>
              </w:rPr>
            </w:pPr>
            <w:r>
              <w:rPr>
                <w:rFonts w:ascii="Arial" w:cs="Arial" w:eastAsia="Arial" w:hAnsi="Arial"/>
                <w:sz w:val="15"/>
                <w:szCs w:val="15"/>
                <w:color w:val="auto"/>
              </w:rPr>
              <w:t>Commercial mortgage-backed securities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7,571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7,571</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Asset-backed securities</w:t>
            </w: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15,757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15,757</w:t>
            </w:r>
          </w:p>
        </w:tc>
        <w:tc>
          <w:tcPr>
            <w:tcW w:w="1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Total fixed income securities</w:t>
            </w:r>
          </w:p>
        </w:tc>
        <w:tc>
          <w:tcPr>
            <w:tcW w:w="15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237,389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237,389</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5"/>
                <w:szCs w:val="15"/>
                <w:color w:val="auto"/>
                <w:w w:val="93"/>
              </w:rPr>
              <w:t>—</w:t>
            </w:r>
          </w:p>
        </w:tc>
        <w:tc>
          <w:tcPr>
            <w:tcW w:w="10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5"/>
                <w:szCs w:val="15"/>
                <w:color w:val="auto"/>
              </w:rPr>
              <w:t>Equity securities: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 materials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ind w:left="120"/>
              <w:spacing w:after="0"/>
              <w:rPr>
                <w:sz w:val="20"/>
                <w:szCs w:val="20"/>
                <w:color w:val="auto"/>
              </w:rPr>
            </w:pPr>
            <w:r>
              <w:rPr>
                <w:rFonts w:ascii="Arial" w:cs="Arial" w:eastAsia="Arial" w:hAnsi="Arial"/>
                <w:sz w:val="15"/>
                <w:szCs w:val="15"/>
                <w:color w:val="auto"/>
              </w:rPr>
              <w:t>Communications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4,109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Consumer, cyclical</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ind w:left="120"/>
              <w:spacing w:after="0"/>
              <w:rPr>
                <w:sz w:val="20"/>
                <w:szCs w:val="20"/>
                <w:color w:val="auto"/>
              </w:rPr>
            </w:pPr>
            <w:r>
              <w:rPr>
                <w:rFonts w:ascii="Arial" w:cs="Arial" w:eastAsia="Arial" w:hAnsi="Arial"/>
                <w:sz w:val="15"/>
                <w:szCs w:val="15"/>
                <w:color w:val="auto"/>
              </w:rPr>
              <w:t>Consumer, non-cyclical</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9,766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9,766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Energy</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ind w:left="120"/>
              <w:spacing w:after="0"/>
              <w:rPr>
                <w:sz w:val="20"/>
                <w:szCs w:val="20"/>
                <w:color w:val="auto"/>
              </w:rPr>
            </w:pPr>
            <w:r>
              <w:rPr>
                <w:rFonts w:ascii="Arial" w:cs="Arial" w:eastAsia="Arial" w:hAnsi="Arial"/>
                <w:sz w:val="15"/>
                <w:szCs w:val="15"/>
                <w:color w:val="auto"/>
              </w:rPr>
              <w:t>Financial</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1,776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Industrial</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Pr>
          <w:p>
            <w:pPr>
              <w:ind w:left="120"/>
              <w:spacing w:after="0"/>
              <w:rPr>
                <w:sz w:val="20"/>
                <w:szCs w:val="20"/>
                <w:color w:val="auto"/>
              </w:rPr>
            </w:pPr>
            <w:r>
              <w:rPr>
                <w:rFonts w:ascii="Arial" w:cs="Arial" w:eastAsia="Arial" w:hAnsi="Arial"/>
                <w:sz w:val="15"/>
                <w:szCs w:val="15"/>
                <w:color w:val="auto"/>
              </w:rPr>
              <w:t>Technology</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8,738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equity securities</w:t>
            </w:r>
          </w:p>
        </w:tc>
        <w:tc>
          <w:tcPr>
            <w:tcW w:w="15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43,837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43,837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w w:val="93"/>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60"/>
              <w:spacing w:after="0"/>
              <w:rPr>
                <w:sz w:val="20"/>
                <w:szCs w:val="20"/>
                <w:color w:val="auto"/>
              </w:rPr>
            </w:pPr>
            <w:r>
              <w:rPr>
                <w:rFonts w:ascii="Arial" w:cs="Arial" w:eastAsia="Arial" w:hAnsi="Arial"/>
                <w:sz w:val="15"/>
                <w:szCs w:val="15"/>
                <w:color w:val="auto"/>
              </w:rPr>
              <w:t>Total assets at fair value</w:t>
            </w: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52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284,210</w:t>
            </w:r>
          </w:p>
        </w:tc>
        <w:tc>
          <w:tcPr>
            <w:tcW w:w="1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46,821</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237,389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5"/>
                <w:szCs w:val="15"/>
                <w:b w:val="1"/>
                <w:bCs w:val="1"/>
                <w:color w:val="auto"/>
              </w:rPr>
              <w:t>December 31, 2016</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Level I</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Level II</w:t>
            </w:r>
          </w:p>
        </w:tc>
        <w:tc>
          <w:tcPr>
            <w:tcW w:w="18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5"/>
                <w:szCs w:val="15"/>
                <w:b w:val="1"/>
                <w:bCs w:val="1"/>
                <w:color w:val="auto"/>
              </w:rPr>
              <w:t>Level III</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15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auto"/>
              </w:rPr>
              <w:t>U.S. Government and agencies</w:t>
            </w:r>
          </w:p>
        </w:tc>
        <w:tc>
          <w:tcPr>
            <w:tcW w:w="17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6,050</w:t>
            </w:r>
          </w:p>
        </w:tc>
        <w:tc>
          <w:tcPr>
            <w:tcW w:w="1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6,050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Obligations of states and political subdivisions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69,396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69,396</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auto"/>
              </w:rPr>
              <w:t>Corporate securities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51,170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51,170</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Residential mortgage-backed securities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22,637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22,637</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auto"/>
              </w:rPr>
              <w:t>Commercial mortgage-backed securities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8,096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8,096</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Asset-backed securities</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4,121</w:t>
            </w:r>
          </w:p>
        </w:tc>
        <w:tc>
          <w:tcPr>
            <w:tcW w:w="1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fixed income securities</w:t>
            </w:r>
          </w:p>
        </w:tc>
        <w:tc>
          <w:tcPr>
            <w:tcW w:w="15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161,470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161,470</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5"/>
                <w:szCs w:val="15"/>
                <w:color w:val="auto"/>
                <w:w w:val="93"/>
              </w:rPr>
              <w:t>—</w:t>
            </w:r>
          </w:p>
        </w:tc>
        <w:tc>
          <w:tcPr>
            <w:tcW w:w="10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5"/>
                <w:szCs w:val="15"/>
                <w:color w:val="auto"/>
              </w:rPr>
              <w:t>Equity securities: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Basic materials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auto"/>
              </w:rPr>
              <w:t>Communications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2,827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Consumer, cyclical</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auto"/>
              </w:rPr>
              <w:t>Consumer, non-cyclical</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4,218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Energy</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1,287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auto"/>
              </w:rPr>
              <w:t>Financial</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Industrial</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auto"/>
              </w:rPr>
              <w:t>Technology</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6,614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equity securities</w:t>
            </w:r>
          </w:p>
        </w:tc>
        <w:tc>
          <w:tcPr>
            <w:tcW w:w="15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25,917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25,917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w w:val="93"/>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18,318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18,318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ind w:left="300"/>
              <w:spacing w:after="0"/>
              <w:rPr>
                <w:sz w:val="20"/>
                <w:szCs w:val="20"/>
                <w:color w:val="auto"/>
              </w:rPr>
            </w:pPr>
            <w:r>
              <w:rPr>
                <w:rFonts w:ascii="Arial" w:cs="Arial" w:eastAsia="Arial" w:hAnsi="Arial"/>
                <w:sz w:val="15"/>
                <w:szCs w:val="15"/>
                <w:color w:val="auto"/>
              </w:rPr>
              <w:t>Total assets at fair value</w:t>
            </w: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205,705</w:t>
            </w:r>
          </w:p>
        </w:tc>
        <w:tc>
          <w:tcPr>
            <w:tcW w:w="1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44,235</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161,470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There were no liabilities measured at fair value on a recurring basis at September 30, 2017 or December 31, 2016.</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21" w:name="page22"/>
    <w:bookmarkEnd w:id="21"/>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13"/>
        <w:spacing w:after="0"/>
        <w:rPr>
          <w:sz w:val="20"/>
          <w:szCs w:val="20"/>
          <w:color w:val="auto"/>
        </w:rPr>
      </w:pPr>
      <w:r>
        <w:rPr>
          <w:rFonts w:ascii="Arial" w:cs="Arial" w:eastAsia="Arial" w:hAnsi="Arial"/>
          <w:sz w:val="15"/>
          <w:szCs w:val="15"/>
          <w:b w:val="1"/>
          <w:bCs w:val="1"/>
          <w:color w:val="auto"/>
        </w:rPr>
        <w:t>(dollar amounts in thousands)</w:t>
      </w:r>
    </w:p>
    <w:p>
      <w:pPr>
        <w:spacing w:after="0" w:line="367" w:lineRule="exact"/>
        <w:rPr>
          <w:sz w:val="20"/>
          <w:szCs w:val="20"/>
          <w:color w:val="auto"/>
        </w:rPr>
      </w:pPr>
    </w:p>
    <w:p>
      <w:pPr>
        <w:ind w:left="547" w:hanging="547"/>
        <w:spacing w:after="0"/>
        <w:tabs>
          <w:tab w:leader="none" w:pos="547"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Reinsurance</w:t>
      </w:r>
    </w:p>
    <w:p>
      <w:pPr>
        <w:spacing w:after="0" w:line="204" w:lineRule="exact"/>
        <w:rPr>
          <w:sz w:val="20"/>
          <w:szCs w:val="20"/>
          <w:color w:val="auto"/>
        </w:rPr>
      </w:pPr>
    </w:p>
    <w:p>
      <w:pPr>
        <w:ind w:left="7" w:firstLine="544"/>
        <w:spacing w:after="0" w:line="273" w:lineRule="auto"/>
        <w:rPr>
          <w:sz w:val="20"/>
          <w:szCs w:val="20"/>
          <w:color w:val="auto"/>
        </w:rPr>
      </w:pPr>
      <w:r>
        <w:rPr>
          <w:rFonts w:ascii="Arial" w:cs="Arial" w:eastAsia="Arial" w:hAnsi="Arial"/>
          <w:sz w:val="15"/>
          <w:szCs w:val="15"/>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60" w:lineRule="exact"/>
        <w:rPr>
          <w:sz w:val="20"/>
          <w:szCs w:val="20"/>
          <w:color w:val="auto"/>
        </w:rPr>
      </w:pPr>
    </w:p>
    <w:p>
      <w:pPr>
        <w:ind w:left="7" w:right="40" w:firstLine="544"/>
        <w:spacing w:after="0" w:line="273" w:lineRule="auto"/>
        <w:rPr>
          <w:sz w:val="20"/>
          <w:szCs w:val="20"/>
          <w:color w:val="auto"/>
        </w:rPr>
      </w:pPr>
      <w:r>
        <w:rPr>
          <w:rFonts w:ascii="Arial" w:cs="Arial" w:eastAsia="Arial" w:hAnsi="Arial"/>
          <w:sz w:val="15"/>
          <w:szCs w:val="15"/>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60" w:lineRule="exact"/>
        <w:rPr>
          <w:sz w:val="20"/>
          <w:szCs w:val="20"/>
          <w:color w:val="auto"/>
        </w:rPr>
      </w:pPr>
    </w:p>
    <w:p>
      <w:pPr>
        <w:ind w:left="7" w:right="60" w:firstLine="544"/>
        <w:spacing w:after="0" w:line="273" w:lineRule="auto"/>
        <w:rPr>
          <w:sz w:val="20"/>
          <w:szCs w:val="20"/>
          <w:color w:val="auto"/>
        </w:rPr>
      </w:pPr>
      <w:r>
        <w:rPr>
          <w:rFonts w:ascii="Arial" w:cs="Arial" w:eastAsia="Arial" w:hAnsi="Arial"/>
          <w:sz w:val="15"/>
          <w:szCs w:val="15"/>
          <w:color w:val="auto"/>
        </w:rPr>
        <w:t>As a group at December 31, 2016, the Company retained $5,000 of losses from catastrophic events and had reinsurance under various reinsurance agreements up to $74,600 in excess of its $5,000 retained risk. Effective January 1, 2017, the catastrophic retention amount was increased to $10,000, and the Company maintained the coverage up to $74,600 in excess of its $10,000 retained risk.</w:t>
      </w:r>
    </w:p>
    <w:p>
      <w:pPr>
        <w:spacing w:after="0" w:line="60" w:lineRule="exact"/>
        <w:rPr>
          <w:sz w:val="20"/>
          <w:szCs w:val="20"/>
          <w:color w:val="auto"/>
        </w:rPr>
      </w:pPr>
    </w:p>
    <w:p>
      <w:pPr>
        <w:ind w:left="7" w:right="40" w:firstLine="544"/>
        <w:spacing w:after="0" w:line="265" w:lineRule="auto"/>
        <w:rPr>
          <w:sz w:val="20"/>
          <w:szCs w:val="20"/>
          <w:color w:val="auto"/>
        </w:rPr>
      </w:pPr>
      <w:r>
        <w:rPr>
          <w:rFonts w:ascii="Arial" w:cs="Arial" w:eastAsia="Arial" w:hAnsi="Arial"/>
          <w:sz w:val="15"/>
          <w:szCs w:val="15"/>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6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A reconciliation of direct to net premiums on both a written and an earned basis is as follows:</w:t>
      </w:r>
    </w:p>
    <w:p>
      <w:pPr>
        <w:sectPr>
          <w:pgSz w:w="11900" w:h="16838" w:orient="portrait"/>
          <w:cols w:equalWidth="0" w:num="1">
            <w:col w:w="11427"/>
          </w:cols>
          <w:pgMar w:left="233" w:top="222"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Arial" w:cs="Arial" w:eastAsia="Arial" w:hAnsi="Arial"/>
          <w:sz w:val="15"/>
          <w:szCs w:val="15"/>
          <w:color w:val="auto"/>
        </w:rPr>
        <w:t>Direct premium</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Assumed premium</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Ceded premium</w:t>
      </w:r>
    </w:p>
    <w:p>
      <w:pPr>
        <w:spacing w:after="0" w:line="14" w:lineRule="exact"/>
        <w:rPr>
          <w:sz w:val="20"/>
          <w:szCs w:val="20"/>
          <w:color w:val="auto"/>
        </w:rPr>
      </w:pPr>
    </w:p>
    <w:p>
      <w:pPr>
        <w:ind w:left="227"/>
        <w:spacing w:after="0"/>
        <w:rPr>
          <w:sz w:val="20"/>
          <w:szCs w:val="20"/>
          <w:color w:val="auto"/>
        </w:rPr>
      </w:pPr>
      <w:r>
        <w:rPr>
          <w:rFonts w:ascii="Arial" w:cs="Arial" w:eastAsia="Arial" w:hAnsi="Arial"/>
          <w:sz w:val="15"/>
          <w:szCs w:val="15"/>
          <w:color w:val="auto"/>
        </w:rPr>
        <w:t>Net premiums</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5"/>
          <w:szCs w:val="15"/>
          <w:color w:val="auto"/>
        </w:rPr>
        <w:t>Percentage of assumed earned premium to</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net earned premium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
        <w:spacing w:after="0"/>
        <w:rPr>
          <w:sz w:val="20"/>
          <w:szCs w:val="20"/>
          <w:color w:val="auto"/>
        </w:rPr>
      </w:pPr>
      <w:r>
        <w:rPr>
          <w:rFonts w:ascii="Arial" w:cs="Arial" w:eastAsia="Arial" w:hAnsi="Arial"/>
          <w:sz w:val="15"/>
          <w:szCs w:val="15"/>
          <w:color w:val="auto"/>
        </w:rPr>
        <w:t>Direct premium</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Assumed premium</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Ceded premium</w:t>
      </w:r>
    </w:p>
    <w:p>
      <w:pPr>
        <w:spacing w:after="0" w:line="14" w:lineRule="exact"/>
        <w:rPr>
          <w:sz w:val="20"/>
          <w:szCs w:val="20"/>
          <w:color w:val="auto"/>
        </w:rPr>
      </w:pPr>
    </w:p>
    <w:p>
      <w:pPr>
        <w:ind w:left="227"/>
        <w:spacing w:after="0"/>
        <w:rPr>
          <w:sz w:val="20"/>
          <w:szCs w:val="20"/>
          <w:color w:val="auto"/>
        </w:rPr>
      </w:pPr>
      <w:r>
        <w:rPr>
          <w:rFonts w:ascii="Arial" w:cs="Arial" w:eastAsia="Arial" w:hAnsi="Arial"/>
          <w:sz w:val="15"/>
          <w:szCs w:val="15"/>
          <w:color w:val="auto"/>
        </w:rPr>
        <w:t>Net premiums</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5"/>
          <w:szCs w:val="15"/>
          <w:color w:val="auto"/>
        </w:rPr>
        <w:t>Percentage of assumed earned premium to</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net earned premium</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3"/>
          <w:szCs w:val="13"/>
          <w:color w:val="auto"/>
        </w:rPr>
        <w:t>A reconciliation of direct to net losses and loss adjustment expenses is as follows: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900" w:type="dxa"/>
            <w:vAlign w:val="bottom"/>
            <w:gridSpan w:val="7"/>
          </w:tcPr>
          <w:p>
            <w:pPr>
              <w:spacing w:after="0"/>
              <w:rPr>
                <w:sz w:val="20"/>
                <w:szCs w:val="20"/>
                <w:color w:val="auto"/>
              </w:rPr>
            </w:pPr>
            <w:r>
              <w:rPr>
                <w:rFonts w:ascii="Arial" w:cs="Arial" w:eastAsia="Arial" w:hAnsi="Arial"/>
                <w:sz w:val="15"/>
                <w:szCs w:val="15"/>
                <w:b w:val="1"/>
                <w:bCs w:val="1"/>
                <w:color w:val="auto"/>
                <w:w w:val="98"/>
              </w:rPr>
              <w:t>Three Months Ended September 30, 2017</w:t>
            </w:r>
          </w:p>
        </w:tc>
        <w:tc>
          <w:tcPr>
            <w:tcW w:w="2700" w:type="dxa"/>
            <w:vAlign w:val="bottom"/>
            <w:gridSpan w:val="7"/>
          </w:tcPr>
          <w:p>
            <w:pPr>
              <w:spacing w:after="0"/>
              <w:rPr>
                <w:sz w:val="20"/>
                <w:szCs w:val="20"/>
                <w:color w:val="auto"/>
              </w:rPr>
            </w:pPr>
            <w:r>
              <w:rPr>
                <w:rFonts w:ascii="Arial" w:cs="Arial" w:eastAsia="Arial" w:hAnsi="Arial"/>
                <w:sz w:val="15"/>
                <w:szCs w:val="15"/>
                <w:b w:val="1"/>
                <w:bCs w:val="1"/>
                <w:color w:val="auto"/>
                <w:w w:val="94"/>
              </w:rPr>
              <w:t>Nine Months Ended September 30, 2017</w:t>
            </w:r>
          </w:p>
        </w:tc>
      </w:tr>
      <w:tr>
        <w:trPr>
          <w:trHeight w:val="189"/>
        </w:trPr>
        <w:tc>
          <w:tcPr>
            <w:tcW w:w="20" w:type="dxa"/>
            <w:vAlign w:val="bottom"/>
          </w:tcPr>
          <w:p>
            <w:pPr>
              <w:spacing w:after="0"/>
              <w:rPr>
                <w:sz w:val="16"/>
                <w:szCs w:val="16"/>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5"/>
                <w:szCs w:val="15"/>
                <w:b w:val="1"/>
                <w:bCs w:val="1"/>
                <w:color w:val="auto"/>
              </w:rPr>
              <w:t>Premiums Written</w:t>
            </w: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4"/>
              </w:rPr>
              <w:t>Premiums Earned</w:t>
            </w:r>
          </w:p>
        </w:tc>
        <w:tc>
          <w:tcPr>
            <w:tcW w:w="200" w:type="dxa"/>
            <w:vAlign w:val="bottom"/>
          </w:tcPr>
          <w:p>
            <w:pPr>
              <w:spacing w:after="0"/>
              <w:rPr>
                <w:sz w:val="16"/>
                <w:szCs w:val="16"/>
                <w:color w:val="auto"/>
              </w:rPr>
            </w:pP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5"/>
                <w:szCs w:val="15"/>
                <w:b w:val="1"/>
                <w:bCs w:val="1"/>
                <w:color w:val="auto"/>
              </w:rPr>
              <w:t>Premiums Written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w w:val="92"/>
              </w:rPr>
              <w:t>Premiums Earned</w:t>
            </w:r>
          </w:p>
        </w:tc>
        <w:tc>
          <w:tcPr>
            <w:tcW w:w="40" w:type="dxa"/>
            <w:vAlign w:val="bottom"/>
            <w:gridSpan w:val="2"/>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42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39,005</w:t>
            </w: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57,979</w:t>
            </w:r>
          </w:p>
        </w:tc>
        <w:tc>
          <w:tcPr>
            <w:tcW w:w="200" w:type="dxa"/>
            <w:vAlign w:val="bottom"/>
          </w:tcPr>
          <w:p>
            <w:pPr>
              <w:spacing w:after="0"/>
              <w:rPr>
                <w:sz w:val="14"/>
                <w:szCs w:val="14"/>
                <w:color w:val="auto"/>
              </w:rPr>
            </w:pPr>
          </w:p>
        </w:tc>
        <w:tc>
          <w:tcPr>
            <w:tcW w:w="40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159,056</w:t>
            </w: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140,659</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1,112</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1,190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5,703</w:t>
            </w:r>
          </w:p>
        </w:tc>
        <w:tc>
          <w:tcPr>
            <w:tcW w:w="38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5,729</w:t>
            </w:r>
          </w:p>
        </w:tc>
        <w:tc>
          <w:tcPr>
            <w:tcW w:w="2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(3,970)</w:t>
            </w: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(6,644)</w:t>
            </w:r>
          </w:p>
        </w:tc>
        <w:tc>
          <w:tcPr>
            <w:tcW w:w="4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(15,401)</w:t>
            </w:r>
          </w:p>
        </w:tc>
        <w:tc>
          <w:tcPr>
            <w:tcW w:w="3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(15,401)</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40" w:type="dxa"/>
            <w:vAlign w:val="bottom"/>
            <w:gridSpan w:val="2"/>
          </w:tcPr>
          <w:p>
            <w:pPr>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36,147</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52,525</w:t>
            </w:r>
          </w:p>
        </w:tc>
        <w:tc>
          <w:tcPr>
            <w:tcW w:w="400" w:type="dxa"/>
            <w:vAlign w:val="bottom"/>
          </w:tcPr>
          <w:p>
            <w:pPr>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149,358</w:t>
            </w:r>
          </w:p>
        </w:tc>
        <w:tc>
          <w:tcPr>
            <w:tcW w:w="38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130,987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0"/>
        </w:trPr>
        <w:tc>
          <w:tcPr>
            <w:tcW w:w="2900" w:type="dxa"/>
            <w:vAlign w:val="bottom"/>
            <w:gridSpan w:val="7"/>
          </w:tcPr>
          <w:p>
            <w:pPr>
              <w:spacing w:after="0"/>
              <w:rPr>
                <w:sz w:val="20"/>
                <w:szCs w:val="20"/>
                <w:color w:val="auto"/>
              </w:rPr>
            </w:pPr>
            <w:r>
              <w:rPr>
                <w:rFonts w:ascii="Arial" w:cs="Arial" w:eastAsia="Arial" w:hAnsi="Arial"/>
                <w:sz w:val="15"/>
                <w:szCs w:val="15"/>
                <w:b w:val="1"/>
                <w:bCs w:val="1"/>
                <w:color w:val="auto"/>
                <w:w w:val="98"/>
              </w:rPr>
              <w:t>Three Months Ended September 30, 2016</w:t>
            </w:r>
          </w:p>
        </w:tc>
        <w:tc>
          <w:tcPr>
            <w:tcW w:w="2700" w:type="dxa"/>
            <w:vAlign w:val="bottom"/>
            <w:gridSpan w:val="7"/>
          </w:tcPr>
          <w:p>
            <w:pPr>
              <w:spacing w:after="0"/>
              <w:rPr>
                <w:sz w:val="20"/>
                <w:szCs w:val="20"/>
                <w:color w:val="auto"/>
              </w:rPr>
            </w:pPr>
            <w:r>
              <w:rPr>
                <w:rFonts w:ascii="Arial" w:cs="Arial" w:eastAsia="Arial" w:hAnsi="Arial"/>
                <w:sz w:val="15"/>
                <w:szCs w:val="15"/>
                <w:b w:val="1"/>
                <w:bCs w:val="1"/>
                <w:color w:val="auto"/>
                <w:w w:val="94"/>
              </w:rPr>
              <w:t>Nine Months Ended September 30, 2016</w:t>
            </w:r>
          </w:p>
        </w:tc>
      </w:tr>
      <w:tr>
        <w:trPr>
          <w:trHeight w:val="189"/>
        </w:trPr>
        <w:tc>
          <w:tcPr>
            <w:tcW w:w="20" w:type="dxa"/>
            <w:vAlign w:val="bottom"/>
          </w:tcPr>
          <w:p>
            <w:pPr>
              <w:spacing w:after="0"/>
              <w:rPr>
                <w:sz w:val="16"/>
                <w:szCs w:val="16"/>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5"/>
                <w:szCs w:val="15"/>
                <w:b w:val="1"/>
                <w:bCs w:val="1"/>
                <w:color w:val="auto"/>
              </w:rPr>
              <w:t>Premiums Written</w:t>
            </w: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4"/>
              </w:rPr>
              <w:t>Premiums Earned</w:t>
            </w:r>
          </w:p>
        </w:tc>
        <w:tc>
          <w:tcPr>
            <w:tcW w:w="200" w:type="dxa"/>
            <w:vAlign w:val="bottom"/>
          </w:tcPr>
          <w:p>
            <w:pPr>
              <w:spacing w:after="0"/>
              <w:rPr>
                <w:sz w:val="16"/>
                <w:szCs w:val="16"/>
                <w:color w:val="auto"/>
              </w:rPr>
            </w:pP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5"/>
                <w:szCs w:val="15"/>
                <w:b w:val="1"/>
                <w:bCs w:val="1"/>
                <w:color w:val="auto"/>
              </w:rPr>
              <w:t>Premiums Written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w w:val="92"/>
              </w:rPr>
              <w:t>Premiums Earned</w:t>
            </w:r>
          </w:p>
        </w:tc>
        <w:tc>
          <w:tcPr>
            <w:tcW w:w="40" w:type="dxa"/>
            <w:vAlign w:val="bottom"/>
            <w:gridSpan w:val="2"/>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42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39,238</w:t>
            </w: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59,216</w:t>
            </w:r>
          </w:p>
        </w:tc>
        <w:tc>
          <w:tcPr>
            <w:tcW w:w="200" w:type="dxa"/>
            <w:vAlign w:val="bottom"/>
          </w:tcPr>
          <w:p>
            <w:pPr>
              <w:spacing w:after="0"/>
              <w:rPr>
                <w:sz w:val="14"/>
                <w:szCs w:val="14"/>
                <w:color w:val="auto"/>
              </w:rPr>
            </w:pPr>
          </w:p>
        </w:tc>
        <w:tc>
          <w:tcPr>
            <w:tcW w:w="40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150,807</w:t>
            </w: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130,186</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1,236</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1,280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8,666</w:t>
            </w:r>
          </w:p>
        </w:tc>
        <w:tc>
          <w:tcPr>
            <w:tcW w:w="38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8,693</w:t>
            </w:r>
          </w:p>
        </w:tc>
        <w:tc>
          <w:tcPr>
            <w:tcW w:w="2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2,098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(7,857)</w:t>
            </w:r>
          </w:p>
        </w:tc>
        <w:tc>
          <w:tcPr>
            <w:tcW w:w="4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(28,779)</w:t>
            </w:r>
          </w:p>
        </w:tc>
        <w:tc>
          <w:tcPr>
            <w:tcW w:w="3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(18,989)</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40" w:type="dxa"/>
            <w:vAlign w:val="bottom"/>
            <w:gridSpan w:val="2"/>
          </w:tcPr>
          <w:p>
            <w:pPr>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42,572</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52,639</w:t>
            </w:r>
          </w:p>
        </w:tc>
        <w:tc>
          <w:tcPr>
            <w:tcW w:w="400" w:type="dxa"/>
            <w:vAlign w:val="bottom"/>
          </w:tcPr>
          <w:p>
            <w:pPr>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130,694</w:t>
            </w:r>
          </w:p>
        </w:tc>
        <w:tc>
          <w:tcPr>
            <w:tcW w:w="38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119,890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2.4%</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7.3%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-2212975</wp:posOffset>
            </wp:positionV>
            <wp:extent cx="7266305" cy="125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305" cy="1250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-1970405</wp:posOffset>
            </wp:positionV>
            <wp:extent cx="7266305" cy="125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305" cy="1250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-1705610</wp:posOffset>
            </wp:positionV>
            <wp:extent cx="7266305" cy="132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305" cy="13208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-911225</wp:posOffset>
            </wp:positionV>
            <wp:extent cx="7266305" cy="125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305" cy="1250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-668655</wp:posOffset>
            </wp:positionV>
            <wp:extent cx="7266305" cy="125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305" cy="1250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-403860</wp:posOffset>
            </wp:positionV>
            <wp:extent cx="7266305" cy="132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305" cy="132080"/>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5607" w:space="180"/>
            <w:col w:w="5640"/>
          </w:cols>
          <w:pgMar w:left="233" w:top="222" w:right="2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4"/>
          <w:szCs w:val="14"/>
          <w:color w:val="auto"/>
        </w:rPr>
        <w:t>Direct losses and loss adjustment expenses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3"/>
          <w:szCs w:val="13"/>
          <w:color w:val="auto"/>
        </w:rPr>
        <w:t>Assumed losses and loss adjustment expenses</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4"/>
          <w:szCs w:val="14"/>
          <w:color w:val="auto"/>
        </w:rPr>
        <w:t>Ceded losses and loss adjustment expenses</w:t>
      </w:r>
    </w:p>
    <w:p>
      <w:pPr>
        <w:spacing w:after="0" w:line="26" w:lineRule="exact"/>
        <w:rPr>
          <w:sz w:val="20"/>
          <w:szCs w:val="20"/>
          <w:color w:val="auto"/>
        </w:rPr>
      </w:pPr>
    </w:p>
    <w:p>
      <w:pPr>
        <w:ind w:left="227"/>
        <w:spacing w:after="0"/>
        <w:rPr>
          <w:sz w:val="20"/>
          <w:szCs w:val="20"/>
          <w:color w:val="auto"/>
        </w:rPr>
      </w:pPr>
      <w:r>
        <w:rPr>
          <w:rFonts w:ascii="Arial" w:cs="Arial" w:eastAsia="Arial" w:hAnsi="Arial"/>
          <w:sz w:val="14"/>
          <w:szCs w:val="14"/>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640" w:type="dxa"/>
            <w:vAlign w:val="bottom"/>
            <w:gridSpan w:val="7"/>
          </w:tcPr>
          <w:p>
            <w:pPr>
              <w:jc w:val="right"/>
              <w:ind w:right="200"/>
              <w:spacing w:after="0"/>
              <w:rPr>
                <w:sz w:val="20"/>
                <w:szCs w:val="20"/>
                <w:color w:val="auto"/>
              </w:rPr>
            </w:pPr>
            <w:r>
              <w:rPr>
                <w:rFonts w:ascii="Arial" w:cs="Arial" w:eastAsia="Arial" w:hAnsi="Arial"/>
                <w:sz w:val="15"/>
                <w:szCs w:val="15"/>
                <w:b w:val="1"/>
                <w:bCs w:val="1"/>
                <w:color w:val="auto"/>
                <w:w w:val="94"/>
              </w:rPr>
              <w:t>Three Months Ended 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6"/>
          </w:tcPr>
          <w:p>
            <w:pPr>
              <w:jc w:val="right"/>
              <w:ind w:right="160"/>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189"/>
        </w:trPr>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220" w:type="dxa"/>
            <w:vAlign w:val="bottom"/>
          </w:tcPr>
          <w:p>
            <w:pPr>
              <w:jc w:val="right"/>
              <w:ind w:right="97"/>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48,295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83"/>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72,636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7" w:lineRule="exact"/>
              <w:rPr>
                <w:sz w:val="20"/>
                <w:szCs w:val="20"/>
                <w:color w:val="auto"/>
              </w:rPr>
            </w:pPr>
            <w:r>
              <w:rPr>
                <w:rFonts w:ascii="Arial" w:cs="Arial" w:eastAsia="Arial" w:hAnsi="Arial"/>
                <w:sz w:val="15"/>
                <w:szCs w:val="15"/>
                <w:color w:val="auto"/>
              </w:rPr>
              <w:t>104,030</w:t>
            </w:r>
          </w:p>
        </w:tc>
        <w:tc>
          <w:tcPr>
            <w:tcW w:w="240" w:type="dxa"/>
            <w:vAlign w:val="bottom"/>
          </w:tcPr>
          <w:p>
            <w:pPr>
              <w:spacing w:after="0"/>
              <w:rPr>
                <w:sz w:val="14"/>
                <w:szCs w:val="14"/>
                <w:color w:val="auto"/>
              </w:rPr>
            </w:pPr>
          </w:p>
        </w:tc>
        <w:tc>
          <w:tcPr>
            <w:tcW w:w="240" w:type="dxa"/>
            <w:vAlign w:val="bottom"/>
          </w:tcPr>
          <w:p>
            <w:pPr>
              <w:jc w:val="right"/>
              <w:ind w:right="83"/>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123,984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1,651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5,312</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5,472</w:t>
            </w:r>
          </w:p>
        </w:tc>
        <w:tc>
          <w:tcPr>
            <w:tcW w:w="2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(1,395)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(23,612)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(5,792)</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(36,196)</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40" w:type="dxa"/>
            <w:vAlign w:val="bottom"/>
            <w:gridSpan w:val="2"/>
          </w:tcPr>
          <w:p>
            <w:pPr>
              <w:jc w:val="right"/>
              <w:ind w:right="9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49,599</w:t>
            </w:r>
          </w:p>
        </w:tc>
        <w:tc>
          <w:tcPr>
            <w:tcW w:w="3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50,675</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103,550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93,260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-521335</wp:posOffset>
            </wp:positionV>
            <wp:extent cx="7266305" cy="125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305" cy="12509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-278765</wp:posOffset>
            </wp:positionV>
            <wp:extent cx="7266305" cy="125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7266305"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2">
            <w:col w:w="4947" w:space="720"/>
            <w:col w:w="5760"/>
          </w:cols>
          <w:pgMar w:left="233" w:top="222" w:right="239" w:bottom="1440" w:gutter="0" w:footer="0" w:header="0"/>
          <w:type w:val="continuous"/>
        </w:sectPr>
      </w:pPr>
    </w:p>
    <w:bookmarkStart w:id="22" w:name="page23"/>
    <w:bookmarkEnd w:id="22"/>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p>
      <w:pPr>
        <w:ind w:left="547"/>
        <w:spacing w:after="0"/>
        <w:rPr>
          <w:sz w:val="20"/>
          <w:szCs w:val="20"/>
          <w:color w:val="auto"/>
        </w:rPr>
      </w:pPr>
      <w:r>
        <w:rPr>
          <w:rFonts w:ascii="Arial" w:cs="Arial" w:eastAsia="Arial" w:hAnsi="Arial"/>
          <w:sz w:val="13"/>
          <w:szCs w:val="13"/>
          <w:color w:val="auto"/>
        </w:rPr>
        <w:t>If 100% of our ceded reinsurance was cancelled as of September 30, 2017 or December 31, 2016, no ceded commissions would need to be returned to the reinsurers.</w:t>
      </w:r>
    </w:p>
    <w:p>
      <w:pPr>
        <w:spacing w:after="0" w:line="215" w:lineRule="exact"/>
        <w:rPr>
          <w:sz w:val="20"/>
          <w:szCs w:val="20"/>
          <w:color w:val="auto"/>
        </w:rPr>
      </w:pPr>
    </w:p>
    <w:p>
      <w:pPr>
        <w:ind w:left="547" w:hanging="547"/>
        <w:spacing w:after="0"/>
        <w:tabs>
          <w:tab w:leader="none" w:pos="547"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Deferred Policy Acquisition Costs</w:t>
      </w:r>
    </w:p>
    <w:p>
      <w:pPr>
        <w:sectPr>
          <w:pgSz w:w="11900" w:h="16838" w:orient="portrait"/>
          <w:cols w:equalWidth="0" w:num="1">
            <w:col w:w="11387"/>
          </w:cols>
          <w:pgMar w:left="233" w:top="222" w:right="279" w:bottom="1440" w:gutter="0" w:footer="0" w:header="0"/>
        </w:sectPr>
      </w:pPr>
    </w:p>
    <w:p>
      <w:pPr>
        <w:spacing w:after="0" w:line="204"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Activity with regards to our deferred policy acquisition costs was as follows:</w:t>
      </w: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Arial" w:cs="Arial" w:eastAsia="Arial" w:hAnsi="Arial"/>
          <w:sz w:val="15"/>
          <w:szCs w:val="15"/>
          <w:color w:val="auto"/>
        </w:rPr>
        <w:t>Balance, beginning of period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Deferral of policy acquisition costs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Amortization of deferred policy acquisition costs</w:t>
      </w:r>
    </w:p>
    <w:p>
      <w:pPr>
        <w:spacing w:after="0" w:line="14" w:lineRule="exact"/>
        <w:rPr>
          <w:sz w:val="20"/>
          <w:szCs w:val="20"/>
          <w:color w:val="auto"/>
        </w:rPr>
      </w:pPr>
    </w:p>
    <w:p>
      <w:pPr>
        <w:ind w:left="227"/>
        <w:spacing w:after="0"/>
        <w:rPr>
          <w:sz w:val="20"/>
          <w:szCs w:val="20"/>
          <w:color w:val="auto"/>
        </w:rPr>
      </w:pPr>
      <w:r>
        <w:rPr>
          <w:rFonts w:ascii="Arial" w:cs="Arial" w:eastAsia="Arial" w:hAnsi="Arial"/>
          <w:sz w:val="15"/>
          <w:szCs w:val="15"/>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640" w:type="dxa"/>
            <w:vAlign w:val="bottom"/>
            <w:gridSpan w:val="7"/>
          </w:tcPr>
          <w:p>
            <w:pPr>
              <w:jc w:val="right"/>
              <w:ind w:right="200"/>
              <w:spacing w:after="0"/>
              <w:rPr>
                <w:sz w:val="20"/>
                <w:szCs w:val="20"/>
                <w:color w:val="auto"/>
              </w:rPr>
            </w:pPr>
            <w:r>
              <w:rPr>
                <w:rFonts w:ascii="Arial" w:cs="Arial" w:eastAsia="Arial" w:hAnsi="Arial"/>
                <w:sz w:val="15"/>
                <w:szCs w:val="15"/>
                <w:b w:val="1"/>
                <w:bCs w:val="1"/>
                <w:color w:val="auto"/>
                <w:w w:val="94"/>
              </w:rPr>
              <w:t>Three Months Ended 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6"/>
          </w:tcPr>
          <w:p>
            <w:pPr>
              <w:jc w:val="right"/>
              <w:ind w:right="160"/>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189"/>
        </w:trPr>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220" w:type="dxa"/>
            <w:vAlign w:val="bottom"/>
          </w:tcPr>
          <w:p>
            <w:pPr>
              <w:jc w:val="right"/>
              <w:ind w:right="97"/>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14,126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83"/>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10,577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7" w:lineRule="exact"/>
              <w:rPr>
                <w:sz w:val="20"/>
                <w:szCs w:val="20"/>
                <w:color w:val="auto"/>
              </w:rPr>
            </w:pPr>
            <w:r>
              <w:rPr>
                <w:rFonts w:ascii="Arial" w:cs="Arial" w:eastAsia="Arial" w:hAnsi="Arial"/>
                <w:sz w:val="15"/>
                <w:szCs w:val="15"/>
                <w:color w:val="auto"/>
              </w:rPr>
              <w:t>8,942</w:t>
            </w:r>
          </w:p>
        </w:tc>
        <w:tc>
          <w:tcPr>
            <w:tcW w:w="240" w:type="dxa"/>
            <w:vAlign w:val="bottom"/>
          </w:tcPr>
          <w:p>
            <w:pPr>
              <w:spacing w:after="0"/>
              <w:rPr>
                <w:sz w:val="14"/>
                <w:szCs w:val="14"/>
                <w:color w:val="auto"/>
              </w:rPr>
            </w:pPr>
          </w:p>
        </w:tc>
        <w:tc>
          <w:tcPr>
            <w:tcW w:w="240" w:type="dxa"/>
            <w:vAlign w:val="bottom"/>
          </w:tcPr>
          <w:p>
            <w:pPr>
              <w:jc w:val="right"/>
              <w:ind w:right="83"/>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8,444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7,419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5,785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23,913</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18,152</w:t>
            </w:r>
          </w:p>
        </w:tc>
        <w:tc>
          <w:tcPr>
            <w:tcW w:w="2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(9,792)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(6,644)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(21,102)</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(16,878)</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40" w:type="dxa"/>
            <w:vAlign w:val="bottom"/>
            <w:gridSpan w:val="2"/>
          </w:tcPr>
          <w:p>
            <w:pPr>
              <w:jc w:val="right"/>
              <w:ind w:right="9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11,753</w:t>
            </w:r>
          </w:p>
        </w:tc>
        <w:tc>
          <w:tcPr>
            <w:tcW w:w="140" w:type="dxa"/>
            <w:vAlign w:val="bottom"/>
          </w:tcPr>
          <w:p>
            <w:pPr>
              <w:spacing w:after="0"/>
              <w:rPr>
                <w:sz w:val="16"/>
                <w:szCs w:val="16"/>
                <w:color w:val="auto"/>
              </w:rPr>
            </w:pPr>
          </w:p>
        </w:tc>
        <w:tc>
          <w:tcPr>
            <w:tcW w:w="3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9,718</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11,753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9,718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-521335</wp:posOffset>
            </wp:positionV>
            <wp:extent cx="7266305" cy="125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305" cy="12509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-278765</wp:posOffset>
            </wp:positionV>
            <wp:extent cx="7266305" cy="125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7" w:space="720"/>
            <w:col w:w="5320"/>
          </w:cols>
          <w:pgMar w:left="233" w:top="222" w:right="279" w:bottom="1440" w:gutter="0" w:footer="0" w:header="0"/>
          <w:type w:val="continuous"/>
        </w:sectPr>
      </w:pPr>
    </w:p>
    <w:p>
      <w:pPr>
        <w:spacing w:after="0" w:line="154" w:lineRule="exact"/>
        <w:rPr>
          <w:sz w:val="20"/>
          <w:szCs w:val="20"/>
          <w:color w:val="auto"/>
        </w:rPr>
      </w:pPr>
    </w:p>
    <w:p>
      <w:pPr>
        <w:ind w:left="547" w:hanging="547"/>
        <w:spacing w:after="0"/>
        <w:tabs>
          <w:tab w:leader="none" w:pos="547"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Unpaid Losses and Loss Adjustment Expenses</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5"/>
          <w:szCs w:val="15"/>
          <w:color w:val="auto"/>
        </w:rPr>
        <w:t>Activity in the liability for unpaid losses and loss adjustment expenses is summarized as follows:</w:t>
      </w:r>
    </w:p>
    <w:p>
      <w:pPr>
        <w:spacing w:after="0" w:line="99" w:lineRule="exact"/>
        <w:rPr>
          <w:sz w:val="20"/>
          <w:szCs w:val="20"/>
          <w:color w:val="auto"/>
        </w:rPr>
      </w:pPr>
    </w:p>
    <w:p>
      <w:pPr>
        <w:ind w:left="8567"/>
        <w:spacing w:after="0"/>
        <w:tabs>
          <w:tab w:leader="none" w:pos="10307" w:val="left"/>
        </w:tabs>
        <w:rPr>
          <w:sz w:val="20"/>
          <w:szCs w:val="20"/>
          <w:color w:val="auto"/>
        </w:rPr>
      </w:pPr>
      <w:r>
        <w:rPr>
          <w:rFonts w:ascii="Arial" w:cs="Arial" w:eastAsia="Arial" w:hAnsi="Arial"/>
          <w:sz w:val="15"/>
          <w:szCs w:val="15"/>
          <w:b w:val="1"/>
          <w:bCs w:val="1"/>
          <w:color w:val="auto"/>
        </w:rPr>
        <w:t>Nine Months Ended</w:t>
      </w:r>
      <w:r>
        <w:rPr>
          <w:sz w:val="20"/>
          <w:szCs w:val="20"/>
          <w:color w:val="auto"/>
        </w:rPr>
        <w:tab/>
      </w:r>
      <w:r>
        <w:rPr>
          <w:rFonts w:ascii="Arial" w:cs="Arial" w:eastAsia="Arial" w:hAnsi="Arial"/>
          <w:sz w:val="14"/>
          <w:szCs w:val="14"/>
          <w:b w:val="1"/>
          <w:bCs w:val="1"/>
          <w:color w:val="auto"/>
        </w:rPr>
        <w:t>Year Ended</w:t>
      </w:r>
    </w:p>
    <w:p>
      <w:pPr>
        <w:spacing w:after="0" w:line="29" w:lineRule="exact"/>
        <w:rPr>
          <w:sz w:val="20"/>
          <w:szCs w:val="20"/>
          <w:color w:val="auto"/>
        </w:rPr>
      </w:pPr>
    </w:p>
    <w:p>
      <w:pPr>
        <w:jc w:val="right"/>
        <w:ind w:right="40"/>
        <w:spacing w:after="0"/>
        <w:tabs>
          <w:tab w:leader="none" w:pos="1220" w:val="left"/>
        </w:tabs>
        <w:rPr>
          <w:sz w:val="20"/>
          <w:szCs w:val="20"/>
          <w:color w:val="auto"/>
        </w:rPr>
      </w:pPr>
      <w:r>
        <w:rPr>
          <w:rFonts w:ascii="Arial" w:cs="Arial" w:eastAsia="Arial" w:hAnsi="Arial"/>
          <w:sz w:val="15"/>
          <w:szCs w:val="15"/>
          <w:b w:val="1"/>
          <w:bCs w:val="1"/>
          <w:color w:val="auto"/>
        </w:rPr>
        <w:t>September 30, 2017</w:t>
      </w:r>
      <w:r>
        <w:rPr>
          <w:sz w:val="20"/>
          <w:szCs w:val="20"/>
          <w:color w:val="auto"/>
        </w:rPr>
        <w:tab/>
      </w:r>
      <w:r>
        <w:rPr>
          <w:rFonts w:ascii="Arial" w:cs="Arial" w:eastAsia="Arial" w:hAnsi="Arial"/>
          <w:sz w:val="13"/>
          <w:szCs w:val="13"/>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66305" cy="132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132080"/>
                    </a:xfrm>
                    <a:prstGeom prst="rect">
                      <a:avLst/>
                    </a:prstGeom>
                    <a:noFill/>
                  </pic:spPr>
                </pic:pic>
              </a:graphicData>
            </a:graphic>
          </wp:anchor>
        </w:drawing>
      </w:r>
    </w:p>
    <w:p>
      <w:pPr>
        <w:sectPr>
          <w:pgSz w:w="11900" w:h="16838" w:orient="portrait"/>
          <w:cols w:equalWidth="0" w:num="1">
            <w:col w:w="11387"/>
          </w:cols>
          <w:pgMar w:left="233" w:top="222" w:right="279" w:bottom="1440" w:gutter="0" w:footer="0" w:header="0"/>
          <w:type w:val="continuous"/>
        </w:sectPr>
      </w:pPr>
    </w:p>
    <w:p>
      <w:pPr>
        <w:spacing w:after="0" w:line="37" w:lineRule="exact"/>
        <w:rPr>
          <w:sz w:val="20"/>
          <w:szCs w:val="20"/>
          <w:color w:val="auto"/>
        </w:rPr>
      </w:pPr>
    </w:p>
    <w:p>
      <w:pPr>
        <w:ind w:left="7"/>
        <w:spacing w:after="0"/>
        <w:rPr>
          <w:sz w:val="20"/>
          <w:szCs w:val="20"/>
          <w:color w:val="auto"/>
        </w:rPr>
      </w:pPr>
      <w:r>
        <w:rPr>
          <w:rFonts w:ascii="Arial" w:cs="Arial" w:eastAsia="Arial" w:hAnsi="Arial"/>
          <w:sz w:val="15"/>
          <w:szCs w:val="15"/>
          <w:color w:val="auto"/>
        </w:rPr>
        <w:t>Balance at beginning of year:</w:t>
      </w:r>
    </w:p>
    <w:p>
      <w:pPr>
        <w:spacing w:after="0" w:line="23" w:lineRule="exact"/>
        <w:rPr>
          <w:sz w:val="20"/>
          <w:szCs w:val="20"/>
          <w:color w:val="auto"/>
        </w:rPr>
      </w:pPr>
    </w:p>
    <w:p>
      <w:pPr>
        <w:ind w:left="127"/>
        <w:spacing w:after="0"/>
        <w:rPr>
          <w:sz w:val="20"/>
          <w:szCs w:val="20"/>
          <w:color w:val="auto"/>
        </w:rPr>
      </w:pPr>
      <w:r>
        <w:rPr>
          <w:rFonts w:ascii="Arial" w:cs="Arial" w:eastAsia="Arial" w:hAnsi="Arial"/>
          <w:sz w:val="14"/>
          <w:szCs w:val="14"/>
          <w:color w:val="auto"/>
        </w:rPr>
        <w:t>Liability for unpaid losses and loss adjustment expense</w:t>
      </w:r>
    </w:p>
    <w:p>
      <w:pPr>
        <w:spacing w:after="0" w:line="24" w:lineRule="exact"/>
        <w:rPr>
          <w:sz w:val="20"/>
          <w:szCs w:val="20"/>
          <w:color w:val="auto"/>
        </w:rPr>
      </w:pPr>
    </w:p>
    <w:p>
      <w:pPr>
        <w:ind w:left="127"/>
        <w:spacing w:after="0"/>
        <w:rPr>
          <w:sz w:val="20"/>
          <w:szCs w:val="20"/>
          <w:color w:val="auto"/>
        </w:rPr>
      </w:pPr>
      <w:r>
        <w:rPr>
          <w:rFonts w:ascii="Arial" w:cs="Arial" w:eastAsia="Arial" w:hAnsi="Arial"/>
          <w:sz w:val="15"/>
          <w:szCs w:val="15"/>
          <w:color w:val="auto"/>
        </w:rPr>
        <w:t>Reinsurance ceded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6305" cy="125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ind w:left="267"/>
        <w:spacing w:after="0"/>
        <w:rPr>
          <w:sz w:val="20"/>
          <w:szCs w:val="20"/>
          <w:color w:val="auto"/>
        </w:rPr>
      </w:pPr>
      <w:r>
        <w:rPr>
          <w:rFonts w:ascii="Arial" w:cs="Arial" w:eastAsia="Arial" w:hAnsi="Arial"/>
          <w:sz w:val="15"/>
          <w:szCs w:val="15"/>
          <w:color w:val="auto"/>
        </w:rPr>
        <w:t>Net 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6305" cy="125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59,632</w:t>
            </w:r>
          </w:p>
        </w:tc>
        <w:tc>
          <w:tcPr>
            <w:tcW w:w="5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45,342</w:t>
            </w:r>
          </w:p>
        </w:tc>
      </w:tr>
      <w:tr>
        <w:trPr>
          <w:trHeight w:val="197"/>
        </w:trPr>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5,109</w:t>
            </w:r>
          </w:p>
        </w:tc>
      </w:tr>
      <w:tr>
        <w:trPr>
          <w:trHeight w:val="177"/>
        </w:trPr>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40,233</w:t>
            </w:r>
          </w:p>
        </w:tc>
      </w:tr>
    </w:tbl>
    <w:p>
      <w:pPr>
        <w:spacing w:after="0" w:line="175" w:lineRule="exact"/>
        <w:rPr>
          <w:sz w:val="20"/>
          <w:szCs w:val="20"/>
          <w:color w:val="auto"/>
        </w:rPr>
      </w:pPr>
    </w:p>
    <w:p>
      <w:pPr>
        <w:sectPr>
          <w:pgSz w:w="11900" w:h="16838" w:orient="portrait"/>
          <w:cols w:equalWidth="0" w:num="2">
            <w:col w:w="7847" w:space="720"/>
            <w:col w:w="2820"/>
          </w:cols>
          <w:pgMar w:left="233" w:top="222" w:right="279" w:bottom="1440" w:gutter="0" w:footer="0" w:header="0"/>
          <w:type w:val="continuous"/>
        </w:sectPr>
      </w:pPr>
    </w:p>
    <w:p>
      <w:pPr>
        <w:ind w:left="7"/>
        <w:spacing w:after="0"/>
        <w:rPr>
          <w:sz w:val="20"/>
          <w:szCs w:val="20"/>
          <w:color w:val="auto"/>
        </w:rPr>
      </w:pPr>
      <w:r>
        <w:rPr>
          <w:rFonts w:ascii="Arial" w:cs="Arial" w:eastAsia="Arial" w:hAnsi="Arial"/>
          <w:sz w:val="15"/>
          <w:szCs w:val="15"/>
          <w:color w:val="auto"/>
        </w:rPr>
        <w:t>Incurred related to:</w:t>
      </w:r>
    </w:p>
    <w:p>
      <w:pPr>
        <w:spacing w:after="0" w:line="23" w:lineRule="exact"/>
        <w:rPr>
          <w:sz w:val="20"/>
          <w:szCs w:val="20"/>
          <w:color w:val="auto"/>
        </w:rPr>
      </w:pPr>
    </w:p>
    <w:p>
      <w:pPr>
        <w:ind w:left="127"/>
        <w:spacing w:after="0"/>
        <w:rPr>
          <w:sz w:val="20"/>
          <w:szCs w:val="20"/>
          <w:color w:val="auto"/>
        </w:rPr>
      </w:pPr>
      <w:r>
        <w:rPr>
          <w:rFonts w:ascii="Arial" w:cs="Arial" w:eastAsia="Arial" w:hAnsi="Arial"/>
          <w:sz w:val="15"/>
          <w:szCs w:val="15"/>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6305" cy="117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ind w:left="127"/>
        <w:spacing w:after="0"/>
        <w:rPr>
          <w:sz w:val="20"/>
          <w:szCs w:val="20"/>
          <w:color w:val="auto"/>
        </w:rPr>
      </w:pPr>
      <w:r>
        <w:rPr>
          <w:rFonts w:ascii="Arial" w:cs="Arial" w:eastAsia="Arial" w:hAnsi="Arial"/>
          <w:sz w:val="15"/>
          <w:szCs w:val="15"/>
          <w:color w:val="auto"/>
        </w:rPr>
        <w:t>Prior years</w:t>
      </w:r>
    </w:p>
    <w:p>
      <w:pPr>
        <w:spacing w:after="0" w:line="14" w:lineRule="exact"/>
        <w:rPr>
          <w:sz w:val="20"/>
          <w:szCs w:val="20"/>
          <w:color w:val="auto"/>
        </w:rPr>
      </w:pPr>
    </w:p>
    <w:p>
      <w:pPr>
        <w:ind w:left="267"/>
        <w:spacing w:after="0"/>
        <w:rPr>
          <w:sz w:val="20"/>
          <w:szCs w:val="20"/>
          <w:color w:val="auto"/>
        </w:rPr>
      </w:pPr>
      <w:r>
        <w:rPr>
          <w:rFonts w:ascii="Arial" w:cs="Arial" w:eastAsia="Arial" w:hAnsi="Arial"/>
          <w:sz w:val="15"/>
          <w:szCs w:val="15"/>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125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spacing w:after="0" w:line="201" w:lineRule="exact"/>
        <w:rPr>
          <w:sz w:val="20"/>
          <w:szCs w:val="20"/>
          <w:color w:val="auto"/>
        </w:rPr>
      </w:pPr>
    </w:p>
    <w:p>
      <w:pPr>
        <w:ind w:left="7"/>
        <w:spacing w:after="0"/>
        <w:rPr>
          <w:sz w:val="20"/>
          <w:szCs w:val="20"/>
          <w:color w:val="auto"/>
        </w:rPr>
      </w:pPr>
      <w:r>
        <w:rPr>
          <w:rFonts w:ascii="Arial" w:cs="Arial" w:eastAsia="Arial" w:hAnsi="Arial"/>
          <w:sz w:val="15"/>
          <w:szCs w:val="15"/>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117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3" w:lineRule="exact"/>
        <w:rPr>
          <w:sz w:val="20"/>
          <w:szCs w:val="20"/>
          <w:color w:val="auto"/>
        </w:rPr>
      </w:pPr>
    </w:p>
    <w:p>
      <w:pPr>
        <w:ind w:left="127"/>
        <w:spacing w:after="0"/>
        <w:rPr>
          <w:sz w:val="20"/>
          <w:szCs w:val="20"/>
          <w:color w:val="auto"/>
        </w:rPr>
      </w:pPr>
      <w:r>
        <w:rPr>
          <w:rFonts w:ascii="Arial" w:cs="Arial" w:eastAsia="Arial" w:hAnsi="Arial"/>
          <w:sz w:val="15"/>
          <w:szCs w:val="15"/>
          <w:color w:val="auto"/>
        </w:rPr>
        <w:t>Current year</w:t>
      </w:r>
    </w:p>
    <w:p>
      <w:pPr>
        <w:spacing w:after="0" w:line="13" w:lineRule="exact"/>
        <w:rPr>
          <w:sz w:val="20"/>
          <w:szCs w:val="20"/>
          <w:color w:val="auto"/>
        </w:rPr>
      </w:pPr>
    </w:p>
    <w:p>
      <w:pPr>
        <w:ind w:left="127"/>
        <w:spacing w:after="0"/>
        <w:rPr>
          <w:sz w:val="20"/>
          <w:szCs w:val="20"/>
          <w:color w:val="auto"/>
        </w:rPr>
      </w:pPr>
      <w:r>
        <w:rPr>
          <w:rFonts w:ascii="Arial" w:cs="Arial" w:eastAsia="Arial" w:hAnsi="Arial"/>
          <w:sz w:val="15"/>
          <w:szCs w:val="15"/>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6305" cy="125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ind w:left="267"/>
        <w:spacing w:after="0"/>
        <w:rPr>
          <w:sz w:val="20"/>
          <w:szCs w:val="20"/>
          <w:color w:val="auto"/>
        </w:rPr>
      </w:pPr>
      <w:r>
        <w:rPr>
          <w:rFonts w:ascii="Arial" w:cs="Arial" w:eastAsia="Arial" w:hAnsi="Arial"/>
          <w:sz w:val="15"/>
          <w:szCs w:val="15"/>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6305" cy="125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spacing w:after="0" w:line="201" w:lineRule="exact"/>
        <w:rPr>
          <w:sz w:val="20"/>
          <w:szCs w:val="20"/>
          <w:color w:val="auto"/>
        </w:rPr>
      </w:pPr>
    </w:p>
    <w:p>
      <w:pPr>
        <w:ind w:left="7"/>
        <w:spacing w:after="0"/>
        <w:rPr>
          <w:sz w:val="20"/>
          <w:szCs w:val="20"/>
          <w:color w:val="auto"/>
        </w:rPr>
      </w:pPr>
      <w:r>
        <w:rPr>
          <w:rFonts w:ascii="Arial" w:cs="Arial" w:eastAsia="Arial" w:hAnsi="Arial"/>
          <w:sz w:val="15"/>
          <w:szCs w:val="15"/>
          <w:color w:val="auto"/>
        </w:rPr>
        <w:t>Balance at end of period:</w:t>
      </w:r>
    </w:p>
    <w:p>
      <w:pPr>
        <w:spacing w:after="0" w:line="23" w:lineRule="exact"/>
        <w:rPr>
          <w:sz w:val="20"/>
          <w:szCs w:val="20"/>
          <w:color w:val="auto"/>
        </w:rPr>
      </w:pPr>
    </w:p>
    <w:p>
      <w:pPr>
        <w:ind w:left="127"/>
        <w:spacing w:after="0"/>
        <w:rPr>
          <w:sz w:val="20"/>
          <w:szCs w:val="20"/>
          <w:color w:val="auto"/>
        </w:rPr>
      </w:pPr>
      <w:r>
        <w:rPr>
          <w:rFonts w:ascii="Arial" w:cs="Arial" w:eastAsia="Arial" w:hAnsi="Arial"/>
          <w:sz w:val="14"/>
          <w:szCs w:val="14"/>
          <w:color w:val="auto"/>
        </w:rPr>
        <w:t>Liability for unpaid losses and loss adjustment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266305" cy="1174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4" w:lineRule="exact"/>
        <w:rPr>
          <w:sz w:val="20"/>
          <w:szCs w:val="20"/>
          <w:color w:val="auto"/>
        </w:rPr>
      </w:pPr>
    </w:p>
    <w:p>
      <w:pPr>
        <w:ind w:left="127"/>
        <w:spacing w:after="0"/>
        <w:rPr>
          <w:sz w:val="20"/>
          <w:szCs w:val="20"/>
          <w:color w:val="auto"/>
        </w:rPr>
      </w:pPr>
      <w:r>
        <w:rPr>
          <w:rFonts w:ascii="Arial" w:cs="Arial" w:eastAsia="Arial" w:hAnsi="Arial"/>
          <w:sz w:val="15"/>
          <w:szCs w:val="15"/>
          <w:color w:val="auto"/>
        </w:rPr>
        <w:t>Reinsurance ceded</w:t>
      </w:r>
    </w:p>
    <w:p>
      <w:pPr>
        <w:spacing w:after="0" w:line="14" w:lineRule="exact"/>
        <w:rPr>
          <w:sz w:val="20"/>
          <w:szCs w:val="20"/>
          <w:color w:val="auto"/>
        </w:rPr>
      </w:pPr>
    </w:p>
    <w:p>
      <w:pPr>
        <w:ind w:left="267"/>
        <w:spacing w:after="0"/>
        <w:rPr>
          <w:sz w:val="20"/>
          <w:szCs w:val="20"/>
          <w:color w:val="auto"/>
        </w:rPr>
      </w:pPr>
      <w:r>
        <w:rPr>
          <w:rFonts w:ascii="Arial" w:cs="Arial" w:eastAsia="Arial" w:hAnsi="Arial"/>
          <w:sz w:val="15"/>
          <w:szCs w:val="15"/>
          <w:color w:val="auto"/>
        </w:rPr>
        <w:t>Net 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139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305"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110,199</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123,264</w:t>
            </w:r>
          </w:p>
        </w:tc>
        <w:tc>
          <w:tcPr>
            <w:tcW w:w="40" w:type="dxa"/>
            <w:vAlign w:val="bottom"/>
          </w:tcPr>
          <w:p>
            <w:pPr>
              <w:spacing w:after="0"/>
              <w:rPr>
                <w:sz w:val="16"/>
                <w:szCs w:val="16"/>
                <w:color w:val="auto"/>
              </w:rPr>
            </w:pPr>
          </w:p>
        </w:tc>
      </w:tr>
      <w:tr>
        <w:trPr>
          <w:trHeight w:val="207"/>
        </w:trPr>
        <w:tc>
          <w:tcPr>
            <w:tcW w:w="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(6,649)</w:t>
            </w: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(4,756)</w:t>
            </w:r>
          </w:p>
        </w:tc>
      </w:tr>
      <w:tr>
        <w:trPr>
          <w:trHeight w:val="177"/>
        </w:trPr>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103,550</w:t>
            </w:r>
          </w:p>
        </w:tc>
        <w:tc>
          <w:tcPr>
            <w:tcW w:w="2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118,508</w:t>
            </w:r>
          </w:p>
        </w:tc>
        <w:tc>
          <w:tcPr>
            <w:tcW w:w="40" w:type="dxa"/>
            <w:vAlign w:val="bottom"/>
          </w:tcPr>
          <w:p>
            <w:pPr>
              <w:spacing w:after="0"/>
              <w:rPr>
                <w:sz w:val="15"/>
                <w:szCs w:val="15"/>
                <w:color w:val="auto"/>
              </w:rPr>
            </w:pPr>
          </w:p>
        </w:tc>
      </w:tr>
      <w:tr>
        <w:trPr>
          <w:trHeight w:val="547"/>
        </w:trPr>
        <w:tc>
          <w:tcPr>
            <w:tcW w:w="4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53,241</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90,772</w:t>
            </w:r>
          </w:p>
        </w:tc>
        <w:tc>
          <w:tcPr>
            <w:tcW w:w="40" w:type="dxa"/>
            <w:vAlign w:val="bottom"/>
          </w:tcPr>
          <w:p>
            <w:pPr>
              <w:spacing w:after="0"/>
              <w:rPr>
                <w:sz w:val="24"/>
                <w:szCs w:val="24"/>
                <w:color w:val="auto"/>
              </w:rPr>
            </w:pPr>
          </w:p>
        </w:tc>
      </w:tr>
      <w:tr>
        <w:trPr>
          <w:trHeight w:val="197"/>
        </w:trPr>
        <w:tc>
          <w:tcPr>
            <w:tcW w:w="4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26,002</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15,529</w:t>
            </w:r>
          </w:p>
        </w:tc>
        <w:tc>
          <w:tcPr>
            <w:tcW w:w="40" w:type="dxa"/>
            <w:vAlign w:val="bottom"/>
          </w:tcPr>
          <w:p>
            <w:pPr>
              <w:spacing w:after="0"/>
              <w:rPr>
                <w:sz w:val="17"/>
                <w:szCs w:val="17"/>
                <w:color w:val="auto"/>
              </w:rPr>
            </w:pPr>
          </w:p>
        </w:tc>
      </w:tr>
      <w:tr>
        <w:trPr>
          <w:trHeight w:val="177"/>
        </w:trPr>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79,243</w:t>
            </w:r>
          </w:p>
        </w:tc>
        <w:tc>
          <w:tcPr>
            <w:tcW w:w="2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106,301</w:t>
            </w:r>
          </w:p>
        </w:tc>
        <w:tc>
          <w:tcPr>
            <w:tcW w:w="40" w:type="dxa"/>
            <w:vAlign w:val="bottom"/>
          </w:tcPr>
          <w:p>
            <w:pPr>
              <w:spacing w:after="0"/>
              <w:rPr>
                <w:sz w:val="15"/>
                <w:szCs w:val="15"/>
                <w:color w:val="auto"/>
              </w:rPr>
            </w:pPr>
          </w:p>
        </w:tc>
      </w:tr>
      <w:tr>
        <w:trPr>
          <w:trHeight w:val="547"/>
        </w:trPr>
        <w:tc>
          <w:tcPr>
            <w:tcW w:w="4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85,427</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59,632</w:t>
            </w:r>
          </w:p>
        </w:tc>
        <w:tc>
          <w:tcPr>
            <w:tcW w:w="40" w:type="dxa"/>
            <w:vAlign w:val="bottom"/>
          </w:tcPr>
          <w:p>
            <w:pPr>
              <w:spacing w:after="0"/>
              <w:rPr>
                <w:sz w:val="24"/>
                <w:szCs w:val="24"/>
                <w:color w:val="auto"/>
              </w:rPr>
            </w:pPr>
          </w:p>
        </w:tc>
      </w:tr>
      <w:tr>
        <w:trPr>
          <w:trHeight w:val="197"/>
        </w:trPr>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8,680</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7,192</w:t>
            </w:r>
          </w:p>
        </w:tc>
        <w:tc>
          <w:tcPr>
            <w:tcW w:w="40" w:type="dxa"/>
            <w:vAlign w:val="bottom"/>
          </w:tcPr>
          <w:p>
            <w:pPr>
              <w:spacing w:after="0"/>
              <w:rPr>
                <w:sz w:val="17"/>
                <w:szCs w:val="17"/>
                <w:color w:val="auto"/>
              </w:rPr>
            </w:pPr>
          </w:p>
        </w:tc>
      </w:tr>
      <w:tr>
        <w:trPr>
          <w:trHeight w:val="188"/>
        </w:trPr>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76,747</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52,440</w:t>
            </w:r>
          </w:p>
        </w:tc>
        <w:tc>
          <w:tcPr>
            <w:tcW w:w="40" w:type="dxa"/>
            <w:vAlign w:val="bottom"/>
          </w:tcPr>
          <w:p>
            <w:pPr>
              <w:spacing w:after="0"/>
              <w:rPr>
                <w:sz w:val="16"/>
                <w:szCs w:val="16"/>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7" w:space="720"/>
            <w:col w:w="2820"/>
          </w:cols>
          <w:pgMar w:left="233" w:top="222" w:right="279" w:bottom="1440" w:gutter="0" w:footer="0" w:header="0"/>
          <w:type w:val="continuous"/>
        </w:sectPr>
      </w:pPr>
    </w:p>
    <w:p>
      <w:pPr>
        <w:spacing w:after="0" w:line="67" w:lineRule="exact"/>
        <w:rPr>
          <w:sz w:val="20"/>
          <w:szCs w:val="20"/>
          <w:color w:val="auto"/>
        </w:rPr>
      </w:pPr>
    </w:p>
    <w:p>
      <w:pPr>
        <w:jc w:val="both"/>
        <w:ind w:left="7" w:right="220" w:firstLine="544"/>
        <w:spacing w:after="0" w:line="273" w:lineRule="auto"/>
        <w:rPr>
          <w:sz w:val="20"/>
          <w:szCs w:val="20"/>
          <w:color w:val="auto"/>
        </w:rPr>
      </w:pPr>
      <w:r>
        <w:rPr>
          <w:rFonts w:ascii="Arial" w:cs="Arial" w:eastAsia="Arial" w:hAnsi="Arial"/>
          <w:sz w:val="15"/>
          <w:szCs w:val="15"/>
          <w:color w:val="auto"/>
        </w:rPr>
        <w:t>The prior years’ provision for unpaid losses and loss adjustment expenses decreased by $6,649 during the nine months ended September 30, 2017, and decreased by $4,756 during the year ended December 31, 2016. The decrease is generally the result of ongoing analysis of loss development trends. As additional information becomes known regarding individual claims, original estimates are increased or decreased accordingly.</w:t>
      </w:r>
    </w:p>
    <w:p>
      <w:pPr>
        <w:spacing w:after="0" w:line="153" w:lineRule="exact"/>
        <w:rPr>
          <w:sz w:val="20"/>
          <w:szCs w:val="20"/>
          <w:color w:val="auto"/>
        </w:rPr>
      </w:pPr>
    </w:p>
    <w:p>
      <w:pPr>
        <w:jc w:val="center"/>
        <w:ind w:right="-86"/>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87"/>
          </w:cols>
          <w:pgMar w:left="233" w:top="222" w:right="279" w:bottom="1440" w:gutter="0" w:footer="0" w:header="0"/>
          <w:type w:val="continuous"/>
        </w:sectPr>
      </w:pPr>
    </w:p>
    <w:bookmarkStart w:id="23" w:name="page24"/>
    <w:bookmarkEnd w:id="23"/>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(dollar amounts in thousands)</w:t>
      </w:r>
    </w:p>
    <w:p>
      <w:pPr>
        <w:spacing w:after="0" w:line="367" w:lineRule="exact"/>
        <w:rPr>
          <w:sz w:val="20"/>
          <w:szCs w:val="20"/>
          <w:color w:val="auto"/>
        </w:rPr>
      </w:pPr>
    </w:p>
    <w:p>
      <w:pPr>
        <w:ind w:left="547" w:hanging="547"/>
        <w:spacing w:after="0"/>
        <w:tabs>
          <w:tab w:leader="none" w:pos="547"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Property and Equipment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5"/>
          <w:szCs w:val="15"/>
          <w:color w:val="auto"/>
        </w:rPr>
        <w:t>Property and equipment consisted of the following:</w:t>
      </w:r>
    </w:p>
    <w:p>
      <w:pPr>
        <w:spacing w:after="0" w:line="9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89"/>
              </w:rPr>
              <w:t>September 30,</w:t>
            </w:r>
          </w:p>
        </w:tc>
        <w:tc>
          <w:tcPr>
            <w:tcW w:w="10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2"/>
              </w:rPr>
              <w:t>December 31,</w:t>
            </w:r>
          </w:p>
        </w:tc>
        <w:tc>
          <w:tcPr>
            <w:tcW w:w="13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Estimated Useful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23"/>
              <w:spacing w:after="0"/>
              <w:rPr>
                <w:sz w:val="20"/>
                <w:szCs w:val="20"/>
                <w:color w:val="auto"/>
              </w:rPr>
            </w:pPr>
            <w:r>
              <w:rPr>
                <w:rFonts w:ascii="Arial" w:cs="Arial" w:eastAsia="Arial" w:hAnsi="Arial"/>
                <w:sz w:val="15"/>
                <w:szCs w:val="15"/>
                <w:b w:val="1"/>
                <w:bCs w:val="1"/>
                <w:color w:val="auto"/>
              </w:rPr>
              <w:t>2017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7"/>
              </w:rPr>
              <w:t>Life</w:t>
            </w:r>
          </w:p>
        </w:tc>
        <w:tc>
          <w:tcPr>
            <w:tcW w:w="0" w:type="dxa"/>
            <w:vAlign w:val="bottom"/>
          </w:tcPr>
          <w:p>
            <w:pPr>
              <w:spacing w:after="0"/>
              <w:rPr>
                <w:sz w:val="1"/>
                <w:szCs w:val="1"/>
                <w:color w:val="auto"/>
              </w:rPr>
            </w:pPr>
          </w:p>
        </w:tc>
      </w:tr>
      <w:tr>
        <w:trPr>
          <w:trHeight w:val="177"/>
        </w:trPr>
        <w:tc>
          <w:tcPr>
            <w:tcW w:w="7420" w:type="dxa"/>
            <w:vAlign w:val="bottom"/>
            <w:gridSpan w:val="2"/>
          </w:tcPr>
          <w:p>
            <w:pPr>
              <w:spacing w:after="0"/>
              <w:rPr>
                <w:sz w:val="20"/>
                <w:szCs w:val="20"/>
                <w:color w:val="auto"/>
              </w:rPr>
            </w:pPr>
            <w:r>
              <w:rPr>
                <w:rFonts w:ascii="Arial" w:cs="Arial" w:eastAsia="Arial" w:hAnsi="Arial"/>
                <w:sz w:val="15"/>
                <w:szCs w:val="15"/>
                <w:color w:val="auto"/>
              </w:rPr>
              <w:t>Cost:</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9,578</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10 - 31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0" w:type="dxa"/>
            <w:vAlign w:val="bottom"/>
          </w:tcPr>
          <w:p>
            <w:pPr>
              <w:ind w:left="120"/>
              <w:spacing w:after="0"/>
              <w:rPr>
                <w:sz w:val="20"/>
                <w:szCs w:val="20"/>
                <w:color w:val="auto"/>
              </w:rPr>
            </w:pPr>
            <w:r>
              <w:rPr>
                <w:rFonts w:ascii="Arial" w:cs="Arial" w:eastAsia="Arial" w:hAnsi="Arial"/>
                <w:sz w:val="15"/>
                <w:szCs w:val="15"/>
                <w:color w:val="auto"/>
              </w:rPr>
              <w:t>Electronic data processing equipment</w:t>
            </w: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1,606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1,637</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5-7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Furniture and fixtures</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3,762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3,762</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 years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Arial" w:cs="Arial" w:eastAsia="Arial" w:hAnsi="Arial"/>
                <w:sz w:val="15"/>
                <w:szCs w:val="15"/>
                <w:color w:val="auto"/>
              </w:rPr>
              <w:t>Automobiles</w:t>
            </w:r>
          </w:p>
        </w:tc>
        <w:tc>
          <w:tcPr>
            <w:tcW w:w="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1,488</w:t>
            </w:r>
          </w:p>
        </w:tc>
        <w:tc>
          <w:tcPr>
            <w:tcW w:w="2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2-3 years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cost</w:t>
            </w: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17,291</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16,465</w:t>
            </w: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(11,794)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(11,646)</w:t>
            </w:r>
          </w:p>
        </w:tc>
        <w:tc>
          <w:tcPr>
            <w:tcW w:w="12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tcPr>
          <w:p>
            <w:pPr>
              <w:ind w:left="260"/>
              <w:spacing w:after="0"/>
              <w:rPr>
                <w:sz w:val="20"/>
                <w:szCs w:val="20"/>
                <w:color w:val="auto"/>
              </w:rPr>
            </w:pPr>
            <w:r>
              <w:rPr>
                <w:rFonts w:ascii="Arial" w:cs="Arial" w:eastAsia="Arial" w:hAnsi="Arial"/>
                <w:sz w:val="15"/>
                <w:szCs w:val="15"/>
                <w:color w:val="auto"/>
              </w:rPr>
              <w:t>Total 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5,497</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4,819</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7" w:right="100" w:firstLine="544"/>
        <w:spacing w:after="0" w:line="289" w:lineRule="auto"/>
        <w:rPr>
          <w:sz w:val="20"/>
          <w:szCs w:val="20"/>
          <w:color w:val="auto"/>
        </w:rPr>
      </w:pPr>
      <w:r>
        <w:rPr>
          <w:rFonts w:ascii="Arial" w:cs="Arial" w:eastAsia="Arial" w:hAnsi="Arial"/>
          <w:sz w:val="15"/>
          <w:szCs w:val="15"/>
          <w:color w:val="auto"/>
        </w:rPr>
        <w:t>Depreciation expense was $127 and $153 for the three months ended September 30, 2017 and 2016, respectively, and $376 and $373 for the nine months ended September 30, 2017 and 2016, respectively.</w:t>
      </w:r>
    </w:p>
    <w:p>
      <w:pPr>
        <w:spacing w:after="0" w:line="320" w:lineRule="exact"/>
        <w:rPr>
          <w:sz w:val="20"/>
          <w:szCs w:val="20"/>
          <w:color w:val="auto"/>
        </w:rPr>
      </w:pPr>
    </w:p>
    <w:p>
      <w:pPr>
        <w:ind w:left="547" w:hanging="547"/>
        <w:spacing w:after="0"/>
        <w:tabs>
          <w:tab w:leader="none" w:pos="547"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w:t>
      </w:r>
    </w:p>
    <w:p>
      <w:pPr>
        <w:spacing w:after="0" w:line="204" w:lineRule="exact"/>
        <w:rPr>
          <w:sz w:val="20"/>
          <w:szCs w:val="20"/>
          <w:color w:val="auto"/>
        </w:rPr>
      </w:pPr>
    </w:p>
    <w:p>
      <w:pPr>
        <w:ind w:left="7" w:right="40" w:firstLine="545"/>
        <w:spacing w:after="0" w:line="264" w:lineRule="auto"/>
        <w:rPr>
          <w:sz w:val="20"/>
          <w:szCs w:val="20"/>
          <w:color w:val="auto"/>
        </w:rPr>
      </w:pPr>
      <w:r>
        <w:rPr>
          <w:rFonts w:ascii="Arial" w:cs="Arial" w:eastAsia="Arial" w:hAnsi="Arial"/>
          <w:sz w:val="15"/>
          <w:szCs w:val="15"/>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22,313,329 for the three months ended September 30, 2017, and 22,577,233 for the nine months ended September 30, 2017. For the period prior to the date of the conversion, we assumed that the net common shares issued in the initial public offering of 22,760,000 shares were outstanding since January 1, 2017. There were no potentially dilutive common shares or other instruments outstanding during this period. Unearned ESOP shares are not considered outstanding until they are released and allocated to plan participants.</w:t>
      </w:r>
    </w:p>
    <w:p>
      <w:pPr>
        <w:spacing w:after="0" w:line="66" w:lineRule="exact"/>
        <w:rPr>
          <w:sz w:val="20"/>
          <w:szCs w:val="20"/>
          <w:color w:val="auto"/>
        </w:rPr>
      </w:pPr>
    </w:p>
    <w:p>
      <w:pPr>
        <w:ind w:left="7" w:right="160" w:firstLine="545"/>
        <w:spacing w:after="0" w:line="273" w:lineRule="auto"/>
        <w:rPr>
          <w:sz w:val="20"/>
          <w:szCs w:val="20"/>
          <w:color w:val="auto"/>
        </w:rPr>
      </w:pPr>
      <w:r>
        <w:rPr>
          <w:rFonts w:ascii="Arial" w:cs="Arial" w:eastAsia="Arial" w:hAnsi="Arial"/>
          <w:sz w:val="15"/>
          <w:szCs w:val="15"/>
          <w:color w:val="auto"/>
        </w:rPr>
        <w:t>On May 23, 2017, our Board of Directors approved an authorization for the repurchase of up to $8 million of the Company’s outstanding common stock. We completed the repurchase of 446,671 shares of our common stock for $8,037 during the three months ended June 30, 2017, and reflected the cost of this treasury stock as a reduction of equity within our consolidated balance sheet as of September 30, 2017.</w:t>
      </w:r>
    </w:p>
    <w:p>
      <w:pPr>
        <w:spacing w:after="0" w:line="332" w:lineRule="exact"/>
        <w:rPr>
          <w:sz w:val="20"/>
          <w:szCs w:val="20"/>
          <w:color w:val="auto"/>
        </w:rPr>
      </w:pPr>
    </w:p>
    <w:p>
      <w:pPr>
        <w:ind w:left="547" w:hanging="547"/>
        <w:spacing w:after="0"/>
        <w:tabs>
          <w:tab w:leader="none" w:pos="547"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204" w:lineRule="exact"/>
        <w:rPr>
          <w:sz w:val="20"/>
          <w:szCs w:val="20"/>
          <w:color w:val="auto"/>
        </w:rPr>
      </w:pPr>
    </w:p>
    <w:p>
      <w:pPr>
        <w:ind w:left="7" w:right="300" w:firstLine="545"/>
        <w:spacing w:after="0" w:line="293" w:lineRule="auto"/>
        <w:rPr>
          <w:sz w:val="20"/>
          <w:szCs w:val="20"/>
          <w:color w:val="auto"/>
        </w:rPr>
      </w:pPr>
      <w:r>
        <w:rPr>
          <w:rFonts w:ascii="Arial" w:cs="Arial" w:eastAsia="Arial" w:hAnsi="Arial"/>
          <w:sz w:val="14"/>
          <w:szCs w:val="14"/>
          <w:color w:val="auto"/>
        </w:rPr>
        <w:t>We were organized by the North Dakota Farm Bureau (“NDFB”) to provide insurance protection for its members. We have a royalty agreement with the NDFB which recognizes the use of their trademark and provides royalties to the NDFB based on the premiums written on Nodak Insurance’s insurance policies. Royalties paid to the NDFB were $351 and $346 during the three months ended September 30, 2017 and 2016, respectively, and $1,002 and $973 during the nine months ended September 30, 2017 and 2016, respectively. Royalties of $88 and $96 were accrued as liabilities to the NDFB at September 30, 2017 and December 31, 2016, respectively.</w:t>
      </w:r>
    </w:p>
    <w:p>
      <w:pPr>
        <w:spacing w:after="0" w:line="14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7"/>
          </w:cols>
          <w:pgMar w:left="233" w:top="222" w:right="219" w:bottom="1440" w:gutter="0" w:footer="0" w:header="0"/>
        </w:sectPr>
      </w:pPr>
    </w:p>
    <w:bookmarkStart w:id="24" w:name="page25"/>
    <w:bookmarkEnd w:id="24"/>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(dollar amounts in thousands)</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9240" w:type="dxa"/>
            <w:vAlign w:val="bottom"/>
            <w:gridSpan w:val="3"/>
          </w:tcPr>
          <w:p>
            <w:pPr>
              <w:ind w:left="520"/>
              <w:spacing w:after="0"/>
              <w:rPr>
                <w:sz w:val="20"/>
                <w:szCs w:val="20"/>
                <w:color w:val="auto"/>
              </w:rPr>
            </w:pPr>
            <w:r>
              <w:rPr>
                <w:rFonts w:ascii="Arial" w:cs="Arial" w:eastAsia="Arial" w:hAnsi="Arial"/>
                <w:sz w:val="15"/>
                <w:szCs w:val="15"/>
                <w:color w:val="auto"/>
                <w:w w:val="96"/>
              </w:rPr>
              <w:t>The following table illustrates the impact of including Battle Creek in our consolidated balance sheets prior to intercompany eliminations: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800" w:type="dxa"/>
            <w:vAlign w:val="bottom"/>
            <w:gridSpan w:val="4"/>
          </w:tcPr>
          <w:p>
            <w:pPr>
              <w:ind w:left="2300"/>
              <w:spacing w:after="0"/>
              <w:rPr>
                <w:sz w:val="20"/>
                <w:szCs w:val="20"/>
                <w:color w:val="auto"/>
              </w:rPr>
            </w:pPr>
            <w:r>
              <w:rPr>
                <w:rFonts w:ascii="Arial" w:cs="Arial" w:eastAsia="Arial" w:hAnsi="Arial"/>
                <w:sz w:val="15"/>
                <w:szCs w:val="15"/>
                <w:b w:val="1"/>
                <w:bCs w:val="1"/>
                <w:color w:val="auto"/>
              </w:rPr>
              <w:t>September 30, 2017</w:t>
            </w:r>
          </w:p>
        </w:tc>
        <w:tc>
          <w:tcPr>
            <w:tcW w:w="1340" w:type="dxa"/>
            <w:vAlign w:val="bottom"/>
            <w:gridSpan w:val="4"/>
          </w:tcPr>
          <w:p>
            <w:pPr>
              <w:spacing w:after="0"/>
              <w:rPr>
                <w:sz w:val="20"/>
                <w:szCs w:val="20"/>
                <w:color w:val="auto"/>
              </w:rPr>
            </w:pPr>
            <w:r>
              <w:rPr>
                <w:rFonts w:ascii="Arial" w:cs="Arial" w:eastAsia="Arial" w:hAnsi="Arial"/>
                <w:sz w:val="15"/>
                <w:szCs w:val="15"/>
                <w:b w:val="1"/>
                <w:bCs w:val="1"/>
                <w:color w:val="auto"/>
                <w:w w:val="97"/>
              </w:rPr>
              <w:t>December 31, 2016</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(overdraft)</w:t>
            </w:r>
          </w:p>
        </w:tc>
        <w:tc>
          <w:tcPr>
            <w:tcW w:w="2960" w:type="dxa"/>
            <w:vAlign w:val="bottom"/>
            <w:gridSpan w:val="2"/>
            <w:shd w:val="clear" w:color="auto" w:fill="CCEEFF"/>
          </w:tcPr>
          <w:p>
            <w:pPr>
              <w:ind w:left="23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(2,183)</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Investments</w:t>
            </w:r>
          </w:p>
        </w:tc>
        <w:tc>
          <w:tcPr>
            <w:tcW w:w="2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4,290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Premiums and agents’ balances receivable</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3,949</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Reinsurance premiums receivable (eliminated in consolidation)</w:t>
            </w:r>
          </w:p>
        </w:tc>
        <w:tc>
          <w:tcPr>
            <w:tcW w:w="2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2,385</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Reinsurance recoverables on losses (eliminated in consolidation)</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24,004</w:t>
            </w:r>
          </w:p>
        </w:tc>
        <w:tc>
          <w:tcPr>
            <w:tcW w:w="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19,299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Accrued investment income</w:t>
            </w:r>
          </w:p>
        </w:tc>
        <w:tc>
          <w:tcPr>
            <w:tcW w:w="2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 asset, net</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888</w:t>
            </w:r>
          </w:p>
        </w:tc>
        <w:tc>
          <w:tcPr>
            <w:tcW w:w="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915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Property and equipment</w:t>
            </w:r>
          </w:p>
        </w:tc>
        <w:tc>
          <w:tcPr>
            <w:tcW w:w="2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371</w:t>
            </w:r>
          </w:p>
        </w:tc>
        <w:tc>
          <w:tcPr>
            <w:tcW w:w="4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3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ind w:left="240"/>
              <w:spacing w:after="0"/>
              <w:rPr>
                <w:sz w:val="20"/>
                <w:szCs w:val="20"/>
                <w:color w:val="auto"/>
              </w:rPr>
            </w:pPr>
            <w:r>
              <w:rPr>
                <w:rFonts w:ascii="Arial" w:cs="Arial" w:eastAsia="Arial" w:hAnsi="Arial"/>
                <w:sz w:val="15"/>
                <w:szCs w:val="15"/>
                <w:color w:val="auto"/>
              </w:rPr>
              <w:t>Total assets</w:t>
            </w:r>
          </w:p>
        </w:tc>
        <w:tc>
          <w:tcPr>
            <w:tcW w:w="2960" w:type="dxa"/>
            <w:vAlign w:val="bottom"/>
            <w:gridSpan w:val="2"/>
          </w:tcPr>
          <w:p>
            <w:pPr>
              <w:ind w:left="23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33,954</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27,886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28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Unpaid losses and loss adjustment expenses</w:t>
            </w:r>
          </w:p>
        </w:tc>
        <w:tc>
          <w:tcPr>
            <w:tcW w:w="2960" w:type="dxa"/>
            <w:vAlign w:val="bottom"/>
            <w:gridSpan w:val="2"/>
          </w:tcPr>
          <w:p>
            <w:pPr>
              <w:ind w:left="23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10,889</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8,917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Unearned premiums</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13,115</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10,382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Notes payable (eliminated in consolidation)</w:t>
            </w:r>
          </w:p>
        </w:tc>
        <w:tc>
          <w:tcPr>
            <w:tcW w:w="2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3,000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Reinsurance payable</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992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Accrued expenses and other liabilities</w:t>
            </w:r>
          </w:p>
        </w:tc>
        <w:tc>
          <w:tcPr>
            <w:tcW w:w="2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1,161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1,073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liabilities</w:t>
            </w:r>
          </w:p>
        </w:tc>
        <w:tc>
          <w:tcPr>
            <w:tcW w:w="2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30,296</w:t>
            </w: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24,364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w:t>
            </w:r>
          </w:p>
        </w:tc>
        <w:tc>
          <w:tcPr>
            <w:tcW w:w="2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3,658</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Total equity</w:t>
            </w:r>
          </w:p>
        </w:tc>
        <w:tc>
          <w:tcPr>
            <w:tcW w:w="23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3,658</w:t>
            </w:r>
          </w:p>
        </w:tc>
        <w:tc>
          <w:tcPr>
            <w:tcW w:w="22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5"/>
                <w:szCs w:val="15"/>
                <w:color w:val="auto"/>
              </w:rPr>
              <w:t>Total liabilities and equity</w:t>
            </w:r>
          </w:p>
        </w:tc>
        <w:tc>
          <w:tcPr>
            <w:tcW w:w="2960" w:type="dxa"/>
            <w:vAlign w:val="bottom"/>
            <w:gridSpan w:val="2"/>
          </w:tcPr>
          <w:p>
            <w:pPr>
              <w:ind w:left="23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33,954</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27,886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7" w:right="100" w:firstLine="544"/>
        <w:spacing w:after="0" w:line="289" w:lineRule="auto"/>
        <w:rPr>
          <w:sz w:val="20"/>
          <w:szCs w:val="20"/>
          <w:color w:val="auto"/>
        </w:rPr>
      </w:pPr>
      <w:r>
        <w:rPr>
          <w:rFonts w:ascii="Arial" w:cs="Arial" w:eastAsia="Arial" w:hAnsi="Arial"/>
          <w:sz w:val="15"/>
          <w:szCs w:val="15"/>
          <w:color w:val="auto"/>
        </w:rPr>
        <w:t>Total revenues and expenses of Battle Creek after intercompany eliminations, which is limited to net investment income and certain miscellaneous other income and expenses, were $19 and $0 during the three months ended September 30, 2017, and $34 and $0 during the three months ended September 30, 2016.</w:t>
      </w:r>
    </w:p>
    <w:p>
      <w:pPr>
        <w:spacing w:after="0" w:line="48" w:lineRule="exact"/>
        <w:rPr>
          <w:sz w:val="20"/>
          <w:szCs w:val="20"/>
          <w:color w:val="auto"/>
        </w:rPr>
      </w:pPr>
    </w:p>
    <w:p>
      <w:pPr>
        <w:ind w:left="7" w:right="100" w:firstLine="544"/>
        <w:spacing w:after="0" w:line="289" w:lineRule="auto"/>
        <w:rPr>
          <w:sz w:val="20"/>
          <w:szCs w:val="20"/>
          <w:color w:val="auto"/>
        </w:rPr>
      </w:pPr>
      <w:r>
        <w:rPr>
          <w:rFonts w:ascii="Arial" w:cs="Arial" w:eastAsia="Arial" w:hAnsi="Arial"/>
          <w:sz w:val="15"/>
          <w:szCs w:val="15"/>
          <w:color w:val="auto"/>
        </w:rPr>
        <w:t>Total revenues and expenses of Battle Creek after intercompany eliminations, which is limited to net investment income and certain miscellaneous other income and expenses, were $88 and $0 during the nine months ended September 30, 2017, and $103 and $0 during the nine months ended September 30, 2016.</w:t>
      </w:r>
    </w:p>
    <w:p>
      <w:pPr>
        <w:spacing w:after="0" w:line="320"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Benefit Plans</w:t>
      </w:r>
    </w:p>
    <w:p>
      <w:pPr>
        <w:spacing w:after="0" w:line="204" w:lineRule="exact"/>
        <w:rPr>
          <w:sz w:val="20"/>
          <w:szCs w:val="20"/>
          <w:color w:val="auto"/>
        </w:rPr>
      </w:pPr>
    </w:p>
    <w:p>
      <w:pPr>
        <w:ind w:left="7" w:right="200" w:firstLine="544"/>
        <w:spacing w:after="0" w:line="289" w:lineRule="auto"/>
        <w:rPr>
          <w:sz w:val="20"/>
          <w:szCs w:val="20"/>
          <w:color w:val="auto"/>
        </w:rPr>
      </w:pPr>
      <w:r>
        <w:rPr>
          <w:rFonts w:ascii="Arial" w:cs="Arial" w:eastAsia="Arial" w:hAnsi="Arial"/>
          <w:sz w:val="15"/>
          <w:szCs w:val="15"/>
          <w:color w:val="auto"/>
        </w:rPr>
        <w:t>The Company sponsors a money purchase plan that covers all eligible employees. Plan costs are funded annually as they are earned. The Company’s contribution accrual for the money purchase plan was $366 and $1,179 as of September 30, 2017 and 2016, respectively.</w:t>
      </w:r>
    </w:p>
    <w:p>
      <w:pPr>
        <w:spacing w:after="0" w:line="48" w:lineRule="exact"/>
        <w:rPr>
          <w:sz w:val="20"/>
          <w:szCs w:val="20"/>
          <w:color w:val="auto"/>
        </w:rPr>
      </w:pPr>
    </w:p>
    <w:p>
      <w:pPr>
        <w:ind w:left="7" w:right="100" w:firstLine="544"/>
        <w:spacing w:after="0" w:line="273" w:lineRule="auto"/>
        <w:rPr>
          <w:sz w:val="20"/>
          <w:szCs w:val="20"/>
          <w:color w:val="auto"/>
        </w:rPr>
      </w:pPr>
      <w:r>
        <w:rPr>
          <w:rFonts w:ascii="Arial" w:cs="Arial" w:eastAsia="Arial" w:hAnsi="Arial"/>
          <w:sz w:val="15"/>
          <w:szCs w:val="15"/>
          <w:color w:val="auto"/>
        </w:rPr>
        <w:t>The Company also sponsors a 401(k) plan with an automatic contribution to all eligible employees and a matching contribution for eligible employees of 50% up to 3% of eligible compensation. The Company’s contribution accrual to the 401(k) plan was $461 and $708 as of September 30, 2017 and 2016, respectively. All fees associated with both plans are deducted from the eligible employee accounts.</w:t>
      </w:r>
    </w:p>
    <w:p>
      <w:pPr>
        <w:spacing w:after="0" w:line="60" w:lineRule="exact"/>
        <w:rPr>
          <w:sz w:val="20"/>
          <w:szCs w:val="20"/>
          <w:color w:val="auto"/>
        </w:rPr>
      </w:pPr>
    </w:p>
    <w:p>
      <w:pPr>
        <w:ind w:left="7" w:right="220" w:firstLine="544"/>
        <w:spacing w:after="0" w:line="268" w:lineRule="auto"/>
        <w:rPr>
          <w:sz w:val="20"/>
          <w:szCs w:val="20"/>
          <w:color w:val="auto"/>
        </w:rPr>
      </w:pPr>
      <w:r>
        <w:rPr>
          <w:rFonts w:ascii="Arial" w:cs="Arial" w:eastAsia="Arial" w:hAnsi="Arial"/>
          <w:sz w:val="15"/>
          <w:szCs w:val="15"/>
          <w:color w:val="auto"/>
        </w:rPr>
        <w:t>Effective April 28, 2016, the Board of Directors authorized a non-qualified deferred compensation plan covering key executives of the Company as designated by the Company’s Board of Directors. The Company’s policy is to fund the plan in a given calendar year by amounts that exceed the maximum contribution allowed by the Employee Retirement Income Security Act (“ERISA”), beginning in 2017. Funds deposited were $8 during the three months ended September 30, 2017 and $128 during the nine months ended September 30, 2017.</w:t>
      </w:r>
    </w:p>
    <w:p>
      <w:pPr>
        <w:spacing w:after="0" w:line="156"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7"/>
          </w:cols>
          <w:pgMar w:left="233" w:top="222" w:right="219" w:bottom="1440" w:gutter="0" w:footer="0" w:header="0"/>
        </w:sectPr>
      </w:pPr>
    </w:p>
    <w:bookmarkStart w:id="25" w:name="page26"/>
    <w:bookmarkEnd w:id="25"/>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4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4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(dollar amounts in thousands)</w:t>
      </w:r>
    </w:p>
    <w:p>
      <w:pPr>
        <w:spacing w:after="0" w:line="182" w:lineRule="exact"/>
        <w:rPr>
          <w:sz w:val="20"/>
          <w:szCs w:val="20"/>
          <w:color w:val="auto"/>
        </w:rPr>
      </w:pPr>
    </w:p>
    <w:p>
      <w:pPr>
        <w:ind w:left="547" w:hanging="547"/>
        <w:spacing w:after="0"/>
        <w:tabs>
          <w:tab w:leader="none" w:pos="547"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Line of Credit</w:t>
      </w:r>
    </w:p>
    <w:p>
      <w:pPr>
        <w:spacing w:after="0" w:line="204" w:lineRule="exact"/>
        <w:rPr>
          <w:sz w:val="20"/>
          <w:szCs w:val="20"/>
          <w:color w:val="auto"/>
        </w:rPr>
      </w:pPr>
    </w:p>
    <w:p>
      <w:pPr>
        <w:ind w:left="7" w:right="120" w:firstLine="544"/>
        <w:spacing w:after="0" w:line="289" w:lineRule="auto"/>
        <w:rPr>
          <w:sz w:val="20"/>
          <w:szCs w:val="20"/>
          <w:color w:val="auto"/>
        </w:rPr>
      </w:pPr>
      <w:r>
        <w:rPr>
          <w:rFonts w:ascii="Arial" w:cs="Arial" w:eastAsia="Arial" w:hAnsi="Arial"/>
          <w:sz w:val="15"/>
          <w:szCs w:val="15"/>
          <w:color w:val="auto"/>
        </w:rPr>
        <w:t>Nodak Insurance has a $3,000 line of credit with Wells Fargo Bank, N.A., of which there were no outstanding amounts as of September 30, 2017 or December 31, 2016. This line of credit was set to expire on October 31, 2017, but was renewed and will now expire on October 31, 2018.</w:t>
      </w:r>
    </w:p>
    <w:p>
      <w:pPr>
        <w:spacing w:after="0" w:line="320" w:lineRule="exact"/>
        <w:rPr>
          <w:sz w:val="20"/>
          <w:szCs w:val="20"/>
          <w:color w:val="auto"/>
        </w:rPr>
      </w:pPr>
    </w:p>
    <w:p>
      <w:pPr>
        <w:ind w:left="547" w:hanging="547"/>
        <w:spacing w:after="0"/>
        <w:tabs>
          <w:tab w:leader="none" w:pos="547"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204" w:lineRule="exact"/>
        <w:rPr>
          <w:sz w:val="20"/>
          <w:szCs w:val="20"/>
          <w:color w:val="auto"/>
        </w:rPr>
      </w:pPr>
    </w:p>
    <w:p>
      <w:pPr>
        <w:ind w:left="7" w:right="100" w:firstLine="544"/>
        <w:spacing w:after="0" w:line="289" w:lineRule="auto"/>
        <w:rPr>
          <w:sz w:val="20"/>
          <w:szCs w:val="20"/>
          <w:color w:val="auto"/>
        </w:rPr>
      </w:pPr>
      <w:r>
        <w:rPr>
          <w:rFonts w:ascii="Arial" w:cs="Arial" w:eastAsia="Arial" w:hAnsi="Arial"/>
          <w:sz w:val="15"/>
          <w:szCs w:val="15"/>
          <w:color w:val="auto"/>
        </w:rPr>
        <w:t>At September 30, 2017 and December 31, 2016, we had no unrecognized tax benefits, no accrued interest and penalties, and no significant uncertain tax positions. No interest and penalties were recognized during the three or nine months ended September 30, 2017 or 2016.</w:t>
      </w:r>
    </w:p>
    <w:p>
      <w:pPr>
        <w:spacing w:after="0" w:line="48" w:lineRule="exact"/>
        <w:rPr>
          <w:sz w:val="20"/>
          <w:szCs w:val="20"/>
          <w:color w:val="auto"/>
        </w:rPr>
      </w:pPr>
    </w:p>
    <w:p>
      <w:pPr>
        <w:jc w:val="both"/>
        <w:ind w:left="7" w:firstLine="544"/>
        <w:spacing w:after="0" w:line="334" w:lineRule="auto"/>
        <w:rPr>
          <w:sz w:val="20"/>
          <w:szCs w:val="20"/>
          <w:color w:val="auto"/>
        </w:rPr>
      </w:pPr>
      <w:r>
        <w:rPr>
          <w:rFonts w:ascii="Arial" w:cs="Arial" w:eastAsia="Arial" w:hAnsi="Arial"/>
          <w:sz w:val="13"/>
          <w:szCs w:val="13"/>
          <w:color w:val="auto"/>
        </w:rPr>
        <w:t>At September 30, 2017 and December 31, 2016, the Company, other than Battle Creek, had no income tax related carryovers for net operating losses, alternative minimum tax credits, or capital losses. Battle Creek, which files its income tax returns on a stand-alone basis, had $5,171 of net operating loss carryover at December 31, 2016. The net operating loss carry-forward expires beginning in 2021 through 2030. In 2016, a $247 capital loss carryover expired and none of the capital loss carryover was utilized against realized capital gains.</w:t>
      </w:r>
    </w:p>
    <w:p>
      <w:pPr>
        <w:spacing w:after="0" w:line="296" w:lineRule="exact"/>
        <w:rPr>
          <w:sz w:val="20"/>
          <w:szCs w:val="20"/>
          <w:color w:val="auto"/>
        </w:rPr>
      </w:pPr>
    </w:p>
    <w:p>
      <w:pPr>
        <w:ind w:left="547" w:hanging="547"/>
        <w:spacing w:after="0"/>
        <w:tabs>
          <w:tab w:leader="none" w:pos="547"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Operating Leases</w:t>
      </w:r>
    </w:p>
    <w:p>
      <w:pPr>
        <w:spacing w:after="0" w:line="204" w:lineRule="exact"/>
        <w:rPr>
          <w:sz w:val="20"/>
          <w:szCs w:val="20"/>
          <w:color w:val="auto"/>
        </w:rPr>
      </w:pPr>
    </w:p>
    <w:p>
      <w:pPr>
        <w:ind w:left="7" w:firstLine="544"/>
        <w:spacing w:after="0" w:line="327" w:lineRule="auto"/>
        <w:rPr>
          <w:sz w:val="20"/>
          <w:szCs w:val="20"/>
          <w:color w:val="auto"/>
        </w:rPr>
      </w:pPr>
      <w:r>
        <w:rPr>
          <w:rFonts w:ascii="Arial" w:cs="Arial" w:eastAsia="Arial" w:hAnsi="Arial"/>
          <w:sz w:val="14"/>
          <w:szCs w:val="14"/>
          <w:color w:val="auto"/>
        </w:rPr>
        <w:t>We lease facilities, equipment, and software under non-cancellable operating leases expiring at various times through November 2017. Expenses related to these leases were $0 and $23 for the three months ended September 30, 2017 and 2016, respectively, and $20 and $68 for the nine months ended September 30, 2017 and 2016, respectively.</w:t>
      </w:r>
    </w:p>
    <w:p>
      <w:pPr>
        <w:spacing w:after="0" w:line="25" w:lineRule="exact"/>
        <w:rPr>
          <w:sz w:val="20"/>
          <w:szCs w:val="20"/>
          <w:color w:val="auto"/>
        </w:rPr>
      </w:pPr>
    </w:p>
    <w:p>
      <w:pPr>
        <w:ind w:left="547"/>
        <w:spacing w:after="0"/>
        <w:rPr>
          <w:sz w:val="20"/>
          <w:szCs w:val="20"/>
          <w:color w:val="auto"/>
        </w:rPr>
      </w:pPr>
      <w:r>
        <w:rPr>
          <w:rFonts w:ascii="Arial" w:cs="Arial" w:eastAsia="Arial" w:hAnsi="Arial"/>
          <w:sz w:val="15"/>
          <w:szCs w:val="15"/>
          <w:color w:val="auto"/>
        </w:rPr>
        <w:t>As of September 30, 2017, we have no minimum future commitments under non-cancellable leases.</w:t>
      </w:r>
    </w:p>
    <w:p>
      <w:pPr>
        <w:spacing w:after="0" w:line="105" w:lineRule="exact"/>
        <w:rPr>
          <w:sz w:val="20"/>
          <w:szCs w:val="20"/>
          <w:color w:val="auto"/>
        </w:rPr>
      </w:pPr>
    </w:p>
    <w:p>
      <w:pPr>
        <w:ind w:left="547"/>
        <w:spacing w:after="0"/>
        <w:rPr>
          <w:sz w:val="20"/>
          <w:szCs w:val="20"/>
          <w:color w:val="auto"/>
        </w:rPr>
      </w:pPr>
      <w:r>
        <w:rPr>
          <w:rFonts w:ascii="Arial" w:cs="Arial" w:eastAsia="Arial" w:hAnsi="Arial"/>
          <w:sz w:val="15"/>
          <w:szCs w:val="15"/>
          <w:color w:val="auto"/>
        </w:rPr>
        <w:t>We also sub-lease portions of our home office building under non-cancellable operating leases.</w:t>
      </w:r>
    </w:p>
    <w:p>
      <w:pPr>
        <w:spacing w:after="0" w:line="377" w:lineRule="exact"/>
        <w:rPr>
          <w:sz w:val="20"/>
          <w:szCs w:val="20"/>
          <w:color w:val="auto"/>
        </w:rPr>
      </w:pPr>
    </w:p>
    <w:p>
      <w:pPr>
        <w:ind w:left="547" w:hanging="547"/>
        <w:spacing w:after="0"/>
        <w:tabs>
          <w:tab w:leader="none" w:pos="547"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Contingencies</w:t>
      </w:r>
    </w:p>
    <w:p>
      <w:pPr>
        <w:spacing w:after="0" w:line="204" w:lineRule="exact"/>
        <w:rPr>
          <w:sz w:val="20"/>
          <w:szCs w:val="20"/>
          <w:color w:val="auto"/>
        </w:rPr>
      </w:pPr>
    </w:p>
    <w:p>
      <w:pPr>
        <w:ind w:left="7" w:right="200" w:firstLine="544"/>
        <w:spacing w:after="0" w:line="289" w:lineRule="auto"/>
        <w:rPr>
          <w:sz w:val="20"/>
          <w:szCs w:val="20"/>
          <w:color w:val="auto"/>
        </w:rPr>
      </w:pPr>
      <w:r>
        <w:rPr>
          <w:rFonts w:ascii="Arial" w:cs="Arial" w:eastAsia="Arial" w:hAnsi="Arial"/>
          <w:sz w:val="15"/>
          <w:szCs w:val="15"/>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48" w:lineRule="exact"/>
        <w:rPr>
          <w:sz w:val="20"/>
          <w:szCs w:val="20"/>
          <w:color w:val="auto"/>
        </w:rPr>
      </w:pPr>
    </w:p>
    <w:p>
      <w:pPr>
        <w:ind w:left="547"/>
        <w:spacing w:after="0"/>
        <w:rPr>
          <w:sz w:val="20"/>
          <w:szCs w:val="20"/>
          <w:color w:val="auto"/>
        </w:rPr>
      </w:pPr>
      <w:r>
        <w:rPr>
          <w:rFonts w:ascii="Arial" w:cs="Arial" w:eastAsia="Arial" w:hAnsi="Arial"/>
          <w:sz w:val="14"/>
          <w:szCs w:val="14"/>
          <w:color w:val="auto"/>
        </w:rPr>
        <w:t>The Company does not have any unrecorded or potential contingent liabilities or material commitments requiring the use of assets as of September 30, 2017 or December 31,</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2016.</w:t>
      </w:r>
    </w:p>
    <w:p>
      <w:pPr>
        <w:spacing w:after="0" w:line="188" w:lineRule="exact"/>
        <w:rPr>
          <w:sz w:val="20"/>
          <w:szCs w:val="20"/>
          <w:color w:val="auto"/>
        </w:rPr>
      </w:pPr>
    </w:p>
    <w:p>
      <w:pPr>
        <w:jc w:val="center"/>
        <w:ind w:right="-66"/>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07"/>
          </w:cols>
          <w:pgMar w:left="233" w:top="222" w:right="259" w:bottom="1440" w:gutter="0" w:footer="0" w:header="0"/>
        </w:sectPr>
      </w:pPr>
    </w:p>
    <w:bookmarkStart w:id="26" w:name="page27"/>
    <w:bookmarkEnd w:id="26"/>
    <w:p>
      <w:pPr>
        <w:ind w:left="7"/>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NI Holdings,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(dollar amounts in thousands)</w:t>
      </w:r>
    </w:p>
    <w:p>
      <w:pPr>
        <w:spacing w:after="0" w:line="182" w:lineRule="exact"/>
        <w:rPr>
          <w:sz w:val="20"/>
          <w:szCs w:val="20"/>
          <w:color w:val="auto"/>
        </w:rPr>
      </w:pPr>
    </w:p>
    <w:p>
      <w:pPr>
        <w:ind w:left="547" w:hanging="547"/>
        <w:spacing w:after="0"/>
        <w:tabs>
          <w:tab w:leader="none" w:pos="547"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w:t>
      </w:r>
    </w:p>
    <w:p>
      <w:pPr>
        <w:spacing w:after="0" w:line="204" w:lineRule="exact"/>
        <w:rPr>
          <w:sz w:val="20"/>
          <w:szCs w:val="20"/>
          <w:color w:val="auto"/>
        </w:rPr>
      </w:pPr>
    </w:p>
    <w:p>
      <w:pPr>
        <w:ind w:left="7" w:right="20" w:firstLine="544"/>
        <w:spacing w:after="0" w:line="302" w:lineRule="auto"/>
        <w:rPr>
          <w:sz w:val="20"/>
          <w:szCs w:val="20"/>
          <w:color w:val="auto"/>
        </w:rPr>
      </w:pPr>
      <w:r>
        <w:rPr>
          <w:rFonts w:ascii="Arial" w:cs="Arial" w:eastAsia="Arial" w:hAnsi="Arial"/>
          <w:sz w:val="14"/>
          <w:szCs w:val="14"/>
          <w:color w:val="auto"/>
        </w:rPr>
        <w:t>We have three primary insurance product lines, which consist of multi-peril crop and hail, non-standard auto, and other property and casualty coverages. We do not allocate assets, underwriting expenses or fee and other income to the individual product lines and generally review the products in the aggregate for purposes of managerial decision making. We operate only in the United States, and no single customer or agent provides 10 percent or more of our revenues. The table below outlines revenue by insurance product line.</w:t>
      </w:r>
    </w:p>
    <w:p>
      <w:pPr>
        <w:spacing w:after="0" w:line="46"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40" w:type="dxa"/>
            <w:vAlign w:val="bottom"/>
            <w:gridSpan w:val="7"/>
          </w:tcPr>
          <w:p>
            <w:pPr>
              <w:jc w:val="right"/>
              <w:ind w:right="180"/>
              <w:spacing w:after="0"/>
              <w:rPr>
                <w:sz w:val="20"/>
                <w:szCs w:val="20"/>
                <w:color w:val="auto"/>
              </w:rPr>
            </w:pPr>
            <w:r>
              <w:rPr>
                <w:rFonts w:ascii="Arial" w:cs="Arial" w:eastAsia="Arial" w:hAnsi="Arial"/>
                <w:sz w:val="15"/>
                <w:szCs w:val="15"/>
                <w:b w:val="1"/>
                <w:bCs w:val="1"/>
                <w:color w:val="auto"/>
                <w:w w:val="95"/>
              </w:rPr>
              <w:t>Three Months Ended September 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6"/>
          </w:tcPr>
          <w:p>
            <w:pPr>
              <w:ind w:left="20"/>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42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Revenues:</w:t>
            </w:r>
          </w:p>
        </w:tc>
        <w:tc>
          <w:tcPr>
            <w:tcW w:w="18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60" w:type="dxa"/>
            <w:vAlign w:val="bottom"/>
            <w:gridSpan w:val="2"/>
            <w:vMerge w:val="continue"/>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Net premiums earned</w:t>
            </w: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tcPr>
          <w:p>
            <w:pPr>
              <w:ind w:left="80"/>
              <w:spacing w:after="0"/>
              <w:rPr>
                <w:sz w:val="20"/>
                <w:szCs w:val="20"/>
                <w:color w:val="auto"/>
              </w:rPr>
            </w:pPr>
            <w:r>
              <w:rPr>
                <w:rFonts w:ascii="Arial" w:cs="Arial" w:eastAsia="Arial" w:hAnsi="Arial"/>
                <w:sz w:val="15"/>
                <w:szCs w:val="15"/>
                <w:color w:val="auto"/>
              </w:rPr>
              <w:t>Multi-peril crop and hail</w:t>
            </w:r>
          </w:p>
        </w:tc>
        <w:tc>
          <w:tcPr>
            <w:tcW w:w="20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17,756</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21,321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31,670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28,541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5"/>
                <w:szCs w:val="15"/>
                <w:color w:val="auto"/>
              </w:rPr>
              <w:t>Non-standard auto</w:t>
            </w: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7,784</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8,028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Pr>
          <w:p>
            <w:pPr>
              <w:ind w:left="80"/>
              <w:spacing w:after="0"/>
              <w:rPr>
                <w:sz w:val="20"/>
                <w:szCs w:val="20"/>
                <w:color w:val="auto"/>
              </w:rPr>
            </w:pPr>
            <w:r>
              <w:rPr>
                <w:rFonts w:ascii="Arial" w:cs="Arial" w:eastAsia="Arial" w:hAnsi="Arial"/>
                <w:sz w:val="15"/>
                <w:szCs w:val="15"/>
                <w:color w:val="auto"/>
              </w:rPr>
              <w:t>Other property and casualty coverage</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32,106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28,599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91,533</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83,321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Net premiums earned</w:t>
            </w:r>
          </w:p>
        </w:tc>
        <w:tc>
          <w:tcPr>
            <w:tcW w:w="1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52,639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130,987</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119,890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Fee and other income</w:t>
            </w: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1,420</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1,492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Net investment income</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971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4,139</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3,286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Net realized capital gain on investments</w:t>
            </w: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4,996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2,840</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5,215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200"/>
              <w:spacing w:after="0"/>
              <w:rPr>
                <w:sz w:val="20"/>
                <w:szCs w:val="20"/>
                <w:color w:val="auto"/>
              </w:rPr>
            </w:pPr>
            <w:r>
              <w:rPr>
                <w:rFonts w:ascii="Arial" w:cs="Arial" w:eastAsia="Arial" w:hAnsi="Arial"/>
                <w:sz w:val="15"/>
                <w:szCs w:val="15"/>
                <w:color w:val="auto"/>
              </w:rPr>
              <w:t>Total revenues</w:t>
            </w: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56,711</w:t>
            </w:r>
          </w:p>
        </w:tc>
        <w:tc>
          <w:tcPr>
            <w:tcW w:w="1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59,286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139,386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129,883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547" w:hanging="547"/>
        <w:spacing w:after="0"/>
        <w:tabs>
          <w:tab w:leader="none" w:pos="547"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5"/>
          <w:szCs w:val="15"/>
          <w:color w:val="auto"/>
        </w:rPr>
        <w:t>We have evaluated subsequent events through November 10, 2017, the date these consolidated financial statements were available for issuance.</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7"/>
          </w:cols>
          <w:pgMar w:left="233" w:top="222" w:right="219" w:bottom="1440" w:gutter="0" w:footer="0" w:header="0"/>
        </w:sectPr>
      </w:pPr>
    </w:p>
    <w:bookmarkStart w:id="27" w:name="page28"/>
    <w:bookmarkEnd w:id="2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 Management’s Discussion and Analysis of Financial Condition and Results of Operations</w:t>
      </w:r>
    </w:p>
    <w:p>
      <w:pPr>
        <w:spacing w:after="0" w:line="169" w:lineRule="exact"/>
        <w:rPr>
          <w:sz w:val="20"/>
          <w:szCs w:val="20"/>
          <w:color w:val="auto"/>
        </w:rPr>
      </w:pPr>
    </w:p>
    <w:p>
      <w:pPr>
        <w:ind w:firstLine="556"/>
        <w:spacing w:after="0" w:line="264" w:lineRule="auto"/>
        <w:rPr>
          <w:sz w:val="20"/>
          <w:szCs w:val="20"/>
          <w:color w:val="auto"/>
        </w:rPr>
      </w:pPr>
      <w:r>
        <w:rPr>
          <w:rFonts w:ascii="Arial" w:cs="Arial" w:eastAsia="Arial" w:hAnsi="Arial"/>
          <w:sz w:val="15"/>
          <w:szCs w:val="15"/>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for more information. You should review “Risk Factors” for a discussion of important factors that could cause actual results to differ materially from the results described, or implied by, the forward-looking statements contained herein.</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All dollar amounts are in thousands.</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4" w:lineRule="exact"/>
        <w:rPr>
          <w:sz w:val="20"/>
          <w:szCs w:val="20"/>
          <w:color w:val="auto"/>
        </w:rPr>
      </w:pPr>
    </w:p>
    <w:p>
      <w:pPr>
        <w:ind w:right="80" w:firstLine="556"/>
        <w:spacing w:after="0" w:line="264" w:lineRule="auto"/>
        <w:rPr>
          <w:sz w:val="20"/>
          <w:szCs w:val="20"/>
          <w:color w:val="auto"/>
        </w:rPr>
      </w:pPr>
      <w:r>
        <w:rPr>
          <w:rFonts w:ascii="Arial" w:cs="Arial" w:eastAsia="Arial" w:hAnsi="Arial"/>
          <w:sz w:val="15"/>
          <w:szCs w:val="15"/>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24" w:lineRule="exact"/>
        <w:rPr>
          <w:sz w:val="20"/>
          <w:szCs w:val="20"/>
          <w:color w:val="auto"/>
        </w:rPr>
      </w:pPr>
    </w:p>
    <w:p>
      <w:pPr>
        <w:ind w:right="240" w:firstLine="556"/>
        <w:spacing w:after="0" w:line="268" w:lineRule="auto"/>
        <w:rPr>
          <w:sz w:val="20"/>
          <w:szCs w:val="20"/>
          <w:color w:val="auto"/>
        </w:rPr>
      </w:pPr>
      <w:r>
        <w:rPr>
          <w:rFonts w:ascii="Arial" w:cs="Arial" w:eastAsia="Arial" w:hAnsi="Arial"/>
          <w:sz w:val="15"/>
          <w:szCs w:val="15"/>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Minnesota, and Nebraska. Primero offers nonstandard auto insurance coverage in Arizona, Nevada, North Dakota, and South Dakota. Nodak Insurance and Battle Creek are rated an “A” by A.M. Best, which is the third highest out of a possible 15 ratings. American West is rated an “A-”, and Primero is unrated.</w:t>
      </w:r>
    </w:p>
    <w:p>
      <w:pPr>
        <w:spacing w:after="0" w:line="121" w:lineRule="exact"/>
        <w:rPr>
          <w:sz w:val="20"/>
          <w:szCs w:val="20"/>
          <w:color w:val="auto"/>
        </w:rPr>
      </w:pPr>
    </w:p>
    <w:p>
      <w:pPr>
        <w:ind w:right="40" w:firstLine="556"/>
        <w:spacing w:after="0" w:line="273" w:lineRule="auto"/>
        <w:rPr>
          <w:sz w:val="20"/>
          <w:szCs w:val="20"/>
          <w:color w:val="auto"/>
        </w:rPr>
      </w:pPr>
      <w:r>
        <w:rPr>
          <w:rFonts w:ascii="Arial" w:cs="Arial" w:eastAsia="Arial" w:hAnsi="Arial"/>
          <w:sz w:val="15"/>
          <w:szCs w:val="15"/>
          <w:color w:val="auto"/>
        </w:rPr>
        <w:t>American West is a wholly-owned subsidiary of Nodak Insurance, and Primero is an indirect wholly-owned subsidiary of Nodak Insurance. Battle Creek is managed by Nodak Insurance, and Nodak Insurance reinsures 100% of the risk on all insurance policies issued by Battle Creek. NI Holdings’ financial statements set forth herein include the consolidated financial results of NI Holdings and Nodak Insurance, including Nodak Insurance’s subsidiaries American West, Battle Creek, and Primero.</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8" w:name="page29"/>
    <w:bookmarkEnd w:id="2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chart of the corporate structure follows: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2919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305" cy="2919730"/>
                    </a:xfrm>
                    <a:prstGeom prst="rect">
                      <a:avLst/>
                    </a:prstGeom>
                    <a:noFill/>
                  </pic:spPr>
                </pic:pic>
              </a:graphicData>
            </a:graphic>
          </wp:anchor>
        </w:drawing>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ORGANIZATIONAL CHART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Nodak Mutual Group, Inc.</w:t>
      </w:r>
    </w:p>
    <w:p>
      <w:pPr>
        <w:spacing w:after="0" w:line="210" w:lineRule="exact"/>
        <w:rPr>
          <w:sz w:val="20"/>
          <w:szCs w:val="20"/>
          <w:color w:val="auto"/>
        </w:rPr>
      </w:pPr>
    </w:p>
    <w:p>
      <w:pPr>
        <w:ind w:left="3820" w:hanging="127"/>
        <w:spacing w:after="0"/>
        <w:tabs>
          <w:tab w:leader="none" w:pos="3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55%</w:t>
      </w:r>
    </w:p>
    <w:p>
      <w:pPr>
        <w:spacing w:after="0" w:line="23" w:lineRule="exact"/>
        <w:rPr>
          <w:rFonts w:ascii="Arial" w:cs="Arial" w:eastAsia="Arial" w:hAnsi="Arial"/>
          <w:sz w:val="15"/>
          <w:szCs w:val="15"/>
          <w:color w:val="auto"/>
        </w:rPr>
      </w:pPr>
    </w:p>
    <w:p>
      <w:pPr>
        <w:ind w:left="3580"/>
        <w:spacing w:after="0"/>
        <w:rPr>
          <w:rFonts w:ascii="Arial" w:cs="Arial" w:eastAsia="Arial" w:hAnsi="Arial"/>
          <w:sz w:val="15"/>
          <w:szCs w:val="15"/>
          <w:color w:val="auto"/>
        </w:rPr>
      </w:pPr>
      <w:r>
        <w:rPr>
          <w:rFonts w:ascii="Arial" w:cs="Arial" w:eastAsia="Arial" w:hAnsi="Arial"/>
          <w:sz w:val="15"/>
          <w:szCs w:val="15"/>
          <w:color w:val="auto"/>
        </w:rPr>
        <w:t>ownership</w:t>
      </w:r>
    </w:p>
    <w:p>
      <w:pPr>
        <w:spacing w:after="0" w:line="14" w:lineRule="exact"/>
        <w:rPr>
          <w:sz w:val="20"/>
          <w:szCs w:val="20"/>
          <w:color w:val="auto"/>
        </w:rPr>
      </w:pPr>
    </w:p>
    <w:p>
      <w:pPr>
        <w:jc w:val="center"/>
        <w:ind w:right="2260"/>
        <w:spacing w:after="0"/>
        <w:rPr>
          <w:sz w:val="20"/>
          <w:szCs w:val="20"/>
          <w:color w:val="auto"/>
        </w:rPr>
      </w:pPr>
      <w:r>
        <w:rPr>
          <w:rFonts w:ascii="Arial" w:cs="Arial" w:eastAsia="Arial" w:hAnsi="Arial"/>
          <w:sz w:val="15"/>
          <w:szCs w:val="15"/>
          <w:color w:val="auto"/>
        </w:rPr>
        <w:t>NI Holdings, Inc.</w:t>
      </w:r>
    </w:p>
    <w:p>
      <w:pPr>
        <w:spacing w:after="0" w:line="210" w:lineRule="exact"/>
        <w:rPr>
          <w:sz w:val="20"/>
          <w:szCs w:val="20"/>
          <w:color w:val="auto"/>
        </w:rPr>
      </w:pPr>
    </w:p>
    <w:p>
      <w:pPr>
        <w:jc w:val="center"/>
        <w:ind w:right="5140"/>
        <w:spacing w:after="0"/>
        <w:rPr>
          <w:sz w:val="20"/>
          <w:szCs w:val="20"/>
          <w:color w:val="auto"/>
        </w:rPr>
      </w:pPr>
      <w:r>
        <w:rPr>
          <w:rFonts w:ascii="Arial" w:cs="Arial" w:eastAsia="Arial" w:hAnsi="Arial"/>
          <w:sz w:val="15"/>
          <w:szCs w:val="15"/>
          <w:color w:val="auto"/>
        </w:rPr>
        <w:t>100%</w:t>
      </w:r>
    </w:p>
    <w:p>
      <w:pPr>
        <w:spacing w:after="0" w:line="23" w:lineRule="exact"/>
        <w:rPr>
          <w:sz w:val="20"/>
          <w:szCs w:val="20"/>
          <w:color w:val="auto"/>
        </w:rPr>
      </w:pPr>
    </w:p>
    <w:p>
      <w:pPr>
        <w:jc w:val="center"/>
        <w:ind w:right="5140"/>
        <w:spacing w:after="0"/>
        <w:rPr>
          <w:sz w:val="20"/>
          <w:szCs w:val="20"/>
          <w:color w:val="auto"/>
        </w:rPr>
      </w:pPr>
      <w:r>
        <w:rPr>
          <w:rFonts w:ascii="Arial" w:cs="Arial" w:eastAsia="Arial" w:hAnsi="Arial"/>
          <w:sz w:val="15"/>
          <w:szCs w:val="15"/>
          <w:color w:val="auto"/>
        </w:rPr>
        <w:t>ownership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Nodak Insurance Company</w:t>
      </w:r>
    </w:p>
    <w:p>
      <w:pPr>
        <w:spacing w:after="0" w:line="23" w:lineRule="exact"/>
        <w:rPr>
          <w:sz w:val="20"/>
          <w:szCs w:val="20"/>
          <w:color w:val="auto"/>
        </w:rPr>
      </w:pPr>
    </w:p>
    <w:tbl>
      <w:tblPr>
        <w:tblLayout w:type="fixed"/>
        <w:tblInd w:w="230" w:type="dxa"/>
        <w:tblCellMar>
          <w:top w:w="0" w:type="dxa"/>
          <w:left w:w="0" w:type="dxa"/>
          <w:bottom w:w="0" w:type="dxa"/>
          <w:right w:w="0" w:type="dxa"/>
        </w:tblCellMar>
      </w:tblPr>
      <w:tr>
        <w:trPr>
          <w:trHeight w:val="363"/>
        </w:trPr>
        <w:tc>
          <w:tcPr>
            <w:tcW w:w="12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right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80" w:type="dxa"/>
            <w:vAlign w:val="bottom"/>
            <w:tcBorders>
              <w:right w:val="single" w:sz="8" w:color="auto"/>
            </w:tcBorders>
          </w:tcPr>
          <w:p>
            <w:pPr>
              <w:jc w:val="right"/>
              <w:ind w:right="383"/>
              <w:spacing w:after="0"/>
              <w:rPr>
                <w:sz w:val="20"/>
                <w:szCs w:val="20"/>
                <w:color w:val="auto"/>
              </w:rPr>
            </w:pPr>
            <w:r>
              <w:rPr>
                <w:rFonts w:ascii="Arial" w:cs="Arial" w:eastAsia="Arial" w:hAnsi="Arial"/>
                <w:sz w:val="15"/>
                <w:szCs w:val="15"/>
                <w:color w:val="auto"/>
              </w:rPr>
              <w:t>100%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Borders>
              <w:right w:val="single" w:sz="8" w:color="auto"/>
            </w:tcBorders>
          </w:tcPr>
          <w:p>
            <w:pPr>
              <w:jc w:val="right"/>
              <w:ind w:right="783"/>
              <w:spacing w:after="0"/>
              <w:rPr>
                <w:sz w:val="20"/>
                <w:szCs w:val="20"/>
                <w:color w:val="auto"/>
              </w:rPr>
            </w:pPr>
            <w:r>
              <w:rPr>
                <w:rFonts w:ascii="Arial" w:cs="Arial" w:eastAsia="Arial" w:hAnsi="Arial"/>
                <w:sz w:val="15"/>
                <w:szCs w:val="15"/>
                <w:color w:val="auto"/>
              </w:rPr>
              <w:t>100%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ownership</w:t>
            </w:r>
          </w:p>
        </w:tc>
        <w:tc>
          <w:tcPr>
            <w:tcW w:w="1380" w:type="dxa"/>
            <w:vAlign w:val="bottom"/>
            <w:gridSpan w:val="2"/>
          </w:tcPr>
          <w:p>
            <w:pPr>
              <w:spacing w:after="0"/>
              <w:rPr>
                <w:sz w:val="17"/>
                <w:szCs w:val="17"/>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ownership</w:t>
            </w:r>
          </w:p>
        </w:tc>
        <w:tc>
          <w:tcPr>
            <w:tcW w:w="1380" w:type="dxa"/>
            <w:vAlign w:val="bottom"/>
            <w:gridSpan w:val="2"/>
          </w:tcPr>
          <w:p>
            <w:pPr>
              <w:spacing w:after="0"/>
              <w:rPr>
                <w:sz w:val="17"/>
                <w:szCs w:val="17"/>
                <w:color w:val="auto"/>
              </w:rPr>
            </w:pPr>
          </w:p>
        </w:tc>
        <w:tc>
          <w:tcPr>
            <w:tcW w:w="116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Affiliation</w:t>
            </w:r>
          </w:p>
        </w:tc>
        <w:tc>
          <w:tcPr>
            <w:tcW w:w="1360" w:type="dxa"/>
            <w:vAlign w:val="bottom"/>
            <w:gridSpan w:val="2"/>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ownership</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440" w:type="dxa"/>
            <w:vAlign w:val="bottom"/>
            <w:tcBorders>
              <w:top w:val="single" w:sz="8" w:color="auto"/>
              <w:left w:val="single" w:sz="8" w:color="auto"/>
              <w:right w:val="single" w:sz="8" w:color="auto"/>
            </w:tcBorders>
            <w:gridSpan w:val="2"/>
            <w:vMerge w:val="restart"/>
          </w:tcPr>
          <w:p>
            <w:pPr>
              <w:ind w:left="600"/>
              <w:spacing w:after="0"/>
              <w:rPr>
                <w:sz w:val="20"/>
                <w:szCs w:val="20"/>
                <w:color w:val="auto"/>
              </w:rPr>
            </w:pPr>
            <w:r>
              <w:rPr>
                <w:rFonts w:ascii="Arial" w:cs="Arial" w:eastAsia="Arial" w:hAnsi="Arial"/>
                <w:sz w:val="15"/>
                <w:szCs w:val="15"/>
                <w:color w:val="auto"/>
              </w:rPr>
              <w:t>Nodak Agency, Inc.</w:t>
            </w:r>
          </w:p>
        </w:tc>
        <w:tc>
          <w:tcPr>
            <w:tcW w:w="220" w:type="dxa"/>
            <w:vAlign w:val="bottom"/>
            <w:tcBorders>
              <w:right w:val="single" w:sz="8" w:color="auto"/>
            </w:tcBorders>
          </w:tcPr>
          <w:p>
            <w:pPr>
              <w:spacing w:after="0"/>
              <w:rPr>
                <w:sz w:val="14"/>
                <w:szCs w:val="14"/>
                <w:color w:val="auto"/>
              </w:rPr>
            </w:pPr>
          </w:p>
        </w:tc>
        <w:tc>
          <w:tcPr>
            <w:tcW w:w="3220" w:type="dxa"/>
            <w:vAlign w:val="bottom"/>
            <w:tcBorders>
              <w:top w:val="single" w:sz="8" w:color="auto"/>
              <w:right w:val="single" w:sz="8" w:color="auto"/>
            </w:tcBorders>
            <w:gridSpan w:val="2"/>
            <w:vMerge w:val="restart"/>
          </w:tcPr>
          <w:p>
            <w:pPr>
              <w:ind w:left="480"/>
              <w:spacing w:after="0"/>
              <w:rPr>
                <w:sz w:val="20"/>
                <w:szCs w:val="20"/>
                <w:color w:val="auto"/>
              </w:rPr>
            </w:pPr>
            <w:r>
              <w:rPr>
                <w:rFonts w:ascii="Arial" w:cs="Arial" w:eastAsia="Arial" w:hAnsi="Arial"/>
                <w:sz w:val="15"/>
                <w:szCs w:val="15"/>
                <w:color w:val="auto"/>
              </w:rPr>
              <w:t>American West Insurance Company</w:t>
            </w:r>
          </w:p>
        </w:tc>
        <w:tc>
          <w:tcPr>
            <w:tcW w:w="220" w:type="dxa"/>
            <w:vAlign w:val="bottom"/>
            <w:tcBorders>
              <w:right w:val="single" w:sz="8" w:color="auto"/>
            </w:tcBorders>
          </w:tcPr>
          <w:p>
            <w:pPr>
              <w:spacing w:after="0"/>
              <w:rPr>
                <w:sz w:val="14"/>
                <w:szCs w:val="14"/>
                <w:color w:val="auto"/>
              </w:rPr>
            </w:pPr>
          </w:p>
        </w:tc>
        <w:tc>
          <w:tcPr>
            <w:tcW w:w="2300" w:type="dxa"/>
            <w:vAlign w:val="bottom"/>
            <w:tcBorders>
              <w:top w:val="single" w:sz="8" w:color="auto"/>
              <w:right w:val="single" w:sz="8" w:color="auto"/>
            </w:tcBorders>
            <w:gridSpan w:val="2"/>
          </w:tcPr>
          <w:p>
            <w:pPr>
              <w:jc w:val="center"/>
              <w:ind w:right="40"/>
              <w:spacing w:after="0" w:line="167" w:lineRule="exact"/>
              <w:rPr>
                <w:sz w:val="20"/>
                <w:szCs w:val="20"/>
                <w:color w:val="auto"/>
              </w:rPr>
            </w:pPr>
            <w:r>
              <w:rPr>
                <w:rFonts w:ascii="Arial" w:cs="Arial" w:eastAsia="Arial" w:hAnsi="Arial"/>
                <w:sz w:val="15"/>
                <w:szCs w:val="15"/>
                <w:color w:val="auto"/>
                <w:w w:val="94"/>
              </w:rPr>
              <w:t>Battle Creek Mutual Insurance</w:t>
            </w:r>
          </w:p>
        </w:tc>
        <w:tc>
          <w:tcPr>
            <w:tcW w:w="220" w:type="dxa"/>
            <w:vAlign w:val="bottom"/>
            <w:tcBorders>
              <w:right w:val="single" w:sz="8" w:color="auto"/>
            </w:tcBorders>
          </w:tcPr>
          <w:p>
            <w:pPr>
              <w:spacing w:after="0"/>
              <w:rPr>
                <w:sz w:val="14"/>
                <w:szCs w:val="14"/>
                <w:color w:val="auto"/>
              </w:rPr>
            </w:pPr>
          </w:p>
        </w:tc>
        <w:tc>
          <w:tcPr>
            <w:tcW w:w="238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5"/>
                <w:szCs w:val="15"/>
                <w:color w:val="auto"/>
                <w:w w:val="96"/>
              </w:rPr>
              <w:t>Tri-State, Ltd</w:t>
            </w:r>
          </w:p>
        </w:tc>
        <w:tc>
          <w:tcPr>
            <w:tcW w:w="0" w:type="dxa"/>
            <w:vAlign w:val="bottom"/>
          </w:tcPr>
          <w:p>
            <w:pPr>
              <w:spacing w:after="0"/>
              <w:rPr>
                <w:sz w:val="1"/>
                <w:szCs w:val="1"/>
                <w:color w:val="auto"/>
              </w:rPr>
            </w:pPr>
          </w:p>
        </w:tc>
      </w:tr>
      <w:tr>
        <w:trPr>
          <w:trHeight w:val="103"/>
        </w:trPr>
        <w:tc>
          <w:tcPr>
            <w:tcW w:w="2440" w:type="dxa"/>
            <w:vAlign w:val="bottom"/>
            <w:tcBorders>
              <w:left w:val="single" w:sz="8" w:color="auto"/>
              <w:right w:val="single" w:sz="8" w:color="auto"/>
            </w:tcBorders>
            <w:gridSpan w:val="2"/>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3220" w:type="dxa"/>
            <w:vAlign w:val="bottom"/>
            <w:tcBorders>
              <w:right w:val="single" w:sz="8" w:color="auto"/>
            </w:tcBorders>
            <w:gridSpan w:val="2"/>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5"/>
                <w:szCs w:val="15"/>
                <w:color w:val="auto"/>
                <w:w w:val="93"/>
              </w:rPr>
              <w:t>Company</w:t>
            </w:r>
          </w:p>
        </w:tc>
        <w:tc>
          <w:tcPr>
            <w:tcW w:w="220" w:type="dxa"/>
            <w:vAlign w:val="bottom"/>
            <w:tcBorders>
              <w:right w:val="single" w:sz="8" w:color="auto"/>
            </w:tcBorders>
          </w:tcPr>
          <w:p>
            <w:pPr>
              <w:spacing w:after="0"/>
              <w:rPr>
                <w:sz w:val="8"/>
                <w:szCs w:val="8"/>
                <w:color w:val="auto"/>
              </w:rPr>
            </w:pPr>
          </w:p>
        </w:tc>
        <w:tc>
          <w:tcPr>
            <w:tcW w:w="23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80" w:type="dxa"/>
            <w:vAlign w:val="bottom"/>
            <w:tcBorders>
              <w:left w:val="single" w:sz="8" w:color="auto"/>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300" w:type="dxa"/>
            <w:vAlign w:val="bottom"/>
            <w:tcBorders>
              <w:bottom w:val="single" w:sz="8" w:color="auto"/>
              <w:right w:val="single" w:sz="8" w:color="auto"/>
            </w:tcBorders>
            <w:gridSpan w:val="2"/>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2"/>
        </w:trPr>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ownership</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5"/>
                <w:szCs w:val="15"/>
                <w:color w:val="auto"/>
                <w:w w:val="93"/>
              </w:rPr>
              <w:t>Primero Insurance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160" w:firstLine="556"/>
        <w:spacing w:after="0" w:line="289" w:lineRule="auto"/>
        <w:rPr>
          <w:sz w:val="20"/>
          <w:szCs w:val="20"/>
          <w:color w:val="auto"/>
        </w:rPr>
      </w:pPr>
      <w:r>
        <w:rPr>
          <w:rFonts w:ascii="Arial" w:cs="Arial" w:eastAsia="Arial" w:hAnsi="Arial"/>
          <w:sz w:val="15"/>
          <w:szCs w:val="15"/>
          <w:color w:val="auto"/>
        </w:rPr>
        <w:t>The following tables provide selected amounts from the Company’s unaudited consolidated statements of operations and balance sheets. Additional information can be found later in this section.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Pr>
          <w:p>
            <w:pPr>
              <w:spacing w:after="0"/>
              <w:rPr>
                <w:sz w:val="17"/>
                <w:szCs w:val="17"/>
                <w:color w:val="auto"/>
              </w:rPr>
            </w:pPr>
          </w:p>
        </w:tc>
        <w:tc>
          <w:tcPr>
            <w:tcW w:w="2760" w:type="dxa"/>
            <w:vAlign w:val="bottom"/>
            <w:gridSpan w:val="6"/>
          </w:tcPr>
          <w:p>
            <w:pPr>
              <w:jc w:val="right"/>
              <w:ind w:right="300"/>
              <w:spacing w:after="0"/>
              <w:rPr>
                <w:sz w:val="20"/>
                <w:szCs w:val="20"/>
                <w:color w:val="auto"/>
              </w:rPr>
            </w:pPr>
            <w:r>
              <w:rPr>
                <w:rFonts w:ascii="Arial" w:cs="Arial" w:eastAsia="Arial" w:hAnsi="Arial"/>
                <w:sz w:val="15"/>
                <w:szCs w:val="15"/>
                <w:b w:val="1"/>
                <w:bCs w:val="1"/>
                <w:color w:val="auto"/>
                <w:w w:val="95"/>
              </w:rPr>
              <w:t>Three Months Ended September 30,</w:t>
            </w:r>
          </w:p>
        </w:tc>
        <w:tc>
          <w:tcPr>
            <w:tcW w:w="80" w:type="dxa"/>
            <w:vAlign w:val="bottom"/>
          </w:tcPr>
          <w:p>
            <w:pPr>
              <w:spacing w:after="0"/>
              <w:rPr>
                <w:sz w:val="17"/>
                <w:szCs w:val="17"/>
                <w:color w:val="auto"/>
              </w:rPr>
            </w:pPr>
          </w:p>
        </w:tc>
        <w:tc>
          <w:tcPr>
            <w:tcW w:w="2540" w:type="dxa"/>
            <w:vAlign w:val="bottom"/>
            <w:gridSpan w:val="5"/>
          </w:tcPr>
          <w:p>
            <w:pPr>
              <w:ind w:left="20"/>
              <w:spacing w:after="0"/>
              <w:rPr>
                <w:sz w:val="20"/>
                <w:szCs w:val="20"/>
                <w:color w:val="auto"/>
              </w:rPr>
            </w:pPr>
            <w:r>
              <w:rPr>
                <w:rFonts w:ascii="Arial" w:cs="Arial" w:eastAsia="Arial" w:hAnsi="Arial"/>
                <w:sz w:val="15"/>
                <w:szCs w:val="15"/>
                <w:b w:val="1"/>
                <w:bCs w:val="1"/>
                <w:color w:val="auto"/>
              </w:rPr>
              <w:t>Nine Months Ended September 30,</w:t>
            </w:r>
          </w:p>
        </w:tc>
      </w:tr>
      <w:tr>
        <w:trPr>
          <w:trHeight w:val="189"/>
        </w:trPr>
        <w:tc>
          <w:tcPr>
            <w:tcW w:w="60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CCEEFF"/>
            </w:tcBorders>
          </w:tcPr>
          <w:p>
            <w:pPr>
              <w:spacing w:after="0"/>
              <w:rPr>
                <w:sz w:val="16"/>
                <w:szCs w:val="16"/>
                <w:color w:val="auto"/>
              </w:rPr>
            </w:pPr>
          </w:p>
        </w:tc>
      </w:tr>
      <w:tr>
        <w:trPr>
          <w:trHeight w:val="177"/>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Direct premiums written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39,005</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39,238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159,056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150,807</w:t>
            </w:r>
          </w:p>
        </w:tc>
        <w:tc>
          <w:tcPr>
            <w:tcW w:w="100" w:type="dxa"/>
            <w:vAlign w:val="bottom"/>
            <w:shd w:val="clear" w:color="auto" w:fill="CCEEFF"/>
          </w:tcPr>
          <w:p>
            <w:pPr>
              <w:spacing w:after="0"/>
              <w:rPr>
                <w:sz w:val="15"/>
                <w:szCs w:val="15"/>
                <w:color w:val="auto"/>
              </w:rPr>
            </w:pPr>
          </w:p>
        </w:tc>
      </w:tr>
      <w:tr>
        <w:trPr>
          <w:trHeight w:val="185"/>
        </w:trPr>
        <w:tc>
          <w:tcPr>
            <w:tcW w:w="6060" w:type="dxa"/>
            <w:vAlign w:val="bottom"/>
          </w:tcPr>
          <w:p>
            <w:pPr>
              <w:spacing w:after="0"/>
              <w:rPr>
                <w:sz w:val="20"/>
                <w:szCs w:val="20"/>
                <w:color w:val="auto"/>
              </w:rPr>
            </w:pPr>
            <w:r>
              <w:rPr>
                <w:rFonts w:ascii="Arial" w:cs="Arial" w:eastAsia="Arial" w:hAnsi="Arial"/>
                <w:sz w:val="15"/>
                <w:szCs w:val="15"/>
                <w:color w:val="auto"/>
              </w:rPr>
              <w:t>Net premiums earned</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52,525</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52,639</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130,987</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119,890</w:t>
            </w:r>
          </w:p>
        </w:tc>
      </w:tr>
      <w:tr>
        <w:trPr>
          <w:trHeight w:val="185"/>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before non-controlling interest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(2,693)</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(999)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2,173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3,401</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tcPr>
          <w:p>
            <w:pPr>
              <w:spacing w:after="0"/>
              <w:rPr>
                <w:sz w:val="17"/>
                <w:szCs w:val="17"/>
                <w:color w:val="auto"/>
              </w:rPr>
            </w:pPr>
          </w:p>
        </w:tc>
        <w:tc>
          <w:tcPr>
            <w:tcW w:w="5340" w:type="dxa"/>
            <w:vAlign w:val="bottom"/>
            <w:gridSpan w:val="4"/>
          </w:tcPr>
          <w:p>
            <w:pPr>
              <w:ind w:left="3940"/>
              <w:spacing w:after="0"/>
              <w:rPr>
                <w:sz w:val="20"/>
                <w:szCs w:val="20"/>
                <w:color w:val="auto"/>
              </w:rPr>
            </w:pPr>
            <w:r>
              <w:rPr>
                <w:rFonts w:ascii="Arial" w:cs="Arial" w:eastAsia="Arial" w:hAnsi="Arial"/>
                <w:sz w:val="15"/>
                <w:szCs w:val="15"/>
                <w:b w:val="1"/>
                <w:bCs w:val="1"/>
                <w:color w:val="auto"/>
                <w:w w:val="98"/>
              </w:rPr>
              <w:t>September 30, 2017</w:t>
            </w:r>
          </w:p>
        </w:tc>
        <w:tc>
          <w:tcPr>
            <w:tcW w:w="1440" w:type="dxa"/>
            <w:vAlign w:val="bottom"/>
            <w:gridSpan w:val="4"/>
          </w:tcPr>
          <w:p>
            <w:pPr>
              <w:ind w:left="100"/>
              <w:spacing w:after="0"/>
              <w:rPr>
                <w:sz w:val="20"/>
                <w:szCs w:val="20"/>
                <w:color w:val="auto"/>
              </w:rPr>
            </w:pPr>
            <w:r>
              <w:rPr>
                <w:rFonts w:ascii="Arial" w:cs="Arial" w:eastAsia="Arial" w:hAnsi="Arial"/>
                <w:sz w:val="15"/>
                <w:szCs w:val="15"/>
                <w:b w:val="1"/>
                <w:bCs w:val="1"/>
                <w:color w:val="auto"/>
                <w:w w:val="97"/>
              </w:rPr>
              <w:t>December 31, 2016</w:t>
            </w:r>
          </w:p>
        </w:tc>
      </w:tr>
      <w:tr>
        <w:trPr>
          <w:trHeight w:val="177"/>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39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418,707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278,703</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60" w:type="dxa"/>
            <w:vAlign w:val="bottom"/>
          </w:tcPr>
          <w:p>
            <w:pPr>
              <w:spacing w:after="0"/>
              <w:rPr>
                <w:sz w:val="20"/>
                <w:szCs w:val="20"/>
                <w:color w:val="auto"/>
              </w:rPr>
            </w:pPr>
            <w:r>
              <w:rPr>
                <w:rFonts w:ascii="Arial" w:cs="Arial" w:eastAsia="Arial" w:hAnsi="Arial"/>
                <w:sz w:val="15"/>
                <w:szCs w:val="15"/>
                <w:color w:val="auto"/>
              </w:rPr>
              <w:t>Equity</w:t>
            </w:r>
          </w:p>
        </w:tc>
        <w:tc>
          <w:tcPr>
            <w:tcW w:w="3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239,912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153,418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Marketplace Conditions and Trends</w:t>
      </w:r>
    </w:p>
    <w:p>
      <w:pPr>
        <w:spacing w:after="0" w:line="169" w:lineRule="exact"/>
        <w:rPr>
          <w:sz w:val="20"/>
          <w:szCs w:val="20"/>
          <w:color w:val="auto"/>
        </w:rPr>
      </w:pPr>
    </w:p>
    <w:p>
      <w:pPr>
        <w:ind w:right="40" w:firstLine="556"/>
        <w:spacing w:after="0" w:line="302" w:lineRule="auto"/>
        <w:rPr>
          <w:sz w:val="20"/>
          <w:szCs w:val="20"/>
          <w:color w:val="auto"/>
        </w:rPr>
      </w:pPr>
      <w:r>
        <w:rPr>
          <w:rFonts w:ascii="Arial" w:cs="Arial" w:eastAsia="Arial" w:hAnsi="Arial"/>
          <w:sz w:val="14"/>
          <w:szCs w:val="14"/>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Management of NI Holdings believes that the market generally may be in a hard market, but that variations exist by line of business and geography.</w:t>
      </w:r>
    </w:p>
    <w:p>
      <w:pPr>
        <w:spacing w:after="0" w:line="110"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Unlike property and casualty insurance, the total crop insurance premiums written can vary each year due to the prevailing commodity prices for the type of crops planted. The aggregate number of acres planted does not vary significantly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most commercial farmers obtain crop insurance on their plantings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29" w:name="page30"/>
    <w:bookmarkEnd w:id="2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each year because participation in other federal farm programs by a farmer is conditioned upon participation in the federal crop insurance program.</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Revenue Items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derives its revenue primarily from net premiums earned, net investment income, and net realized capital gain (loss) on investments.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Gross and net premiums written</w:t>
      </w:r>
    </w:p>
    <w:p>
      <w:pPr>
        <w:spacing w:after="0" w:line="163" w:lineRule="exact"/>
        <w:rPr>
          <w:sz w:val="20"/>
          <w:szCs w:val="20"/>
          <w:color w:val="auto"/>
        </w:rPr>
      </w:pPr>
    </w:p>
    <w:p>
      <w:pPr>
        <w:ind w:right="40" w:firstLine="556"/>
        <w:spacing w:after="0" w:line="371" w:lineRule="auto"/>
        <w:rPr>
          <w:sz w:val="20"/>
          <w:szCs w:val="20"/>
          <w:color w:val="auto"/>
        </w:rPr>
      </w:pPr>
      <w:r>
        <w:rPr>
          <w:rFonts w:ascii="Arial" w:cs="Arial" w:eastAsia="Arial" w:hAnsi="Arial"/>
          <w:sz w:val="13"/>
          <w:szCs w:val="13"/>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Premiums earned</w:t>
      </w:r>
    </w:p>
    <w:p>
      <w:pPr>
        <w:spacing w:after="0" w:line="163" w:lineRule="exact"/>
        <w:rPr>
          <w:sz w:val="20"/>
          <w:szCs w:val="20"/>
          <w:color w:val="auto"/>
        </w:rPr>
      </w:pPr>
    </w:p>
    <w:p>
      <w:pPr>
        <w:ind w:right="160" w:firstLine="556"/>
        <w:spacing w:after="0" w:line="289" w:lineRule="auto"/>
        <w:rPr>
          <w:sz w:val="20"/>
          <w:szCs w:val="20"/>
          <w:color w:val="auto"/>
        </w:rPr>
      </w:pPr>
      <w:r>
        <w:rPr>
          <w:rFonts w:ascii="Arial" w:cs="Arial" w:eastAsia="Arial" w:hAnsi="Arial"/>
          <w:sz w:val="14"/>
          <w:szCs w:val="14"/>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 policy that is written on July 1, 2017, one-half of the premiums would be earned in 2017 and the other half would be earned in 2018.</w:t>
      </w:r>
    </w:p>
    <w:p>
      <w:pPr>
        <w:spacing w:after="0" w:line="108" w:lineRule="exact"/>
        <w:rPr>
          <w:sz w:val="20"/>
          <w:szCs w:val="20"/>
          <w:color w:val="auto"/>
        </w:rPr>
      </w:pPr>
    </w:p>
    <w:p>
      <w:pPr>
        <w:ind w:right="20" w:firstLine="556"/>
        <w:spacing w:after="0" w:line="283" w:lineRule="auto"/>
        <w:rPr>
          <w:sz w:val="20"/>
          <w:szCs w:val="20"/>
          <w:color w:val="auto"/>
        </w:rPr>
      </w:pPr>
      <w:r>
        <w:rPr>
          <w:rFonts w:ascii="Arial" w:cs="Arial" w:eastAsia="Arial" w:hAnsi="Arial"/>
          <w:sz w:val="14"/>
          <w:szCs w:val="14"/>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made in the spring (primarily for prevented planting and required replanting claims), claims are required to be made by December 15. A different cycle exists for crops planted in the fall, such as winter wheat, but the vast majority of crop insurance written by NI Holdings covers crops planted in the spring.</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investment income and net realized capital gain (loss) on investments</w:t>
      </w:r>
    </w:p>
    <w:p>
      <w:pPr>
        <w:spacing w:after="0" w:line="163" w:lineRule="exact"/>
        <w:rPr>
          <w:sz w:val="20"/>
          <w:szCs w:val="20"/>
          <w:color w:val="auto"/>
        </w:rPr>
      </w:pPr>
    </w:p>
    <w:p>
      <w:pPr>
        <w:ind w:firstLine="556"/>
        <w:spacing w:after="0" w:line="264" w:lineRule="auto"/>
        <w:rPr>
          <w:sz w:val="20"/>
          <w:szCs w:val="20"/>
          <w:color w:val="auto"/>
        </w:rPr>
      </w:pPr>
      <w:r>
        <w:rPr>
          <w:rFonts w:ascii="Arial" w:cs="Arial" w:eastAsia="Arial" w:hAnsi="Arial"/>
          <w:sz w:val="15"/>
          <w:szCs w:val="15"/>
          <w:color w:val="auto"/>
        </w:rPr>
        <w:t>NI Holdings invests its surplus and the funds supporting its insurance liabilities (including unearned premiums and unpaid loss and loss adjustment expenses) in cash, cash equivalents, equities, and debt securities. Investment income includes interest and dividends earned on invested assets. Net realized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 NI Holdings’ portfolio of investments is managed by Conning, Inc. and Disciplined Growth Investors, who have discretion to buy and sell securities in accordance with the investment policy approved by our 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Expense Items</w:t>
      </w:r>
    </w:p>
    <w:p>
      <w:pPr>
        <w:spacing w:after="0" w:line="181" w:lineRule="exact"/>
        <w:rPr>
          <w:sz w:val="20"/>
          <w:szCs w:val="20"/>
          <w:color w:val="auto"/>
        </w:rPr>
      </w:pPr>
    </w:p>
    <w:p>
      <w:pPr>
        <w:ind w:right="480" w:firstLine="556"/>
        <w:spacing w:after="0" w:line="289" w:lineRule="auto"/>
        <w:rPr>
          <w:sz w:val="20"/>
          <w:szCs w:val="20"/>
          <w:color w:val="auto"/>
        </w:rPr>
      </w:pPr>
      <w:r>
        <w:rPr>
          <w:rFonts w:ascii="Arial" w:cs="Arial" w:eastAsia="Arial" w:hAnsi="Arial"/>
          <w:sz w:val="15"/>
          <w:szCs w:val="15"/>
          <w:color w:val="auto"/>
        </w:rPr>
        <w:t>NI Holdings’ expenses consist primarily of loss and loss adjustment expenses (“LAE”), amortization of deferred policy acquisition costs, other underwriting and general expenses, and income taxes.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Loss and Loss Adjustment Expenses</w:t>
      </w:r>
    </w:p>
    <w:p>
      <w:pPr>
        <w:spacing w:after="0" w:line="163" w:lineRule="exact"/>
        <w:rPr>
          <w:sz w:val="20"/>
          <w:szCs w:val="20"/>
          <w:color w:val="auto"/>
        </w:rPr>
      </w:pPr>
    </w:p>
    <w:p>
      <w:pPr>
        <w:ind w:right="400" w:firstLine="556"/>
        <w:spacing w:after="0" w:line="289" w:lineRule="auto"/>
        <w:rPr>
          <w:sz w:val="20"/>
          <w:szCs w:val="20"/>
          <w:color w:val="auto"/>
        </w:rPr>
      </w:pPr>
      <w:r>
        <w:rPr>
          <w:rFonts w:ascii="Arial" w:cs="Arial" w:eastAsia="Arial" w:hAnsi="Arial"/>
          <w:sz w:val="15"/>
          <w:szCs w:val="15"/>
          <w:color w:val="auto"/>
        </w:rPr>
        <w:t>Loss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Amortization of deferred policy acquisition costs and other underwriting and general expenses</w:t>
      </w:r>
    </w:p>
    <w:p>
      <w:pPr>
        <w:spacing w:after="0" w:line="163" w:lineRule="exact"/>
        <w:rPr>
          <w:sz w:val="20"/>
          <w:szCs w:val="20"/>
          <w:color w:val="auto"/>
        </w:rPr>
      </w:pPr>
    </w:p>
    <w:p>
      <w:pPr>
        <w:ind w:right="240" w:firstLine="556"/>
        <w:spacing w:after="0" w:line="302" w:lineRule="auto"/>
        <w:rPr>
          <w:sz w:val="20"/>
          <w:szCs w:val="20"/>
          <w:color w:val="auto"/>
        </w:rPr>
      </w:pPr>
      <w:r>
        <w:rPr>
          <w:rFonts w:ascii="Arial" w:cs="Arial" w:eastAsia="Arial" w:hAnsi="Arial"/>
          <w:sz w:val="14"/>
          <w:szCs w:val="14"/>
          <w:color w:val="auto"/>
        </w:rPr>
        <w:t>Expenses incurred to underwrite risks are referred to as policy acquisition costs and other underwriting and general expenses.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30" w:name="page31"/>
    <w:bookmarkEnd w:id="3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right="520"/>
        <w:spacing w:after="0" w:line="289" w:lineRule="auto"/>
        <w:rPr>
          <w:sz w:val="20"/>
          <w:szCs w:val="20"/>
          <w:color w:val="auto"/>
        </w:rPr>
      </w:pPr>
      <w:r>
        <w:rPr>
          <w:rFonts w:ascii="Arial" w:cs="Arial" w:eastAsia="Arial" w:hAnsi="Arial"/>
          <w:sz w:val="15"/>
          <w:szCs w:val="15"/>
          <w:color w:val="auto"/>
        </w:rPr>
        <w:t>professional fees, office supplies, 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Income taxes</w:t>
      </w:r>
    </w:p>
    <w:p>
      <w:pPr>
        <w:spacing w:after="0" w:line="175" w:lineRule="exact"/>
        <w:rPr>
          <w:sz w:val="20"/>
          <w:szCs w:val="20"/>
          <w:color w:val="auto"/>
        </w:rPr>
      </w:pPr>
    </w:p>
    <w:p>
      <w:pPr>
        <w:ind w:right="180" w:firstLine="556"/>
        <w:spacing w:after="0" w:line="268" w:lineRule="auto"/>
        <w:rPr>
          <w:sz w:val="20"/>
          <w:szCs w:val="20"/>
          <w:color w:val="auto"/>
        </w:rPr>
      </w:pPr>
      <w:r>
        <w:rPr>
          <w:rFonts w:ascii="Arial" w:cs="Arial" w:eastAsia="Arial" w:hAnsi="Arial"/>
          <w:sz w:val="15"/>
          <w:szCs w:val="15"/>
          <w:color w:val="auto"/>
        </w:rPr>
        <w:t>NI Holdings uses the asset and liability method of accounting for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At both September 30, 2017 and December 31, 2016, the Company had recorded valuation allowances with respect to its deferred income tax assets of $1,022. The effect of a change in tax rates is recognized in the period of the enactment date.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Financial Measures</w:t>
      </w:r>
    </w:p>
    <w:p>
      <w:pPr>
        <w:spacing w:after="0" w:line="169"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NI Holdings evaluates its insurance operations by monitoring certain key measures of growth and profitability. In addition to reviewing its financial performance based on results determined in accordance with GAAP, NI Holdings utilizes certain non-GAAP financial measures that are used widely in the property and casualty insurance industry and which it believes are valuable in managing its business and for comparison to its peers. These non-GAAP measures are the expense ratio, loss and LAE ratio, combined ratio, written premiums, ratio of net written premiums to statutory surplus, underwriting income, return on average equity, and risk based capital.</w:t>
      </w:r>
    </w:p>
    <w:p>
      <w:pPr>
        <w:spacing w:after="0" w:line="133" w:lineRule="exact"/>
        <w:rPr>
          <w:sz w:val="20"/>
          <w:szCs w:val="20"/>
          <w:color w:val="auto"/>
        </w:rPr>
      </w:pPr>
    </w:p>
    <w:p>
      <w:pPr>
        <w:ind w:right="20" w:firstLine="556"/>
        <w:spacing w:after="0" w:line="327" w:lineRule="auto"/>
        <w:rPr>
          <w:sz w:val="20"/>
          <w:szCs w:val="20"/>
          <w:color w:val="auto"/>
        </w:rPr>
      </w:pPr>
      <w:r>
        <w:rPr>
          <w:rFonts w:ascii="Arial" w:cs="Arial" w:eastAsia="Arial" w:hAnsi="Arial"/>
          <w:sz w:val="14"/>
          <w:szCs w:val="14"/>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income (loss), net income (loss), and return on average equity.</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Loss and LAE ratio</w:t>
      </w:r>
    </w:p>
    <w:p>
      <w:pPr>
        <w:spacing w:after="0" w:line="163" w:lineRule="exact"/>
        <w:rPr>
          <w:sz w:val="20"/>
          <w:szCs w:val="20"/>
          <w:color w:val="auto"/>
        </w:rPr>
      </w:pPr>
    </w:p>
    <w:p>
      <w:pPr>
        <w:ind w:firstLine="556"/>
        <w:spacing w:after="0" w:line="268" w:lineRule="auto"/>
        <w:rPr>
          <w:sz w:val="20"/>
          <w:szCs w:val="20"/>
          <w:color w:val="auto"/>
        </w:rPr>
      </w:pPr>
      <w:r>
        <w:rPr>
          <w:rFonts w:ascii="Arial" w:cs="Arial" w:eastAsia="Arial" w:hAnsi="Arial"/>
          <w:sz w:val="15"/>
          <w:szCs w:val="15"/>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Expense ratio</w:t>
      </w:r>
    </w:p>
    <w:p>
      <w:pPr>
        <w:spacing w:after="0" w:line="163" w:lineRule="exact"/>
        <w:rPr>
          <w:sz w:val="20"/>
          <w:szCs w:val="20"/>
          <w:color w:val="auto"/>
        </w:rPr>
      </w:pPr>
    </w:p>
    <w:p>
      <w:pPr>
        <w:ind w:right="380" w:firstLine="556"/>
        <w:spacing w:after="0" w:line="327" w:lineRule="auto"/>
        <w:rPr>
          <w:sz w:val="20"/>
          <w:szCs w:val="20"/>
          <w:color w:val="auto"/>
        </w:rPr>
      </w:pPr>
      <w:r>
        <w:rPr>
          <w:rFonts w:ascii="Arial" w:cs="Arial" w:eastAsia="Arial" w:hAnsi="Arial"/>
          <w:sz w:val="14"/>
          <w:szCs w:val="14"/>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Combined ratio</w:t>
      </w:r>
    </w:p>
    <w:p>
      <w:pPr>
        <w:spacing w:after="0" w:line="175" w:lineRule="exact"/>
        <w:rPr>
          <w:sz w:val="20"/>
          <w:szCs w:val="20"/>
          <w:color w:val="auto"/>
        </w:rPr>
      </w:pPr>
    </w:p>
    <w:p>
      <w:pPr>
        <w:ind w:right="40" w:firstLine="556"/>
        <w:spacing w:after="0" w:line="273" w:lineRule="auto"/>
        <w:rPr>
          <w:sz w:val="20"/>
          <w:szCs w:val="20"/>
          <w:color w:val="auto"/>
        </w:rPr>
      </w:pPr>
      <w:r>
        <w:rPr>
          <w:rFonts w:ascii="Arial" w:cs="Arial" w:eastAsia="Arial" w:hAnsi="Arial"/>
          <w:sz w:val="15"/>
          <w:szCs w:val="15"/>
          <w:color w:val="auto"/>
        </w:rPr>
        <w:t>The Company’s combined ratio is the sum of the loss and LAE ratio and the expense ratio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premiums written to statutory surplus ratio</w:t>
      </w:r>
    </w:p>
    <w:p>
      <w:pPr>
        <w:spacing w:after="0" w:line="163" w:lineRule="exact"/>
        <w:rPr>
          <w:sz w:val="20"/>
          <w:szCs w:val="20"/>
          <w:color w:val="auto"/>
        </w:rPr>
      </w:pPr>
    </w:p>
    <w:p>
      <w:pPr>
        <w:jc w:val="both"/>
        <w:ind w:right="260" w:firstLine="556"/>
        <w:spacing w:after="0" w:line="273" w:lineRule="auto"/>
        <w:rPr>
          <w:sz w:val="20"/>
          <w:szCs w:val="20"/>
          <w:color w:val="auto"/>
        </w:rPr>
      </w:pPr>
      <w:r>
        <w:rPr>
          <w:rFonts w:ascii="Arial" w:cs="Arial" w:eastAsia="Arial" w:hAnsi="Arial"/>
          <w:sz w:val="15"/>
          <w:szCs w:val="15"/>
          <w:color w:val="auto"/>
        </w:rPr>
        <w:t>The net premiums written to statutory surplus ratio represents the ratio of net premiums written to statutory surplus. This ratio measures the Company’s exposure to pricing deficiencies in its current book of business. The higher the ratio, the greater the impact on surplus should pricing prove inadequate. Statutory surplus is determined using accounting principles prescribed or permitted by the insurance subsidiaries’ state of domicile and differs from GAAP equity.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Underwriting income (loss)</w:t>
      </w:r>
    </w:p>
    <w:p>
      <w:pPr>
        <w:spacing w:after="0" w:line="163" w:lineRule="exact"/>
        <w:rPr>
          <w:sz w:val="20"/>
          <w:szCs w:val="20"/>
          <w:color w:val="auto"/>
        </w:rPr>
      </w:pPr>
    </w:p>
    <w:p>
      <w:pPr>
        <w:ind w:right="120" w:firstLine="556"/>
        <w:spacing w:after="0" w:line="327" w:lineRule="auto"/>
        <w:rPr>
          <w:sz w:val="20"/>
          <w:szCs w:val="20"/>
          <w:color w:val="auto"/>
        </w:rPr>
      </w:pPr>
      <w:r>
        <w:rPr>
          <w:rFonts w:ascii="Arial" w:cs="Arial" w:eastAsia="Arial" w:hAnsi="Arial"/>
          <w:sz w:val="14"/>
          <w:szCs w:val="14"/>
          <w:color w:val="auto"/>
        </w:rPr>
        <w:t>Underwriting income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statements of operations.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income (loss) and return on average equity</w:t>
      </w:r>
    </w:p>
    <w:p>
      <w:pPr>
        <w:spacing w:after="0" w:line="175" w:lineRule="exact"/>
        <w:rPr>
          <w:sz w:val="20"/>
          <w:szCs w:val="20"/>
          <w:color w:val="auto"/>
        </w:rPr>
      </w:pPr>
    </w:p>
    <w:p>
      <w:pPr>
        <w:ind w:right="300" w:firstLine="556"/>
        <w:spacing w:after="0" w:line="289" w:lineRule="auto"/>
        <w:rPr>
          <w:sz w:val="20"/>
          <w:szCs w:val="20"/>
          <w:color w:val="auto"/>
        </w:rPr>
      </w:pPr>
      <w:r>
        <w:rPr>
          <w:rFonts w:ascii="Arial" w:cs="Arial" w:eastAsia="Arial" w:hAnsi="Arial"/>
          <w:sz w:val="15"/>
          <w:szCs w:val="15"/>
          <w:color w:val="auto"/>
        </w:rPr>
        <w:t>NI Holdings uses net income (loss) to measure its profit and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00"/>
          </w:cols>
          <w:pgMar w:left="240" w:top="222" w:right="259" w:bottom="1440" w:gutter="0" w:footer="0" w:header="0"/>
        </w:sectPr>
      </w:pPr>
    </w:p>
    <w:bookmarkStart w:id="31" w:name="page32"/>
    <w:bookmarkEnd w:id="3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General</w:t>
      </w:r>
    </w:p>
    <w:p>
      <w:pPr>
        <w:spacing w:after="0" w:line="175" w:lineRule="exact"/>
        <w:rPr>
          <w:sz w:val="20"/>
          <w:szCs w:val="20"/>
          <w:color w:val="auto"/>
        </w:rPr>
      </w:pPr>
    </w:p>
    <w:p>
      <w:pPr>
        <w:ind w:right="20" w:firstLine="556"/>
        <w:spacing w:after="0" w:line="264" w:lineRule="auto"/>
        <w:rPr>
          <w:sz w:val="20"/>
          <w:szCs w:val="20"/>
          <w:color w:val="auto"/>
        </w:rPr>
      </w:pPr>
      <w:r>
        <w:rPr>
          <w:rFonts w:ascii="Arial" w:cs="Arial" w:eastAsia="Arial" w:hAnsi="Arial"/>
          <w:sz w:val="15"/>
          <w:szCs w:val="15"/>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Unpaid Loss and Loss Adjustment Expenses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How reserves are established</w:t>
      </w:r>
    </w:p>
    <w:p>
      <w:pPr>
        <w:spacing w:after="0" w:line="175" w:lineRule="exact"/>
        <w:rPr>
          <w:sz w:val="20"/>
          <w:szCs w:val="20"/>
          <w:color w:val="auto"/>
        </w:rPr>
      </w:pPr>
    </w:p>
    <w:p>
      <w:pPr>
        <w:ind w:right="140" w:firstLine="556"/>
        <w:spacing w:after="0" w:line="273" w:lineRule="auto"/>
        <w:rPr>
          <w:sz w:val="20"/>
          <w:szCs w:val="20"/>
          <w:color w:val="auto"/>
        </w:rPr>
      </w:pPr>
      <w:r>
        <w:rPr>
          <w:rFonts w:ascii="Arial" w:cs="Arial" w:eastAsia="Arial" w:hAnsi="Arial"/>
          <w:sz w:val="15"/>
          <w:szCs w:val="15"/>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18" w:lineRule="exact"/>
        <w:rPr>
          <w:sz w:val="20"/>
          <w:szCs w:val="20"/>
          <w:color w:val="auto"/>
        </w:rPr>
      </w:pPr>
    </w:p>
    <w:p>
      <w:pPr>
        <w:ind w:right="80" w:firstLine="556"/>
        <w:spacing w:after="0" w:line="293" w:lineRule="auto"/>
        <w:rPr>
          <w:sz w:val="20"/>
          <w:szCs w:val="20"/>
          <w:color w:val="auto"/>
        </w:rPr>
      </w:pPr>
      <w:r>
        <w:rPr>
          <w:rFonts w:ascii="Arial" w:cs="Arial" w:eastAsia="Arial" w:hAnsi="Arial"/>
          <w:sz w:val="14"/>
          <w:szCs w:val="14"/>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06" w:lineRule="exact"/>
        <w:rPr>
          <w:sz w:val="20"/>
          <w:szCs w:val="20"/>
          <w:color w:val="auto"/>
        </w:rPr>
      </w:pPr>
    </w:p>
    <w:p>
      <w:pPr>
        <w:ind w:right="100" w:firstLine="556"/>
        <w:spacing w:after="0" w:line="265" w:lineRule="auto"/>
        <w:rPr>
          <w:sz w:val="20"/>
          <w:szCs w:val="20"/>
          <w:color w:val="auto"/>
        </w:rPr>
      </w:pPr>
      <w:r>
        <w:rPr>
          <w:rFonts w:ascii="Arial" w:cs="Arial" w:eastAsia="Arial" w:hAnsi="Arial"/>
          <w:sz w:val="15"/>
          <w:szCs w:val="15"/>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36" w:lineRule="exact"/>
        <w:rPr>
          <w:sz w:val="20"/>
          <w:szCs w:val="20"/>
          <w:color w:val="auto"/>
        </w:rPr>
      </w:pPr>
    </w:p>
    <w:p>
      <w:pPr>
        <w:jc w:val="both"/>
        <w:ind w:right="640" w:firstLine="556"/>
        <w:spacing w:after="0" w:line="371" w:lineRule="auto"/>
        <w:rPr>
          <w:sz w:val="20"/>
          <w:szCs w:val="20"/>
          <w:color w:val="auto"/>
        </w:rPr>
      </w:pPr>
      <w:r>
        <w:rPr>
          <w:rFonts w:ascii="Arial" w:cs="Arial" w:eastAsia="Arial" w:hAnsi="Arial"/>
          <w:sz w:val="13"/>
          <w:szCs w:val="13"/>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59"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The Company estimates multi-peril crop insurance losses on a quarterly basis based upon historical loss patterns, current crop conditions, current weather patterns, and input from crop loss adjusters. These estimates have proven to be a very good indicator of the Company’s anticipated losses for this line of business.</w:t>
      </w:r>
    </w:p>
    <w:p>
      <w:pPr>
        <w:spacing w:after="0" w:line="106" w:lineRule="exact"/>
        <w:rPr>
          <w:sz w:val="20"/>
          <w:szCs w:val="20"/>
          <w:color w:val="auto"/>
        </w:rPr>
      </w:pPr>
    </w:p>
    <w:p>
      <w:pPr>
        <w:ind w:right="20" w:firstLine="556"/>
        <w:spacing w:after="0" w:line="293" w:lineRule="auto"/>
        <w:rPr>
          <w:sz w:val="20"/>
          <w:szCs w:val="20"/>
          <w:color w:val="auto"/>
        </w:rPr>
      </w:pPr>
      <w:r>
        <w:rPr>
          <w:rFonts w:ascii="Arial" w:cs="Arial" w:eastAsia="Arial" w:hAnsi="Arial"/>
          <w:sz w:val="14"/>
          <w:szCs w:val="14"/>
          <w:color w:val="auto"/>
        </w:rPr>
        <w:t>NI Holdings utilizes an independent actuary to assist with the estimation of its liability for unpaid losses and LAE. This actuary prepares estimates of the ultimate liability for unpaid losses and LAE based on established actuarial methods described below.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NI Holdings accrues its ultimate liability for unpaid losses and LAE by using the following actuarial methodologies:</w:t>
      </w:r>
    </w:p>
    <w:p>
      <w:pPr>
        <w:spacing w:after="0" w:line="157" w:lineRule="exact"/>
        <w:rPr>
          <w:sz w:val="20"/>
          <w:szCs w:val="20"/>
          <w:color w:val="auto"/>
        </w:rPr>
      </w:pPr>
    </w:p>
    <w:p>
      <w:pPr>
        <w:ind w:firstLine="556"/>
        <w:spacing w:after="0" w:line="291" w:lineRule="auto"/>
        <w:rPr>
          <w:sz w:val="20"/>
          <w:szCs w:val="20"/>
          <w:color w:val="auto"/>
        </w:rPr>
      </w:pPr>
      <w:r>
        <w:rPr>
          <w:rFonts w:ascii="Arial" w:cs="Arial" w:eastAsia="Arial" w:hAnsi="Arial"/>
          <w:sz w:val="14"/>
          <w:szCs w:val="14"/>
          <w:b w:val="1"/>
          <w:bCs w:val="1"/>
          <w:u w:val="single" w:color="auto"/>
          <w:color w:val="auto"/>
        </w:rPr>
        <w:t>Bornhuetter-Ferguson Method</w:t>
      </w:r>
      <w:r>
        <w:rPr>
          <w:rFonts w:ascii="Arial" w:cs="Arial" w:eastAsia="Arial" w:hAnsi="Arial"/>
          <w:sz w:val="14"/>
          <w:szCs w:val="14"/>
          <w:b w:val="1"/>
          <w:bCs w:val="1"/>
          <w:color w:val="auto"/>
        </w:rPr>
        <w:t xml:space="preserve"> </w:t>
      </w:r>
      <w:r>
        <w:rPr>
          <w:rFonts w:ascii="Arial" w:cs="Arial" w:eastAsia="Arial" w:hAnsi="Arial"/>
          <w:sz w:val="14"/>
          <w:szCs w:val="14"/>
          <w:color w:val="auto"/>
        </w:rPr>
        <w:t>— The Bornhuetter-Ferguson Method is a blended method that explicitly takes into account both actual loss development to date and expected</w:t>
      </w:r>
      <w:r>
        <w:rPr>
          <w:rFonts w:ascii="Arial" w:cs="Arial" w:eastAsia="Arial" w:hAnsi="Arial"/>
          <w:sz w:val="14"/>
          <w:szCs w:val="14"/>
          <w:b w:val="1"/>
          <w:bCs w:val="1"/>
          <w:color w:val="auto"/>
        </w:rPr>
        <w:t xml:space="preserve"> </w:t>
      </w:r>
      <w:r>
        <w:rPr>
          <w:rFonts w:ascii="Arial" w:cs="Arial" w:eastAsia="Arial" w:hAnsi="Arial"/>
          <w:sz w:val="14"/>
          <w:szCs w:val="14"/>
          <w:color w:val="auto"/>
        </w:rPr>
        <w:t>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01" w:lineRule="exact"/>
        <w:rPr>
          <w:sz w:val="20"/>
          <w:szCs w:val="20"/>
          <w:color w:val="auto"/>
        </w:rPr>
      </w:pPr>
    </w:p>
    <w:p>
      <w:pPr>
        <w:ind w:right="20" w:firstLine="556"/>
        <w:spacing w:after="0" w:line="298" w:lineRule="auto"/>
        <w:rPr>
          <w:sz w:val="20"/>
          <w:szCs w:val="20"/>
          <w:color w:val="auto"/>
        </w:rPr>
      </w:pPr>
      <w:r>
        <w:rPr>
          <w:rFonts w:ascii="Arial" w:cs="Arial" w:eastAsia="Arial" w:hAnsi="Arial"/>
          <w:sz w:val="15"/>
          <w:szCs w:val="15"/>
          <w:b w:val="1"/>
          <w:bCs w:val="1"/>
          <w:u w:val="single" w:color="auto"/>
          <w:color w:val="auto"/>
        </w:rPr>
        <w:t>Paid and Case Incurred Loss Method</w:t>
      </w:r>
      <w:r>
        <w:rPr>
          <w:rFonts w:ascii="Arial" w:cs="Arial" w:eastAsia="Arial" w:hAnsi="Arial"/>
          <w:sz w:val="15"/>
          <w:szCs w:val="15"/>
          <w:b w:val="1"/>
          <w:bCs w:val="1"/>
          <w:color w:val="auto"/>
        </w:rPr>
        <w:t xml:space="preserve"> </w:t>
      </w:r>
      <w:r>
        <w:rPr>
          <w:rFonts w:ascii="Arial" w:cs="Arial" w:eastAsia="Arial" w:hAnsi="Arial"/>
          <w:sz w:val="15"/>
          <w:szCs w:val="15"/>
          <w:color w:val="auto"/>
        </w:rPr>
        <w:t>— The Paid and Case Incurred Loss Development Method utilizes ratios of cumulative paid or case incurred losses or LAE at each age</w:t>
      </w:r>
      <w:r>
        <w:rPr>
          <w:rFonts w:ascii="Arial" w:cs="Arial" w:eastAsia="Arial" w:hAnsi="Arial"/>
          <w:sz w:val="15"/>
          <w:szCs w:val="15"/>
          <w:b w:val="1"/>
          <w:bCs w:val="1"/>
          <w:color w:val="auto"/>
        </w:rPr>
        <w:t xml:space="preserve"> </w:t>
      </w:r>
      <w:r>
        <w:rPr>
          <w:rFonts w:ascii="Arial" w:cs="Arial" w:eastAsia="Arial" w:hAnsi="Arial"/>
          <w:sz w:val="15"/>
          <w:szCs w:val="15"/>
          <w:color w:val="auto"/>
        </w:rPr>
        <w:t>of development as a percent of the preceding development age. Selected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2" w:name="page33"/>
    <w:bookmarkEnd w:id="3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100" w:lineRule="exact"/>
        <w:rPr>
          <w:sz w:val="20"/>
          <w:szCs w:val="20"/>
          <w:color w:val="auto"/>
        </w:rPr>
      </w:pPr>
    </w:p>
    <w:p>
      <w:pPr>
        <w:jc w:val="both"/>
        <w:ind w:right="80" w:firstLine="556"/>
        <w:spacing w:after="0" w:line="278" w:lineRule="auto"/>
        <w:rPr>
          <w:sz w:val="20"/>
          <w:szCs w:val="20"/>
          <w:color w:val="auto"/>
        </w:rPr>
      </w:pPr>
      <w:r>
        <w:rPr>
          <w:rFonts w:ascii="Arial" w:cs="Arial" w:eastAsia="Arial" w:hAnsi="Arial"/>
          <w:sz w:val="15"/>
          <w:szCs w:val="15"/>
          <w:b w:val="1"/>
          <w:bCs w:val="1"/>
          <w:u w:val="single" w:color="auto"/>
          <w:color w:val="auto"/>
        </w:rPr>
        <w:t>Ratio of Paid ALAE to Paid Loss Method</w:t>
      </w:r>
      <w:r>
        <w:rPr>
          <w:rFonts w:ascii="Arial" w:cs="Arial" w:eastAsia="Arial" w:hAnsi="Arial"/>
          <w:sz w:val="15"/>
          <w:szCs w:val="15"/>
          <w:b w:val="1"/>
          <w:bCs w:val="1"/>
          <w:color w:val="auto"/>
        </w:rPr>
        <w:t xml:space="preserve"> </w:t>
      </w:r>
      <w:r>
        <w:rPr>
          <w:rFonts w:ascii="Arial" w:cs="Arial" w:eastAsia="Arial" w:hAnsi="Arial"/>
          <w:sz w:val="15"/>
          <w:szCs w:val="15"/>
          <w:color w:val="auto"/>
        </w:rPr>
        <w:t>— This method utilizes the ratio of paid allocated loss adjustment expense (“ALAE”) to paid losses and is similar to the Paid and</w:t>
      </w:r>
      <w:r>
        <w:rPr>
          <w:rFonts w:ascii="Arial" w:cs="Arial" w:eastAsia="Arial" w:hAnsi="Arial"/>
          <w:sz w:val="15"/>
          <w:szCs w:val="15"/>
          <w:b w:val="1"/>
          <w:bCs w:val="1"/>
          <w:color w:val="auto"/>
        </w:rPr>
        <w:t xml:space="preserve"> </w:t>
      </w:r>
      <w:r>
        <w:rPr>
          <w:rFonts w:ascii="Arial" w:cs="Arial" w:eastAsia="Arial" w:hAnsi="Arial"/>
          <w:sz w:val="15"/>
          <w:szCs w:val="15"/>
          <w:color w:val="auto"/>
        </w:rPr>
        <w:t>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25" w:lineRule="exact"/>
        <w:rPr>
          <w:sz w:val="20"/>
          <w:szCs w:val="20"/>
          <w:color w:val="auto"/>
        </w:rPr>
      </w:pPr>
    </w:p>
    <w:p>
      <w:pPr>
        <w:ind w:firstLine="556"/>
        <w:spacing w:after="0" w:line="315" w:lineRule="auto"/>
        <w:rPr>
          <w:sz w:val="20"/>
          <w:szCs w:val="20"/>
          <w:color w:val="auto"/>
        </w:rPr>
      </w:pPr>
      <w:r>
        <w:rPr>
          <w:rFonts w:ascii="Arial" w:cs="Arial" w:eastAsia="Arial" w:hAnsi="Arial"/>
          <w:sz w:val="13"/>
          <w:szCs w:val="13"/>
          <w:color w:val="auto"/>
        </w:rPr>
        <w:t>NI Holdings estimates IBNR reserves by first deriving an actuarially based estimate of the ultimate cost of total losses and LAE incurred as of the financial statement date. NI Holdings then reduces the estimated ultimate losses and LAE by loss and LAE payments and case reserves carried as of the financial statement date. The actuarially determined estimate is based upon indications from one of the above actuarial methodologies or uses a weighted average of these results. The specific method used to estimate the ultimate losses will vary depending on the judgment of the actuary as to what is the most appropriate method for the property and casualty business. Finally, the Company considers other factors that impact reserves which are not fully incorporated in the actuarially based estimate, such as changes in the external business environment and changes in internal company processes and strategy.</w:t>
      </w:r>
    </w:p>
    <w:p>
      <w:pPr>
        <w:spacing w:after="0" w:line="96" w:lineRule="exact"/>
        <w:rPr>
          <w:sz w:val="20"/>
          <w:szCs w:val="20"/>
          <w:color w:val="auto"/>
        </w:rPr>
      </w:pPr>
    </w:p>
    <w:p>
      <w:pPr>
        <w:ind w:firstLine="556"/>
        <w:spacing w:after="0" w:line="263" w:lineRule="auto"/>
        <w:rPr>
          <w:sz w:val="20"/>
          <w:szCs w:val="20"/>
          <w:color w:val="auto"/>
        </w:rPr>
      </w:pPr>
      <w:r>
        <w:rPr>
          <w:rFonts w:ascii="Arial" w:cs="Arial" w:eastAsia="Arial" w:hAnsi="Arial"/>
          <w:sz w:val="15"/>
          <w:szCs w:val="15"/>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25" w:lineRule="exact"/>
        <w:rPr>
          <w:sz w:val="20"/>
          <w:szCs w:val="20"/>
          <w:color w:val="auto"/>
        </w:rPr>
      </w:pPr>
    </w:p>
    <w:p>
      <w:pPr>
        <w:ind w:right="140" w:firstLine="556"/>
        <w:spacing w:after="0" w:line="293" w:lineRule="auto"/>
        <w:rPr>
          <w:sz w:val="20"/>
          <w:szCs w:val="20"/>
          <w:color w:val="auto"/>
        </w:rPr>
      </w:pPr>
      <w:r>
        <w:rPr>
          <w:rFonts w:ascii="Arial" w:cs="Arial" w:eastAsia="Arial" w:hAnsi="Arial"/>
          <w:sz w:val="14"/>
          <w:szCs w:val="14"/>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17" w:lineRule="exact"/>
        <w:rPr>
          <w:sz w:val="20"/>
          <w:szCs w:val="20"/>
          <w:color w:val="auto"/>
        </w:rPr>
      </w:pPr>
    </w:p>
    <w:p>
      <w:pPr>
        <w:ind w:right="180" w:firstLine="556"/>
        <w:spacing w:after="0" w:line="327" w:lineRule="auto"/>
        <w:rPr>
          <w:sz w:val="20"/>
          <w:szCs w:val="20"/>
          <w:color w:val="auto"/>
        </w:rPr>
      </w:pPr>
      <w:r>
        <w:rPr>
          <w:rFonts w:ascii="Arial" w:cs="Arial" w:eastAsia="Arial" w:hAnsi="Arial"/>
          <w:sz w:val="14"/>
          <w:szCs w:val="14"/>
          <w:color w:val="auto"/>
        </w:rPr>
        <w:t>Other factors that have or can have an impact on the Company’s case and IBNR reserves include but are not limited to those described below. The potential impact described under “</w:t>
      </w:r>
      <w:r>
        <w:rPr>
          <w:rFonts w:ascii="Arial" w:cs="Arial" w:eastAsia="Arial" w:hAnsi="Arial"/>
          <w:sz w:val="14"/>
          <w:szCs w:val="14"/>
          <w:i w:val="1"/>
          <w:iCs w:val="1"/>
          <w:color w:val="auto"/>
        </w:rPr>
        <w:t>Inflation</w:t>
      </w:r>
      <w:r>
        <w:rPr>
          <w:rFonts w:ascii="Arial" w:cs="Arial" w:eastAsia="Arial" w:hAnsi="Arial"/>
          <w:sz w:val="14"/>
          <w:szCs w:val="14"/>
          <w:color w:val="auto"/>
        </w:rPr>
        <w:t>”, “</w:t>
      </w:r>
      <w:r>
        <w:rPr>
          <w:rFonts w:ascii="Arial" w:cs="Arial" w:eastAsia="Arial" w:hAnsi="Arial"/>
          <w:sz w:val="14"/>
          <w:szCs w:val="14"/>
          <w:i w:val="1"/>
          <w:iCs w:val="1"/>
          <w:color w:val="auto"/>
        </w:rPr>
        <w:t>Case Reserves</w:t>
      </w:r>
      <w:r>
        <w:rPr>
          <w:rFonts w:ascii="Arial" w:cs="Arial" w:eastAsia="Arial" w:hAnsi="Arial"/>
          <w:sz w:val="14"/>
          <w:szCs w:val="14"/>
          <w:color w:val="auto"/>
        </w:rPr>
        <w:t>”, and “</w:t>
      </w:r>
      <w:r>
        <w:rPr>
          <w:rFonts w:ascii="Arial" w:cs="Arial" w:eastAsia="Arial" w:hAnsi="Arial"/>
          <w:sz w:val="14"/>
          <w:szCs w:val="14"/>
          <w:i w:val="1"/>
          <w:iCs w:val="1"/>
          <w:color w:val="auto"/>
        </w:rPr>
        <w:t>Unallocated Loss Adjustment Reserve (All other Loss Adjustment)</w:t>
      </w:r>
      <w:r>
        <w:rPr>
          <w:rFonts w:ascii="Arial" w:cs="Arial" w:eastAsia="Arial" w:hAnsi="Arial"/>
          <w:sz w:val="14"/>
          <w:szCs w:val="14"/>
          <w:color w:val="auto"/>
        </w:rPr>
        <w:t>” reflect reasonably likely changes in such factors.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Changes in laws regarding insureds’ liability and public attitudes regarding damage awards can significantly impact prior claims</w:t>
      </w:r>
    </w:p>
    <w:p>
      <w:pPr>
        <w:spacing w:after="0" w:line="163" w:lineRule="exact"/>
        <w:rPr>
          <w:sz w:val="20"/>
          <w:szCs w:val="20"/>
          <w:color w:val="auto"/>
        </w:rPr>
      </w:pPr>
    </w:p>
    <w:p>
      <w:pPr>
        <w:ind w:right="220" w:firstLine="556"/>
        <w:spacing w:after="0" w:line="289" w:lineRule="auto"/>
        <w:rPr>
          <w:sz w:val="20"/>
          <w:szCs w:val="20"/>
          <w:color w:val="auto"/>
        </w:rPr>
      </w:pPr>
      <w:r>
        <w:rPr>
          <w:rFonts w:ascii="Arial" w:cs="Arial" w:eastAsia="Arial" w:hAnsi="Arial"/>
          <w:sz w:val="14"/>
          <w:szCs w:val="14"/>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Change in claims handling and/or setting case reserves</w:t>
      </w:r>
    </w:p>
    <w:p>
      <w:pPr>
        <w:spacing w:after="0" w:line="163" w:lineRule="exact"/>
        <w:rPr>
          <w:sz w:val="20"/>
          <w:szCs w:val="20"/>
          <w:color w:val="auto"/>
        </w:rPr>
      </w:pPr>
    </w:p>
    <w:p>
      <w:pPr>
        <w:ind w:right="80" w:firstLine="556"/>
        <w:spacing w:after="0" w:line="268" w:lineRule="auto"/>
        <w:rPr>
          <w:sz w:val="20"/>
          <w:szCs w:val="20"/>
          <w:color w:val="auto"/>
        </w:rPr>
      </w:pPr>
      <w:r>
        <w:rPr>
          <w:rFonts w:ascii="Arial" w:cs="Arial" w:eastAsia="Arial" w:hAnsi="Arial"/>
          <w:sz w:val="15"/>
          <w:szCs w:val="15"/>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Economic inflation</w:t>
      </w:r>
    </w:p>
    <w:p>
      <w:pPr>
        <w:spacing w:after="0" w:line="175" w:lineRule="exact"/>
        <w:rPr>
          <w:sz w:val="20"/>
          <w:szCs w:val="20"/>
          <w:color w:val="auto"/>
        </w:rPr>
      </w:pPr>
    </w:p>
    <w:p>
      <w:pPr>
        <w:ind w:firstLine="556"/>
        <w:spacing w:after="0" w:line="273" w:lineRule="auto"/>
        <w:rPr>
          <w:sz w:val="20"/>
          <w:szCs w:val="20"/>
          <w:color w:val="auto"/>
        </w:rPr>
      </w:pPr>
      <w:r>
        <w:rPr>
          <w:rFonts w:ascii="Arial" w:cs="Arial" w:eastAsia="Arial" w:hAnsi="Arial"/>
          <w:sz w:val="15"/>
          <w:szCs w:val="15"/>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3" w:name="page34"/>
    <w:bookmarkEnd w:id="3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right="160"/>
        <w:spacing w:after="0" w:line="327" w:lineRule="auto"/>
        <w:rPr>
          <w:sz w:val="20"/>
          <w:szCs w:val="20"/>
          <w:color w:val="auto"/>
        </w:rPr>
      </w:pPr>
      <w:r>
        <w:rPr>
          <w:rFonts w:ascii="Arial" w:cs="Arial" w:eastAsia="Arial" w:hAnsi="Arial"/>
          <w:sz w:val="14"/>
          <w:szCs w:val="14"/>
          <w:color w:val="auto"/>
        </w:rPr>
        <w:t>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Increases or decreases in claim severity for reasons other than inflation</w:t>
      </w:r>
    </w:p>
    <w:p>
      <w:pPr>
        <w:spacing w:after="0" w:line="175" w:lineRule="exact"/>
        <w:rPr>
          <w:sz w:val="20"/>
          <w:szCs w:val="20"/>
          <w:color w:val="auto"/>
        </w:rPr>
      </w:pPr>
    </w:p>
    <w:p>
      <w:pPr>
        <w:ind w:right="100" w:firstLine="556"/>
        <w:spacing w:after="0" w:line="268" w:lineRule="auto"/>
        <w:rPr>
          <w:sz w:val="20"/>
          <w:szCs w:val="20"/>
          <w:color w:val="auto"/>
        </w:rPr>
      </w:pPr>
      <w:r>
        <w:rPr>
          <w:rFonts w:ascii="Arial" w:cs="Arial" w:eastAsia="Arial" w:hAnsi="Arial"/>
          <w:sz w:val="15"/>
          <w:szCs w:val="15"/>
          <w:color w:val="auto"/>
        </w:rPr>
        <w:t>Factors exist that can drive the cost to settle claims for reasons other than standard inflation. For example, demand surge (as in the case of Hurricane Katrina) caused by a very large catastrophe has an impact on not only the availability and cost of building materials such as roofing and other such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Actual settlement experience different than historical data trends</w:t>
      </w:r>
    </w:p>
    <w:p>
      <w:pPr>
        <w:spacing w:after="0" w:line="163" w:lineRule="exact"/>
        <w:rPr>
          <w:sz w:val="20"/>
          <w:szCs w:val="20"/>
          <w:color w:val="auto"/>
        </w:rPr>
      </w:pPr>
    </w:p>
    <w:p>
      <w:pPr>
        <w:ind w:firstLine="556"/>
        <w:spacing w:after="0" w:line="265" w:lineRule="auto"/>
        <w:rPr>
          <w:sz w:val="20"/>
          <w:szCs w:val="20"/>
          <w:color w:val="auto"/>
        </w:rPr>
      </w:pPr>
      <w:r>
        <w:rPr>
          <w:rFonts w:ascii="Arial" w:cs="Arial" w:eastAsia="Arial" w:hAnsi="Arial"/>
          <w:sz w:val="15"/>
          <w:szCs w:val="15"/>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Change in Reporting Lag</w:t>
      </w:r>
    </w:p>
    <w:p>
      <w:pPr>
        <w:spacing w:after="0" w:line="163" w:lineRule="exact"/>
        <w:rPr>
          <w:sz w:val="20"/>
          <w:szCs w:val="20"/>
          <w:color w:val="auto"/>
        </w:rPr>
      </w:pPr>
    </w:p>
    <w:p>
      <w:pPr>
        <w:ind w:right="140" w:firstLine="556"/>
        <w:spacing w:after="0" w:line="265" w:lineRule="auto"/>
        <w:rPr>
          <w:sz w:val="20"/>
          <w:szCs w:val="20"/>
          <w:color w:val="auto"/>
        </w:rPr>
      </w:pPr>
      <w:r>
        <w:rPr>
          <w:rFonts w:ascii="Arial" w:cs="Arial" w:eastAsia="Arial" w:hAnsi="Arial"/>
          <w:sz w:val="15"/>
          <w:szCs w:val="15"/>
          <w:color w:val="auto"/>
        </w:rPr>
        <w:t>As discussed above, NI Holdings and its actuary utilize historical patterns to provide an accurate estimate of what will take place in the future. Should we experience an unexpected delay in reporting time (claims are slower to be reported than in the past), we or our actuary may underestimate the anticipated number of future claims, which could cause us and our actuary to underestimate the ultimate loss we may experience.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25" w:lineRule="exact"/>
        <w:rPr>
          <w:sz w:val="20"/>
          <w:szCs w:val="20"/>
          <w:color w:val="auto"/>
        </w:rPr>
      </w:pPr>
    </w:p>
    <w:p>
      <w:pPr>
        <w:ind w:right="40" w:firstLine="556"/>
        <w:spacing w:after="0" w:line="273" w:lineRule="auto"/>
        <w:rPr>
          <w:sz w:val="20"/>
          <w:szCs w:val="20"/>
          <w:color w:val="auto"/>
        </w:rPr>
      </w:pPr>
      <w:r>
        <w:rPr>
          <w:rFonts w:ascii="Arial" w:cs="Arial" w:eastAsia="Arial" w:hAnsi="Arial"/>
          <w:sz w:val="15"/>
          <w:szCs w:val="15"/>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80" w:type="dxa"/>
            <w:vAlign w:val="bottom"/>
          </w:tcPr>
          <w:p>
            <w:pPr>
              <w:ind w:left="540"/>
              <w:spacing w:after="0"/>
              <w:rPr>
                <w:sz w:val="20"/>
                <w:szCs w:val="20"/>
                <w:color w:val="auto"/>
              </w:rPr>
            </w:pPr>
            <w:r>
              <w:rPr>
                <w:rFonts w:ascii="Arial" w:cs="Arial" w:eastAsia="Arial" w:hAnsi="Arial"/>
                <w:sz w:val="15"/>
                <w:szCs w:val="15"/>
                <w:color w:val="auto"/>
              </w:rPr>
              <w:t>NI Holdings’ liabilities for unpaid losses and LAE are summarized below:</w:t>
            </w: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8"/>
        </w:trPr>
        <w:tc>
          <w:tcPr>
            <w:tcW w:w="6880" w:type="dxa"/>
            <w:vAlign w:val="bottom"/>
          </w:tcPr>
          <w:p>
            <w:pPr>
              <w:spacing w:after="0"/>
              <w:rPr>
                <w:sz w:val="24"/>
                <w:szCs w:val="24"/>
                <w:color w:val="auto"/>
              </w:rPr>
            </w:pPr>
          </w:p>
        </w:tc>
        <w:tc>
          <w:tcPr>
            <w:tcW w:w="3120" w:type="dxa"/>
            <w:vAlign w:val="bottom"/>
            <w:gridSpan w:val="4"/>
          </w:tcPr>
          <w:p>
            <w:pPr>
              <w:ind w:left="1720"/>
              <w:spacing w:after="0"/>
              <w:rPr>
                <w:sz w:val="20"/>
                <w:szCs w:val="20"/>
                <w:color w:val="auto"/>
              </w:rPr>
            </w:pPr>
            <w:r>
              <w:rPr>
                <w:rFonts w:ascii="Arial" w:cs="Arial" w:eastAsia="Arial" w:hAnsi="Arial"/>
                <w:sz w:val="15"/>
                <w:szCs w:val="15"/>
                <w:b w:val="1"/>
                <w:bCs w:val="1"/>
                <w:color w:val="auto"/>
                <w:w w:val="98"/>
              </w:rPr>
              <w:t>September 30, 2017</w:t>
            </w:r>
          </w:p>
        </w:tc>
        <w:tc>
          <w:tcPr>
            <w:tcW w:w="1440" w:type="dxa"/>
            <w:vAlign w:val="bottom"/>
            <w:gridSpan w:val="4"/>
          </w:tcPr>
          <w:p>
            <w:pPr>
              <w:ind w:left="100"/>
              <w:spacing w:after="0"/>
              <w:rPr>
                <w:sz w:val="20"/>
                <w:szCs w:val="20"/>
                <w:color w:val="auto"/>
              </w:rPr>
            </w:pPr>
            <w:r>
              <w:rPr>
                <w:rFonts w:ascii="Arial" w:cs="Arial" w:eastAsia="Arial" w:hAnsi="Arial"/>
                <w:sz w:val="15"/>
                <w:szCs w:val="15"/>
                <w:b w:val="1"/>
                <w:bCs w:val="1"/>
                <w:color w:val="auto"/>
                <w:w w:val="97"/>
              </w:rPr>
              <w:t>December 31, 2016</w:t>
            </w:r>
          </w:p>
        </w:tc>
      </w:tr>
      <w:tr>
        <w:trPr>
          <w:trHeight w:val="177"/>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Case reserves</w:t>
            </w:r>
          </w:p>
        </w:tc>
        <w:tc>
          <w:tcPr>
            <w:tcW w:w="17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76,518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42,081</w:t>
            </w:r>
          </w:p>
        </w:tc>
        <w:tc>
          <w:tcPr>
            <w:tcW w:w="100" w:type="dxa"/>
            <w:vAlign w:val="bottom"/>
            <w:tcBorders>
              <w:top w:val="single" w:sz="8" w:color="CCEEFF"/>
            </w:tcBorders>
            <w:shd w:val="clear" w:color="auto" w:fill="CCEEFF"/>
          </w:tcPr>
          <w:p>
            <w:pPr>
              <w:spacing w:after="0"/>
              <w:rPr>
                <w:sz w:val="15"/>
                <w:szCs w:val="15"/>
                <w:color w:val="auto"/>
              </w:rPr>
            </w:pPr>
          </w:p>
        </w:tc>
      </w:tr>
      <w:tr>
        <w:trPr>
          <w:trHeight w:val="197"/>
        </w:trPr>
        <w:tc>
          <w:tcPr>
            <w:tcW w:w="6880" w:type="dxa"/>
            <w:vAlign w:val="bottom"/>
          </w:tcPr>
          <w:p>
            <w:pPr>
              <w:spacing w:after="0"/>
              <w:rPr>
                <w:sz w:val="20"/>
                <w:szCs w:val="20"/>
                <w:color w:val="auto"/>
              </w:rPr>
            </w:pPr>
            <w:r>
              <w:rPr>
                <w:rFonts w:ascii="Arial" w:cs="Arial" w:eastAsia="Arial" w:hAnsi="Arial"/>
                <w:sz w:val="15"/>
                <w:szCs w:val="15"/>
                <w:color w:val="auto"/>
              </w:rPr>
              <w:t>IBNR reserves</w:t>
            </w: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10,359</w:t>
            </w:r>
          </w:p>
        </w:tc>
      </w:tr>
      <w:tr>
        <w:trPr>
          <w:trHeight w:val="177"/>
        </w:trPr>
        <w:tc>
          <w:tcPr>
            <w:tcW w:w="68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Net unpaid losses and LAE</w:t>
            </w:r>
          </w:p>
        </w:tc>
        <w:tc>
          <w:tcPr>
            <w:tcW w:w="17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76,747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52,440</w:t>
            </w:r>
          </w:p>
        </w:tc>
        <w:tc>
          <w:tcPr>
            <w:tcW w:w="100" w:type="dxa"/>
            <w:vAlign w:val="bottom"/>
            <w:tcBorders>
              <w:top w:val="single" w:sz="8" w:color="CCEEFF"/>
            </w:tcBorders>
            <w:shd w:val="clear" w:color="auto" w:fill="CCEEFF"/>
          </w:tcPr>
          <w:p>
            <w:pPr>
              <w:spacing w:after="0"/>
              <w:rPr>
                <w:sz w:val="15"/>
                <w:szCs w:val="15"/>
                <w:color w:val="auto"/>
              </w:rPr>
            </w:pPr>
          </w:p>
        </w:tc>
      </w:tr>
      <w:tr>
        <w:trPr>
          <w:trHeight w:val="197"/>
        </w:trPr>
        <w:tc>
          <w:tcPr>
            <w:tcW w:w="68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Reinsurance recoverables on losses</w:t>
            </w:r>
          </w:p>
        </w:tc>
        <w:tc>
          <w:tcPr>
            <w:tcW w:w="17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8,680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7,192</w:t>
            </w:r>
          </w:p>
        </w:tc>
        <w:tc>
          <w:tcPr>
            <w:tcW w:w="100" w:type="dxa"/>
            <w:vAlign w:val="bottom"/>
            <w:tcBorders>
              <w:bottom w:val="single" w:sz="8" w:color="CCEEFF"/>
            </w:tcBorders>
          </w:tcPr>
          <w:p>
            <w:pPr>
              <w:spacing w:after="0"/>
              <w:rPr>
                <w:sz w:val="17"/>
                <w:szCs w:val="17"/>
                <w:color w:val="auto"/>
              </w:rPr>
            </w:pPr>
          </w:p>
        </w:tc>
      </w:tr>
      <w:tr>
        <w:trPr>
          <w:trHeight w:val="188"/>
        </w:trPr>
        <w:tc>
          <w:tcPr>
            <w:tcW w:w="6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Liability for unpaid losses and LAE</w:t>
            </w:r>
          </w:p>
        </w:tc>
        <w:tc>
          <w:tcPr>
            <w:tcW w:w="2180" w:type="dxa"/>
            <w:vAlign w:val="bottom"/>
            <w:gridSpan w:val="2"/>
            <w:shd w:val="clear" w:color="auto" w:fill="CCEEFF"/>
          </w:tcPr>
          <w:p>
            <w:pPr>
              <w:ind w:left="17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85,427</w:t>
            </w: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59,632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right="160" w:firstLine="556"/>
        <w:spacing w:after="0" w:line="273" w:lineRule="auto"/>
        <w:rPr>
          <w:sz w:val="20"/>
          <w:szCs w:val="20"/>
          <w:color w:val="auto"/>
        </w:rPr>
      </w:pPr>
      <w:r>
        <w:rPr>
          <w:rFonts w:ascii="Arial" w:cs="Arial" w:eastAsia="Arial" w:hAnsi="Arial"/>
          <w:sz w:val="15"/>
          <w:szCs w:val="15"/>
          <w:color w:val="auto"/>
        </w:rPr>
        <w:t>The Company’s actuary is required to exercise a considerable degree of judgment in the evaluation of all of these and other factors in the analysis of NI Holdings’ liability for unpaid losses and LAE and the related range of anticipated losses. The method of determining the loss reserves has not changed and the reserve generated by the actuary is consistent with the observed development of NI Holdings’ loss reserves over the last few years.</w:t>
      </w:r>
    </w:p>
    <w:p>
      <w:pPr>
        <w:spacing w:after="0" w:line="118" w:lineRule="exact"/>
        <w:rPr>
          <w:sz w:val="20"/>
          <w:szCs w:val="20"/>
          <w:color w:val="auto"/>
        </w:rPr>
      </w:pPr>
    </w:p>
    <w:p>
      <w:pPr>
        <w:ind w:right="60" w:firstLine="556"/>
        <w:spacing w:after="0" w:line="302" w:lineRule="auto"/>
        <w:rPr>
          <w:sz w:val="20"/>
          <w:szCs w:val="20"/>
          <w:color w:val="auto"/>
        </w:rPr>
      </w:pPr>
      <w:r>
        <w:rPr>
          <w:rFonts w:ascii="Arial" w:cs="Arial" w:eastAsia="Arial" w:hAnsi="Arial"/>
          <w:sz w:val="14"/>
          <w:szCs w:val="14"/>
          <w:color w:val="auto"/>
        </w:rPr>
        <w:t>The variability in establishing loss reserves arises primarily because specific losses may not be known and reported for some period and the ultimate losses paid and LAE incurred with respect to known losses may be larger or smaller than currently estimated. In addition, we continue to process claims from losses incurred from policy years more than ten years ago. The ultimate frequency or severity of these claims can be very different than the assumptions NI Holdings used in its estimation of ultimate reserves for these exposures.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Specifically, the following factors could also impact the frequency and severity of claims, and therefore, the ultimate amount of losses and LAE paid:</w:t>
      </w:r>
    </w:p>
    <w:p>
      <w:pPr>
        <w:spacing w:after="0" w:line="163" w:lineRule="exact"/>
        <w:rPr>
          <w:sz w:val="20"/>
          <w:szCs w:val="20"/>
          <w:color w:val="auto"/>
        </w:rPr>
      </w:pPr>
    </w:p>
    <w:p>
      <w:pPr>
        <w:ind w:left="820" w:hanging="271"/>
        <w:spacing w:after="0"/>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rate of increase in labor costs and healthcare costs that underlie insured risks;</w:t>
      </w:r>
    </w:p>
    <w:p>
      <w:pPr>
        <w:spacing w:after="0" w:line="163" w:lineRule="exact"/>
        <w:rPr>
          <w:rFonts w:ascii="Arial" w:cs="Arial" w:eastAsia="Arial" w:hAnsi="Arial"/>
          <w:sz w:val="15"/>
          <w:szCs w:val="15"/>
          <w:color w:val="auto"/>
        </w:rPr>
      </w:pPr>
    </w:p>
    <w:p>
      <w:pPr>
        <w:ind w:left="820" w:hanging="271"/>
        <w:spacing w:after="0"/>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costs of building materials;</w:t>
      </w:r>
    </w:p>
    <w:p>
      <w:pPr>
        <w:spacing w:after="0" w:line="174" w:lineRule="exact"/>
        <w:rPr>
          <w:rFonts w:ascii="Arial" w:cs="Arial" w:eastAsia="Arial" w:hAnsi="Arial"/>
          <w:sz w:val="15"/>
          <w:szCs w:val="15"/>
          <w:color w:val="auto"/>
        </w:rPr>
      </w:pPr>
    </w:p>
    <w:p>
      <w:pPr>
        <w:ind w:left="820" w:hanging="271"/>
        <w:spacing w:after="0"/>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commodity prices for insured crops;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34" w:name="page35"/>
    <w:bookmarkEnd w:id="3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left="820" w:hanging="271"/>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Impact of changes in laws, regulations or judicial decisions.</w:t>
      </w:r>
    </w:p>
    <w:p>
      <w:pPr>
        <w:spacing w:after="0" w:line="163" w:lineRule="exact"/>
        <w:rPr>
          <w:sz w:val="20"/>
          <w:szCs w:val="20"/>
          <w:color w:val="auto"/>
        </w:rPr>
      </w:pPr>
    </w:p>
    <w:p>
      <w:pPr>
        <w:ind w:right="300" w:firstLine="556"/>
        <w:spacing w:after="0" w:line="268" w:lineRule="auto"/>
        <w:rPr>
          <w:sz w:val="20"/>
          <w:szCs w:val="20"/>
          <w:color w:val="auto"/>
        </w:rPr>
      </w:pPr>
      <w:r>
        <w:rPr>
          <w:rFonts w:ascii="Arial" w:cs="Arial" w:eastAsia="Arial" w:hAnsi="Arial"/>
          <w:sz w:val="15"/>
          <w:szCs w:val="15"/>
          <w:color w:val="auto"/>
        </w:rPr>
        <w:t>The estimation process for determining the liability for unpaid losses and LAE inherently results in adjustments each quarter for claims incurred (but not paid) in preceding periods. Negative amounts reported for claims incurred related to prior periods are a result of claims being settled or resolved for amounts less than originally estimated (favorable development). Positive amounts reported for claims incurred related to prior periods are a result of claims being settled or resolved for amounts greater than originally estimated (adverse development).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Actuarial Loss Reserves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selection of the ultimate loss is based on information unique to each accident year and the judgment and expertise of NI Holdings’ actuary and management.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gridSpan w:val="2"/>
          </w:tcPr>
          <w:p>
            <w:pPr>
              <w:ind w:left="540"/>
              <w:spacing w:after="0"/>
              <w:rPr>
                <w:sz w:val="20"/>
                <w:szCs w:val="20"/>
                <w:color w:val="auto"/>
              </w:rPr>
            </w:pPr>
            <w:r>
              <w:rPr>
                <w:rFonts w:ascii="Arial" w:cs="Arial" w:eastAsia="Arial" w:hAnsi="Arial"/>
                <w:sz w:val="15"/>
                <w:szCs w:val="15"/>
                <w:color w:val="auto"/>
              </w:rPr>
              <w:t>The following table provides case and IBNR reserves for losses and LAE.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6280" w:type="dxa"/>
            <w:vAlign w:val="bottom"/>
            <w:gridSpan w:val="2"/>
          </w:tcPr>
          <w:p>
            <w:pPr>
              <w:spacing w:after="0"/>
              <w:rPr>
                <w:sz w:val="20"/>
                <w:szCs w:val="20"/>
                <w:color w:val="auto"/>
              </w:rPr>
            </w:pPr>
            <w:r>
              <w:rPr>
                <w:rFonts w:ascii="Arial" w:cs="Arial" w:eastAsia="Arial" w:hAnsi="Arial"/>
                <w:sz w:val="15"/>
                <w:szCs w:val="15"/>
                <w:b w:val="1"/>
                <w:bCs w:val="1"/>
                <w:color w:val="auto"/>
              </w:rPr>
              <w:t>September 30, 2017</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6"/>
              </w:rPr>
              <w:t>Case Reserves</w:t>
            </w:r>
          </w:p>
        </w:tc>
        <w:tc>
          <w:tcPr>
            <w:tcW w:w="12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w w:val="98"/>
              </w:rPr>
              <w:t>IBNR Reserves</w:t>
            </w:r>
          </w:p>
        </w:tc>
        <w:tc>
          <w:tcPr>
            <w:tcW w:w="24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128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and casualty</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47,563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280" w:type="dxa"/>
            <w:vAlign w:val="bottom"/>
            <w:gridSpan w:val="2"/>
          </w:tcPr>
          <w:p>
            <w:pPr>
              <w:spacing w:after="0"/>
              <w:rPr>
                <w:sz w:val="20"/>
                <w:szCs w:val="20"/>
                <w:color w:val="auto"/>
              </w:rPr>
            </w:pPr>
            <w:r>
              <w:rPr>
                <w:rFonts w:ascii="Arial" w:cs="Arial" w:eastAsia="Arial" w:hAnsi="Arial"/>
                <w:sz w:val="15"/>
                <w:szCs w:val="15"/>
                <w:color w:val="auto"/>
              </w:rPr>
              <w:t>Crop</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28,955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28,955</w:t>
            </w:r>
          </w:p>
        </w:tc>
        <w:tc>
          <w:tcPr>
            <w:tcW w:w="0" w:type="dxa"/>
            <w:vAlign w:val="bottom"/>
          </w:tcPr>
          <w:p>
            <w:pPr>
              <w:spacing w:after="0"/>
              <w:rPr>
                <w:sz w:val="1"/>
                <w:szCs w:val="1"/>
                <w:color w:val="auto"/>
              </w:rPr>
            </w:pPr>
          </w:p>
        </w:tc>
      </w:tr>
      <w:tr>
        <w:trPr>
          <w:trHeight w:val="177"/>
        </w:trPr>
        <w:tc>
          <w:tcPr>
            <w:tcW w:w="62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Net unpaid losses and LAE</w:t>
            </w: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76,518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76,747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80" w:type="dxa"/>
            <w:vAlign w:val="bottom"/>
            <w:gridSpan w:val="2"/>
          </w:tcPr>
          <w:p>
            <w:pPr>
              <w:spacing w:after="0"/>
              <w:rPr>
                <w:sz w:val="20"/>
                <w:szCs w:val="20"/>
                <w:color w:val="auto"/>
              </w:rPr>
            </w:pPr>
            <w:r>
              <w:rPr>
                <w:rFonts w:ascii="Arial" w:cs="Arial" w:eastAsia="Arial" w:hAnsi="Arial"/>
                <w:sz w:val="15"/>
                <w:szCs w:val="15"/>
                <w:color w:val="auto"/>
              </w:rPr>
              <w:t>Reinsurance recoverables on losses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8,149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531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8,680</w:t>
            </w:r>
          </w:p>
        </w:tc>
        <w:tc>
          <w:tcPr>
            <w:tcW w:w="0" w:type="dxa"/>
            <w:vAlign w:val="bottom"/>
          </w:tcPr>
          <w:p>
            <w:pPr>
              <w:spacing w:after="0"/>
              <w:rPr>
                <w:sz w:val="1"/>
                <w:szCs w:val="1"/>
                <w:color w:val="auto"/>
              </w:rPr>
            </w:pPr>
          </w:p>
        </w:tc>
      </w:tr>
      <w:tr>
        <w:trPr>
          <w:trHeight w:val="20"/>
        </w:trPr>
        <w:tc>
          <w:tcPr>
            <w:tcW w:w="62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rPr>
              <w:t>Liability for unpaid losses and LAE</w:t>
            </w: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80" w:type="dxa"/>
            <w:vAlign w:val="bottom"/>
            <w:gridSpan w:val="2"/>
            <w:vMerge w:val="continue"/>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84,667</w:t>
            </w:r>
          </w:p>
        </w:tc>
        <w:tc>
          <w:tcPr>
            <w:tcW w:w="620" w:type="dxa"/>
            <w:vAlign w:val="bottom"/>
            <w:gridSpan w:val="2"/>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85,427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December 31, 2016</w:t>
            </w: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6"/>
              </w:rPr>
              <w:t>Case Reserves</w:t>
            </w:r>
          </w:p>
        </w:tc>
        <w:tc>
          <w:tcPr>
            <w:tcW w:w="120" w:type="dxa"/>
            <w:vAlign w:val="bottom"/>
          </w:tcPr>
          <w:p>
            <w:pPr>
              <w:spacing w:after="0"/>
              <w:rPr>
                <w:sz w:val="14"/>
                <w:szCs w:val="1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w w:val="98"/>
              </w:rPr>
              <w:t>IBNR Reserves</w:t>
            </w:r>
          </w:p>
        </w:tc>
        <w:tc>
          <w:tcPr>
            <w:tcW w:w="2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and casualty</w:t>
            </w:r>
          </w:p>
        </w:tc>
        <w:tc>
          <w:tcPr>
            <w:tcW w:w="2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10,359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880" w:type="dxa"/>
            <w:vAlign w:val="bottom"/>
            <w:gridSpan w:val="2"/>
          </w:tcPr>
          <w:p>
            <w:pPr>
              <w:spacing w:after="0"/>
              <w:rPr>
                <w:sz w:val="20"/>
                <w:szCs w:val="20"/>
                <w:color w:val="auto"/>
              </w:rPr>
            </w:pPr>
            <w:r>
              <w:rPr>
                <w:rFonts w:ascii="Arial" w:cs="Arial" w:eastAsia="Arial" w:hAnsi="Arial"/>
                <w:sz w:val="15"/>
                <w:szCs w:val="15"/>
                <w:color w:val="auto"/>
              </w:rPr>
              <w:t>Crop</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4,266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4,266</w:t>
            </w:r>
          </w:p>
        </w:tc>
        <w:tc>
          <w:tcPr>
            <w:tcW w:w="0" w:type="dxa"/>
            <w:vAlign w:val="bottom"/>
          </w:tcPr>
          <w:p>
            <w:pPr>
              <w:spacing w:after="0"/>
              <w:rPr>
                <w:sz w:val="1"/>
                <w:szCs w:val="1"/>
                <w:color w:val="auto"/>
              </w:rPr>
            </w:pPr>
          </w:p>
        </w:tc>
      </w:tr>
      <w:tr>
        <w:trPr>
          <w:trHeight w:val="177"/>
        </w:trPr>
        <w:tc>
          <w:tcPr>
            <w:tcW w:w="48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Net unpaid losses and LAE</w:t>
            </w:r>
          </w:p>
        </w:tc>
        <w:tc>
          <w:tcPr>
            <w:tcW w:w="2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10,359</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52,440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80" w:type="dxa"/>
            <w:vAlign w:val="bottom"/>
            <w:gridSpan w:val="2"/>
          </w:tcPr>
          <w:p>
            <w:pPr>
              <w:spacing w:after="0"/>
              <w:rPr>
                <w:sz w:val="20"/>
                <w:szCs w:val="20"/>
                <w:color w:val="auto"/>
              </w:rPr>
            </w:pPr>
            <w:r>
              <w:rPr>
                <w:rFonts w:ascii="Arial" w:cs="Arial" w:eastAsia="Arial" w:hAnsi="Arial"/>
                <w:sz w:val="15"/>
                <w:szCs w:val="15"/>
                <w:color w:val="auto"/>
              </w:rPr>
              <w:t>Reinsurance recoverables on losses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6,286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906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7,192</w:t>
            </w: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rPr>
              <w:t>Liability for unpaid losses and LAE</w:t>
            </w:r>
          </w:p>
        </w:tc>
        <w:tc>
          <w:tcPr>
            <w:tcW w:w="2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80" w:type="dxa"/>
            <w:vAlign w:val="bottom"/>
            <w:gridSpan w:val="2"/>
            <w:vMerge w:val="continue"/>
            <w:shd w:val="clear" w:color="auto" w:fill="CCEEFF"/>
          </w:tcPr>
          <w:p>
            <w:pPr>
              <w:spacing w:after="0"/>
              <w:rPr>
                <w:sz w:val="16"/>
                <w:szCs w:val="16"/>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48,367</w:t>
            </w:r>
          </w:p>
        </w:tc>
        <w:tc>
          <w:tcPr>
            <w:tcW w:w="520" w:type="dxa"/>
            <w:vAlign w:val="bottom"/>
            <w:gridSpan w:val="2"/>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11,265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59,632</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556"/>
        <w:spacing w:after="0" w:line="273" w:lineRule="auto"/>
        <w:rPr>
          <w:sz w:val="20"/>
          <w:szCs w:val="20"/>
          <w:color w:val="auto"/>
        </w:rPr>
      </w:pPr>
      <w:r>
        <w:rPr>
          <w:rFonts w:ascii="Arial" w:cs="Arial" w:eastAsia="Arial" w:hAnsi="Arial"/>
          <w:sz w:val="15"/>
          <w:szCs w:val="15"/>
          <w:color w:val="auto"/>
        </w:rPr>
        <w:t>As discussed earlier, the estimation of NI Holdings’ reserves is based on several actuarial methods, each of which incorporates many quantitative assumptions. The judgment of the actuary plays an important role in selecting among various loss development factors and selecting the appropriate method, or combination of methods, to use for a given accident year.</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Liabilities for Unpaid Losses and Loss Adjustment Expenses</w:t>
      </w:r>
    </w:p>
    <w:p>
      <w:pPr>
        <w:spacing w:after="0" w:line="163" w:lineRule="exact"/>
        <w:rPr>
          <w:sz w:val="20"/>
          <w:szCs w:val="20"/>
          <w:color w:val="auto"/>
        </w:rPr>
      </w:pPr>
    </w:p>
    <w:p>
      <w:pPr>
        <w:ind w:firstLine="556"/>
        <w:spacing w:after="0" w:line="289" w:lineRule="auto"/>
        <w:rPr>
          <w:sz w:val="20"/>
          <w:szCs w:val="20"/>
          <w:color w:val="auto"/>
        </w:rPr>
      </w:pPr>
      <w:r>
        <w:rPr>
          <w:rFonts w:ascii="Arial" w:cs="Arial" w:eastAsia="Arial" w:hAnsi="Arial"/>
          <w:sz w:val="15"/>
          <w:szCs w:val="15"/>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Total Reserves</w:t>
      </w:r>
    </w:p>
    <w:p>
      <w:pPr>
        <w:spacing w:after="0" w:line="163" w:lineRule="exact"/>
        <w:rPr>
          <w:sz w:val="20"/>
          <w:szCs w:val="20"/>
          <w:color w:val="auto"/>
        </w:rPr>
      </w:pPr>
    </w:p>
    <w:p>
      <w:pPr>
        <w:ind w:right="120" w:firstLine="556"/>
        <w:spacing w:after="0" w:line="289" w:lineRule="auto"/>
        <w:rPr>
          <w:sz w:val="20"/>
          <w:szCs w:val="20"/>
          <w:color w:val="auto"/>
        </w:rPr>
      </w:pPr>
      <w:r>
        <w:rPr>
          <w:rFonts w:ascii="Arial" w:cs="Arial" w:eastAsia="Arial" w:hAnsi="Arial"/>
          <w:sz w:val="15"/>
          <w:szCs w:val="15"/>
          <w:color w:val="auto"/>
        </w:rPr>
        <w:t>As of September 30, 2017, the impact of a 1% change in our estimate for unpaid losses and LAE, net of reinsurance recoverables, on our net income after income taxes would be approximately $499.</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Inflation</w:t>
      </w:r>
    </w:p>
    <w:p>
      <w:pPr>
        <w:spacing w:after="0" w:line="175" w:lineRule="exact"/>
        <w:rPr>
          <w:sz w:val="20"/>
          <w:szCs w:val="20"/>
          <w:color w:val="auto"/>
        </w:rPr>
      </w:pPr>
    </w:p>
    <w:p>
      <w:pPr>
        <w:ind w:right="40" w:firstLine="556"/>
        <w:spacing w:after="0" w:line="265" w:lineRule="auto"/>
        <w:rPr>
          <w:sz w:val="20"/>
          <w:szCs w:val="20"/>
          <w:color w:val="auto"/>
        </w:rPr>
      </w:pPr>
      <w:r>
        <w:rPr>
          <w:rFonts w:ascii="Arial" w:cs="Arial" w:eastAsia="Arial" w:hAnsi="Arial"/>
          <w:sz w:val="15"/>
          <w:szCs w:val="15"/>
          <w:color w:val="auto"/>
        </w:rPr>
        <w:t>Inflation is not explicitly selected in the loss reserve analysis. However, historical inflation is embedded in the estimated loss development factors. The following table displays the impact on net income after income taxes resulting from various changes from the inflation factor implicitly embedded in the estimated payment pattern as of December 31, 2016, which is deemed consistent with September 30, 2017.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30" w:lineRule="exact"/>
        <w:rPr>
          <w:sz w:val="20"/>
          <w:szCs w:val="20"/>
          <w:color w:val="auto"/>
        </w:rPr>
      </w:pPr>
    </w:p>
    <w:tbl>
      <w:tblPr>
        <w:tblLayout w:type="fixed"/>
        <w:tblInd w:w="2860" w:type="dxa"/>
        <w:tblCellMar>
          <w:top w:w="0" w:type="dxa"/>
          <w:left w:w="0" w:type="dxa"/>
          <w:bottom w:w="0" w:type="dxa"/>
          <w:right w:w="0" w:type="dxa"/>
        </w:tblCellMar>
      </w:tblPr>
      <w:tr>
        <w:trPr>
          <w:trHeight w:val="202"/>
        </w:trPr>
        <w:tc>
          <w:tcPr>
            <w:tcW w:w="2880" w:type="dxa"/>
            <w:vAlign w:val="bottom"/>
            <w:gridSpan w:val="2"/>
          </w:tcPr>
          <w:p>
            <w:pPr>
              <w:ind w:left="760"/>
              <w:spacing w:after="0"/>
              <w:rPr>
                <w:sz w:val="20"/>
                <w:szCs w:val="20"/>
                <w:color w:val="auto"/>
              </w:rPr>
            </w:pPr>
            <w:r>
              <w:rPr>
                <w:rFonts w:ascii="Arial" w:cs="Arial" w:eastAsia="Arial" w:hAnsi="Arial"/>
                <w:sz w:val="15"/>
                <w:szCs w:val="15"/>
                <w:b w:val="1"/>
                <w:bCs w:val="1"/>
                <w:color w:val="auto"/>
              </w:rPr>
              <w:t>Change in Inflation</w:t>
            </w:r>
          </w:p>
        </w:tc>
        <w:tc>
          <w:tcPr>
            <w:tcW w:w="24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Arial" w:cs="Arial" w:eastAsia="Arial" w:hAnsi="Arial"/>
                <w:sz w:val="15"/>
                <w:szCs w:val="15"/>
                <w:b w:val="1"/>
                <w:bCs w:val="1"/>
                <w:color w:val="auto"/>
              </w:rPr>
              <w:t>Impact on After Tax Earnings</w:t>
            </w:r>
          </w:p>
        </w:tc>
      </w:tr>
      <w:tr>
        <w:trPr>
          <w:trHeight w:val="177"/>
        </w:trPr>
        <w:tc>
          <w:tcPr>
            <w:tcW w:w="2800" w:type="dxa"/>
            <w:vAlign w:val="bottom"/>
            <w:tcBorders>
              <w:top w:val="single" w:sz="8" w:color="auto"/>
            </w:tcBorders>
            <w:shd w:val="clear" w:color="auto" w:fill="CCEEFF"/>
          </w:tcPr>
          <w:p>
            <w:pPr>
              <w:jc w:val="right"/>
              <w:ind w:right="1203"/>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60" w:type="dxa"/>
            <w:vAlign w:val="bottom"/>
            <w:tcBorders>
              <w:top w:val="single" w:sz="8" w:color="CCEEFF"/>
            </w:tcBorders>
            <w:shd w:val="clear" w:color="auto" w:fill="CCEEFF"/>
          </w:tcPr>
          <w:p>
            <w:pPr>
              <w:spacing w:after="0"/>
              <w:rPr>
                <w:sz w:val="15"/>
                <w:szCs w:val="15"/>
                <w:color w:val="auto"/>
              </w:rPr>
            </w:pPr>
          </w:p>
        </w:tc>
      </w:tr>
      <w:tr>
        <w:trPr>
          <w:trHeight w:val="185"/>
        </w:trPr>
        <w:tc>
          <w:tcPr>
            <w:tcW w:w="2800" w:type="dxa"/>
            <w:vAlign w:val="bottom"/>
          </w:tcPr>
          <w:p>
            <w:pPr>
              <w:jc w:val="right"/>
              <w:ind w:right="120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60"/>
              <w:spacing w:after="0"/>
              <w:rPr>
                <w:sz w:val="20"/>
                <w:szCs w:val="20"/>
                <w:color w:val="auto"/>
              </w:rPr>
            </w:pPr>
            <w:r>
              <w:rPr>
                <w:rFonts w:ascii="Arial" w:cs="Arial" w:eastAsia="Arial" w:hAnsi="Arial"/>
                <w:sz w:val="15"/>
                <w:szCs w:val="15"/>
                <w:color w:val="auto"/>
              </w:rPr>
              <w:t>389</w:t>
            </w:r>
          </w:p>
        </w:tc>
      </w:tr>
      <w:tr>
        <w:trPr>
          <w:trHeight w:val="185"/>
        </w:trPr>
        <w:tc>
          <w:tcPr>
            <w:tcW w:w="2800" w:type="dxa"/>
            <w:vAlign w:val="bottom"/>
            <w:shd w:val="clear" w:color="auto" w:fill="CCEEFF"/>
          </w:tcPr>
          <w:p>
            <w:pPr>
              <w:jc w:val="right"/>
              <w:ind w:right="1203"/>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1,181</w:t>
            </w:r>
          </w:p>
        </w:tc>
      </w:tr>
      <w:tr>
        <w:trPr>
          <w:trHeight w:val="196"/>
        </w:trPr>
        <w:tc>
          <w:tcPr>
            <w:tcW w:w="2800" w:type="dxa"/>
            <w:vAlign w:val="bottom"/>
          </w:tcPr>
          <w:p>
            <w:pPr>
              <w:jc w:val="right"/>
              <w:ind w:right="1203"/>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60"/>
              <w:spacing w:after="0"/>
              <w:rPr>
                <w:sz w:val="20"/>
                <w:szCs w:val="20"/>
                <w:color w:val="auto"/>
              </w:rPr>
            </w:pPr>
            <w:r>
              <w:rPr>
                <w:rFonts w:ascii="Arial" w:cs="Arial" w:eastAsia="Arial" w:hAnsi="Arial"/>
                <w:sz w:val="15"/>
                <w:szCs w:val="15"/>
                <w:color w:val="auto"/>
              </w:rPr>
              <w:t>1,993</w:t>
            </w:r>
          </w:p>
        </w:tc>
      </w:tr>
    </w:tbl>
    <w:p>
      <w:pPr>
        <w:spacing w:after="0" w:line="315" w:lineRule="exact"/>
        <w:rPr>
          <w:sz w:val="20"/>
          <w:szCs w:val="20"/>
          <w:color w:val="auto"/>
        </w:rPr>
      </w:pPr>
    </w:p>
    <w:p>
      <w:pPr>
        <w:ind w:right="340" w:firstLine="556"/>
        <w:spacing w:after="0" w:line="289" w:lineRule="auto"/>
        <w:rPr>
          <w:sz w:val="20"/>
          <w:szCs w:val="20"/>
          <w:color w:val="auto"/>
        </w:rPr>
      </w:pPr>
      <w:r>
        <w:rPr>
          <w:rFonts w:ascii="Arial" w:cs="Arial" w:eastAsia="Arial" w:hAnsi="Arial"/>
          <w:sz w:val="15"/>
          <w:szCs w:val="15"/>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35" w:name="page36"/>
    <w:bookmarkEnd w:id="3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Case Reserves</w:t>
      </w:r>
    </w:p>
    <w:p>
      <w:pPr>
        <w:spacing w:after="0" w:line="163" w:lineRule="exact"/>
        <w:rPr>
          <w:sz w:val="20"/>
          <w:szCs w:val="20"/>
          <w:color w:val="auto"/>
        </w:rPr>
      </w:pPr>
    </w:p>
    <w:p>
      <w:pPr>
        <w:ind w:right="20" w:firstLine="556"/>
        <w:spacing w:after="0" w:line="265" w:lineRule="auto"/>
        <w:rPr>
          <w:sz w:val="20"/>
          <w:szCs w:val="20"/>
          <w:color w:val="auto"/>
        </w:rPr>
      </w:pPr>
      <w:r>
        <w:rPr>
          <w:rFonts w:ascii="Arial" w:cs="Arial" w:eastAsia="Arial" w:hAnsi="Arial"/>
          <w:sz w:val="15"/>
          <w:szCs w:val="15"/>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tax that results from various changes from the historical inflation factor that is implicitly embedded in the estimated payment pattern to develop the reserves as of December 31, 2016, which is deemed consistent with September 30, 2017. This variance in future IBNR emergence could occur in one year or over multiple years, depending when the change is recognized.</w:t>
      </w:r>
    </w:p>
    <w:p>
      <w:pPr>
        <w:spacing w:after="0" w:line="142" w:lineRule="exact"/>
        <w:rPr>
          <w:sz w:val="20"/>
          <w:szCs w:val="20"/>
          <w:color w:val="auto"/>
        </w:rPr>
      </w:pPr>
    </w:p>
    <w:tbl>
      <w:tblPr>
        <w:tblLayout w:type="fixed"/>
        <w:tblInd w:w="2860" w:type="dxa"/>
        <w:tblCellMar>
          <w:top w:w="0" w:type="dxa"/>
          <w:left w:w="0" w:type="dxa"/>
          <w:bottom w:w="0" w:type="dxa"/>
          <w:right w:w="0" w:type="dxa"/>
        </w:tblCellMar>
      </w:tblPr>
      <w:tr>
        <w:trPr>
          <w:trHeight w:val="202"/>
        </w:trPr>
        <w:tc>
          <w:tcPr>
            <w:tcW w:w="2880" w:type="dxa"/>
            <w:vAlign w:val="bottom"/>
            <w:gridSpan w:val="2"/>
          </w:tcPr>
          <w:p>
            <w:pPr>
              <w:ind w:left="560"/>
              <w:spacing w:after="0"/>
              <w:rPr>
                <w:sz w:val="20"/>
                <w:szCs w:val="20"/>
                <w:color w:val="auto"/>
              </w:rPr>
            </w:pPr>
            <w:r>
              <w:rPr>
                <w:rFonts w:ascii="Arial" w:cs="Arial" w:eastAsia="Arial" w:hAnsi="Arial"/>
                <w:sz w:val="15"/>
                <w:szCs w:val="15"/>
                <w:b w:val="1"/>
                <w:bCs w:val="1"/>
                <w:color w:val="auto"/>
              </w:rPr>
              <w:t>Change in Case Reserves</w:t>
            </w:r>
          </w:p>
        </w:tc>
        <w:tc>
          <w:tcPr>
            <w:tcW w:w="240" w:type="dxa"/>
            <w:vAlign w:val="bottom"/>
          </w:tcPr>
          <w:p>
            <w:pPr>
              <w:spacing w:after="0"/>
              <w:rPr>
                <w:sz w:val="17"/>
                <w:szCs w:val="17"/>
                <w:color w:val="auto"/>
              </w:rPr>
            </w:pPr>
          </w:p>
        </w:tc>
        <w:tc>
          <w:tcPr>
            <w:tcW w:w="26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Impact on After Tax Earnings</w:t>
            </w:r>
          </w:p>
        </w:tc>
      </w:tr>
      <w:tr>
        <w:trPr>
          <w:trHeight w:val="177"/>
        </w:trPr>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-10%</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(3,210)</w:t>
            </w:r>
          </w:p>
        </w:tc>
        <w:tc>
          <w:tcPr>
            <w:tcW w:w="60" w:type="dxa"/>
            <w:vAlign w:val="bottom"/>
            <w:tcBorders>
              <w:top w:val="single" w:sz="8" w:color="CCEEFF"/>
            </w:tcBorders>
            <w:shd w:val="clear" w:color="auto" w:fill="CCEEFF"/>
          </w:tcPr>
          <w:p>
            <w:pPr>
              <w:spacing w:after="0"/>
              <w:rPr>
                <w:sz w:val="15"/>
                <w:szCs w:val="15"/>
                <w:color w:val="auto"/>
              </w:rPr>
            </w:pPr>
          </w:p>
        </w:tc>
      </w:tr>
      <w:tr>
        <w:trPr>
          <w:trHeight w:val="185"/>
        </w:trPr>
        <w:tc>
          <w:tcPr>
            <w:tcW w:w="2800" w:type="dxa"/>
            <w:vAlign w:val="bottom"/>
          </w:tcPr>
          <w:p>
            <w:pPr>
              <w:jc w:val="center"/>
              <w:spacing w:after="0"/>
              <w:rPr>
                <w:sz w:val="20"/>
                <w:szCs w:val="20"/>
                <w:color w:val="auto"/>
              </w:rPr>
            </w:pPr>
            <w:r>
              <w:rPr>
                <w:rFonts w:ascii="Arial" w:cs="Arial" w:eastAsia="Arial" w:hAnsi="Arial"/>
                <w:sz w:val="15"/>
                <w:szCs w:val="15"/>
                <w:color w:val="auto"/>
                <w:w w:val="97"/>
              </w:rPr>
              <w:t>-5%</w:t>
            </w:r>
          </w:p>
        </w:tc>
        <w:tc>
          <w:tcPr>
            <w:tcW w:w="8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20"/>
              <w:spacing w:after="0"/>
              <w:rPr>
                <w:sz w:val="20"/>
                <w:szCs w:val="20"/>
                <w:color w:val="auto"/>
              </w:rPr>
            </w:pPr>
            <w:r>
              <w:rPr>
                <w:rFonts w:ascii="Arial" w:cs="Arial" w:eastAsia="Arial" w:hAnsi="Arial"/>
                <w:sz w:val="15"/>
                <w:szCs w:val="15"/>
                <w:color w:val="auto"/>
              </w:rPr>
              <w:t>(1,605)</w:t>
            </w:r>
          </w:p>
        </w:tc>
      </w:tr>
      <w:tr>
        <w:trPr>
          <w:trHeight w:val="185"/>
        </w:trPr>
        <w:tc>
          <w:tcPr>
            <w:tcW w:w="28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(642)</w:t>
            </w:r>
          </w:p>
        </w:tc>
      </w:tr>
      <w:tr>
        <w:trPr>
          <w:trHeight w:val="185"/>
        </w:trPr>
        <w:tc>
          <w:tcPr>
            <w:tcW w:w="2800" w:type="dxa"/>
            <w:vAlign w:val="bottom"/>
          </w:tcPr>
          <w:p>
            <w:pPr>
              <w:jc w:val="center"/>
              <w:spacing w:after="0"/>
              <w:rPr>
                <w:sz w:val="20"/>
                <w:szCs w:val="20"/>
                <w:color w:val="auto"/>
              </w:rPr>
            </w:pPr>
            <w:r>
              <w:rPr>
                <w:rFonts w:ascii="Arial" w:cs="Arial" w:eastAsia="Arial" w:hAnsi="Arial"/>
                <w:sz w:val="15"/>
                <w:szCs w:val="15"/>
                <w:color w:val="auto"/>
                <w:w w:val="98"/>
              </w:rPr>
              <w:t>+2%</w:t>
            </w:r>
          </w:p>
        </w:tc>
        <w:tc>
          <w:tcPr>
            <w:tcW w:w="8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60"/>
              <w:spacing w:after="0"/>
              <w:rPr>
                <w:sz w:val="20"/>
                <w:szCs w:val="20"/>
                <w:color w:val="auto"/>
              </w:rPr>
            </w:pPr>
            <w:r>
              <w:rPr>
                <w:rFonts w:ascii="Arial" w:cs="Arial" w:eastAsia="Arial" w:hAnsi="Arial"/>
                <w:sz w:val="15"/>
                <w:szCs w:val="15"/>
                <w:color w:val="auto"/>
              </w:rPr>
              <w:t>642</w:t>
            </w:r>
          </w:p>
        </w:tc>
      </w:tr>
      <w:tr>
        <w:trPr>
          <w:trHeight w:val="185"/>
        </w:trPr>
        <w:tc>
          <w:tcPr>
            <w:tcW w:w="28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1,605</w:t>
            </w:r>
          </w:p>
        </w:tc>
      </w:tr>
      <w:tr>
        <w:trPr>
          <w:trHeight w:val="196"/>
        </w:trPr>
        <w:tc>
          <w:tcPr>
            <w:tcW w:w="2800" w:type="dxa"/>
            <w:vAlign w:val="bottom"/>
          </w:tcPr>
          <w:p>
            <w:pPr>
              <w:jc w:val="center"/>
              <w:spacing w:after="0"/>
              <w:rPr>
                <w:sz w:val="20"/>
                <w:szCs w:val="20"/>
                <w:color w:val="auto"/>
              </w:rPr>
            </w:pPr>
            <w:r>
              <w:rPr>
                <w:rFonts w:ascii="Arial" w:cs="Arial" w:eastAsia="Arial" w:hAnsi="Arial"/>
                <w:sz w:val="15"/>
                <w:szCs w:val="15"/>
                <w:color w:val="auto"/>
                <w:w w:val="92"/>
              </w:rPr>
              <w:t>+10%</w:t>
            </w:r>
          </w:p>
        </w:tc>
        <w:tc>
          <w:tcPr>
            <w:tcW w:w="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60"/>
              <w:spacing w:after="0"/>
              <w:rPr>
                <w:sz w:val="20"/>
                <w:szCs w:val="20"/>
                <w:color w:val="auto"/>
              </w:rPr>
            </w:pPr>
            <w:r>
              <w:rPr>
                <w:rFonts w:ascii="Arial" w:cs="Arial" w:eastAsia="Arial" w:hAnsi="Arial"/>
                <w:sz w:val="15"/>
                <w:szCs w:val="15"/>
                <w:color w:val="auto"/>
              </w:rPr>
              <w:t>3,210</w:t>
            </w:r>
          </w:p>
        </w:tc>
      </w:tr>
    </w:tbl>
    <w:p>
      <w:pPr>
        <w:spacing w:after="0" w:line="315"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Unallocated Loss Adjustment Expenses (All Other Loss Adjustment Expenses)</w:t>
      </w:r>
    </w:p>
    <w:p>
      <w:pPr>
        <w:spacing w:after="0" w:line="163" w:lineRule="exact"/>
        <w:rPr>
          <w:sz w:val="20"/>
          <w:szCs w:val="20"/>
          <w:color w:val="auto"/>
        </w:rPr>
      </w:pPr>
    </w:p>
    <w:p>
      <w:pPr>
        <w:ind w:right="80" w:firstLine="556"/>
        <w:spacing w:after="0" w:line="268" w:lineRule="auto"/>
        <w:rPr>
          <w:sz w:val="20"/>
          <w:szCs w:val="20"/>
          <w:color w:val="auto"/>
        </w:rPr>
      </w:pPr>
      <w:r>
        <w:rPr>
          <w:rFonts w:ascii="Arial" w:cs="Arial" w:eastAsia="Arial" w:hAnsi="Arial"/>
          <w:sz w:val="15"/>
          <w:szCs w:val="15"/>
          <w:color w:val="auto"/>
        </w:rPr>
        <w:t>In addition to establishing loss reserves, as described above, we establish reserves for unallocated loss adjustment expenses (“ULAE”). Historical patterns of paid ULAE relative to paid loss are analyzed. The result of this analysis is an estimate of the relationship or ratio, between ULAE and losses paid. This ratio is used to estimate the required ULAE reserve. Consequently, this component of the loss expense reserve has a proportional relationship to the overall loss reserves excluding loss adjustment expense. This method assumes that the underlying claims process and mix of business do not change materially from period to period.</w:t>
      </w:r>
    </w:p>
    <w:p>
      <w:pPr>
        <w:spacing w:after="0" w:line="133" w:lineRule="exact"/>
        <w:rPr>
          <w:sz w:val="20"/>
          <w:szCs w:val="20"/>
          <w:color w:val="auto"/>
        </w:rPr>
      </w:pPr>
    </w:p>
    <w:p>
      <w:pPr>
        <w:jc w:val="both"/>
        <w:ind w:right="420" w:firstLine="556"/>
        <w:spacing w:after="0" w:line="371" w:lineRule="auto"/>
        <w:rPr>
          <w:sz w:val="20"/>
          <w:szCs w:val="20"/>
          <w:color w:val="auto"/>
        </w:rPr>
      </w:pPr>
      <w:r>
        <w:rPr>
          <w:rFonts w:ascii="Arial" w:cs="Arial" w:eastAsia="Arial" w:hAnsi="Arial"/>
          <w:sz w:val="13"/>
          <w:szCs w:val="13"/>
          <w:color w:val="auto"/>
        </w:rPr>
        <w:t>The following table displays the impact on net income after tax that various changes in this factor would have on the ULAE reserves as of December 31, 2016, which is deemed consistent with September 30, 2017. This variance in future reserve emergence could occur in one year or over multiple years, depending when the change is recognized.</w:t>
      </w:r>
    </w:p>
    <w:p>
      <w:pPr>
        <w:spacing w:after="0" w:line="65" w:lineRule="exact"/>
        <w:rPr>
          <w:sz w:val="20"/>
          <w:szCs w:val="20"/>
          <w:color w:val="auto"/>
        </w:rPr>
      </w:pPr>
    </w:p>
    <w:tbl>
      <w:tblPr>
        <w:tblLayout w:type="fixed"/>
        <w:tblInd w:w="2860" w:type="dxa"/>
        <w:tblCellMar>
          <w:top w:w="0" w:type="dxa"/>
          <w:left w:w="0" w:type="dxa"/>
          <w:bottom w:w="0" w:type="dxa"/>
          <w:right w:w="0" w:type="dxa"/>
        </w:tblCellMar>
      </w:tblPr>
      <w:tr>
        <w:trPr>
          <w:trHeight w:val="202"/>
        </w:trPr>
        <w:tc>
          <w:tcPr>
            <w:tcW w:w="2880" w:type="dxa"/>
            <w:vAlign w:val="bottom"/>
            <w:gridSpan w:val="2"/>
          </w:tcPr>
          <w:p>
            <w:pPr>
              <w:ind w:left="200"/>
              <w:spacing w:after="0"/>
              <w:rPr>
                <w:sz w:val="20"/>
                <w:szCs w:val="20"/>
                <w:color w:val="auto"/>
              </w:rPr>
            </w:pPr>
            <w:r>
              <w:rPr>
                <w:rFonts w:ascii="Arial" w:cs="Arial" w:eastAsia="Arial" w:hAnsi="Arial"/>
                <w:sz w:val="15"/>
                <w:szCs w:val="15"/>
                <w:b w:val="1"/>
                <w:bCs w:val="1"/>
                <w:color w:val="auto"/>
              </w:rPr>
              <w:t>Percentage Change in ULAE Factor</w:t>
            </w:r>
          </w:p>
        </w:tc>
        <w:tc>
          <w:tcPr>
            <w:tcW w:w="240" w:type="dxa"/>
            <w:vAlign w:val="bottom"/>
          </w:tcPr>
          <w:p>
            <w:pPr>
              <w:spacing w:after="0"/>
              <w:rPr>
                <w:sz w:val="17"/>
                <w:szCs w:val="17"/>
                <w:color w:val="auto"/>
              </w:rPr>
            </w:pPr>
          </w:p>
        </w:tc>
        <w:tc>
          <w:tcPr>
            <w:tcW w:w="26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Impact on After Tax Earnings</w:t>
            </w:r>
          </w:p>
        </w:tc>
      </w:tr>
      <w:tr>
        <w:trPr>
          <w:trHeight w:val="177"/>
        </w:trPr>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7"/>
              </w:rPr>
              <w:t>-2%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60" w:type="dxa"/>
            <w:vAlign w:val="bottom"/>
            <w:tcBorders>
              <w:top w:val="single" w:sz="8" w:color="CCEEFF"/>
            </w:tcBorders>
            <w:shd w:val="clear" w:color="auto" w:fill="CCEEFF"/>
          </w:tcPr>
          <w:p>
            <w:pPr>
              <w:spacing w:after="0"/>
              <w:rPr>
                <w:sz w:val="15"/>
                <w:szCs w:val="15"/>
                <w:color w:val="auto"/>
              </w:rPr>
            </w:pPr>
          </w:p>
        </w:tc>
      </w:tr>
      <w:tr>
        <w:trPr>
          <w:trHeight w:val="185"/>
        </w:trPr>
        <w:tc>
          <w:tcPr>
            <w:tcW w:w="2800" w:type="dxa"/>
            <w:vAlign w:val="bottom"/>
          </w:tcPr>
          <w:p>
            <w:pPr>
              <w:jc w:val="center"/>
              <w:spacing w:after="0"/>
              <w:rPr>
                <w:sz w:val="20"/>
                <w:szCs w:val="20"/>
                <w:color w:val="auto"/>
              </w:rPr>
            </w:pPr>
            <w:r>
              <w:rPr>
                <w:rFonts w:ascii="Arial" w:cs="Arial" w:eastAsia="Arial" w:hAnsi="Arial"/>
                <w:sz w:val="15"/>
                <w:szCs w:val="15"/>
                <w:color w:val="auto"/>
                <w:w w:val="97"/>
              </w:rPr>
              <w:t>-1%</w:t>
            </w:r>
          </w:p>
        </w:tc>
        <w:tc>
          <w:tcPr>
            <w:tcW w:w="8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20"/>
              <w:spacing w:after="0"/>
              <w:rPr>
                <w:sz w:val="20"/>
                <w:szCs w:val="20"/>
                <w:color w:val="auto"/>
              </w:rPr>
            </w:pPr>
            <w:r>
              <w:rPr>
                <w:rFonts w:ascii="Arial" w:cs="Arial" w:eastAsia="Arial" w:hAnsi="Arial"/>
                <w:sz w:val="15"/>
                <w:szCs w:val="15"/>
                <w:color w:val="auto"/>
              </w:rPr>
              <w:t>(161)</w:t>
            </w:r>
          </w:p>
        </w:tc>
      </w:tr>
      <w:tr>
        <w:trPr>
          <w:trHeight w:val="185"/>
        </w:trPr>
        <w:tc>
          <w:tcPr>
            <w:tcW w:w="28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161</w:t>
            </w:r>
          </w:p>
        </w:tc>
      </w:tr>
      <w:tr>
        <w:trPr>
          <w:trHeight w:val="196"/>
        </w:trPr>
        <w:tc>
          <w:tcPr>
            <w:tcW w:w="2800" w:type="dxa"/>
            <w:vAlign w:val="bottom"/>
          </w:tcPr>
          <w:p>
            <w:pPr>
              <w:jc w:val="center"/>
              <w:spacing w:after="0"/>
              <w:rPr>
                <w:sz w:val="20"/>
                <w:szCs w:val="20"/>
                <w:color w:val="auto"/>
              </w:rPr>
            </w:pPr>
            <w:r>
              <w:rPr>
                <w:rFonts w:ascii="Arial" w:cs="Arial" w:eastAsia="Arial" w:hAnsi="Arial"/>
                <w:sz w:val="15"/>
                <w:szCs w:val="15"/>
                <w:color w:val="auto"/>
                <w:w w:val="92"/>
              </w:rPr>
              <w:t>2%</w:t>
            </w:r>
          </w:p>
        </w:tc>
        <w:tc>
          <w:tcPr>
            <w:tcW w:w="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60"/>
              <w:spacing w:after="0"/>
              <w:rPr>
                <w:sz w:val="20"/>
                <w:szCs w:val="20"/>
                <w:color w:val="auto"/>
              </w:rPr>
            </w:pPr>
            <w:r>
              <w:rPr>
                <w:rFonts w:ascii="Arial" w:cs="Arial" w:eastAsia="Arial" w:hAnsi="Arial"/>
                <w:sz w:val="15"/>
                <w:szCs w:val="15"/>
                <w:color w:val="auto"/>
              </w:rPr>
              <w:t>321</w:t>
            </w:r>
          </w:p>
        </w:tc>
      </w:tr>
    </w:tbl>
    <w:p>
      <w:pPr>
        <w:spacing w:after="0" w:line="31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Investments</w:t>
      </w:r>
    </w:p>
    <w:p>
      <w:pPr>
        <w:spacing w:after="0" w:line="175" w:lineRule="exact"/>
        <w:rPr>
          <w:sz w:val="20"/>
          <w:szCs w:val="20"/>
          <w:color w:val="auto"/>
        </w:rPr>
      </w:pPr>
    </w:p>
    <w:p>
      <w:pPr>
        <w:ind w:right="20" w:firstLine="556"/>
        <w:spacing w:after="0" w:line="293" w:lineRule="auto"/>
        <w:rPr>
          <w:sz w:val="20"/>
          <w:szCs w:val="20"/>
          <w:color w:val="auto"/>
        </w:rPr>
      </w:pPr>
      <w:r>
        <w:rPr>
          <w:rFonts w:ascii="Arial" w:cs="Arial" w:eastAsia="Arial" w:hAnsi="Arial"/>
          <w:sz w:val="14"/>
          <w:szCs w:val="14"/>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these investments, net of applicable income taxes, are reflected directly in equity as a component of comprehensive income (loss) and, accordingly, have no effect on net income (loss). Investment income is recognized when earned, and realized capital gains and losses on investments are recognized when investments are sold, or determined to be other-than-temporarily impaired.</w:t>
      </w:r>
    </w:p>
    <w:p>
      <w:pPr>
        <w:spacing w:after="0" w:line="106" w:lineRule="exact"/>
        <w:rPr>
          <w:sz w:val="20"/>
          <w:szCs w:val="20"/>
          <w:color w:val="auto"/>
        </w:rPr>
      </w:pPr>
    </w:p>
    <w:p>
      <w:pPr>
        <w:ind w:firstLine="556"/>
        <w:spacing w:after="0" w:line="262" w:lineRule="auto"/>
        <w:rPr>
          <w:sz w:val="20"/>
          <w:szCs w:val="20"/>
          <w:color w:val="auto"/>
        </w:rPr>
      </w:pPr>
      <w:r>
        <w:rPr>
          <w:rFonts w:ascii="Arial" w:cs="Arial" w:eastAsia="Arial" w:hAnsi="Arial"/>
          <w:sz w:val="15"/>
          <w:szCs w:val="15"/>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debt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In addition, the amount of the OTTI recognized in earnings depends on whether an entity intends to sell or will more likely than not be required to sell the security. If an entity intends to sell the security or will be required to sell the security, the OTTI shall be recognized in earnings equal to the entire difference between the fair value and the amortized cost basis at the balance sheet date. If an entity does not intend to sell the security and it is not more likely than not that the entity will be required to sell the security before the recovery of its amortized cost basis, the OTTI shall be separated into two amounts, the credit related loss and the non-credit related loss. The credit related loss is based on the present value of the expected cash flows and is recognized in earnings.</w:t>
      </w:r>
    </w:p>
    <w:p>
      <w:pPr>
        <w:spacing w:after="0" w:line="127" w:lineRule="exact"/>
        <w:rPr>
          <w:sz w:val="20"/>
          <w:szCs w:val="20"/>
          <w:color w:val="auto"/>
        </w:rPr>
      </w:pPr>
    </w:p>
    <w:p>
      <w:pPr>
        <w:ind w:right="180" w:firstLine="556"/>
        <w:spacing w:after="0" w:line="273" w:lineRule="auto"/>
        <w:rPr>
          <w:sz w:val="20"/>
          <w:szCs w:val="20"/>
          <w:color w:val="auto"/>
        </w:rPr>
      </w:pPr>
      <w:r>
        <w:rPr>
          <w:rFonts w:ascii="Arial" w:cs="Arial" w:eastAsia="Arial" w:hAnsi="Arial"/>
          <w:sz w:val="15"/>
          <w:szCs w:val="15"/>
          <w:color w:val="auto"/>
        </w:rPr>
        <w:t>Fair values of interest rate sensitive instruments may be affected by increases and decreases in prevailing interest rates which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80"/>
          </w:cols>
          <w:pgMar w:left="240" w:top="222" w:right="279" w:bottom="1440" w:gutter="0" w:footer="0" w:header="0"/>
        </w:sectPr>
      </w:pPr>
    </w:p>
    <w:bookmarkStart w:id="36" w:name="page37"/>
    <w:bookmarkEnd w:id="3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For the nine months ended September 30, 2017, NI Holdings’ investment portfolio experienced a change in net unrealized gains of $2,549. The overall portfolio experienced increases in unrealized gains, with gains increasing in both fixed income and equity securities.</w:t>
      </w:r>
    </w:p>
    <w:p>
      <w:pPr>
        <w:spacing w:after="0" w:line="106" w:lineRule="exact"/>
        <w:rPr>
          <w:sz w:val="20"/>
          <w:szCs w:val="20"/>
          <w:color w:val="auto"/>
        </w:rPr>
      </w:pPr>
    </w:p>
    <w:p>
      <w:pPr>
        <w:ind w:right="440" w:firstLine="556"/>
        <w:spacing w:after="0" w:line="273" w:lineRule="auto"/>
        <w:rPr>
          <w:sz w:val="20"/>
          <w:szCs w:val="20"/>
          <w:color w:val="auto"/>
        </w:rPr>
      </w:pPr>
      <w:r>
        <w:rPr>
          <w:rFonts w:ascii="Arial" w:cs="Arial" w:eastAsia="Arial" w:hAnsi="Arial"/>
          <w:sz w:val="15"/>
          <w:szCs w:val="15"/>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29" w:lineRule="exact"/>
        <w:rPr>
          <w:sz w:val="20"/>
          <w:szCs w:val="20"/>
          <w:color w:val="auto"/>
        </w:rPr>
      </w:pPr>
    </w:p>
    <w:p>
      <w:pPr>
        <w:ind w:right="20" w:firstLine="556"/>
        <w:spacing w:after="0" w:line="281" w:lineRule="auto"/>
        <w:rPr>
          <w:sz w:val="20"/>
          <w:szCs w:val="20"/>
          <w:color w:val="auto"/>
        </w:rPr>
      </w:pPr>
      <w:r>
        <w:rPr>
          <w:rFonts w:ascii="Arial" w:cs="Arial" w:eastAsia="Arial" w:hAnsi="Arial"/>
          <w:sz w:val="14"/>
          <w:szCs w:val="14"/>
          <w:color w:val="auto"/>
        </w:rPr>
        <w:t>NI Holdings monitors its investment portfolio and reviews securities that have experienced a decline in fair value below cost or amortized cost to evaluate whether the decline is other than temporary. When assessing whether the cost or amortized cost basis of the security will be recovered, the Company compares the present value of the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or amortized cost basis is referred to as the “credit loss.” If there is a credit loss, the impairment is considered to be other than 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19" w:lineRule="exact"/>
        <w:rPr>
          <w:sz w:val="20"/>
          <w:szCs w:val="20"/>
          <w:color w:val="auto"/>
        </w:rPr>
      </w:pPr>
    </w:p>
    <w:p>
      <w:pPr>
        <w:ind w:right="100" w:firstLine="556"/>
        <w:spacing w:after="0" w:line="289" w:lineRule="auto"/>
        <w:rPr>
          <w:sz w:val="20"/>
          <w:szCs w:val="20"/>
          <w:color w:val="auto"/>
        </w:rPr>
      </w:pPr>
      <w:r>
        <w:rPr>
          <w:rFonts w:ascii="Arial" w:cs="Arial" w:eastAsia="Arial" w:hAnsi="Arial"/>
          <w:sz w:val="15"/>
          <w:szCs w:val="15"/>
          <w:color w:val="auto"/>
        </w:rPr>
        <w:t>For the three months and nine months ended September 30, 2017, NI Holdings recognized $124 and $330, respectively, of other-than-temporary impairments of its investment securities. For the year ended December 31, 2016, NI Holdings recognized no other-than-temporary impairments of its investment securities.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more information on the Company’s investments, please see Note 5 to the Unaudited Consolidated Financial Statements, included elsewhere in this Report.</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Fair Value Measurements</w:t>
      </w:r>
    </w:p>
    <w:p>
      <w:pPr>
        <w:spacing w:after="0" w:line="163" w:lineRule="exact"/>
        <w:rPr>
          <w:sz w:val="20"/>
          <w:szCs w:val="20"/>
          <w:color w:val="auto"/>
        </w:rPr>
      </w:pPr>
    </w:p>
    <w:p>
      <w:pPr>
        <w:ind w:right="100" w:firstLine="556"/>
        <w:spacing w:after="0" w:line="293" w:lineRule="auto"/>
        <w:rPr>
          <w:sz w:val="20"/>
          <w:szCs w:val="20"/>
          <w:color w:val="auto"/>
        </w:rPr>
      </w:pPr>
      <w:r>
        <w:rPr>
          <w:rFonts w:ascii="Arial" w:cs="Arial" w:eastAsia="Arial" w:hAnsi="Arial"/>
          <w:sz w:val="14"/>
          <w:szCs w:val="14"/>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0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i w:val="1"/>
          <w:iCs w:val="1"/>
          <w:color w:val="auto"/>
        </w:rPr>
        <w:t>Level I</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Unadjusted quoted prices in active markets that are accessible at the measurement date for identical, unrestricted assets or liabilities.</w:t>
      </w:r>
    </w:p>
    <w:p>
      <w:pPr>
        <w:spacing w:after="0" w:line="16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i w:val="1"/>
          <w:iCs w:val="1"/>
          <w:color w:val="auto"/>
        </w:rPr>
        <w:t>Level II</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Quoted prices in markets that are not active, or inputs that are observable either directly or indirectly, for substantially the full term of the asset 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liability. Level II includes debt securities with quoted prices that are traded less frequently than exchange traded instruments. Valuation techniques include</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matrix pricing which is a mathematical technique used widely in the industry to value debt securities without relying exclusively on quoted market prices for</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the specific securities but rather by relying on the securities’ relationship to other benchmark quoted prices.</w:t>
      </w:r>
    </w:p>
    <w:p>
      <w:pPr>
        <w:spacing w:after="0" w:line="153" w:lineRule="exact"/>
        <w:rPr>
          <w:sz w:val="20"/>
          <w:szCs w:val="20"/>
          <w:color w:val="auto"/>
        </w:rPr>
      </w:pPr>
    </w:p>
    <w:p>
      <w:pPr>
        <w:ind w:left="1660" w:right="300" w:hanging="1111"/>
        <w:spacing w:after="0" w:line="289" w:lineRule="auto"/>
        <w:tabs>
          <w:tab w:leader="none" w:pos="1640" w:val="left"/>
        </w:tabs>
        <w:rPr>
          <w:sz w:val="20"/>
          <w:szCs w:val="20"/>
          <w:color w:val="auto"/>
        </w:rPr>
      </w:pPr>
      <w:r>
        <w:rPr>
          <w:rFonts w:ascii="Arial" w:cs="Arial" w:eastAsia="Arial" w:hAnsi="Arial"/>
          <w:sz w:val="15"/>
          <w:szCs w:val="15"/>
          <w:i w:val="1"/>
          <w:iCs w:val="1"/>
          <w:color w:val="auto"/>
        </w:rPr>
        <w:t>Level III</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Prices or valuation techniques that require inputs that are both significant to the fair value measurement and unobservable (i.e., supported with little or no market activity).</w:t>
      </w:r>
    </w:p>
    <w:p>
      <w:pPr>
        <w:spacing w:after="0" w:line="268" w:lineRule="exact"/>
        <w:rPr>
          <w:sz w:val="20"/>
          <w:szCs w:val="20"/>
          <w:color w:val="auto"/>
        </w:rPr>
      </w:pPr>
    </w:p>
    <w:p>
      <w:pPr>
        <w:ind w:firstLine="556"/>
        <w:spacing w:after="0" w:line="262" w:lineRule="auto"/>
        <w:rPr>
          <w:sz w:val="20"/>
          <w:szCs w:val="20"/>
          <w:color w:val="auto"/>
        </w:rPr>
      </w:pPr>
      <w:r>
        <w:rPr>
          <w:rFonts w:ascii="Arial" w:cs="Arial" w:eastAsia="Arial" w:hAnsi="Arial"/>
          <w:sz w:val="15"/>
          <w:szCs w:val="15"/>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37" w:name="page38"/>
    <w:bookmarkEnd w:id="3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right="120"/>
        <w:spacing w:after="0" w:line="327" w:lineRule="auto"/>
        <w:rPr>
          <w:sz w:val="20"/>
          <w:szCs w:val="20"/>
          <w:color w:val="auto"/>
        </w:rPr>
      </w:pPr>
      <w:r>
        <w:rPr>
          <w:rFonts w:ascii="Arial" w:cs="Arial" w:eastAsia="Arial" w:hAnsi="Arial"/>
          <w:sz w:val="14"/>
          <w:szCs w:val="14"/>
          <w:color w:val="auto"/>
        </w:rPr>
        <w:t>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82" w:lineRule="exact"/>
        <w:rPr>
          <w:sz w:val="20"/>
          <w:szCs w:val="20"/>
          <w:color w:val="auto"/>
        </w:rPr>
      </w:pPr>
    </w:p>
    <w:p>
      <w:pPr>
        <w:ind w:right="60" w:firstLine="556"/>
        <w:spacing w:after="0" w:line="283" w:lineRule="auto"/>
        <w:rPr>
          <w:sz w:val="20"/>
          <w:szCs w:val="20"/>
          <w:color w:val="auto"/>
        </w:rPr>
      </w:pPr>
      <w:r>
        <w:rPr>
          <w:rFonts w:ascii="Arial" w:cs="Arial" w:eastAsia="Arial" w:hAnsi="Arial"/>
          <w:sz w:val="14"/>
          <w:szCs w:val="14"/>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 adjusted spread model to develop prepayment and interest rate scenarios. The pricing service did not use broker quotes in determining fair values of the Company’s investments.</w:t>
      </w:r>
    </w:p>
    <w:p>
      <w:pPr>
        <w:spacing w:after="0" w:line="126" w:lineRule="exact"/>
        <w:rPr>
          <w:sz w:val="20"/>
          <w:szCs w:val="20"/>
          <w:color w:val="auto"/>
        </w:rPr>
      </w:pPr>
    </w:p>
    <w:p>
      <w:pPr>
        <w:ind w:right="60" w:firstLine="556"/>
        <w:spacing w:after="0" w:line="264" w:lineRule="auto"/>
        <w:rPr>
          <w:sz w:val="20"/>
          <w:szCs w:val="20"/>
          <w:color w:val="auto"/>
        </w:rPr>
      </w:pPr>
      <w:r>
        <w:rPr>
          <w:rFonts w:ascii="Arial" w:cs="Arial" w:eastAsia="Arial" w:hAnsi="Arial"/>
          <w:sz w:val="15"/>
          <w:szCs w:val="15"/>
          <w:color w:val="auto"/>
        </w:rPr>
        <w:t>Should the independent pricing service be unable to provide a fair value estimate, NI Holdings attempts to obtain a non-binding fair value estimate from a number of broker-dealers and reviews this estimate in conjunction with a fair value estimate reported by an independent business news service or other sources. In instances where only one broker-dealer provides a fair value for a fixed income security, NI Holdings uses that estimate. In instances where NI Holdings is able to obtain fair value estimates from more than one broker-dealer, the Company reviews the range of estimates and selects the most appropriate value based on the facts and circumstances. Should neither the independent pricing service nor a broker-dealer provide a fair value estimate, NI Holdings develops a fair value estimate based on cash flow analyses and other valuation techniques that utilize certain unobservable inputs. Accordingly, NI Holdings classifies such a security as a Level III investment.</w:t>
      </w:r>
    </w:p>
    <w:p>
      <w:pPr>
        <w:spacing w:after="0" w:line="124" w:lineRule="exact"/>
        <w:rPr>
          <w:sz w:val="20"/>
          <w:szCs w:val="20"/>
          <w:color w:val="auto"/>
        </w:rPr>
      </w:pPr>
    </w:p>
    <w:p>
      <w:pPr>
        <w:ind w:right="260" w:firstLine="556"/>
        <w:spacing w:after="0" w:line="289" w:lineRule="auto"/>
        <w:rPr>
          <w:sz w:val="20"/>
          <w:szCs w:val="20"/>
          <w:color w:val="auto"/>
        </w:rPr>
      </w:pPr>
      <w:r>
        <w:rPr>
          <w:rFonts w:ascii="Arial" w:cs="Arial" w:eastAsia="Arial" w:hAnsi="Arial"/>
          <w:sz w:val="15"/>
          <w:szCs w:val="15"/>
          <w:color w:val="auto"/>
        </w:rPr>
        <w:t>The fair value estimates of NI Holdings’ investments provided by the independent pricing service at September 30, 2017 were utilized, among other resources, in reaching a conclusion as to the fair value of its investments.</w:t>
      </w:r>
    </w:p>
    <w:p>
      <w:pPr>
        <w:spacing w:after="0" w:line="106" w:lineRule="exact"/>
        <w:rPr>
          <w:sz w:val="20"/>
          <w:szCs w:val="20"/>
          <w:color w:val="auto"/>
        </w:rPr>
      </w:pPr>
    </w:p>
    <w:p>
      <w:pPr>
        <w:ind w:right="220" w:firstLine="556"/>
        <w:spacing w:after="0" w:line="284" w:lineRule="auto"/>
        <w:rPr>
          <w:sz w:val="20"/>
          <w:szCs w:val="20"/>
          <w:color w:val="auto"/>
        </w:rPr>
      </w:pPr>
      <w:r>
        <w:rPr>
          <w:rFonts w:ascii="Arial" w:cs="Arial" w:eastAsia="Arial" w:hAnsi="Arial"/>
          <w:sz w:val="14"/>
          <w:szCs w:val="14"/>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for the nine months ended September 30, 2017 or the year ended December 31, 2016, and no adjustments were made to the estimates provided by the pricing service for the nine months ended September 30, 2017 or the year ended December 31, 2016. The classification within the fair value hierarchy is then confirmed based on the final conclusions from the pricing review.</w:t>
      </w:r>
    </w:p>
    <w:p>
      <w:pPr>
        <w:spacing w:after="0" w:line="126" w:lineRule="exact"/>
        <w:rPr>
          <w:sz w:val="20"/>
          <w:szCs w:val="20"/>
          <w:color w:val="auto"/>
        </w:rPr>
      </w:pPr>
    </w:p>
    <w:p>
      <w:pPr>
        <w:ind w:left="540" w:right="260"/>
        <w:spacing w:after="0" w:line="467" w:lineRule="auto"/>
        <w:rPr>
          <w:sz w:val="20"/>
          <w:szCs w:val="20"/>
          <w:color w:val="auto"/>
        </w:rPr>
      </w:pPr>
      <w:r>
        <w:rPr>
          <w:rFonts w:ascii="Arial" w:cs="Arial" w:eastAsia="Arial" w:hAnsi="Arial"/>
          <w:sz w:val="15"/>
          <w:szCs w:val="15"/>
          <w:color w:val="auto"/>
        </w:rPr>
        <w:t xml:space="preserve">For more information on the Company’s fair value measurements, please see Note 6 to the Unaudited Consolidated Financial Statements, included elsewhere in this Report. </w:t>
      </w:r>
      <w:r>
        <w:rPr>
          <w:rFonts w:ascii="Arial" w:cs="Arial" w:eastAsia="Arial" w:hAnsi="Arial"/>
          <w:sz w:val="15"/>
          <w:szCs w:val="15"/>
          <w:b w:val="1"/>
          <w:bCs w:val="1"/>
          <w:i w:val="1"/>
          <w:iCs w:val="1"/>
          <w:color w:val="auto"/>
        </w:rPr>
        <w:t>Deferred Policy Acquisition Costs</w:t>
      </w:r>
    </w:p>
    <w:p>
      <w:pPr>
        <w:ind w:right="180" w:firstLine="556"/>
        <w:spacing w:after="0" w:line="273" w:lineRule="auto"/>
        <w:rPr>
          <w:sz w:val="20"/>
          <w:szCs w:val="20"/>
          <w:color w:val="auto"/>
        </w:rPr>
      </w:pPr>
      <w:r>
        <w:rPr>
          <w:rFonts w:ascii="Arial" w:cs="Arial" w:eastAsia="Arial" w:hAnsi="Arial"/>
          <w:sz w:val="15"/>
          <w:szCs w:val="15"/>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 At September 30, 2017 and December 31, 2016, deferred policy acquisition costs and the related liability for unearned premiums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4680" w:type="dxa"/>
            <w:vAlign w:val="bottom"/>
            <w:gridSpan w:val="4"/>
          </w:tcPr>
          <w:p>
            <w:pPr>
              <w:ind w:left="3280"/>
              <w:spacing w:after="0"/>
              <w:rPr>
                <w:sz w:val="20"/>
                <w:szCs w:val="20"/>
                <w:color w:val="auto"/>
              </w:rPr>
            </w:pPr>
            <w:r>
              <w:rPr>
                <w:rFonts w:ascii="Arial" w:cs="Arial" w:eastAsia="Arial" w:hAnsi="Arial"/>
                <w:sz w:val="15"/>
                <w:szCs w:val="15"/>
                <w:b w:val="1"/>
                <w:bCs w:val="1"/>
                <w:color w:val="auto"/>
                <w:w w:val="98"/>
              </w:rPr>
              <w:t>September 30, 2017</w:t>
            </w:r>
          </w:p>
        </w:tc>
        <w:tc>
          <w:tcPr>
            <w:tcW w:w="1440" w:type="dxa"/>
            <w:vAlign w:val="bottom"/>
            <w:gridSpan w:val="4"/>
          </w:tcPr>
          <w:p>
            <w:pPr>
              <w:ind w:left="100"/>
              <w:spacing w:after="0"/>
              <w:rPr>
                <w:sz w:val="20"/>
                <w:szCs w:val="20"/>
                <w:color w:val="auto"/>
              </w:rPr>
            </w:pPr>
            <w:r>
              <w:rPr>
                <w:rFonts w:ascii="Arial" w:cs="Arial" w:eastAsia="Arial" w:hAnsi="Arial"/>
                <w:sz w:val="15"/>
                <w:szCs w:val="15"/>
                <w:b w:val="1"/>
                <w:bCs w:val="1"/>
                <w:color w:val="auto"/>
                <w:w w:val="97"/>
              </w:rPr>
              <w:t>December 31, 2016</w:t>
            </w:r>
          </w:p>
        </w:tc>
      </w:tr>
      <w:tr>
        <w:trPr>
          <w:trHeight w:val="177"/>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policy acquisition costs</w:t>
            </w:r>
          </w:p>
        </w:tc>
        <w:tc>
          <w:tcPr>
            <w:tcW w:w="3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11,753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5"/>
                <w:szCs w:val="15"/>
                <w:color w:val="auto"/>
              </w:rPr>
              <w:t>Liability for unearned premiums</w:t>
            </w:r>
          </w:p>
        </w:tc>
        <w:tc>
          <w:tcPr>
            <w:tcW w:w="3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75,816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57,445</w:t>
            </w:r>
          </w:p>
        </w:tc>
      </w:tr>
    </w:tbl>
    <w:p>
      <w:pPr>
        <w:spacing w:after="0" w:line="315"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38" w:name="page39"/>
    <w:bookmarkEnd w:id="3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8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Employee Stock Ownership Plan</w:t>
      </w:r>
    </w:p>
    <w:p>
      <w:pPr>
        <w:spacing w:after="0" w:line="163" w:lineRule="exact"/>
        <w:rPr>
          <w:sz w:val="20"/>
          <w:szCs w:val="20"/>
          <w:color w:val="auto"/>
        </w:rPr>
      </w:pPr>
    </w:p>
    <w:p>
      <w:pPr>
        <w:ind w:right="80" w:firstLine="556"/>
        <w:spacing w:after="0" w:line="289" w:lineRule="auto"/>
        <w:rPr>
          <w:sz w:val="20"/>
          <w:szCs w:val="20"/>
          <w:color w:val="auto"/>
        </w:rPr>
      </w:pPr>
      <w:r>
        <w:rPr>
          <w:rFonts w:ascii="Arial" w:cs="Arial" w:eastAsia="Arial" w:hAnsi="Arial"/>
          <w:sz w:val="15"/>
          <w:szCs w:val="15"/>
          <w:color w:val="auto"/>
        </w:rPr>
        <w:t>The Company has established the NI Holdings, Inc. Employee Stock Ownership Plan (the “ESOP”). The ESOP is intended to be an employee stock ownership plan within the meaning of Internal Revenue Code Section 4975(e)(7) and will invest primarily in common stock of the Company.</w:t>
      </w:r>
    </w:p>
    <w:p>
      <w:pPr>
        <w:spacing w:after="0" w:line="117" w:lineRule="exact"/>
        <w:rPr>
          <w:sz w:val="20"/>
          <w:szCs w:val="20"/>
          <w:color w:val="auto"/>
        </w:rPr>
      </w:pPr>
    </w:p>
    <w:p>
      <w:pPr>
        <w:ind w:right="20" w:firstLine="556"/>
        <w:spacing w:after="0" w:line="334" w:lineRule="auto"/>
        <w:rPr>
          <w:sz w:val="20"/>
          <w:szCs w:val="20"/>
          <w:color w:val="auto"/>
        </w:rPr>
      </w:pPr>
      <w:r>
        <w:rPr>
          <w:rFonts w:ascii="Arial" w:cs="Arial" w:eastAsia="Arial" w:hAnsi="Arial"/>
          <w:sz w:val="13"/>
          <w:szCs w:val="13"/>
          <w:color w:val="auto"/>
        </w:rPr>
        <w:t>In connection with our initial public offering, Nodak Insurance loaned $2,400 to the ESOP’s related trust (the “ESOP Trust”). The ESOP loan will be for a period of ten years and bears interest at the long-term Applicable Federal Rate effective on the closing date of the offering.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82" w:lineRule="exact"/>
        <w:rPr>
          <w:sz w:val="20"/>
          <w:szCs w:val="20"/>
          <w:color w:val="auto"/>
        </w:rPr>
      </w:pPr>
    </w:p>
    <w:p>
      <w:pPr>
        <w:ind w:firstLine="556"/>
        <w:spacing w:after="0" w:line="286" w:lineRule="auto"/>
        <w:rPr>
          <w:sz w:val="20"/>
          <w:szCs w:val="20"/>
          <w:color w:val="auto"/>
        </w:rPr>
      </w:pPr>
      <w:r>
        <w:rPr>
          <w:rFonts w:ascii="Arial" w:cs="Arial" w:eastAsia="Arial" w:hAnsi="Arial"/>
          <w:sz w:val="14"/>
          <w:szCs w:val="14"/>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11" w:lineRule="exact"/>
        <w:rPr>
          <w:sz w:val="20"/>
          <w:szCs w:val="20"/>
          <w:color w:val="auto"/>
        </w:rPr>
      </w:pPr>
    </w:p>
    <w:p>
      <w:pPr>
        <w:ind w:right="380" w:firstLine="556"/>
        <w:spacing w:after="0" w:line="289" w:lineRule="auto"/>
        <w:rPr>
          <w:sz w:val="20"/>
          <w:szCs w:val="20"/>
          <w:color w:val="auto"/>
        </w:rPr>
      </w:pPr>
      <w:r>
        <w:rPr>
          <w:rFonts w:ascii="Arial" w:cs="Arial" w:eastAsia="Arial" w:hAnsi="Arial"/>
          <w:sz w:val="15"/>
          <w:szCs w:val="15"/>
          <w:color w:val="auto"/>
        </w:rPr>
        <w:t>It is anticipated that the only assets held by the ESOP will be shares of the Company’s common stock. Participants in the ESOP cannot direct the investment of any assets allocated to their accounts.</w:t>
      </w:r>
    </w:p>
    <w:p>
      <w:pPr>
        <w:spacing w:after="0" w:line="117" w:lineRule="exact"/>
        <w:rPr>
          <w:sz w:val="20"/>
          <w:szCs w:val="20"/>
          <w:color w:val="auto"/>
        </w:rPr>
      </w:pPr>
    </w:p>
    <w:p>
      <w:pPr>
        <w:ind w:firstLine="556"/>
        <w:spacing w:after="0" w:line="265" w:lineRule="auto"/>
        <w:rPr>
          <w:sz w:val="20"/>
          <w:szCs w:val="20"/>
          <w:color w:val="auto"/>
        </w:rPr>
      </w:pPr>
      <w:r>
        <w:rPr>
          <w:rFonts w:ascii="Arial" w:cs="Arial" w:eastAsia="Arial" w:hAnsi="Arial"/>
          <w:sz w:val="15"/>
          <w:szCs w:val="15"/>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initial ESOP participants are employees of Nodak Insurance. The employees of Primero will not participate in the ESOP.</w:t>
      </w:r>
    </w:p>
    <w:p>
      <w:pPr>
        <w:spacing w:after="0" w:line="163" w:lineRule="exact"/>
        <w:rPr>
          <w:sz w:val="20"/>
          <w:szCs w:val="20"/>
          <w:color w:val="auto"/>
        </w:rPr>
      </w:pPr>
    </w:p>
    <w:p>
      <w:pPr>
        <w:ind w:right="160" w:firstLine="556"/>
        <w:spacing w:after="0" w:line="268" w:lineRule="auto"/>
        <w:rPr>
          <w:sz w:val="20"/>
          <w:szCs w:val="20"/>
          <w:color w:val="auto"/>
        </w:rPr>
      </w:pPr>
      <w:r>
        <w:rPr>
          <w:rFonts w:ascii="Arial" w:cs="Arial" w:eastAsia="Arial" w:hAnsi="Arial"/>
          <w:sz w:val="15"/>
          <w:szCs w:val="15"/>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Income Taxes</w:t>
      </w:r>
    </w:p>
    <w:p>
      <w:pPr>
        <w:spacing w:after="0" w:line="163" w:lineRule="exact"/>
        <w:rPr>
          <w:sz w:val="20"/>
          <w:szCs w:val="20"/>
          <w:color w:val="auto"/>
        </w:rPr>
      </w:pPr>
    </w:p>
    <w:p>
      <w:pPr>
        <w:jc w:val="both"/>
        <w:ind w:right="200" w:firstLine="556"/>
        <w:spacing w:after="0" w:line="273" w:lineRule="auto"/>
        <w:rPr>
          <w:sz w:val="20"/>
          <w:szCs w:val="20"/>
          <w:color w:val="auto"/>
        </w:rPr>
      </w:pPr>
      <w:r>
        <w:rPr>
          <w:rFonts w:ascii="Arial" w:cs="Arial" w:eastAsia="Arial" w:hAnsi="Arial"/>
          <w:sz w:val="15"/>
          <w:szCs w:val="15"/>
          <w:color w:val="auto"/>
        </w:rPr>
        <w:t>NI Holdings uses the asset and liability method of accounting for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The effect of a change in tax rates is recognized in the period of the enactment date.</w:t>
      </w:r>
    </w:p>
    <w:p>
      <w:pPr>
        <w:spacing w:after="0" w:line="118" w:lineRule="exact"/>
        <w:rPr>
          <w:sz w:val="20"/>
          <w:szCs w:val="20"/>
          <w:color w:val="auto"/>
        </w:rPr>
      </w:pPr>
    </w:p>
    <w:p>
      <w:pPr>
        <w:jc w:val="both"/>
        <w:ind w:right="180" w:firstLine="556"/>
        <w:spacing w:after="0" w:line="273" w:lineRule="auto"/>
        <w:rPr>
          <w:sz w:val="20"/>
          <w:szCs w:val="20"/>
          <w:color w:val="auto"/>
        </w:rPr>
      </w:pPr>
      <w:r>
        <w:rPr>
          <w:rFonts w:ascii="Arial" w:cs="Arial" w:eastAsia="Arial" w:hAnsi="Arial"/>
          <w:sz w:val="15"/>
          <w:szCs w:val="15"/>
          <w:color w:val="auto"/>
        </w:rPr>
        <w:t>NI Holdings had gross deferred income tax assets of $8,260 at September 30, 2017 and $6,648 at December 31, 2016. A valuation allowance is required to be established for any portion of the deferred income tax asset for which the Company believes it is more likely than not that it will not be realized. A valuation allowance of $1,022 was maintained at September 30, 2017 and December 31, 2016.</w:t>
      </w:r>
    </w:p>
    <w:p>
      <w:pPr>
        <w:spacing w:after="0" w:line="129" w:lineRule="exact"/>
        <w:rPr>
          <w:sz w:val="20"/>
          <w:szCs w:val="20"/>
          <w:color w:val="auto"/>
        </w:rPr>
      </w:pPr>
    </w:p>
    <w:p>
      <w:pPr>
        <w:jc w:val="both"/>
        <w:ind w:right="200" w:firstLine="556"/>
        <w:spacing w:after="0" w:line="289" w:lineRule="auto"/>
        <w:rPr>
          <w:sz w:val="20"/>
          <w:szCs w:val="20"/>
          <w:color w:val="auto"/>
        </w:rPr>
      </w:pPr>
      <w:r>
        <w:rPr>
          <w:rFonts w:ascii="Arial" w:cs="Arial" w:eastAsia="Arial" w:hAnsi="Arial"/>
          <w:sz w:val="15"/>
          <w:szCs w:val="15"/>
          <w:color w:val="auto"/>
        </w:rPr>
        <w:t>NI Holdings had gross deferred income tax liabilities of $11,108 at September 30, 2017 and $8,541 at December 31, 2016, arising primarily from deferred policy acquisition costs and net unrealized capital gains on investments.</w:t>
      </w:r>
    </w:p>
    <w:p>
      <w:pPr>
        <w:spacing w:after="0" w:line="106"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21" w:lineRule="exact"/>
        <w:rPr>
          <w:sz w:val="20"/>
          <w:szCs w:val="20"/>
          <w:color w:val="auto"/>
        </w:rPr>
      </w:pPr>
    </w:p>
    <w:p>
      <w:pPr>
        <w:ind w:right="640" w:firstLine="556"/>
        <w:spacing w:after="0" w:line="289" w:lineRule="auto"/>
        <w:rPr>
          <w:sz w:val="20"/>
          <w:szCs w:val="20"/>
          <w:color w:val="auto"/>
        </w:rPr>
      </w:pPr>
      <w:r>
        <w:rPr>
          <w:rFonts w:ascii="Arial" w:cs="Arial" w:eastAsia="Arial" w:hAnsi="Arial"/>
          <w:sz w:val="15"/>
          <w:szCs w:val="15"/>
          <w:color w:val="auto"/>
        </w:rPr>
        <w:t>As of September 30, 2017, NI Holdings had no material unrecognized tax benefits or accrued interest and penalties. Federal tax years 2013 through 2016 are open for examination.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9" w:name="page40"/>
    <w:bookmarkEnd w:id="3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69" w:lineRule="exact"/>
        <w:rPr>
          <w:sz w:val="20"/>
          <w:szCs w:val="20"/>
          <w:color w:val="auto"/>
        </w:rPr>
      </w:pPr>
    </w:p>
    <w:p>
      <w:pPr>
        <w:ind w:right="140" w:firstLine="556"/>
        <w:spacing w:after="0" w:line="302" w:lineRule="auto"/>
        <w:rPr>
          <w:sz w:val="20"/>
          <w:szCs w:val="20"/>
          <w:color w:val="auto"/>
        </w:rPr>
      </w:pPr>
      <w:r>
        <w:rPr>
          <w:rFonts w:ascii="Arial" w:cs="Arial" w:eastAsia="Arial" w:hAnsi="Arial"/>
          <w:sz w:val="14"/>
          <w:szCs w:val="14"/>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10" w:lineRule="exact"/>
        <w:rPr>
          <w:sz w:val="20"/>
          <w:szCs w:val="20"/>
          <w:color w:val="auto"/>
        </w:rPr>
      </w:pPr>
    </w:p>
    <w:p>
      <w:pPr>
        <w:ind w:right="20" w:firstLine="556"/>
        <w:spacing w:after="0" w:line="265" w:lineRule="auto"/>
        <w:rPr>
          <w:sz w:val="20"/>
          <w:szCs w:val="20"/>
          <w:color w:val="auto"/>
        </w:rPr>
      </w:pPr>
      <w:r>
        <w:rPr>
          <w:rFonts w:ascii="Arial" w:cs="Arial" w:eastAsia="Arial" w:hAnsi="Arial"/>
          <w:sz w:val="15"/>
          <w:szCs w:val="15"/>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which NI Holdings serves are diversified enough such that management must regularly monitor the Company’s performance and competitive position to schedule appropriate rate actions by line of business and geographic market.</w:t>
      </w:r>
    </w:p>
    <w:p>
      <w:pPr>
        <w:spacing w:after="0" w:line="125"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Premiums in the multi-peril crop insurance business are primarily influenced by the number of acres planted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 Losses on this business is more heavily concentrated in the second and third quarters.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Premiums in the crop hail insurance business are also generally written in second quarter, but earned over a shorter period of risk than multi-peril crop insurance.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gridSpan w:val="3"/>
          </w:tcPr>
          <w:p>
            <w:pPr>
              <w:spacing w:after="0"/>
              <w:rPr>
                <w:sz w:val="20"/>
                <w:szCs w:val="20"/>
                <w:color w:val="auto"/>
              </w:rPr>
            </w:pPr>
            <w:r>
              <w:rPr>
                <w:rFonts w:ascii="Arial" w:cs="Arial" w:eastAsia="Arial" w:hAnsi="Arial"/>
                <w:sz w:val="15"/>
                <w:szCs w:val="15"/>
                <w:color w:val="auto"/>
              </w:rPr>
              <w:t>Three Months ended September 30, 2017 and 2016</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8780" w:type="dxa"/>
            <w:vAlign w:val="bottom"/>
            <w:gridSpan w:val="2"/>
          </w:tcPr>
          <w:p>
            <w:pPr>
              <w:ind w:left="520"/>
              <w:spacing w:after="0"/>
              <w:rPr>
                <w:sz w:val="20"/>
                <w:szCs w:val="20"/>
                <w:color w:val="auto"/>
              </w:rPr>
            </w:pPr>
            <w:r>
              <w:rPr>
                <w:rFonts w:ascii="Arial" w:cs="Arial" w:eastAsia="Arial" w:hAnsi="Arial"/>
                <w:sz w:val="15"/>
                <w:szCs w:val="15"/>
                <w:color w:val="auto"/>
              </w:rPr>
              <w:t>The major components of NI Holdings’ operating revenues and net loss are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40" w:type="dxa"/>
            <w:vAlign w:val="bottom"/>
            <w:gridSpan w:val="6"/>
          </w:tcPr>
          <w:p>
            <w:pPr>
              <w:jc w:val="right"/>
              <w:ind w:right="141"/>
              <w:spacing w:after="0"/>
              <w:rPr>
                <w:sz w:val="20"/>
                <w:szCs w:val="20"/>
                <w:color w:val="auto"/>
              </w:rPr>
            </w:pPr>
            <w:r>
              <w:rPr>
                <w:rFonts w:ascii="Arial" w:cs="Arial" w:eastAsia="Arial" w:hAnsi="Arial"/>
                <w:sz w:val="15"/>
                <w:szCs w:val="15"/>
                <w:b w:val="1"/>
                <w:bCs w:val="1"/>
                <w:color w:val="auto"/>
                <w:w w:val="95"/>
              </w:rPr>
              <w:t>Three Months Ended 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800" w:type="dxa"/>
            <w:vAlign w:val="bottom"/>
            <w:gridSpan w:val="3"/>
          </w:tcPr>
          <w:p>
            <w:pPr>
              <w:spacing w:after="0"/>
              <w:rPr>
                <w:sz w:val="20"/>
                <w:szCs w:val="20"/>
                <w:color w:val="auto"/>
              </w:rPr>
            </w:pPr>
            <w:r>
              <w:rPr>
                <w:rFonts w:ascii="Arial" w:cs="Arial" w:eastAsia="Arial" w:hAnsi="Arial"/>
                <w:sz w:val="15"/>
                <w:szCs w:val="15"/>
                <w:color w:val="auto"/>
              </w:rPr>
              <w:t>Revenues: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premiums earned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52,525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52,639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Fee and other income</w:t>
            </w:r>
          </w:p>
        </w:tc>
        <w:tc>
          <w:tcPr>
            <w:tcW w:w="26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5"/>
                <w:szCs w:val="15"/>
                <w:color w:val="auto"/>
              </w:rPr>
              <w:t>752</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investment income</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1,549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Net realized capital gain on investments</w:t>
            </w:r>
          </w:p>
        </w:tc>
        <w:tc>
          <w:tcPr>
            <w:tcW w:w="260" w:type="dxa"/>
            <w:vAlign w:val="bottom"/>
          </w:tcPr>
          <w:p>
            <w:pPr>
              <w:spacing w:after="0"/>
              <w:rPr>
                <w:sz w:val="17"/>
                <w:szCs w:val="17"/>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5"/>
                <w:szCs w:val="15"/>
                <w:color w:val="auto"/>
              </w:rPr>
              <w:t>1,885</w:t>
            </w:r>
          </w:p>
        </w:tc>
        <w:tc>
          <w:tcPr>
            <w:tcW w:w="26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4,996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revenues</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56,711</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59,286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Components of net loss: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Net premiums earned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1"/>
              <w:spacing w:after="0"/>
              <w:rPr>
                <w:sz w:val="20"/>
                <w:szCs w:val="20"/>
                <w:color w:val="auto"/>
              </w:rPr>
            </w:pPr>
            <w:r>
              <w:rPr>
                <w:rFonts w:ascii="Arial" w:cs="Arial" w:eastAsia="Arial" w:hAnsi="Arial"/>
                <w:sz w:val="15"/>
                <w:szCs w:val="15"/>
                <w:color w:val="auto"/>
              </w:rPr>
              <w:t>52,525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52,639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Losses and loss adjustment expenses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49,599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50,675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Amortization of deferred policy acquisition costs and other underwriting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general expenses</w:t>
            </w:r>
          </w:p>
        </w:tc>
        <w:tc>
          <w:tcPr>
            <w:tcW w:w="26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5"/>
                <w:szCs w:val="15"/>
                <w:color w:val="auto"/>
              </w:rPr>
              <w:t>10,237</w:t>
            </w:r>
          </w:p>
        </w:tc>
        <w:tc>
          <w:tcPr>
            <w:tcW w:w="2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11,172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Underwriting loss</w:t>
            </w: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(7,311)</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Fee and other income</w:t>
            </w:r>
          </w:p>
        </w:tc>
        <w:tc>
          <w:tcPr>
            <w:tcW w:w="26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5"/>
                <w:szCs w:val="15"/>
                <w:color w:val="auto"/>
              </w:rPr>
              <w:t>752</w:t>
            </w:r>
          </w:p>
        </w:tc>
        <w:tc>
          <w:tcPr>
            <w:tcW w:w="26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investment income</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1,549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Net realized capital gain on investments</w:t>
            </w:r>
          </w:p>
        </w:tc>
        <w:tc>
          <w:tcPr>
            <w:tcW w:w="260" w:type="dxa"/>
            <w:vAlign w:val="bottom"/>
          </w:tcPr>
          <w:p>
            <w:pPr>
              <w:spacing w:after="0"/>
              <w:rPr>
                <w:sz w:val="17"/>
                <w:szCs w:val="17"/>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5"/>
                <w:szCs w:val="15"/>
                <w:color w:val="auto"/>
              </w:rPr>
              <w:t>1,885</w:t>
            </w:r>
          </w:p>
        </w:tc>
        <w:tc>
          <w:tcPr>
            <w:tcW w:w="26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5"/>
                <w:szCs w:val="15"/>
                <w:color w:val="auto"/>
              </w:rPr>
              <w:t>4,996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Loss before income taxes</w:t>
            </w: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(3,125)</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5"/>
                <w:szCs w:val="15"/>
                <w:color w:val="auto"/>
              </w:rPr>
              <w:t>Income taxes</w:t>
            </w:r>
          </w:p>
        </w:tc>
        <w:tc>
          <w:tcPr>
            <w:tcW w:w="26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5"/>
                <w:szCs w:val="15"/>
                <w:color w:val="auto"/>
              </w:rPr>
              <w:t>(432)</w:t>
            </w:r>
          </w:p>
        </w:tc>
        <w:tc>
          <w:tcPr>
            <w:tcW w:w="260" w:type="dxa"/>
            <w:vAlign w:val="bottom"/>
          </w:tcPr>
          <w:p>
            <w:pPr>
              <w:spacing w:after="0"/>
              <w:rPr>
                <w:sz w:val="17"/>
                <w:szCs w:val="17"/>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5"/>
                <w:szCs w:val="15"/>
                <w:color w:val="auto"/>
              </w:rPr>
              <w:t>(1,562)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8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Net loss</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Premiums Earned</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NI Holdings’ net premiums earned for the three months ended September 30, 2017 were slightly less than net premiums earned for the three months ended September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Continued growth in our personal lines of business was offset by slightly lower premiums in our multi-peril crop and crop hail insurance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40" w:name="page41"/>
    <w:bookmarkEnd w:id="4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Fee and Other Income</w:t>
      </w:r>
    </w:p>
    <w:p>
      <w:pPr>
        <w:spacing w:after="0" w:line="163" w:lineRule="exact"/>
        <w:rPr>
          <w:sz w:val="20"/>
          <w:szCs w:val="20"/>
          <w:color w:val="auto"/>
        </w:rPr>
      </w:pPr>
    </w:p>
    <w:p>
      <w:pPr>
        <w:ind w:right="80" w:firstLine="556"/>
        <w:spacing w:after="0" w:line="289" w:lineRule="auto"/>
        <w:rPr>
          <w:sz w:val="20"/>
          <w:szCs w:val="20"/>
          <w:color w:val="auto"/>
        </w:rPr>
      </w:pPr>
      <w:r>
        <w:rPr>
          <w:rFonts w:ascii="Arial" w:cs="Arial" w:eastAsia="Arial" w:hAnsi="Arial"/>
          <w:sz w:val="15"/>
          <w:szCs w:val="15"/>
          <w:color w:val="auto"/>
        </w:rPr>
        <w:t>NI Holdings had fee and other income of $752 for the three months ended September 30, 2017, compared to $680 for the three months ended September 30, 2016. Fee income is primarily related to the non-standard auto insurance business.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Investment Income</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our average cash and invested assets, investment income, and return on average cash and invested assets for the reported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spacing w:after="0"/>
              <w:rPr>
                <w:sz w:val="17"/>
                <w:szCs w:val="17"/>
                <w:color w:val="auto"/>
              </w:rPr>
            </w:pPr>
          </w:p>
        </w:tc>
        <w:tc>
          <w:tcPr>
            <w:tcW w:w="2640" w:type="dxa"/>
            <w:vAlign w:val="bottom"/>
            <w:gridSpan w:val="6"/>
          </w:tcPr>
          <w:p>
            <w:pPr>
              <w:jc w:val="right"/>
              <w:ind w:right="200"/>
              <w:spacing w:after="0"/>
              <w:rPr>
                <w:sz w:val="20"/>
                <w:szCs w:val="20"/>
                <w:color w:val="auto"/>
              </w:rPr>
            </w:pPr>
            <w:r>
              <w:rPr>
                <w:rFonts w:ascii="Arial" w:cs="Arial" w:eastAsia="Arial" w:hAnsi="Arial"/>
                <w:sz w:val="15"/>
                <w:szCs w:val="15"/>
                <w:b w:val="1"/>
                <w:bCs w:val="1"/>
                <w:color w:val="auto"/>
                <w:w w:val="94"/>
              </w:rPr>
              <w:t>Three Months Ended September 30,</w:t>
            </w:r>
          </w:p>
        </w:tc>
      </w:tr>
      <w:tr>
        <w:trPr>
          <w:trHeight w:val="189"/>
        </w:trPr>
        <w:tc>
          <w:tcPr>
            <w:tcW w:w="88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40" w:type="dxa"/>
            <w:vAlign w:val="bottom"/>
            <w:tcBorders>
              <w:bottom w:val="single" w:sz="8" w:color="CCEEFF"/>
            </w:tcBorders>
          </w:tcPr>
          <w:p>
            <w:pPr>
              <w:spacing w:after="0"/>
              <w:rPr>
                <w:sz w:val="16"/>
                <w:szCs w:val="16"/>
                <w:color w:val="auto"/>
              </w:rPr>
            </w:pPr>
          </w:p>
        </w:tc>
      </w:tr>
      <w:tr>
        <w:trPr>
          <w:trHeight w:val="177"/>
        </w:trPr>
        <w:tc>
          <w:tcPr>
            <w:tcW w:w="8800" w:type="dxa"/>
            <w:vAlign w:val="bottom"/>
            <w:shd w:val="clear" w:color="auto" w:fill="CCEEFF"/>
          </w:tcPr>
          <w:p>
            <w:pPr>
              <w:spacing w:after="0"/>
              <w:rPr>
                <w:sz w:val="20"/>
                <w:szCs w:val="20"/>
                <w:color w:val="auto"/>
              </w:rPr>
            </w:pPr>
            <w:r>
              <w:rPr>
                <w:rFonts w:ascii="Arial" w:cs="Arial" w:eastAsia="Arial" w:hAnsi="Arial"/>
                <w:sz w:val="15"/>
                <w:szCs w:val="15"/>
                <w:color w:val="auto"/>
              </w:rPr>
              <w:t>Average cash and invested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294,864</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202,496</w:t>
            </w:r>
          </w:p>
        </w:tc>
        <w:tc>
          <w:tcPr>
            <w:tcW w:w="140" w:type="dxa"/>
            <w:vAlign w:val="bottom"/>
            <w:shd w:val="clear" w:color="auto" w:fill="CCEEFF"/>
          </w:tcPr>
          <w:p>
            <w:pPr>
              <w:spacing w:after="0"/>
              <w:rPr>
                <w:sz w:val="15"/>
                <w:szCs w:val="15"/>
                <w:color w:val="auto"/>
              </w:rPr>
            </w:pPr>
          </w:p>
        </w:tc>
      </w:tr>
      <w:tr>
        <w:trPr>
          <w:trHeight w:val="185"/>
        </w:trPr>
        <w:tc>
          <w:tcPr>
            <w:tcW w:w="8800" w:type="dxa"/>
            <w:vAlign w:val="bottom"/>
          </w:tcPr>
          <w:p>
            <w:pPr>
              <w:spacing w:after="0"/>
              <w:rPr>
                <w:sz w:val="20"/>
                <w:szCs w:val="20"/>
                <w:color w:val="auto"/>
              </w:rPr>
            </w:pPr>
            <w:r>
              <w:rPr>
                <w:rFonts w:ascii="Arial" w:cs="Arial" w:eastAsia="Arial" w:hAnsi="Arial"/>
                <w:sz w:val="15"/>
                <w:szCs w:val="15"/>
                <w:color w:val="auto"/>
              </w:rPr>
              <w:t>Net investment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1,549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971</w:t>
            </w:r>
          </w:p>
        </w:tc>
      </w:tr>
      <w:tr>
        <w:trPr>
          <w:trHeight w:val="185"/>
        </w:trPr>
        <w:tc>
          <w:tcPr>
            <w:tcW w:w="8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Return on average cash and invested assets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w:t>
            </w:r>
          </w:p>
        </w:tc>
      </w:tr>
    </w:tbl>
    <w:p>
      <w:pPr>
        <w:spacing w:after="0" w:line="337" w:lineRule="exact"/>
        <w:rPr>
          <w:sz w:val="20"/>
          <w:szCs w:val="20"/>
          <w:color w:val="auto"/>
        </w:rPr>
      </w:pPr>
    </w:p>
    <w:p>
      <w:pPr>
        <w:jc w:val="both"/>
        <w:ind w:right="60" w:firstLine="556"/>
        <w:spacing w:after="0" w:line="268" w:lineRule="auto"/>
        <w:rPr>
          <w:sz w:val="20"/>
          <w:szCs w:val="20"/>
          <w:color w:val="auto"/>
        </w:rPr>
      </w:pPr>
      <w:r>
        <w:rPr>
          <w:rFonts w:ascii="Arial" w:cs="Arial" w:eastAsia="Arial" w:hAnsi="Arial"/>
          <w:sz w:val="15"/>
          <w:szCs w:val="15"/>
          <w:color w:val="auto"/>
        </w:rPr>
        <w:t>Investment income, net of investment expense, increased $578 for the three months ended September 30, 2017 compared to 2016. This increase is attributable to an increase in invested assets, as cash and investments increased to $286,182 at September 30, 2017 from $193,891 at September 30, 2016. The weighted average yield on invested assets increased to 2.1% for the three months ended September 30, 2017 from 1.9% for the three months ended September 30, 2016. The 2017 average cash and invested assets increased primarily due to the net proceeds received from issuance of common stock of NI Holdings on March 13, 2017.</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Realized Capital Gain on Investments</w:t>
      </w:r>
    </w:p>
    <w:p>
      <w:pPr>
        <w:spacing w:after="0" w:line="163" w:lineRule="exact"/>
        <w:rPr>
          <w:sz w:val="20"/>
          <w:szCs w:val="20"/>
          <w:color w:val="auto"/>
        </w:rPr>
      </w:pPr>
    </w:p>
    <w:p>
      <w:pPr>
        <w:ind w:right="80" w:firstLine="556"/>
        <w:spacing w:after="0" w:line="289" w:lineRule="auto"/>
        <w:rPr>
          <w:sz w:val="20"/>
          <w:szCs w:val="20"/>
          <w:color w:val="auto"/>
        </w:rPr>
      </w:pPr>
      <w:r>
        <w:rPr>
          <w:rFonts w:ascii="Arial" w:cs="Arial" w:eastAsia="Arial" w:hAnsi="Arial"/>
          <w:sz w:val="15"/>
          <w:szCs w:val="15"/>
          <w:color w:val="auto"/>
        </w:rPr>
        <w:t>NI Holdings had net realized capital gain on investments of $1,885 for the three months ended September 30, 2017, compared to $4,996 for the three months ended September 30, 2016.</w:t>
      </w:r>
    </w:p>
    <w:p>
      <w:pPr>
        <w:spacing w:after="0" w:line="117" w:lineRule="exact"/>
        <w:rPr>
          <w:sz w:val="20"/>
          <w:szCs w:val="20"/>
          <w:color w:val="auto"/>
        </w:rPr>
      </w:pPr>
    </w:p>
    <w:p>
      <w:pPr>
        <w:ind w:right="20" w:firstLine="556"/>
        <w:spacing w:after="0" w:line="334" w:lineRule="auto"/>
        <w:rPr>
          <w:sz w:val="20"/>
          <w:szCs w:val="20"/>
          <w:color w:val="auto"/>
        </w:rPr>
      </w:pPr>
      <w:r>
        <w:rPr>
          <w:rFonts w:ascii="Arial" w:cs="Arial" w:eastAsia="Arial" w:hAnsi="Arial"/>
          <w:sz w:val="13"/>
          <w:szCs w:val="13"/>
          <w:color w:val="auto"/>
        </w:rPr>
        <w:t>NI Holdings’ fixed income securities and equity securities are classified as available for sale because it will, from time to time, make sales of securities that are not impaired, consistent with our investment goals and policies. At September 30, 2017, the Company had net unrealized gains on fixed income securities of $3,137 and net unrealized gains on equity securities of $15,028. At December 30, 2016, the Company had net unrealized gains on fixed income securities of $1,210 and net unrealized gains on equity securities of $14,406.</w:t>
      </w:r>
    </w:p>
    <w:p>
      <w:pPr>
        <w:spacing w:after="0" w:line="82" w:lineRule="exact"/>
        <w:rPr>
          <w:sz w:val="20"/>
          <w:szCs w:val="20"/>
          <w:color w:val="auto"/>
        </w:rPr>
      </w:pPr>
    </w:p>
    <w:p>
      <w:pPr>
        <w:ind w:right="20" w:firstLine="556"/>
        <w:spacing w:after="0" w:line="273" w:lineRule="auto"/>
        <w:rPr>
          <w:sz w:val="20"/>
          <w:szCs w:val="20"/>
          <w:color w:val="auto"/>
        </w:rPr>
      </w:pPr>
      <w:r>
        <w:rPr>
          <w:rFonts w:ascii="Arial" w:cs="Arial" w:eastAsia="Arial" w:hAnsi="Arial"/>
          <w:sz w:val="15"/>
          <w:szCs w:val="15"/>
          <w:color w:val="auto"/>
        </w:rPr>
        <w:t>NI Holdings has evaluated each security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it will not recover the entire amortized cost basis.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Underwriting Income (Loss)</w:t>
      </w:r>
    </w:p>
    <w:p>
      <w:pPr>
        <w:spacing w:after="0" w:line="175" w:lineRule="exact"/>
        <w:rPr>
          <w:sz w:val="20"/>
          <w:szCs w:val="20"/>
          <w:color w:val="auto"/>
        </w:rPr>
      </w:pPr>
    </w:p>
    <w:p>
      <w:pPr>
        <w:ind w:right="40" w:firstLine="556"/>
        <w:spacing w:after="0" w:line="268" w:lineRule="auto"/>
        <w:rPr>
          <w:sz w:val="20"/>
          <w:szCs w:val="20"/>
          <w:color w:val="auto"/>
        </w:rPr>
      </w:pPr>
      <w:r>
        <w:rPr>
          <w:rFonts w:ascii="Arial" w:cs="Arial" w:eastAsia="Arial" w:hAnsi="Arial"/>
          <w:sz w:val="15"/>
          <w:szCs w:val="15"/>
          <w:color w:val="auto"/>
        </w:rPr>
        <w:t>As discussed above, NI Holdings evaluates its insurance operations by monitoring certain key measures of growth and profitability. In addition to using GAAP based performance measurements, NI Holdings also utilizes certain non-GAAP financial measures that are used widely in the property and casualty insurance industry and that it believes are valuable in managing its business and for comparison to its peers. These non-GAAP measures are underwriting income (loss), expense ratio, loss and LAE ratio, combined ratio, written premiums, net written premiums to statutory surplus ratio, and return on average equity.</w:t>
      </w:r>
    </w:p>
    <w:p>
      <w:pPr>
        <w:spacing w:after="0" w:line="121" w:lineRule="exact"/>
        <w:rPr>
          <w:sz w:val="20"/>
          <w:szCs w:val="20"/>
          <w:color w:val="auto"/>
        </w:rPr>
      </w:pPr>
    </w:p>
    <w:p>
      <w:pPr>
        <w:ind w:right="80" w:firstLine="556"/>
        <w:spacing w:after="0" w:line="268" w:lineRule="auto"/>
        <w:rPr>
          <w:sz w:val="20"/>
          <w:szCs w:val="20"/>
          <w:color w:val="auto"/>
        </w:rPr>
      </w:pPr>
      <w:r>
        <w:rPr>
          <w:rFonts w:ascii="Arial" w:cs="Arial" w:eastAsia="Arial" w:hAnsi="Arial"/>
          <w:sz w:val="15"/>
          <w:szCs w:val="15"/>
          <w:color w:val="auto"/>
        </w:rPr>
        <w:t>Underwriting income (loss) measures the pretax profitability of the Company’s insurance business. It is derived by subtracting losses and LAE, amortization of deferred policy acquisition costs, and other underwriting and general expenses from net premiums earned. Each of these captions is presented in our consolidated statements of operations but not subtotaled. The sections below provide more insight into the variances in the categories of losses and LAE and amortization of deferred policy acquisition costs and other underwriting and general expenses, which impact underwriting profitability.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Losses and LAE</w:t>
      </w:r>
    </w:p>
    <w:p>
      <w:pPr>
        <w:spacing w:after="0" w:line="175" w:lineRule="exact"/>
        <w:rPr>
          <w:sz w:val="20"/>
          <w:szCs w:val="20"/>
          <w:color w:val="auto"/>
        </w:rPr>
      </w:pPr>
    </w:p>
    <w:p>
      <w:pPr>
        <w:ind w:right="20" w:firstLine="556"/>
        <w:spacing w:after="0" w:line="289" w:lineRule="auto"/>
        <w:rPr>
          <w:sz w:val="20"/>
          <w:szCs w:val="20"/>
          <w:color w:val="auto"/>
        </w:rPr>
      </w:pPr>
      <w:r>
        <w:rPr>
          <w:rFonts w:ascii="Arial" w:cs="Arial" w:eastAsia="Arial" w:hAnsi="Arial"/>
          <w:sz w:val="14"/>
          <w:szCs w:val="14"/>
          <w:color w:val="auto"/>
        </w:rPr>
        <w:t>NI Holdings’ loss and LAE ratio decreased to 94.4% in the three months ended September 30, 2017, compared to 96.3% in the same period of 2016, due primarily to decreased weather related losses on its personal insurance line of products and partially offset by higher expected experience on multi-peril crop insurance in 2017. A very dry start to the 2017 growing season has pushed our losses and LAE expectations for the multi-peril crop business to be much higher than a year ago. This dynamic results in a higher level of premium retention under the risk-sharing arrangement with the federal government, but it also equates to a higher anticipated loss ratio on those premiums for the current year. In addition, the assumed book of business was adversely impacted by hurricanes Harvey, Irma, and Maria which occurred during third quarter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41" w:name="page42"/>
    <w:bookmarkEnd w:id="4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firstLine="556"/>
        <w:spacing w:after="0" w:line="268" w:lineRule="auto"/>
        <w:rPr>
          <w:sz w:val="20"/>
          <w:szCs w:val="20"/>
          <w:color w:val="auto"/>
        </w:rPr>
      </w:pPr>
      <w:r>
        <w:rPr>
          <w:rFonts w:ascii="Arial" w:cs="Arial" w:eastAsia="Arial" w:hAnsi="Arial"/>
          <w:sz w:val="15"/>
          <w:szCs w:val="15"/>
          <w:color w:val="auto"/>
        </w:rPr>
        <w:t>NI Holdings realized favorable development on prior accident years of $1,683 in the three months ended September 30, 2017, compared to $4,756 of favorable development on prior accident years realized during the twelve months ended December 31, 2016.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Amortization of Deferred Policy Acquisition Costs and Other Underwriting and General Expenses</w:t>
      </w:r>
    </w:p>
    <w:p>
      <w:pPr>
        <w:spacing w:after="0" w:line="175" w:lineRule="exact"/>
        <w:rPr>
          <w:sz w:val="20"/>
          <w:szCs w:val="20"/>
          <w:color w:val="auto"/>
        </w:rPr>
      </w:pPr>
    </w:p>
    <w:p>
      <w:pPr>
        <w:jc w:val="both"/>
        <w:ind w:right="100" w:firstLine="556"/>
        <w:spacing w:after="0" w:line="273" w:lineRule="auto"/>
        <w:rPr>
          <w:sz w:val="20"/>
          <w:szCs w:val="20"/>
          <w:color w:val="auto"/>
        </w:rPr>
      </w:pPr>
      <w:r>
        <w:rPr>
          <w:rFonts w:ascii="Arial" w:cs="Arial" w:eastAsia="Arial" w:hAnsi="Arial"/>
          <w:sz w:val="15"/>
          <w:szCs w:val="15"/>
          <w:color w:val="auto"/>
        </w:rPr>
        <w:t>Total underwriting and general expenses, including amortization of deferred policy acquisition costs, decreased $935 in the three months ended September 30, 2017, or 8.4%, compared to the three months ended September 30, 2016. This decrease was primarily due to lower consulting and service fees. The expense ratio of 19.5% for the three months ended September 30, 2017 was 1.7% less than the same period of 2016.</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Income (Loss) Before Income Taxes</w:t>
      </w:r>
    </w:p>
    <w:p>
      <w:pPr>
        <w:spacing w:after="0" w:line="163" w:lineRule="exact"/>
        <w:rPr>
          <w:sz w:val="20"/>
          <w:szCs w:val="20"/>
          <w:color w:val="auto"/>
        </w:rPr>
      </w:pPr>
    </w:p>
    <w:p>
      <w:pPr>
        <w:jc w:val="both"/>
        <w:ind w:right="160" w:firstLine="556"/>
        <w:spacing w:after="0" w:line="302" w:lineRule="auto"/>
        <w:rPr>
          <w:sz w:val="20"/>
          <w:szCs w:val="20"/>
          <w:color w:val="auto"/>
        </w:rPr>
      </w:pPr>
      <w:r>
        <w:rPr>
          <w:rFonts w:ascii="Arial" w:cs="Arial" w:eastAsia="Arial" w:hAnsi="Arial"/>
          <w:sz w:val="14"/>
          <w:szCs w:val="14"/>
          <w:color w:val="auto"/>
        </w:rPr>
        <w:t>For the three months ended September 30, 2017, NI Holdings had pre-tax loss of $3,125 compared to pre-tax loss of $2,561 for the three months ended September 30, 2016. The deterioration in the pre-tax results was attributable to $3,111 less in net realized capital gain on investments during the three months ended September 30, 2017, partially offset by an improved loss and LAE ratio in its personal insurance lines of business in 2017 caused primarily by a lower number of weather-related losses in 2017.</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Income Taxes</w:t>
      </w:r>
    </w:p>
    <w:p>
      <w:pPr>
        <w:spacing w:after="0" w:line="163" w:lineRule="exact"/>
        <w:rPr>
          <w:sz w:val="20"/>
          <w:szCs w:val="20"/>
          <w:color w:val="auto"/>
        </w:rPr>
      </w:pPr>
    </w:p>
    <w:p>
      <w:pPr>
        <w:ind w:right="60" w:firstLine="556"/>
        <w:spacing w:after="0" w:line="273" w:lineRule="auto"/>
        <w:rPr>
          <w:sz w:val="20"/>
          <w:szCs w:val="20"/>
          <w:color w:val="auto"/>
        </w:rPr>
      </w:pPr>
      <w:r>
        <w:rPr>
          <w:rFonts w:ascii="Arial" w:cs="Arial" w:eastAsia="Arial" w:hAnsi="Arial"/>
          <w:sz w:val="15"/>
          <w:szCs w:val="15"/>
          <w:color w:val="auto"/>
        </w:rPr>
        <w:t>NI Holdings recorded income tax benefit of $432 for the three months ended September 30, 2017, compared to $1,562 of income tax benefit for the three months ended September 30, 2016. The current income tax benefit was impacted by $568 of additional tax expense related to the handling of expenses associated with the Company’s mutual to stock conversion and initial public offering.</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Income (Loss)</w:t>
      </w:r>
    </w:p>
    <w:p>
      <w:pPr>
        <w:spacing w:after="0" w:line="175" w:lineRule="exact"/>
        <w:rPr>
          <w:sz w:val="20"/>
          <w:szCs w:val="20"/>
          <w:color w:val="auto"/>
        </w:rPr>
      </w:pPr>
    </w:p>
    <w:p>
      <w:pPr>
        <w:ind w:right="20" w:firstLine="556"/>
        <w:spacing w:after="0" w:line="273" w:lineRule="auto"/>
        <w:rPr>
          <w:sz w:val="20"/>
          <w:szCs w:val="20"/>
          <w:color w:val="auto"/>
        </w:rPr>
      </w:pPr>
      <w:r>
        <w:rPr>
          <w:rFonts w:ascii="Arial" w:cs="Arial" w:eastAsia="Arial" w:hAnsi="Arial"/>
          <w:sz w:val="15"/>
          <w:szCs w:val="15"/>
          <w:color w:val="auto"/>
        </w:rPr>
        <w:t>For the three months ended September 30, 2017, NI Holdings had net loss after non-controlling interest of $2,733 compared to a net loss after non-controlling interest of $997 for the three months ended September 30, 2016. This increase in net loss was primarily attributable to less net realized capital gain on investment and the additional income tax expense, partially offset by an improved loss and LAE ratio in the personal insurance lines of business.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Return on Average Equity</w:t>
      </w:r>
    </w:p>
    <w:p>
      <w:pPr>
        <w:spacing w:after="0" w:line="163" w:lineRule="exact"/>
        <w:rPr>
          <w:sz w:val="20"/>
          <w:szCs w:val="20"/>
          <w:color w:val="auto"/>
        </w:rPr>
      </w:pPr>
    </w:p>
    <w:p>
      <w:pPr>
        <w:jc w:val="both"/>
        <w:ind w:right="160" w:firstLine="556"/>
        <w:spacing w:after="0" w:line="273" w:lineRule="auto"/>
        <w:rPr>
          <w:sz w:val="20"/>
          <w:szCs w:val="20"/>
          <w:color w:val="auto"/>
        </w:rPr>
      </w:pPr>
      <w:r>
        <w:rPr>
          <w:rFonts w:ascii="Arial" w:cs="Arial" w:eastAsia="Arial" w:hAnsi="Arial"/>
          <w:sz w:val="15"/>
          <w:szCs w:val="15"/>
          <w:color w:val="auto"/>
        </w:rPr>
        <w:t>For the three months ended September 30, 2017, NI Holdings had annualized return on average equity, after non-controlling interest, of -4.6% compared to annualized return on average equity, after non-controlling interest, of -2.6% for the three months ended September 30, 2016. Average equity is calculated as the average between beginning and ending equity excluding non-controlling interest for the three month periods.</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Mandatory Assumed Reinsurance</w:t>
      </w:r>
    </w:p>
    <w:p>
      <w:pPr>
        <w:spacing w:after="0" w:line="163" w:lineRule="exact"/>
        <w:rPr>
          <w:sz w:val="20"/>
          <w:szCs w:val="20"/>
          <w:color w:val="auto"/>
        </w:rPr>
      </w:pPr>
    </w:p>
    <w:p>
      <w:pPr>
        <w:jc w:val="both"/>
        <w:ind w:right="220" w:firstLine="556"/>
        <w:spacing w:after="0" w:line="273" w:lineRule="auto"/>
        <w:rPr>
          <w:sz w:val="20"/>
          <w:szCs w:val="20"/>
          <w:color w:val="auto"/>
        </w:rPr>
      </w:pPr>
      <w:r>
        <w:rPr>
          <w:rFonts w:ascii="Arial" w:cs="Arial" w:eastAsia="Arial" w:hAnsi="Arial"/>
          <w:sz w:val="15"/>
          <w:szCs w:val="15"/>
          <w:color w:val="auto"/>
        </w:rPr>
        <w:t>NI Holdings is required to participate in the North Dakota Insurance Guaranty Association (NDIGA), which was formed to pay claims on policies issued by insolvent North Dakota licensed property and casualty insurers. Each North Dakota licensed property and casualty insurer pays NDIGA an annual assessment based on its direct premiums written in North Dakota. NI Holdings paid no assessments in the three month periods ended September 30, 2017 and 2016.</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gridSpan w:val="2"/>
          </w:tcPr>
          <w:p>
            <w:pPr>
              <w:spacing w:after="0"/>
              <w:rPr>
                <w:rFonts w:ascii="Arial" w:cs="Arial" w:eastAsia="Arial" w:hAnsi="Arial"/>
                <w:sz w:val="15"/>
                <w:szCs w:val="15"/>
                <w:i w:val="1"/>
                <w:iCs w:val="1"/>
                <w:color w:val="0000EE"/>
                <w:w w:val="89"/>
              </w:rPr>
            </w:pPr>
            <w:hyperlink w:anchor="page2">
              <w:r>
                <w:rPr>
                  <w:rFonts w:ascii="Arial" w:cs="Arial" w:eastAsia="Arial" w:hAnsi="Arial"/>
                  <w:sz w:val="15"/>
                  <w:szCs w:val="15"/>
                  <w:i w:val="1"/>
                  <w:iCs w:val="1"/>
                  <w:color w:val="0000EE"/>
                  <w:w w:val="89"/>
                </w:rPr>
                <w:t>Table of Contents</w:t>
              </w:r>
            </w:hyperlink>
          </w:p>
        </w:tc>
        <w:tc>
          <w:tcPr>
            <w:tcW w:w="7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6"/>
        </w:trPr>
        <w:tc>
          <w:tcPr>
            <w:tcW w:w="8800" w:type="dxa"/>
            <w:vAlign w:val="bottom"/>
            <w:gridSpan w:val="4"/>
          </w:tcPr>
          <w:p>
            <w:pPr>
              <w:spacing w:after="0"/>
              <w:rPr>
                <w:sz w:val="20"/>
                <w:szCs w:val="20"/>
                <w:color w:val="auto"/>
              </w:rPr>
            </w:pPr>
            <w:r>
              <w:rPr>
                <w:rFonts w:ascii="Arial" w:cs="Arial" w:eastAsia="Arial" w:hAnsi="Arial"/>
                <w:sz w:val="15"/>
                <w:szCs w:val="15"/>
                <w:color w:val="auto"/>
              </w:rPr>
              <w:t>Nine Months ended September 30, 2017 and 2016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8780" w:type="dxa"/>
            <w:vAlign w:val="bottom"/>
            <w:gridSpan w:val="3"/>
          </w:tcPr>
          <w:p>
            <w:pPr>
              <w:ind w:left="520"/>
              <w:spacing w:after="0"/>
              <w:rPr>
                <w:sz w:val="20"/>
                <w:szCs w:val="20"/>
                <w:color w:val="auto"/>
              </w:rPr>
            </w:pPr>
            <w:r>
              <w:rPr>
                <w:rFonts w:ascii="Arial" w:cs="Arial" w:eastAsia="Arial" w:hAnsi="Arial"/>
                <w:sz w:val="15"/>
                <w:szCs w:val="15"/>
                <w:color w:val="auto"/>
              </w:rPr>
              <w:t>The major components of NI Holdings’ operating revenues and net income are as follows: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800" w:type="dxa"/>
            <w:vAlign w:val="bottom"/>
            <w:gridSpan w:val="4"/>
          </w:tcPr>
          <w:p>
            <w:pPr>
              <w:spacing w:after="0"/>
              <w:rPr>
                <w:sz w:val="20"/>
                <w:szCs w:val="20"/>
                <w:color w:val="auto"/>
              </w:rPr>
            </w:pPr>
            <w:r>
              <w:rPr>
                <w:rFonts w:ascii="Arial" w:cs="Arial" w:eastAsia="Arial" w:hAnsi="Arial"/>
                <w:sz w:val="15"/>
                <w:szCs w:val="15"/>
                <w:color w:val="auto"/>
              </w:rPr>
              <w:t>Revenues: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premiums earned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130,987</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119,890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3"/>
          </w:tcPr>
          <w:p>
            <w:pPr>
              <w:ind w:left="14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1,420</w:t>
            </w: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1,492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investment income</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4,139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3"/>
          </w:tcPr>
          <w:p>
            <w:pPr>
              <w:ind w:left="140"/>
              <w:spacing w:after="0"/>
              <w:rPr>
                <w:sz w:val="20"/>
                <w:szCs w:val="20"/>
                <w:color w:val="auto"/>
              </w:rPr>
            </w:pPr>
            <w:r>
              <w:rPr>
                <w:rFonts w:ascii="Arial" w:cs="Arial" w:eastAsia="Arial" w:hAnsi="Arial"/>
                <w:sz w:val="15"/>
                <w:szCs w:val="15"/>
                <w:color w:val="auto"/>
              </w:rPr>
              <w:t>Net realized capital gain on investments</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2,840</w:t>
            </w: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5,215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139,386</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129,883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Components of net income:</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3"/>
          </w:tcPr>
          <w:p>
            <w:pPr>
              <w:ind w:left="140"/>
              <w:spacing w:after="0"/>
              <w:rPr>
                <w:sz w:val="20"/>
                <w:szCs w:val="20"/>
                <w:color w:val="auto"/>
              </w:rPr>
            </w:pPr>
            <w:r>
              <w:rPr>
                <w:rFonts w:ascii="Arial" w:cs="Arial" w:eastAsia="Arial" w:hAnsi="Arial"/>
                <w:sz w:val="15"/>
                <w:szCs w:val="15"/>
                <w:color w:val="auto"/>
              </w:rPr>
              <w:t>Net premiums earned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130,987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119,890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Losses and loss adjustment expenses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103,550</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93,260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80" w:type="dxa"/>
            <w:vAlign w:val="bottom"/>
            <w:gridSpan w:val="3"/>
          </w:tcPr>
          <w:p>
            <w:pPr>
              <w:ind w:left="140"/>
              <w:spacing w:after="0"/>
              <w:rPr>
                <w:sz w:val="20"/>
                <w:szCs w:val="20"/>
                <w:color w:val="auto"/>
              </w:rPr>
            </w:pPr>
            <w:r>
              <w:rPr>
                <w:rFonts w:ascii="Arial" w:cs="Arial" w:eastAsia="Arial" w:hAnsi="Arial"/>
                <w:sz w:val="15"/>
                <w:szCs w:val="15"/>
                <w:color w:val="auto"/>
              </w:rPr>
              <w:t>Amortization of deferred policy acquisition costs and other underwriting and</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gridSpan w:val="3"/>
          </w:tcPr>
          <w:p>
            <w:pPr>
              <w:ind w:left="140"/>
              <w:spacing w:after="0"/>
              <w:rPr>
                <w:sz w:val="20"/>
                <w:szCs w:val="20"/>
                <w:color w:val="auto"/>
              </w:rPr>
            </w:pPr>
            <w:r>
              <w:rPr>
                <w:rFonts w:ascii="Arial" w:cs="Arial" w:eastAsia="Arial" w:hAnsi="Arial"/>
                <w:sz w:val="15"/>
                <w:szCs w:val="15"/>
                <w:color w:val="auto"/>
              </w:rPr>
              <w:t>general expenses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31,969</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32,148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Underwriting loss</w:t>
            </w: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(4,532)</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(5,518)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3"/>
          </w:tcPr>
          <w:p>
            <w:pPr>
              <w:ind w:left="14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1,420</w:t>
            </w: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1,492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investment income</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4,139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gridSpan w:val="3"/>
          </w:tcPr>
          <w:p>
            <w:pPr>
              <w:ind w:left="140"/>
              <w:spacing w:after="0"/>
              <w:rPr>
                <w:sz w:val="20"/>
                <w:szCs w:val="20"/>
                <w:color w:val="auto"/>
              </w:rPr>
            </w:pPr>
            <w:r>
              <w:rPr>
                <w:rFonts w:ascii="Arial" w:cs="Arial" w:eastAsia="Arial" w:hAnsi="Arial"/>
                <w:sz w:val="15"/>
                <w:szCs w:val="15"/>
                <w:color w:val="auto"/>
              </w:rPr>
              <w:t>Net realized capital gain on investments</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2,840</w:t>
            </w: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5,215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780" w:type="dxa"/>
            <w:vAlign w:val="bottom"/>
            <w:tcBorders>
              <w:top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Income before income taxes</w:t>
            </w: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3,867</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80" w:type="dxa"/>
            <w:vAlign w:val="bottom"/>
            <w:tcBorders>
              <w:bottom w:val="single" w:sz="8" w:color="CCEEFF"/>
            </w:tcBorders>
            <w:gridSpan w:val="3"/>
          </w:tcPr>
          <w:p>
            <w:pPr>
              <w:ind w:left="140"/>
              <w:spacing w:after="0"/>
              <w:rPr>
                <w:sz w:val="20"/>
                <w:szCs w:val="20"/>
                <w:color w:val="auto"/>
              </w:rPr>
            </w:pPr>
            <w:r>
              <w:rPr>
                <w:rFonts w:ascii="Arial" w:cs="Arial" w:eastAsia="Arial" w:hAnsi="Arial"/>
                <w:sz w:val="15"/>
                <w:szCs w:val="15"/>
                <w:color w:val="auto"/>
              </w:rPr>
              <w:t>Income taxes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1,694</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8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2,173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Premiums Earned</w:t>
      </w:r>
    </w:p>
    <w:p>
      <w:pPr>
        <w:spacing w:after="0" w:line="163" w:lineRule="exact"/>
        <w:rPr>
          <w:sz w:val="20"/>
          <w:szCs w:val="20"/>
          <w:color w:val="auto"/>
        </w:rPr>
      </w:pPr>
    </w:p>
    <w:p>
      <w:pPr>
        <w:ind w:right="280" w:firstLine="556"/>
        <w:spacing w:after="0" w:line="289" w:lineRule="auto"/>
        <w:rPr>
          <w:sz w:val="20"/>
          <w:szCs w:val="20"/>
          <w:color w:val="auto"/>
        </w:rPr>
      </w:pPr>
      <w:r>
        <w:rPr>
          <w:rFonts w:ascii="Arial" w:cs="Arial" w:eastAsia="Arial" w:hAnsi="Arial"/>
          <w:sz w:val="15"/>
          <w:szCs w:val="15"/>
          <w:color w:val="auto"/>
        </w:rPr>
        <w:t>NI Holdings’ net premiums earned increased 9.3% for the nine months ended September 30, 2017 compared to the nine months ended September 30, 2016 primarily due to continued growth in our personal insurance lines of business and higher retention of premiums in our multi-peril crop insurance business.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Fee and Other Income</w:t>
      </w:r>
    </w:p>
    <w:p>
      <w:pPr>
        <w:spacing w:after="0" w:line="163" w:lineRule="exact"/>
        <w:rPr>
          <w:sz w:val="20"/>
          <w:szCs w:val="20"/>
          <w:color w:val="auto"/>
        </w:rPr>
      </w:pPr>
    </w:p>
    <w:p>
      <w:pPr>
        <w:ind w:right="440" w:firstLine="556"/>
        <w:spacing w:after="0" w:line="289" w:lineRule="auto"/>
        <w:rPr>
          <w:sz w:val="20"/>
          <w:szCs w:val="20"/>
          <w:color w:val="auto"/>
        </w:rPr>
      </w:pPr>
      <w:r>
        <w:rPr>
          <w:rFonts w:ascii="Arial" w:cs="Arial" w:eastAsia="Arial" w:hAnsi="Arial"/>
          <w:sz w:val="15"/>
          <w:szCs w:val="15"/>
          <w:color w:val="auto"/>
        </w:rPr>
        <w:t>NI Holdings had fee and other income of $1,420 for the nine months ended September 30, 2017, compared to $1,492 for the nine months ended September 30, 2016. Fee income is primarily related to the non-standard auto insurance business.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Investment Income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our average cash and invested assets, investment income, and return on average cash and invested assets for the reported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5"/>
          </w:tcPr>
          <w:p>
            <w:pPr>
              <w:jc w:val="right"/>
              <w:ind w:right="240"/>
              <w:spacing w:after="0"/>
              <w:rPr>
                <w:sz w:val="20"/>
                <w:szCs w:val="20"/>
                <w:color w:val="auto"/>
              </w:rPr>
            </w:pPr>
            <w:r>
              <w:rPr>
                <w:rFonts w:ascii="Arial" w:cs="Arial" w:eastAsia="Arial" w:hAnsi="Arial"/>
                <w:sz w:val="15"/>
                <w:szCs w:val="15"/>
                <w:b w:val="1"/>
                <w:bCs w:val="1"/>
                <w:color w:val="auto"/>
                <w:w w:val="92"/>
              </w:rPr>
              <w:t>Nine Months Ended September 30,</w:t>
            </w:r>
          </w:p>
        </w:tc>
      </w:tr>
      <w:tr>
        <w:trPr>
          <w:trHeight w:val="189"/>
        </w:trPr>
        <w:tc>
          <w:tcPr>
            <w:tcW w:w="88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40" w:type="dxa"/>
            <w:vAlign w:val="bottom"/>
            <w:tcBorders>
              <w:bottom w:val="single" w:sz="8" w:color="CCEEFF"/>
            </w:tcBorders>
          </w:tcPr>
          <w:p>
            <w:pPr>
              <w:spacing w:after="0"/>
              <w:rPr>
                <w:sz w:val="16"/>
                <w:szCs w:val="16"/>
                <w:color w:val="auto"/>
              </w:rPr>
            </w:pPr>
          </w:p>
        </w:tc>
      </w:tr>
      <w:tr>
        <w:trPr>
          <w:trHeight w:val="177"/>
        </w:trPr>
        <w:tc>
          <w:tcPr>
            <w:tcW w:w="8800" w:type="dxa"/>
            <w:vAlign w:val="bottom"/>
            <w:shd w:val="clear" w:color="auto" w:fill="CCEEFF"/>
          </w:tcPr>
          <w:p>
            <w:pPr>
              <w:spacing w:after="0"/>
              <w:rPr>
                <w:sz w:val="20"/>
                <w:szCs w:val="20"/>
                <w:color w:val="auto"/>
              </w:rPr>
            </w:pPr>
            <w:r>
              <w:rPr>
                <w:rFonts w:ascii="Arial" w:cs="Arial" w:eastAsia="Arial" w:hAnsi="Arial"/>
                <w:sz w:val="15"/>
                <w:szCs w:val="15"/>
                <w:color w:val="auto"/>
              </w:rPr>
              <w:t>Average cash and invested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246,930</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195,842</w:t>
            </w:r>
          </w:p>
        </w:tc>
        <w:tc>
          <w:tcPr>
            <w:tcW w:w="140" w:type="dxa"/>
            <w:vAlign w:val="bottom"/>
            <w:shd w:val="clear" w:color="auto" w:fill="CCEEFF"/>
          </w:tcPr>
          <w:p>
            <w:pPr>
              <w:spacing w:after="0"/>
              <w:rPr>
                <w:sz w:val="15"/>
                <w:szCs w:val="15"/>
                <w:color w:val="auto"/>
              </w:rPr>
            </w:pPr>
          </w:p>
        </w:tc>
      </w:tr>
      <w:tr>
        <w:trPr>
          <w:trHeight w:val="185"/>
        </w:trPr>
        <w:tc>
          <w:tcPr>
            <w:tcW w:w="8800" w:type="dxa"/>
            <w:vAlign w:val="bottom"/>
          </w:tcPr>
          <w:p>
            <w:pPr>
              <w:spacing w:after="0"/>
              <w:rPr>
                <w:sz w:val="20"/>
                <w:szCs w:val="20"/>
                <w:color w:val="auto"/>
              </w:rPr>
            </w:pPr>
            <w:r>
              <w:rPr>
                <w:rFonts w:ascii="Arial" w:cs="Arial" w:eastAsia="Arial" w:hAnsi="Arial"/>
                <w:sz w:val="15"/>
                <w:szCs w:val="15"/>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4,139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3,286</w:t>
            </w:r>
          </w:p>
        </w:tc>
      </w:tr>
      <w:tr>
        <w:trPr>
          <w:trHeight w:val="185"/>
        </w:trPr>
        <w:tc>
          <w:tcPr>
            <w:tcW w:w="8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Return on average cash and invested assets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w:t>
            </w:r>
          </w:p>
        </w:tc>
      </w:tr>
    </w:tbl>
    <w:p>
      <w:pPr>
        <w:spacing w:after="0" w:line="325"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Investment income, net of investment expense, increased $853 for the nine months ended September 30, 2017 compared to 2016. This increase is attributable to an increase in invested assets, as cash and investments increased to $286,182 at September 30, 2017 from $193,891 at September 30, 2016. The weighted average yield on invested assets was 2.2% for both the nine months ended September 30, 2017 and 2016. The 2017 average cash and invested assets increased primarily due to the net proceeds received from issuance of common stock of NI Holdings on March 13, 2017.</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Realized Capital Gain on Investments</w:t>
      </w:r>
    </w:p>
    <w:p>
      <w:pPr>
        <w:spacing w:after="0" w:line="163" w:lineRule="exact"/>
        <w:rPr>
          <w:sz w:val="20"/>
          <w:szCs w:val="20"/>
          <w:color w:val="auto"/>
        </w:rPr>
      </w:pPr>
    </w:p>
    <w:p>
      <w:pPr>
        <w:ind w:right="180" w:firstLine="556"/>
        <w:spacing w:after="0" w:line="289" w:lineRule="auto"/>
        <w:rPr>
          <w:sz w:val="20"/>
          <w:szCs w:val="20"/>
          <w:color w:val="auto"/>
        </w:rPr>
      </w:pPr>
      <w:r>
        <w:rPr>
          <w:rFonts w:ascii="Arial" w:cs="Arial" w:eastAsia="Arial" w:hAnsi="Arial"/>
          <w:sz w:val="15"/>
          <w:szCs w:val="15"/>
          <w:color w:val="auto"/>
        </w:rPr>
        <w:t>NI Holdings had net realized capital gain on investments of $2,840 for the nine months ended September 30, 2017, compared to $5,215 for the nine months ended September 30, 2016.</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Underwriting Income (Loss)</w:t>
      </w:r>
    </w:p>
    <w:p>
      <w:pPr>
        <w:spacing w:after="0" w:line="175" w:lineRule="exact"/>
        <w:rPr>
          <w:sz w:val="20"/>
          <w:szCs w:val="20"/>
          <w:color w:val="auto"/>
        </w:rPr>
      </w:pPr>
    </w:p>
    <w:p>
      <w:pPr>
        <w:ind w:right="400" w:firstLine="556"/>
        <w:spacing w:after="0" w:line="289" w:lineRule="auto"/>
        <w:rPr>
          <w:sz w:val="20"/>
          <w:szCs w:val="20"/>
          <w:color w:val="auto"/>
        </w:rPr>
      </w:pPr>
      <w:r>
        <w:rPr>
          <w:rFonts w:ascii="Arial" w:cs="Arial" w:eastAsia="Arial" w:hAnsi="Arial"/>
          <w:sz w:val="15"/>
          <w:szCs w:val="15"/>
          <w:color w:val="auto"/>
        </w:rPr>
        <w:t>As previously discussed, NI Holdings evaluates its insurance operations by monitoring certain key measures of growth and profitability. In addition to using GAAP based performance measurements, NI Holdings also utilizes certain non-GAAP financial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10" w:right="219" w:bottom="1440" w:gutter="0" w:footer="0" w:header="0"/>
        </w:sectPr>
      </w:pPr>
    </w:p>
    <w:bookmarkStart w:id="43" w:name="page44"/>
    <w:bookmarkEnd w:id="4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right="300"/>
        <w:spacing w:after="0" w:line="273" w:lineRule="auto"/>
        <w:rPr>
          <w:sz w:val="20"/>
          <w:szCs w:val="20"/>
          <w:color w:val="auto"/>
        </w:rPr>
      </w:pPr>
      <w:r>
        <w:rPr>
          <w:rFonts w:ascii="Arial" w:cs="Arial" w:eastAsia="Arial" w:hAnsi="Arial"/>
          <w:sz w:val="15"/>
          <w:szCs w:val="15"/>
          <w:color w:val="auto"/>
        </w:rPr>
        <w:t>measures that are used widely in the property and casualty insurance industry and that it believes are valuable in managing its business and for comparison to its peers. These non-GAAP measures are underwriting income (loss), expense ratio, loss and LAE ratio, combined ratio, written premiums, net written premiums to statutory surplus ratio, and return on average equity.</w:t>
      </w:r>
    </w:p>
    <w:p>
      <w:pPr>
        <w:spacing w:after="0" w:line="118" w:lineRule="exact"/>
        <w:rPr>
          <w:sz w:val="20"/>
          <w:szCs w:val="20"/>
          <w:color w:val="auto"/>
        </w:rPr>
      </w:pPr>
    </w:p>
    <w:p>
      <w:pPr>
        <w:ind w:right="60" w:firstLine="556"/>
        <w:spacing w:after="0" w:line="268" w:lineRule="auto"/>
        <w:rPr>
          <w:sz w:val="20"/>
          <w:szCs w:val="20"/>
          <w:color w:val="auto"/>
        </w:rPr>
      </w:pPr>
      <w:r>
        <w:rPr>
          <w:rFonts w:ascii="Arial" w:cs="Arial" w:eastAsia="Arial" w:hAnsi="Arial"/>
          <w:sz w:val="15"/>
          <w:szCs w:val="15"/>
          <w:color w:val="auto"/>
        </w:rPr>
        <w:t>Underwriting income (loss) measures the pretax profitability of the Company’s insurance business. It is derived by subtracting losses and LAE, amortization of deferred policy acquisition costs, and other underwriting and general expenses from net premiums earned. Each of these captions is presented in our consolidated statements of operations but not subtotaled. The sections below provide more insight into the variances in the categories of losses and LAE and amortization of deferred policy acquisition costs and other underwriting and general expenses, which impact underwriting profitability.</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Losses and LAE</w:t>
      </w:r>
    </w:p>
    <w:p>
      <w:pPr>
        <w:spacing w:after="0" w:line="163" w:lineRule="exact"/>
        <w:rPr>
          <w:sz w:val="20"/>
          <w:szCs w:val="20"/>
          <w:color w:val="auto"/>
        </w:rPr>
      </w:pPr>
    </w:p>
    <w:p>
      <w:pPr>
        <w:ind w:firstLine="556"/>
        <w:spacing w:after="0" w:line="263" w:lineRule="auto"/>
        <w:rPr>
          <w:sz w:val="20"/>
          <w:szCs w:val="20"/>
          <w:color w:val="auto"/>
        </w:rPr>
      </w:pPr>
      <w:r>
        <w:rPr>
          <w:rFonts w:ascii="Arial" w:cs="Arial" w:eastAsia="Arial" w:hAnsi="Arial"/>
          <w:sz w:val="15"/>
          <w:szCs w:val="15"/>
          <w:color w:val="auto"/>
        </w:rPr>
        <w:t>NI Holdings’ loss and LAE ratio increased to 79.1% in the nine months ended September 30, 2017, compared to 77.8% in the same period of 2016, due primarily to increased catastrophe loss retention on its insurance products. While the nine months ended September 30, 2016 experienced more volatile weather, the higher level of losses triggered an increase in reinsurance recoverables at lower retention levels. The results for the nine months ended September 30, 2017 reflect more normal weather conditions and, as a result, more normal loss experience in our property and casualty business, albeit at higher reinsurance retention levels. A very dry start to the 2017 growing season has pushed our loss and LAE expectation for the multi-peril crop insurance business much higher than a year ago. This dynamic results in a higher level of premium retention under the risk-sharing arrangement with the federal government, but it also equates to a higher anticipated loss ratio on those premiums for the current year. In addition, the assumed book of business was adversely impacted by hurricanes Harvey, Irma, and Maria which occurred during third quarter 2017.</w:t>
      </w:r>
    </w:p>
    <w:p>
      <w:pPr>
        <w:spacing w:after="0" w:line="125" w:lineRule="exact"/>
        <w:rPr>
          <w:sz w:val="20"/>
          <w:szCs w:val="20"/>
          <w:color w:val="auto"/>
        </w:rPr>
      </w:pPr>
    </w:p>
    <w:p>
      <w:pPr>
        <w:ind w:firstLine="556"/>
        <w:spacing w:after="0" w:line="268" w:lineRule="auto"/>
        <w:rPr>
          <w:sz w:val="20"/>
          <w:szCs w:val="20"/>
          <w:color w:val="auto"/>
        </w:rPr>
      </w:pPr>
      <w:r>
        <w:rPr>
          <w:rFonts w:ascii="Arial" w:cs="Arial" w:eastAsia="Arial" w:hAnsi="Arial"/>
          <w:sz w:val="15"/>
          <w:szCs w:val="15"/>
          <w:color w:val="auto"/>
        </w:rPr>
        <w:t>NI Holdings realized favorable development on prior accident years of $6,649 in the nine months ended September 30, 2017, compared to $4,756 of favorable development on prior accident years realized during the twelve months ended December 31, 2016.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Amortization of Deferred Policy Acquisition Costs and Other Underwriting and General Expenses</w:t>
      </w:r>
    </w:p>
    <w:p>
      <w:pPr>
        <w:spacing w:after="0" w:line="163" w:lineRule="exact"/>
        <w:rPr>
          <w:sz w:val="20"/>
          <w:szCs w:val="20"/>
          <w:color w:val="auto"/>
        </w:rPr>
      </w:pPr>
    </w:p>
    <w:p>
      <w:pPr>
        <w:ind w:right="120" w:firstLine="556"/>
        <w:spacing w:after="0" w:line="265" w:lineRule="auto"/>
        <w:rPr>
          <w:sz w:val="20"/>
          <w:szCs w:val="20"/>
          <w:color w:val="auto"/>
        </w:rPr>
      </w:pPr>
      <w:r>
        <w:rPr>
          <w:rFonts w:ascii="Arial" w:cs="Arial" w:eastAsia="Arial" w:hAnsi="Arial"/>
          <w:sz w:val="15"/>
          <w:szCs w:val="15"/>
          <w:color w:val="auto"/>
        </w:rPr>
        <w:t>Total underwriting and general expenses, including amortization of deferred policy acquisition costs, decreased $179 in the nine months ended September 30, 2017, or 0.6%, compared to the nine months ended September 30, 2016. Expenses were slightly higher in 2017 due to increased commissions and, as a new public company, due to increased salaries, legal and accounting costs, taxes and fees, and holding company costs. However, higher amounts of policy acquisition costs were incurred and deferred due to the increase in written premium. The expense ratio of 24.4% for the nine months ended September 30, 2017 was 2.4% less than the expense ratio in 2016, primarily due to higher net earned premiums in 2017.</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Income Before Income Taxes</w:t>
      </w:r>
    </w:p>
    <w:p>
      <w:pPr>
        <w:spacing w:after="0" w:line="175" w:lineRule="exact"/>
        <w:rPr>
          <w:sz w:val="20"/>
          <w:szCs w:val="20"/>
          <w:color w:val="auto"/>
        </w:rPr>
      </w:pPr>
    </w:p>
    <w:p>
      <w:pPr>
        <w:ind w:right="260" w:firstLine="556"/>
        <w:spacing w:after="0" w:line="289" w:lineRule="auto"/>
        <w:rPr>
          <w:sz w:val="20"/>
          <w:szCs w:val="20"/>
          <w:color w:val="auto"/>
        </w:rPr>
      </w:pPr>
      <w:r>
        <w:rPr>
          <w:rFonts w:ascii="Arial" w:cs="Arial" w:eastAsia="Arial" w:hAnsi="Arial"/>
          <w:sz w:val="15"/>
          <w:szCs w:val="15"/>
          <w:color w:val="auto"/>
        </w:rPr>
        <w:t>For the nine months ended September 30, 2017, NI Holdings had pre-tax income of $3,867 compared to pre-tax income of $4,475 for the nine months ended September 30, 2016. The decrease in pre-tax income was primarily due to less net realized capital gain on investment.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Income Taxes</w:t>
      </w:r>
    </w:p>
    <w:p>
      <w:pPr>
        <w:spacing w:after="0" w:line="163" w:lineRule="exact"/>
        <w:rPr>
          <w:sz w:val="20"/>
          <w:szCs w:val="20"/>
          <w:color w:val="auto"/>
        </w:rPr>
      </w:pPr>
    </w:p>
    <w:p>
      <w:pPr>
        <w:ind w:right="100" w:firstLine="556"/>
        <w:spacing w:after="0" w:line="293" w:lineRule="auto"/>
        <w:rPr>
          <w:sz w:val="20"/>
          <w:szCs w:val="20"/>
          <w:color w:val="auto"/>
        </w:rPr>
      </w:pPr>
      <w:r>
        <w:rPr>
          <w:rFonts w:ascii="Arial" w:cs="Arial" w:eastAsia="Arial" w:hAnsi="Arial"/>
          <w:sz w:val="14"/>
          <w:szCs w:val="14"/>
          <w:color w:val="auto"/>
        </w:rPr>
        <w:t>NI Holdings recorded income tax expense of $1,694 for the nine months ended September 30, 2017, compared to $1,074 of income tax expense for the nine months ended September 30, 2016. The effective tax rate for the nine months ended September 30, 2017 was 43.8%, compared to an effective tax rate of 24.0% for the nine months ended September 30, 2016. The increase in income tax expense includes tax expense of $568 related to the handling of expenses associated with the Company’s mutual to stock conversion and initial public offering, and the remaining effective tax rate reflects the anticipated annual effective tax rate that will be realized for the current year.</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Net Income</w:t>
      </w:r>
    </w:p>
    <w:p>
      <w:pPr>
        <w:spacing w:after="0" w:line="163" w:lineRule="exact"/>
        <w:rPr>
          <w:sz w:val="20"/>
          <w:szCs w:val="20"/>
          <w:color w:val="auto"/>
        </w:rPr>
      </w:pPr>
    </w:p>
    <w:p>
      <w:pPr>
        <w:ind w:right="280" w:firstLine="556"/>
        <w:spacing w:after="0" w:line="327" w:lineRule="auto"/>
        <w:rPr>
          <w:sz w:val="20"/>
          <w:szCs w:val="20"/>
          <w:color w:val="auto"/>
        </w:rPr>
      </w:pPr>
      <w:r>
        <w:rPr>
          <w:rFonts w:ascii="Arial" w:cs="Arial" w:eastAsia="Arial" w:hAnsi="Arial"/>
          <w:sz w:val="14"/>
          <w:szCs w:val="14"/>
          <w:color w:val="auto"/>
        </w:rPr>
        <w:t>For the nine months ended September 30, 2017, NI Holdings had net income after noncontrolling interest of $2,085 compared to net income after noncontrolling interest of $3,455 for the nine months ended September 30, 2016. This decrease in net income is primarily due to lower net realized capital gain on investment compared to a year ago.</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Return on Average Equity</w:t>
      </w:r>
    </w:p>
    <w:p>
      <w:pPr>
        <w:spacing w:after="0" w:line="175" w:lineRule="exact"/>
        <w:rPr>
          <w:sz w:val="20"/>
          <w:szCs w:val="20"/>
          <w:color w:val="auto"/>
        </w:rPr>
      </w:pPr>
    </w:p>
    <w:p>
      <w:pPr>
        <w:ind w:right="80" w:firstLine="556"/>
        <w:spacing w:after="0" w:line="289" w:lineRule="auto"/>
        <w:rPr>
          <w:sz w:val="20"/>
          <w:szCs w:val="20"/>
          <w:color w:val="auto"/>
        </w:rPr>
      </w:pPr>
      <w:r>
        <w:rPr>
          <w:rFonts w:ascii="Arial" w:cs="Arial" w:eastAsia="Arial" w:hAnsi="Arial"/>
          <w:sz w:val="15"/>
          <w:szCs w:val="15"/>
          <w:color w:val="auto"/>
        </w:rPr>
        <w:t>For the nine months ended September 30, 2017, NI Holdings had annualized return on average equity, after non-controlling interest, of 1.4% compared to annualized return on average equity, after non-controlling interest, of 3.1% for the nine months ended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4" w:name="page45"/>
    <w:bookmarkEnd w:id="4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2016. Average equity is calculated as the average between beginning and ending equity excluding non-controlling interest for the nine month periods.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Mandatory Assumed Reinsurance</w:t>
      </w:r>
    </w:p>
    <w:p>
      <w:pPr>
        <w:spacing w:after="0" w:line="175" w:lineRule="exact"/>
        <w:rPr>
          <w:sz w:val="20"/>
          <w:szCs w:val="20"/>
          <w:color w:val="auto"/>
        </w:rPr>
      </w:pPr>
    </w:p>
    <w:p>
      <w:pPr>
        <w:jc w:val="both"/>
        <w:ind w:right="240" w:firstLine="556"/>
        <w:spacing w:after="0" w:line="273" w:lineRule="auto"/>
        <w:rPr>
          <w:sz w:val="20"/>
          <w:szCs w:val="20"/>
          <w:color w:val="auto"/>
        </w:rPr>
      </w:pPr>
      <w:r>
        <w:rPr>
          <w:rFonts w:ascii="Arial" w:cs="Arial" w:eastAsia="Arial" w:hAnsi="Arial"/>
          <w:sz w:val="15"/>
          <w:szCs w:val="15"/>
          <w:color w:val="auto"/>
        </w:rPr>
        <w:t>NI Holdings is required to participate in the North Dakota Insurance Guaranty Association (NDIGA), which was formed to pay claims on policies issued by insolvent North Dakota licensed property and casualty insurers. Each North Dakota licensed property and casualty insurer pays NDIGA an annual assessment based on its direct premiums written in North Dakota. NI Holdings paid no assessments in the nine month periods ended September 30, 2017 and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20" w:type="dxa"/>
            <w:vAlign w:val="bottom"/>
            <w:gridSpan w:val="2"/>
          </w:tcPr>
          <w:p>
            <w:pPr>
              <w:spacing w:after="0"/>
              <w:rPr>
                <w:sz w:val="20"/>
                <w:szCs w:val="20"/>
                <w:color w:val="auto"/>
              </w:rPr>
            </w:pPr>
            <w:r>
              <w:rPr>
                <w:rFonts w:ascii="Arial" w:cs="Arial" w:eastAsia="Arial" w:hAnsi="Arial"/>
                <w:sz w:val="15"/>
                <w:szCs w:val="15"/>
                <w:b w:val="1"/>
                <w:bCs w:val="1"/>
                <w:color w:val="auto"/>
              </w:rPr>
              <w:t>Financial Position</w:t>
            </w: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6800" w:type="dxa"/>
            <w:vAlign w:val="bottom"/>
          </w:tcPr>
          <w:p>
            <w:pPr>
              <w:ind w:left="520"/>
              <w:spacing w:after="0"/>
              <w:rPr>
                <w:sz w:val="20"/>
                <w:szCs w:val="20"/>
                <w:color w:val="auto"/>
              </w:rPr>
            </w:pPr>
            <w:r>
              <w:rPr>
                <w:rFonts w:ascii="Arial" w:cs="Arial" w:eastAsia="Arial" w:hAnsi="Arial"/>
                <w:sz w:val="15"/>
                <w:szCs w:val="15"/>
                <w:color w:val="auto"/>
              </w:rPr>
              <w:t>The major components of NI Holdings’ financial position are as follows:</w:t>
            </w: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280" w:type="dxa"/>
            <w:vAlign w:val="bottom"/>
            <w:gridSpan w:val="4"/>
          </w:tcPr>
          <w:p>
            <w:pPr>
              <w:ind w:left="1780"/>
              <w:spacing w:after="0"/>
              <w:rPr>
                <w:sz w:val="20"/>
                <w:szCs w:val="20"/>
                <w:color w:val="auto"/>
              </w:rPr>
            </w:pPr>
            <w:r>
              <w:rPr>
                <w:rFonts w:ascii="Arial" w:cs="Arial" w:eastAsia="Arial" w:hAnsi="Arial"/>
                <w:sz w:val="15"/>
                <w:szCs w:val="15"/>
                <w:b w:val="1"/>
                <w:bCs w:val="1"/>
                <w:color w:val="auto"/>
              </w:rPr>
              <w:t>September 30, 2017</w:t>
            </w:r>
          </w:p>
        </w:tc>
        <w:tc>
          <w:tcPr>
            <w:tcW w:w="1340" w:type="dxa"/>
            <w:vAlign w:val="bottom"/>
            <w:gridSpan w:val="3"/>
          </w:tcPr>
          <w:p>
            <w:pPr>
              <w:spacing w:after="0"/>
              <w:rPr>
                <w:sz w:val="20"/>
                <w:szCs w:val="20"/>
                <w:color w:val="auto"/>
              </w:rPr>
            </w:pPr>
            <w:r>
              <w:rPr>
                <w:rFonts w:ascii="Arial" w:cs="Arial" w:eastAsia="Arial" w:hAnsi="Arial"/>
                <w:sz w:val="15"/>
                <w:szCs w:val="15"/>
                <w:b w:val="1"/>
                <w:bCs w:val="1"/>
                <w:color w:val="auto"/>
                <w:w w:val="97"/>
              </w:rPr>
              <w:t>December 31, 2016</w:t>
            </w:r>
          </w:p>
        </w:tc>
        <w:tc>
          <w:tcPr>
            <w:tcW w:w="0" w:type="dxa"/>
            <w:vAlign w:val="bottom"/>
          </w:tcPr>
          <w:p>
            <w:pPr>
              <w:spacing w:after="0"/>
              <w:rPr>
                <w:sz w:val="1"/>
                <w:szCs w:val="1"/>
                <w:color w:val="auto"/>
              </w:rPr>
            </w:pPr>
          </w:p>
        </w:tc>
      </w:tr>
      <w:tr>
        <w:trPr>
          <w:trHeight w:val="177"/>
        </w:trPr>
        <w:tc>
          <w:tcPr>
            <w:tcW w:w="6820" w:type="dxa"/>
            <w:vAlign w:val="bottom"/>
            <w:gridSpan w:val="2"/>
          </w:tcPr>
          <w:p>
            <w:pPr>
              <w:spacing w:after="0"/>
              <w:rPr>
                <w:sz w:val="20"/>
                <w:szCs w:val="20"/>
                <w:color w:val="auto"/>
              </w:rPr>
            </w:pPr>
            <w:r>
              <w:rPr>
                <w:rFonts w:ascii="Arial" w:cs="Arial" w:eastAsia="Arial" w:hAnsi="Arial"/>
                <w:sz w:val="15"/>
                <w:szCs w:val="15"/>
                <w:color w:val="auto"/>
              </w:rPr>
              <w:t>Assets</w:t>
            </w:r>
          </w:p>
        </w:tc>
        <w:tc>
          <w:tcPr>
            <w:tcW w:w="17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investments</w:t>
            </w:r>
          </w:p>
        </w:tc>
        <w:tc>
          <w:tcPr>
            <w:tcW w:w="220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286,182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207,677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Premiums and agents’ balances receivable</w:t>
            </w: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72,573</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21,986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policy acquisition costs</w:t>
            </w:r>
          </w:p>
        </w:tc>
        <w:tc>
          <w:tcPr>
            <w:tcW w:w="1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Other assets</w:t>
            </w: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48,199</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17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800" w:type="dxa"/>
            <w:vAlign w:val="bottom"/>
            <w:vMerge w:val="continue"/>
            <w:shd w:val="clear" w:color="auto" w:fill="CCEEFF"/>
          </w:tcPr>
          <w:p>
            <w:pPr>
              <w:spacing w:after="0"/>
              <w:rPr>
                <w:sz w:val="16"/>
                <w:szCs w:val="16"/>
                <w:color w:val="auto"/>
              </w:rPr>
            </w:pPr>
          </w:p>
        </w:tc>
        <w:tc>
          <w:tcPr>
            <w:tcW w:w="220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418,707</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278,703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Liabilities</w:t>
            </w:r>
          </w:p>
        </w:tc>
        <w:tc>
          <w:tcPr>
            <w:tcW w:w="1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Unpaid losses and loss adjustment expenses</w:t>
            </w:r>
          </w:p>
        </w:tc>
        <w:tc>
          <w:tcPr>
            <w:tcW w:w="2200" w:type="dxa"/>
            <w:vAlign w:val="bottom"/>
            <w:gridSpan w:val="2"/>
          </w:tcPr>
          <w:p>
            <w:pPr>
              <w:ind w:left="17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85,427</w:t>
            </w:r>
          </w:p>
        </w:tc>
        <w:tc>
          <w:tcPr>
            <w:tcW w:w="40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59,632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Unearned premiums</w:t>
            </w:r>
          </w:p>
        </w:tc>
        <w:tc>
          <w:tcPr>
            <w:tcW w:w="1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75,816</w:t>
            </w:r>
          </w:p>
        </w:tc>
        <w:tc>
          <w:tcPr>
            <w:tcW w:w="4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57,445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Other liabilities</w:t>
            </w: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17,552</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8,208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liabilities</w:t>
            </w:r>
          </w:p>
        </w:tc>
        <w:tc>
          <w:tcPr>
            <w:tcW w:w="17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178,795</w:t>
            </w: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125,285</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Equity</w:t>
            </w:r>
          </w:p>
        </w:tc>
        <w:tc>
          <w:tcPr>
            <w:tcW w:w="17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239,912</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153,418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0" w:type="dxa"/>
            <w:vAlign w:val="bottom"/>
          </w:tcPr>
          <w:p>
            <w:pPr>
              <w:ind w:left="300"/>
              <w:spacing w:after="0"/>
              <w:rPr>
                <w:sz w:val="20"/>
                <w:szCs w:val="20"/>
                <w:color w:val="auto"/>
              </w:rPr>
            </w:pPr>
            <w:r>
              <w:rPr>
                <w:rFonts w:ascii="Arial" w:cs="Arial" w:eastAsia="Arial" w:hAnsi="Arial"/>
                <w:sz w:val="15"/>
                <w:szCs w:val="15"/>
                <w:color w:val="auto"/>
              </w:rPr>
              <w:t>Total liabilities and equity</w:t>
            </w:r>
          </w:p>
        </w:tc>
        <w:tc>
          <w:tcPr>
            <w:tcW w:w="2200" w:type="dxa"/>
            <w:vAlign w:val="bottom"/>
            <w:gridSpan w:val="2"/>
          </w:tcPr>
          <w:p>
            <w:pPr>
              <w:ind w:left="17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418,707</w:t>
            </w:r>
          </w:p>
        </w:tc>
        <w:tc>
          <w:tcPr>
            <w:tcW w:w="2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278,703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At September 30, 2017, NI Holdings had total assets of $418,707, an increase of $140,004, or 50.2%. The increase was primarily attributable to net proceeds of $93,145 from issuance of NI Holdings common stock on March 13, 2017 and receivables from policyholders under the federal crop insurance program.</w:t>
      </w:r>
    </w:p>
    <w:p>
      <w:pPr>
        <w:spacing w:after="0" w:line="106" w:lineRule="exact"/>
        <w:rPr>
          <w:sz w:val="20"/>
          <w:szCs w:val="20"/>
          <w:color w:val="auto"/>
        </w:rPr>
      </w:pPr>
    </w:p>
    <w:p>
      <w:pPr>
        <w:ind w:right="100" w:firstLine="556"/>
        <w:spacing w:after="0" w:line="273" w:lineRule="auto"/>
        <w:rPr>
          <w:sz w:val="20"/>
          <w:szCs w:val="20"/>
          <w:color w:val="auto"/>
        </w:rPr>
      </w:pPr>
      <w:r>
        <w:rPr>
          <w:rFonts w:ascii="Arial" w:cs="Arial" w:eastAsia="Arial" w:hAnsi="Arial"/>
          <w:sz w:val="15"/>
          <w:szCs w:val="15"/>
          <w:color w:val="auto"/>
        </w:rPr>
        <w:t>At September 30, 2017, total liabilities were $178,795, an increase of $53,510, or 42.7%. The increase was primarily due to higher unpaid losses and loss adjustment expenses and higher levels of unearned premiums. Unpaid losses and loss adjustment expenses increased due to the expected influx of property losses and crop insurance claims for second and third quarters. Unearned premiums increased as well, reflecting amounts due from farmers for the 2017 crop insurance season.</w:t>
      </w:r>
    </w:p>
    <w:p>
      <w:pPr>
        <w:spacing w:after="0" w:line="129"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Total equity increased by $86,494, or 56.4%. The increase in equity primarily reflects net proceeds of $93,145 from the issuance of NI Holdings common stock and net income of $2,173 for the nine months ended September 30, 2017, partially offset by the purchase of treasury stock of $8,037.</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Stock Offering on Nodak Insurance Company and NI Holdings</w:t>
      </w:r>
    </w:p>
    <w:p>
      <w:pPr>
        <w:spacing w:after="0" w:line="169" w:lineRule="exact"/>
        <w:rPr>
          <w:sz w:val="20"/>
          <w:szCs w:val="20"/>
          <w:color w:val="auto"/>
        </w:rPr>
      </w:pPr>
    </w:p>
    <w:p>
      <w:pPr>
        <w:ind w:right="200" w:firstLine="556"/>
        <w:spacing w:after="0" w:line="273" w:lineRule="auto"/>
        <w:rPr>
          <w:sz w:val="20"/>
          <w:szCs w:val="20"/>
          <w:color w:val="auto"/>
        </w:rPr>
      </w:pPr>
      <w:r>
        <w:rPr>
          <w:rFonts w:ascii="Arial" w:cs="Arial" w:eastAsia="Arial" w:hAnsi="Arial"/>
          <w:sz w:val="15"/>
          <w:szCs w:val="15"/>
          <w:color w:val="auto"/>
        </w:rPr>
        <w:t>NI Holdings was formed on March 13, 2017 and became the holding company for Nodak Insurance and its existing subsidiaries. The increased capitalization from our initial public offering should (i) enhance investment income by increasing our investment portfolio, and (ii) provide capital to permit the Company to seek acquisitions and other diversification opportunities. The newly issued stock of NI Holdings was available for public trading on March 16, 2017.</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69" w:lineRule="exact"/>
        <w:rPr>
          <w:sz w:val="20"/>
          <w:szCs w:val="20"/>
          <w:color w:val="auto"/>
        </w:rPr>
      </w:pPr>
    </w:p>
    <w:p>
      <w:pPr>
        <w:jc w:val="both"/>
        <w:ind w:right="300" w:firstLine="556"/>
        <w:spacing w:after="0" w:line="273" w:lineRule="auto"/>
        <w:rPr>
          <w:sz w:val="20"/>
          <w:szCs w:val="20"/>
          <w:color w:val="auto"/>
        </w:rPr>
      </w:pPr>
      <w:r>
        <w:rPr>
          <w:rFonts w:ascii="Arial" w:cs="Arial" w:eastAsia="Arial" w:hAnsi="Arial"/>
          <w:sz w:val="15"/>
          <w:szCs w:val="15"/>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addition, we raised $93,145 in net proceeds from our initial public offering, which are available if necessary to meet the demands of claim settlements and operating expenses.</w:t>
      </w:r>
    </w:p>
    <w:p>
      <w:pPr>
        <w:spacing w:after="0" w:line="118" w:lineRule="exact"/>
        <w:rPr>
          <w:sz w:val="20"/>
          <w:szCs w:val="20"/>
          <w:color w:val="auto"/>
        </w:rPr>
      </w:pPr>
    </w:p>
    <w:p>
      <w:pPr>
        <w:ind w:right="460" w:firstLine="556"/>
        <w:spacing w:after="0" w:line="289" w:lineRule="auto"/>
        <w:rPr>
          <w:sz w:val="20"/>
          <w:szCs w:val="20"/>
          <w:color w:val="auto"/>
        </w:rPr>
      </w:pPr>
      <w:r>
        <w:rPr>
          <w:rFonts w:ascii="Arial" w:cs="Arial" w:eastAsia="Arial" w:hAnsi="Arial"/>
          <w:sz w:val="15"/>
          <w:szCs w:val="15"/>
          <w:color w:val="auto"/>
        </w:rPr>
        <w:t>NI Holdings maintains investment and reinsurance programs that are intended to provide sufficient funds to meet its obligations without forced sales of investments. The Company maintains a portion of its investment portfolio in relatively short-term and highly liquid assets to ensure the availability of funds.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45" w:name="page46"/>
    <w:bookmarkEnd w:id="4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change in cash and cash equivalents for the nine months ended September 30, 2017 and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382270</wp:posOffset>
            </wp:positionV>
            <wp:extent cx="7266305" cy="1250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Net cash used in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Net cash (used in) provided by investing activities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6305" cy="125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305" cy="12509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5"/>
          <w:szCs w:val="15"/>
          <w:color w:val="auto"/>
        </w:rPr>
        <w:t>Net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Nine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6"/>
        </w:trPr>
        <w:tc>
          <w:tcPr>
            <w:tcW w:w="260" w:type="dxa"/>
            <w:vAlign w:val="bottom"/>
          </w:tcPr>
          <w:p>
            <w:pPr>
              <w:jc w:val="right"/>
              <w:ind w:right="103"/>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(7,795)</w:t>
            </w:r>
          </w:p>
        </w:tc>
        <w:tc>
          <w:tcPr>
            <w:tcW w:w="220" w:type="dxa"/>
            <w:vAlign w:val="bottom"/>
          </w:tcPr>
          <w:p>
            <w:pPr>
              <w:spacing w:after="0"/>
              <w:rPr>
                <w:sz w:val="14"/>
                <w:szCs w:val="14"/>
                <w:color w:val="auto"/>
              </w:rPr>
            </w:pPr>
          </w:p>
        </w:tc>
        <w:tc>
          <w:tcPr>
            <w:tcW w:w="260" w:type="dxa"/>
            <w:vAlign w:val="bottom"/>
          </w:tcPr>
          <w:p>
            <w:pPr>
              <w:jc w:val="right"/>
              <w:ind w:right="103"/>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(19,005)</w:t>
            </w:r>
          </w:p>
        </w:tc>
        <w:tc>
          <w:tcPr>
            <w:tcW w:w="40" w:type="dxa"/>
            <w:vAlign w:val="bottom"/>
            <w:gridSpan w:val="2"/>
          </w:tcPr>
          <w:p>
            <w:pPr>
              <w:spacing w:after="0"/>
              <w:rPr>
                <w:sz w:val="14"/>
                <w:szCs w:val="14"/>
                <w:color w:val="auto"/>
              </w:rPr>
            </w:pPr>
          </w:p>
        </w:tc>
      </w:tr>
      <w:tr>
        <w:trPr>
          <w:trHeight w:val="196"/>
        </w:trPr>
        <w:tc>
          <w:tcPr>
            <w:tcW w:w="26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5"/>
                <w:szCs w:val="15"/>
                <w:color w:val="auto"/>
              </w:rPr>
              <w:t>(90,247)</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813</w:t>
            </w:r>
          </w:p>
        </w:tc>
        <w:tc>
          <w:tcPr>
            <w:tcW w:w="20" w:type="dxa"/>
            <w:vAlign w:val="bottom"/>
          </w:tcPr>
          <w:p>
            <w:pPr>
              <w:spacing w:after="0"/>
              <w:rPr>
                <w:sz w:val="17"/>
                <w:szCs w:val="17"/>
                <w:color w:val="auto"/>
              </w:rPr>
            </w:pPr>
          </w:p>
        </w:tc>
      </w:tr>
      <w:tr>
        <w:trPr>
          <w:trHeight w:val="197"/>
        </w:trPr>
        <w:tc>
          <w:tcPr>
            <w:tcW w:w="260" w:type="dxa"/>
            <w:vAlign w:val="bottom"/>
          </w:tcPr>
          <w:p>
            <w:pPr>
              <w:spacing w:after="0"/>
              <w:rPr>
                <w:sz w:val="17"/>
                <w:szCs w:val="17"/>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5"/>
                <w:szCs w:val="15"/>
                <w:color w:val="auto"/>
              </w:rPr>
              <w:t>82,708</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8,311</w:t>
            </w:r>
          </w:p>
        </w:tc>
        <w:tc>
          <w:tcPr>
            <w:tcW w:w="20" w:type="dxa"/>
            <w:vAlign w:val="bottom"/>
          </w:tcPr>
          <w:p>
            <w:pPr>
              <w:spacing w:after="0"/>
              <w:rPr>
                <w:sz w:val="17"/>
                <w:szCs w:val="17"/>
                <w:color w:val="auto"/>
              </w:rPr>
            </w:pPr>
          </w:p>
        </w:tc>
      </w:tr>
      <w:tr>
        <w:trPr>
          <w:trHeight w:val="189"/>
        </w:trPr>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(15,334</w:t>
            </w:r>
          </w:p>
        </w:tc>
        <w:tc>
          <w:tcPr>
            <w:tcW w:w="220" w:type="dxa"/>
            <w:vAlign w:val="bottom"/>
          </w:tcPr>
          <w:p>
            <w:pPr>
              <w:jc w:val="right"/>
              <w:ind w:right="141"/>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(9,881</w:t>
            </w: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8" w:lineRule="exact"/>
        <w:rPr>
          <w:sz w:val="20"/>
          <w:szCs w:val="20"/>
          <w:color w:val="auto"/>
        </w:rPr>
      </w:pPr>
    </w:p>
    <w:p>
      <w:pPr>
        <w:sectPr>
          <w:pgSz w:w="11900" w:h="16838" w:orient="portrait"/>
          <w:cols w:equalWidth="0" w:num="2">
            <w:col w:w="8080" w:space="720"/>
            <w:col w:w="2620"/>
          </w:cols>
          <w:pgMar w:left="240" w:top="222" w:right="239" w:bottom="1440" w:gutter="0" w:footer="0" w:header="0"/>
        </w:sectPr>
      </w:pPr>
    </w:p>
    <w:p>
      <w:pPr>
        <w:ind w:right="100" w:firstLine="556"/>
        <w:spacing w:after="0" w:line="264" w:lineRule="auto"/>
        <w:rPr>
          <w:sz w:val="20"/>
          <w:szCs w:val="20"/>
          <w:color w:val="auto"/>
        </w:rPr>
      </w:pPr>
      <w:r>
        <w:rPr>
          <w:rFonts w:ascii="Arial" w:cs="Arial" w:eastAsia="Arial" w:hAnsi="Arial"/>
          <w:sz w:val="15"/>
          <w:szCs w:val="15"/>
          <w:color w:val="auto"/>
        </w:rPr>
        <w:t>For the nine months ended September 30, 2017, net cash used in operating activities totaled $7,795 compared to $19,005 for the nine months ended September 30, 2016. The Company reduced its levels of reinsurance receivables for the nine months ended September 30, 2017 compared to the nine months ended September 30, 2016, while net income decreased modestly from 2016. Net cash used in investing activities totaled $90,247 for the nine months ended September 30, 2017, compared to net cash provided of $813 in the nine months ended September 30, 2016, primarily reflecting the opportunity to invest the proceeds from the common stock offering in longer term investments. Net cash provided by financing activities of $82,708 for the nine months ended September 30, 2017 reflect the net proceeds from our initial public offering, offset by the initial funding of our new employee stock option plan and the repurchase of treasury stock for $8,037.</w:t>
      </w:r>
    </w:p>
    <w:p>
      <w:pPr>
        <w:spacing w:after="0" w:line="136" w:lineRule="exact"/>
        <w:rPr>
          <w:sz w:val="20"/>
          <w:szCs w:val="20"/>
          <w:color w:val="auto"/>
        </w:rPr>
      </w:pPr>
    </w:p>
    <w:p>
      <w:pPr>
        <w:ind w:right="120" w:firstLine="556"/>
        <w:spacing w:after="0" w:line="262" w:lineRule="auto"/>
        <w:rPr>
          <w:sz w:val="20"/>
          <w:szCs w:val="20"/>
          <w:color w:val="auto"/>
        </w:rPr>
      </w:pPr>
      <w:r>
        <w:rPr>
          <w:rFonts w:ascii="Arial" w:cs="Arial" w:eastAsia="Arial" w:hAnsi="Arial"/>
          <w:sz w:val="15"/>
          <w:szCs w:val="15"/>
          <w:color w:val="auto"/>
        </w:rPr>
        <w:t>As a standalone entity, and outside of the net proceeds from the recent initial public offering, NI Holdings’ principal source of long-term liquidity will be dividend payments from Nodak Insurance. 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27" w:lineRule="exact"/>
        <w:rPr>
          <w:sz w:val="20"/>
          <w:szCs w:val="20"/>
          <w:color w:val="auto"/>
        </w:rPr>
      </w:pPr>
    </w:p>
    <w:p>
      <w:pPr>
        <w:ind w:right="20" w:firstLine="556"/>
        <w:spacing w:after="0" w:line="264" w:lineRule="auto"/>
        <w:rPr>
          <w:sz w:val="20"/>
          <w:szCs w:val="20"/>
          <w:color w:val="auto"/>
        </w:rPr>
      </w:pPr>
      <w:r>
        <w:rPr>
          <w:rFonts w:ascii="Arial" w:cs="Arial" w:eastAsia="Arial" w:hAnsi="Arial"/>
          <w:sz w:val="15"/>
          <w:szCs w:val="15"/>
          <w:color w:val="auto"/>
        </w:rPr>
        <w:t>The amount available for payment of dividends from Nodak Insurance without the prior approval of the North Dakota Insurance Department is approximately $13,900 based upon the policyholders’ surplus of Nodak Insurance at December 31, 2016.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in the nine months ended September 30, 2017.</w:t>
      </w:r>
    </w:p>
    <w:p>
      <w:pPr>
        <w:spacing w:after="0" w:line="124" w:lineRule="exact"/>
        <w:rPr>
          <w:sz w:val="20"/>
          <w:szCs w:val="20"/>
          <w:color w:val="auto"/>
        </w:rPr>
      </w:pPr>
    </w:p>
    <w:p>
      <w:pPr>
        <w:ind w:right="180" w:firstLine="556"/>
        <w:spacing w:after="0" w:line="273" w:lineRule="auto"/>
        <w:rPr>
          <w:sz w:val="20"/>
          <w:szCs w:val="20"/>
          <w:color w:val="auto"/>
        </w:rPr>
      </w:pPr>
      <w:r>
        <w:rPr>
          <w:rFonts w:ascii="Arial" w:cs="Arial" w:eastAsia="Arial" w:hAnsi="Arial"/>
          <w:sz w:val="15"/>
          <w:szCs w:val="15"/>
          <w:color w:val="auto"/>
        </w:rPr>
        <w:t>As a public company, NI Holdings is subject to the proxy solicitation, periodic reporting, insider trading, and other requirements of the Exchange Act and to most of the provisions of the Sarbanes-Oxley Act of 2002. As a result, NI Holdings anticipates incurring higher expenses related to accounting and legal services that will be necessary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69" w:lineRule="exact"/>
        <w:rPr>
          <w:sz w:val="20"/>
          <w:szCs w:val="20"/>
          <w:color w:val="auto"/>
        </w:rPr>
      </w:pPr>
    </w:p>
    <w:p>
      <w:pPr>
        <w:ind w:firstLine="556"/>
        <w:spacing w:after="0" w:line="289" w:lineRule="auto"/>
        <w:rPr>
          <w:sz w:val="20"/>
          <w:szCs w:val="20"/>
          <w:color w:val="auto"/>
        </w:rPr>
      </w:pPr>
      <w:r>
        <w:rPr>
          <w:rFonts w:ascii="Arial" w:cs="Arial" w:eastAsia="Arial" w:hAnsi="Arial"/>
          <w:sz w:val="15"/>
          <w:szCs w:val="15"/>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a discussion of recent accounting pronouncements, see Note 4 to the Unaudited Consolidated Financial Statements, included elsewhere in this Report.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46" w:name="page47"/>
    <w:bookmarkEnd w:id="4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 Quantitative and Qualitative Disclosures about Market Risk</w:t>
      </w:r>
    </w:p>
    <w:p>
      <w:pPr>
        <w:spacing w:after="0" w:line="181" w:lineRule="exact"/>
        <w:rPr>
          <w:sz w:val="20"/>
          <w:szCs w:val="20"/>
          <w:color w:val="auto"/>
        </w:rPr>
      </w:pPr>
    </w:p>
    <w:p>
      <w:pPr>
        <w:ind w:right="40" w:firstLine="556"/>
        <w:spacing w:after="0" w:line="289" w:lineRule="auto"/>
        <w:rPr>
          <w:sz w:val="20"/>
          <w:szCs w:val="20"/>
          <w:color w:val="auto"/>
        </w:rPr>
      </w:pPr>
      <w:r>
        <w:rPr>
          <w:rFonts w:ascii="Arial" w:cs="Arial" w:eastAsia="Arial" w:hAnsi="Arial"/>
          <w:sz w:val="15"/>
          <w:szCs w:val="15"/>
          <w:color w:val="auto"/>
        </w:rPr>
        <w:t>The Company’s assessment of market risk as of September 30, 2017 indicates there have been no material changes in the quantitative and qualitative disclosures from those in our Annual Report on Form 10-K for the year ended December 31, 2016 filed with the SEC.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Evaluation of Disclosure Controls and Procedures</w:t>
      </w:r>
    </w:p>
    <w:p>
      <w:pPr>
        <w:spacing w:after="0" w:line="111" w:lineRule="exact"/>
        <w:rPr>
          <w:sz w:val="20"/>
          <w:szCs w:val="20"/>
          <w:color w:val="auto"/>
        </w:rPr>
      </w:pPr>
    </w:p>
    <w:p>
      <w:pPr>
        <w:ind w:right="140" w:firstLine="556"/>
        <w:spacing w:after="0" w:line="268" w:lineRule="auto"/>
        <w:rPr>
          <w:sz w:val="20"/>
          <w:szCs w:val="20"/>
          <w:color w:val="auto"/>
        </w:rPr>
      </w:pPr>
      <w:r>
        <w:rPr>
          <w:rFonts w:ascii="Arial" w:cs="Arial" w:eastAsia="Arial" w:hAnsi="Arial"/>
          <w:sz w:val="15"/>
          <w:szCs w:val="15"/>
          <w:color w:val="auto"/>
        </w:rPr>
        <w:t>The Company’s Chief Executive Officer and Chief Financial Officer have reviewed and evaluated the effectiveness of the Company’s disclosure controls and procedures (as required by Exchange Act Rules 240.13a-15(b) and 15d-14(a)) as of September 30, 2017.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Changes in Internal Controls</w:t>
      </w:r>
    </w:p>
    <w:p>
      <w:pPr>
        <w:spacing w:after="0" w:line="111" w:lineRule="exact"/>
        <w:rPr>
          <w:sz w:val="20"/>
          <w:szCs w:val="20"/>
          <w:color w:val="auto"/>
        </w:rPr>
      </w:pPr>
    </w:p>
    <w:p>
      <w:pPr>
        <w:jc w:val="both"/>
        <w:ind w:firstLine="556"/>
        <w:spacing w:after="0" w:line="273" w:lineRule="auto"/>
        <w:rPr>
          <w:sz w:val="20"/>
          <w:szCs w:val="20"/>
          <w:color w:val="auto"/>
        </w:rPr>
      </w:pPr>
      <w:r>
        <w:rPr>
          <w:rFonts w:ascii="Arial" w:cs="Arial" w:eastAsia="Arial" w:hAnsi="Arial"/>
          <w:sz w:val="15"/>
          <w:szCs w:val="15"/>
          <w:color w:val="auto"/>
        </w:rPr>
        <w:t>There have not been any changes in the Company’s internal control over financial reporting (as such term is defined in Rules 13a-15(f) and 15d-15(f) under the Exchange Act) during the quarter ended September 30, 2017, to which this report relates that have materially affected, or are reasonably likely to materially affect the Company’s internal control over financial reporting.</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60"/>
          </w:cols>
          <w:pgMar w:left="240" w:top="222" w:right="299" w:bottom="1440" w:gutter="0" w:footer="0" w:header="0"/>
        </w:sectPr>
      </w:pPr>
    </w:p>
    <w:bookmarkStart w:id="47" w:name="page48"/>
    <w:bookmarkEnd w:id="4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PART II. -</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 Legal Proceedings</w:t>
      </w:r>
    </w:p>
    <w:p>
      <w:pPr>
        <w:spacing w:after="0" w:line="181" w:lineRule="exact"/>
        <w:rPr>
          <w:sz w:val="20"/>
          <w:szCs w:val="20"/>
          <w:color w:val="auto"/>
        </w:rPr>
      </w:pPr>
    </w:p>
    <w:p>
      <w:pPr>
        <w:ind w:right="20" w:firstLine="556"/>
        <w:spacing w:after="0" w:line="327" w:lineRule="auto"/>
        <w:rPr>
          <w:sz w:val="20"/>
          <w:szCs w:val="20"/>
          <w:color w:val="auto"/>
        </w:rPr>
      </w:pPr>
      <w:r>
        <w:rPr>
          <w:rFonts w:ascii="Arial" w:cs="Arial" w:eastAsia="Arial" w:hAnsi="Arial"/>
          <w:sz w:val="14"/>
          <w:szCs w:val="14"/>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 Risk Factors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There have been no material changes in our assessment of our risk factors from those set forth in our Annual Report on Form 10-K for the year ended December 31, 2016.</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 Unregistered Sales of Equity Securities and Use of Proceeds</w:t>
      </w:r>
    </w:p>
    <w:p>
      <w:pPr>
        <w:spacing w:after="0" w:line="169" w:lineRule="exact"/>
        <w:rPr>
          <w:sz w:val="20"/>
          <w:szCs w:val="20"/>
          <w:color w:val="auto"/>
        </w:rPr>
      </w:pPr>
    </w:p>
    <w:p>
      <w:pPr>
        <w:ind w:firstLine="556"/>
        <w:spacing w:after="0" w:line="302" w:lineRule="auto"/>
        <w:rPr>
          <w:sz w:val="20"/>
          <w:szCs w:val="20"/>
          <w:color w:val="auto"/>
        </w:rPr>
      </w:pPr>
      <w:r>
        <w:rPr>
          <w:rFonts w:ascii="Arial" w:cs="Arial" w:eastAsia="Arial" w:hAnsi="Arial"/>
          <w:sz w:val="14"/>
          <w:szCs w:val="14"/>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33" w:lineRule="exact"/>
        <w:rPr>
          <w:sz w:val="20"/>
          <w:szCs w:val="20"/>
          <w:color w:val="auto"/>
        </w:rPr>
      </w:pPr>
    </w:p>
    <w:p>
      <w:pPr>
        <w:jc w:val="center"/>
        <w:ind w:left="400"/>
        <w:spacing w:after="0"/>
        <w:rPr>
          <w:sz w:val="20"/>
          <w:szCs w:val="20"/>
          <w:color w:val="auto"/>
        </w:rPr>
      </w:pPr>
      <w:r>
        <w:rPr>
          <w:rFonts w:ascii="Arial" w:cs="Arial" w:eastAsia="Arial" w:hAnsi="Arial"/>
          <w:sz w:val="14"/>
          <w:szCs w:val="14"/>
          <w:color w:val="auto"/>
        </w:rPr>
        <w:t>There has been no material change in the planned use of proceeds from our initial public offering as described in our final prospectus filed with the SEC on January 17, 2017.</w:t>
      </w: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00"/>
          </w:cols>
          <w:pgMar w:left="240" w:top="222"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gridSpan w:val="3"/>
          </w:tcPr>
          <w:p>
            <w:pPr>
              <w:spacing w:after="0"/>
              <w:rPr>
                <w:rFonts w:ascii="Arial" w:cs="Arial" w:eastAsia="Arial" w:hAnsi="Arial"/>
                <w:sz w:val="15"/>
                <w:szCs w:val="15"/>
                <w:i w:val="1"/>
                <w:iCs w:val="1"/>
                <w:color w:val="0000EE"/>
                <w:w w:val="89"/>
              </w:rPr>
            </w:pPr>
            <w:hyperlink w:anchor="page2">
              <w:r>
                <w:rPr>
                  <w:rFonts w:ascii="Arial" w:cs="Arial" w:eastAsia="Arial" w:hAnsi="Arial"/>
                  <w:sz w:val="15"/>
                  <w:szCs w:val="15"/>
                  <w:i w:val="1"/>
                  <w:iCs w:val="1"/>
                  <w:color w:val="0000EE"/>
                  <w:w w:val="89"/>
                </w:rPr>
                <w:t>Table of Contents</w:t>
              </w:r>
            </w:hyperlink>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70"/>
        </w:trPr>
        <w:tc>
          <w:tcPr>
            <w:tcW w:w="480" w:type="dxa"/>
            <w:vAlign w:val="bottom"/>
            <w:gridSpan w:val="2"/>
          </w:tcPr>
          <w:p>
            <w:pPr>
              <w:spacing w:after="0"/>
              <w:rPr>
                <w:sz w:val="20"/>
                <w:szCs w:val="20"/>
                <w:color w:val="auto"/>
              </w:rPr>
            </w:pPr>
            <w:r>
              <w:rPr>
                <w:rFonts w:ascii="Arial" w:cs="Arial" w:eastAsia="Arial" w:hAnsi="Arial"/>
                <w:sz w:val="15"/>
                <w:szCs w:val="15"/>
                <w:b w:val="1"/>
                <w:bCs w:val="1"/>
                <w:color w:val="auto"/>
                <w:w w:val="96"/>
              </w:rPr>
              <w:t>Item 3.</w:t>
            </w:r>
          </w:p>
        </w:tc>
        <w:tc>
          <w:tcPr>
            <w:tcW w:w="10960" w:type="dxa"/>
            <w:vAlign w:val="bottom"/>
            <w:gridSpan w:val="8"/>
          </w:tcPr>
          <w:p>
            <w:pPr>
              <w:ind w:left="20"/>
              <w:spacing w:after="0"/>
              <w:rPr>
                <w:sz w:val="20"/>
                <w:szCs w:val="20"/>
                <w:color w:val="auto"/>
              </w:rPr>
            </w:pPr>
            <w:r>
              <w:rPr>
                <w:rFonts w:ascii="Arial" w:cs="Arial" w:eastAsia="Arial" w:hAnsi="Arial"/>
                <w:sz w:val="15"/>
                <w:szCs w:val="15"/>
                <w:b w:val="1"/>
                <w:bCs w:val="1"/>
                <w:color w:val="auto"/>
              </w:rPr>
              <w:t>- Defaults upon Senior Securities</w:t>
            </w:r>
          </w:p>
        </w:tc>
      </w:tr>
      <w:tr>
        <w:trPr>
          <w:trHeight w:val="33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960" w:type="dxa"/>
            <w:vAlign w:val="bottom"/>
            <w:gridSpan w:val="8"/>
          </w:tcPr>
          <w:p>
            <w:pPr>
              <w:ind w:left="60"/>
              <w:spacing w:after="0"/>
              <w:rPr>
                <w:sz w:val="20"/>
                <w:szCs w:val="20"/>
                <w:color w:val="auto"/>
              </w:rPr>
            </w:pPr>
            <w:r>
              <w:rPr>
                <w:rFonts w:ascii="Arial" w:cs="Arial" w:eastAsia="Arial" w:hAnsi="Arial"/>
                <w:sz w:val="15"/>
                <w:szCs w:val="15"/>
                <w:color w:val="auto"/>
              </w:rPr>
              <w:t>Not Applicable</w:t>
            </w:r>
          </w:p>
        </w:tc>
      </w:tr>
      <w:tr>
        <w:trPr>
          <w:trHeight w:val="463"/>
        </w:trPr>
        <w:tc>
          <w:tcPr>
            <w:tcW w:w="480" w:type="dxa"/>
            <w:vAlign w:val="bottom"/>
            <w:gridSpan w:val="2"/>
          </w:tcPr>
          <w:p>
            <w:pPr>
              <w:spacing w:after="0"/>
              <w:rPr>
                <w:sz w:val="20"/>
                <w:szCs w:val="20"/>
                <w:color w:val="auto"/>
              </w:rPr>
            </w:pPr>
            <w:r>
              <w:rPr>
                <w:rFonts w:ascii="Arial" w:cs="Arial" w:eastAsia="Arial" w:hAnsi="Arial"/>
                <w:sz w:val="15"/>
                <w:szCs w:val="15"/>
                <w:b w:val="1"/>
                <w:bCs w:val="1"/>
                <w:color w:val="auto"/>
                <w:w w:val="96"/>
              </w:rPr>
              <w:t>Item 4.</w:t>
            </w:r>
          </w:p>
        </w:tc>
        <w:tc>
          <w:tcPr>
            <w:tcW w:w="10960" w:type="dxa"/>
            <w:vAlign w:val="bottom"/>
            <w:gridSpan w:val="8"/>
          </w:tcPr>
          <w:p>
            <w:pPr>
              <w:ind w:left="20"/>
              <w:spacing w:after="0"/>
              <w:rPr>
                <w:sz w:val="20"/>
                <w:szCs w:val="20"/>
                <w:color w:val="auto"/>
              </w:rPr>
            </w:pPr>
            <w:r>
              <w:rPr>
                <w:rFonts w:ascii="Arial" w:cs="Arial" w:eastAsia="Arial" w:hAnsi="Arial"/>
                <w:sz w:val="15"/>
                <w:szCs w:val="15"/>
                <w:b w:val="1"/>
                <w:bCs w:val="1"/>
                <w:color w:val="auto"/>
              </w:rPr>
              <w:t>- Mine Safety Disclosures</w:t>
            </w:r>
          </w:p>
        </w:tc>
      </w:tr>
      <w:tr>
        <w:trPr>
          <w:trHeight w:val="34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960" w:type="dxa"/>
            <w:vAlign w:val="bottom"/>
            <w:gridSpan w:val="8"/>
          </w:tcPr>
          <w:p>
            <w:pPr>
              <w:ind w:left="60"/>
              <w:spacing w:after="0"/>
              <w:rPr>
                <w:sz w:val="20"/>
                <w:szCs w:val="20"/>
                <w:color w:val="auto"/>
              </w:rPr>
            </w:pPr>
            <w:r>
              <w:rPr>
                <w:rFonts w:ascii="Arial" w:cs="Arial" w:eastAsia="Arial" w:hAnsi="Arial"/>
                <w:sz w:val="15"/>
                <w:szCs w:val="15"/>
                <w:color w:val="auto"/>
              </w:rPr>
              <w:t>Not Applicable</w:t>
            </w:r>
          </w:p>
        </w:tc>
      </w:tr>
      <w:tr>
        <w:trPr>
          <w:trHeight w:val="463"/>
        </w:trPr>
        <w:tc>
          <w:tcPr>
            <w:tcW w:w="480" w:type="dxa"/>
            <w:vAlign w:val="bottom"/>
            <w:gridSpan w:val="2"/>
          </w:tcPr>
          <w:p>
            <w:pPr>
              <w:spacing w:after="0"/>
              <w:rPr>
                <w:sz w:val="20"/>
                <w:szCs w:val="20"/>
                <w:color w:val="auto"/>
              </w:rPr>
            </w:pPr>
            <w:r>
              <w:rPr>
                <w:rFonts w:ascii="Arial" w:cs="Arial" w:eastAsia="Arial" w:hAnsi="Arial"/>
                <w:sz w:val="15"/>
                <w:szCs w:val="15"/>
                <w:b w:val="1"/>
                <w:bCs w:val="1"/>
                <w:color w:val="auto"/>
                <w:w w:val="96"/>
              </w:rPr>
              <w:t>Item 5.</w:t>
            </w:r>
          </w:p>
        </w:tc>
        <w:tc>
          <w:tcPr>
            <w:tcW w:w="10960" w:type="dxa"/>
            <w:vAlign w:val="bottom"/>
            <w:gridSpan w:val="8"/>
          </w:tcPr>
          <w:p>
            <w:pPr>
              <w:ind w:left="20"/>
              <w:spacing w:after="0"/>
              <w:rPr>
                <w:sz w:val="20"/>
                <w:szCs w:val="20"/>
                <w:color w:val="auto"/>
              </w:rPr>
            </w:pPr>
            <w:r>
              <w:rPr>
                <w:rFonts w:ascii="Arial" w:cs="Arial" w:eastAsia="Arial" w:hAnsi="Arial"/>
                <w:sz w:val="15"/>
                <w:szCs w:val="15"/>
                <w:b w:val="1"/>
                <w:bCs w:val="1"/>
                <w:color w:val="auto"/>
              </w:rPr>
              <w:t>- Other Information</w:t>
            </w:r>
          </w:p>
        </w:tc>
      </w:tr>
      <w:tr>
        <w:trPr>
          <w:trHeight w:val="33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5"/>
                <w:szCs w:val="15"/>
                <w:color w:val="auto"/>
              </w:rPr>
              <w:t>None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3"/>
        </w:trPr>
        <w:tc>
          <w:tcPr>
            <w:tcW w:w="480" w:type="dxa"/>
            <w:vAlign w:val="bottom"/>
            <w:gridSpan w:val="2"/>
          </w:tcPr>
          <w:p>
            <w:pPr>
              <w:spacing w:after="0"/>
              <w:rPr>
                <w:sz w:val="20"/>
                <w:szCs w:val="20"/>
                <w:color w:val="auto"/>
              </w:rPr>
            </w:pPr>
            <w:r>
              <w:rPr>
                <w:rFonts w:ascii="Arial" w:cs="Arial" w:eastAsia="Arial" w:hAnsi="Arial"/>
                <w:sz w:val="15"/>
                <w:szCs w:val="15"/>
                <w:b w:val="1"/>
                <w:bCs w:val="1"/>
                <w:color w:val="auto"/>
                <w:w w:val="96"/>
              </w:rPr>
              <w:t>Item 6.</w:t>
            </w:r>
          </w:p>
        </w:tc>
        <w:tc>
          <w:tcPr>
            <w:tcW w:w="660" w:type="dxa"/>
            <w:vAlign w:val="bottom"/>
            <w:gridSpan w:val="2"/>
          </w:tcPr>
          <w:p>
            <w:pPr>
              <w:ind w:left="20"/>
              <w:spacing w:after="0"/>
              <w:rPr>
                <w:sz w:val="20"/>
                <w:szCs w:val="20"/>
                <w:color w:val="auto"/>
              </w:rPr>
            </w:pPr>
            <w:r>
              <w:rPr>
                <w:rFonts w:ascii="Arial" w:cs="Arial" w:eastAsia="Arial" w:hAnsi="Arial"/>
                <w:sz w:val="15"/>
                <w:szCs w:val="15"/>
                <w:b w:val="1"/>
                <w:bCs w:val="1"/>
                <w:color w:val="auto"/>
                <w:w w:val="91"/>
              </w:rPr>
              <w:t>- Exhibits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90"/>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5"/>
                <w:szCs w:val="15"/>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rPr>
              <w:t>Number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gridSpan w:val="3"/>
          </w:tcPr>
          <w:p>
            <w:pPr>
              <w:ind w:left="2180"/>
              <w:spacing w:after="0"/>
              <w:rPr>
                <w:sz w:val="20"/>
                <w:szCs w:val="20"/>
                <w:color w:val="auto"/>
              </w:rPr>
            </w:pPr>
            <w:r>
              <w:rPr>
                <w:rFonts w:ascii="Arial" w:cs="Arial" w:eastAsia="Arial" w:hAnsi="Arial"/>
                <w:sz w:val="15"/>
                <w:szCs w:val="15"/>
                <w:b w:val="1"/>
                <w:bCs w:val="1"/>
                <w:color w:val="auto"/>
              </w:rPr>
              <w:t>Description</w:t>
            </w:r>
          </w:p>
        </w:tc>
      </w:tr>
      <w:tr>
        <w:trPr>
          <w:trHeight w:val="142"/>
        </w:trPr>
        <w:tc>
          <w:tcPr>
            <w:tcW w:w="20" w:type="dxa"/>
            <w:vAlign w:val="bottom"/>
          </w:tcPr>
          <w:p>
            <w:pPr>
              <w:spacing w:after="0"/>
              <w:rPr>
                <w:sz w:val="12"/>
                <w:szCs w:val="12"/>
                <w:color w:val="auto"/>
              </w:rPr>
            </w:pPr>
          </w:p>
        </w:tc>
        <w:tc>
          <w:tcPr>
            <w:tcW w:w="1060" w:type="dxa"/>
            <w:vAlign w:val="bottom"/>
            <w:gridSpan w:val="2"/>
          </w:tcPr>
          <w:p>
            <w:pPr>
              <w:ind w:left="180"/>
              <w:spacing w:after="0" w:line="143" w:lineRule="exact"/>
              <w:rPr>
                <w:sz w:val="20"/>
                <w:szCs w:val="20"/>
                <w:color w:val="auto"/>
              </w:rPr>
            </w:pPr>
            <w:r>
              <w:rPr>
                <w:rFonts w:ascii="Arial" w:cs="Arial" w:eastAsia="Arial" w:hAnsi="Arial"/>
                <w:sz w:val="15"/>
                <w:szCs w:val="15"/>
                <w:color w:val="auto"/>
              </w:rPr>
              <w:t>31.1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4"/>
          </w:tcPr>
          <w:p>
            <w:pPr>
              <w:spacing w:after="0" w:line="143" w:lineRule="exact"/>
              <w:rPr>
                <w:rFonts w:ascii="Arial" w:cs="Arial" w:eastAsia="Arial" w:hAnsi="Arial"/>
                <w:sz w:val="15"/>
                <w:szCs w:val="15"/>
                <w:color w:val="0000EE"/>
                <w:w w:val="93"/>
              </w:rPr>
            </w:pPr>
            <w:hyperlink w:anchor="page51">
              <w:r>
                <w:rPr>
                  <w:rFonts w:ascii="Arial" w:cs="Arial" w:eastAsia="Arial" w:hAnsi="Arial"/>
                  <w:sz w:val="15"/>
                  <w:szCs w:val="15"/>
                  <w:color w:val="0000EE"/>
                  <w:w w:val="93"/>
                </w:rPr>
                <w:t>Certification of Principal Executive Officer Pursuant to Rules 13a-14(a) and 15d-14(a) under the Securities Exchange Act of 1934, as Adopted Pursuant to Section</w:t>
              </w:r>
            </w:hyperlink>
          </w:p>
        </w:tc>
      </w:tr>
      <w:tr>
        <w:trPr>
          <w:trHeight w:val="165"/>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Borders>
              <w:top w:val="single" w:sz="8" w:color="0000EE"/>
              <w:bottom w:val="single" w:sz="8" w:color="0000EE"/>
            </w:tcBorders>
            <w:gridSpan w:val="2"/>
          </w:tcPr>
          <w:p>
            <w:pPr>
              <w:spacing w:after="0" w:line="166" w:lineRule="exact"/>
              <w:rPr>
                <w:rFonts w:ascii="Arial" w:cs="Arial" w:eastAsia="Arial" w:hAnsi="Arial"/>
                <w:sz w:val="15"/>
                <w:szCs w:val="15"/>
                <w:color w:val="0000EE"/>
                <w:w w:val="92"/>
              </w:rPr>
            </w:pPr>
            <w:hyperlink w:anchor="page51">
              <w:r>
                <w:rPr>
                  <w:rFonts w:ascii="Arial" w:cs="Arial" w:eastAsia="Arial" w:hAnsi="Arial"/>
                  <w:sz w:val="15"/>
                  <w:szCs w:val="15"/>
                  <w:color w:val="0000EE"/>
                  <w:w w:val="92"/>
                </w:rPr>
                <w:t>302 of the Sarbanes-Oxley Act of 2002.</w:t>
              </w:r>
            </w:hyperlink>
          </w:p>
        </w:tc>
        <w:tc>
          <w:tcPr>
            <w:tcW w:w="7580" w:type="dxa"/>
            <w:vAlign w:val="bottom"/>
            <w:tcBorders>
              <w:top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51"/>
        </w:trPr>
        <w:tc>
          <w:tcPr>
            <w:tcW w:w="1080" w:type="dxa"/>
            <w:vAlign w:val="bottom"/>
            <w:gridSpan w:val="3"/>
          </w:tcPr>
          <w:p>
            <w:pPr>
              <w:ind w:left="200"/>
              <w:spacing w:after="0"/>
              <w:rPr>
                <w:sz w:val="20"/>
                <w:szCs w:val="20"/>
                <w:color w:val="auto"/>
              </w:rPr>
            </w:pPr>
            <w:r>
              <w:rPr>
                <w:rFonts w:ascii="Arial" w:cs="Arial" w:eastAsia="Arial" w:hAnsi="Arial"/>
                <w:sz w:val="15"/>
                <w:szCs w:val="15"/>
                <w:color w:val="auto"/>
              </w:rPr>
              <w:t>31.2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5"/>
          </w:tcPr>
          <w:p>
            <w:pPr>
              <w:spacing w:after="0"/>
              <w:rPr>
                <w:rFonts w:ascii="Arial" w:cs="Arial" w:eastAsia="Arial" w:hAnsi="Arial"/>
                <w:sz w:val="15"/>
                <w:szCs w:val="15"/>
                <w:color w:val="0000EE"/>
                <w:w w:val="93"/>
              </w:rPr>
            </w:pPr>
            <w:hyperlink w:anchor="page52">
              <w:r>
                <w:rPr>
                  <w:rFonts w:ascii="Arial" w:cs="Arial" w:eastAsia="Arial" w:hAnsi="Arial"/>
                  <w:sz w:val="15"/>
                  <w:szCs w:val="15"/>
                  <w:color w:val="0000EE"/>
                  <w:w w:val="93"/>
                </w:rPr>
                <w:t>Certification of Principal Financial Officer Pursuant to Rules 13a-14(a) and 15d-14(a) under the Securities Exchange Act of 1934, as Adopted Pursuant to Section</w:t>
              </w:r>
            </w:hyperlink>
          </w:p>
        </w:tc>
      </w:tr>
      <w:tr>
        <w:trPr>
          <w:trHeight w:val="165"/>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Borders>
              <w:top w:val="single" w:sz="8" w:color="0000EE"/>
              <w:bottom w:val="single" w:sz="8" w:color="0000EE"/>
            </w:tcBorders>
            <w:gridSpan w:val="2"/>
          </w:tcPr>
          <w:p>
            <w:pPr>
              <w:spacing w:after="0" w:line="166" w:lineRule="exact"/>
              <w:rPr>
                <w:rFonts w:ascii="Arial" w:cs="Arial" w:eastAsia="Arial" w:hAnsi="Arial"/>
                <w:sz w:val="15"/>
                <w:szCs w:val="15"/>
                <w:color w:val="0000EE"/>
                <w:w w:val="92"/>
              </w:rPr>
            </w:pPr>
            <w:hyperlink w:anchor="page52">
              <w:r>
                <w:rPr>
                  <w:rFonts w:ascii="Arial" w:cs="Arial" w:eastAsia="Arial" w:hAnsi="Arial"/>
                  <w:sz w:val="15"/>
                  <w:szCs w:val="15"/>
                  <w:color w:val="0000EE"/>
                  <w:w w:val="92"/>
                </w:rPr>
                <w:t>302 of the Sarbanes-Oxley Act of 2002.</w:t>
              </w:r>
            </w:hyperlink>
          </w:p>
        </w:tc>
        <w:tc>
          <w:tcPr>
            <w:tcW w:w="7540" w:type="dxa"/>
            <w:vAlign w:val="bottom"/>
            <w:tcBorders>
              <w:top w:val="single" w:sz="8" w:color="0000EE"/>
            </w:tcBorders>
          </w:tcPr>
          <w:p>
            <w:pPr>
              <w:spacing w:after="0"/>
              <w:rPr>
                <w:sz w:val="14"/>
                <w:szCs w:val="14"/>
                <w:color w:val="auto"/>
              </w:rPr>
            </w:pPr>
          </w:p>
        </w:tc>
        <w:tc>
          <w:tcPr>
            <w:tcW w:w="60" w:type="dxa"/>
            <w:vAlign w:val="bottom"/>
            <w:gridSpan w:val="2"/>
          </w:tcPr>
          <w:p>
            <w:pPr>
              <w:spacing w:after="0"/>
              <w:rPr>
                <w:sz w:val="14"/>
                <w:szCs w:val="14"/>
                <w:color w:val="auto"/>
              </w:rPr>
            </w:pPr>
          </w:p>
        </w:tc>
      </w:tr>
    </w:tbl>
    <w:p>
      <w:pPr>
        <w:spacing w:after="0" w:line="198" w:lineRule="exact"/>
        <w:rPr>
          <w:sz w:val="20"/>
          <w:szCs w:val="20"/>
          <w:color w:val="auto"/>
        </w:rPr>
      </w:pPr>
    </w:p>
    <w:p>
      <w:pPr>
        <w:ind w:left="1380" w:right="580" w:hanging="1179"/>
        <w:spacing w:after="0" w:line="289" w:lineRule="auto"/>
        <w:tabs>
          <w:tab w:leader="none" w:pos="1380" w:val="left"/>
        </w:tabs>
        <w:numPr>
          <w:ilvl w:val="0"/>
          <w:numId w:val="29"/>
        </w:numPr>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Certification of Principal Executive Officer and Principal Financial Officer pursuant to 18 U.S.C. Section 1350, as adopted pursuant to Section 906 of the</w:t>
        </w:r>
      </w:hyperlink>
      <w:r>
        <w:rPr>
          <w:rFonts w:ascii="Arial" w:cs="Arial" w:eastAsia="Arial" w:hAnsi="Arial"/>
          <w:sz w:val="15"/>
          <w:szCs w:val="15"/>
          <w:u w:val="single" w:color="auto"/>
          <w:color w:val="0000EE"/>
        </w:rPr>
        <w:t xml:space="preserve"> </w:t>
      </w:r>
      <w:hyperlink w:anchor="page53">
        <w:r>
          <w:rPr>
            <w:rFonts w:ascii="Arial" w:cs="Arial" w:eastAsia="Arial" w:hAnsi="Arial"/>
            <w:sz w:val="15"/>
            <w:szCs w:val="15"/>
            <w:u w:val="single" w:color="auto"/>
            <w:color w:val="0000EE"/>
          </w:rPr>
          <w:t>Sarbanes-Oxley Act of 2002</w:t>
        </w:r>
      </w:hyperlink>
    </w:p>
    <w:p>
      <w:pPr>
        <w:spacing w:after="0" w:line="141" w:lineRule="exact"/>
        <w:rPr>
          <w:rFonts w:ascii="Arial" w:cs="Arial" w:eastAsia="Arial" w:hAnsi="Arial"/>
          <w:sz w:val="15"/>
          <w:szCs w:val="15"/>
          <w:color w:val="auto"/>
        </w:rPr>
      </w:pPr>
    </w:p>
    <w:tbl>
      <w:tblPr>
        <w:tblLayout w:type="fixed"/>
        <w:tblInd w:w="200" w:type="dxa"/>
        <w:tblCellMar>
          <w:top w:w="0" w:type="dxa"/>
          <w:left w:w="0" w:type="dxa"/>
          <w:bottom w:w="0" w:type="dxa"/>
          <w:right w:w="0" w:type="dxa"/>
        </w:tblCellMar>
      </w:tblPr>
      <w:tr>
        <w:trPr>
          <w:trHeight w:val="196"/>
        </w:trPr>
        <w:tc>
          <w:tcPr>
            <w:tcW w:w="880" w:type="dxa"/>
            <w:vAlign w:val="bottom"/>
          </w:tcPr>
          <w:p>
            <w:pPr>
              <w:spacing w:after="0"/>
              <w:rPr>
                <w:sz w:val="20"/>
                <w:szCs w:val="20"/>
                <w:color w:val="auto"/>
              </w:rPr>
            </w:pPr>
            <w:r>
              <w:rPr>
                <w:rFonts w:ascii="Arial" w:cs="Arial" w:eastAsia="Arial" w:hAnsi="Arial"/>
                <w:sz w:val="15"/>
                <w:szCs w:val="15"/>
                <w:color w:val="auto"/>
              </w:rPr>
              <w:t>101.INS</w:t>
            </w:r>
          </w:p>
        </w:tc>
        <w:tc>
          <w:tcPr>
            <w:tcW w:w="4140" w:type="dxa"/>
            <w:vAlign w:val="bottom"/>
          </w:tcPr>
          <w:p>
            <w:pPr>
              <w:ind w:left="300"/>
              <w:spacing w:after="0"/>
              <w:rPr>
                <w:sz w:val="20"/>
                <w:szCs w:val="20"/>
                <w:color w:val="auto"/>
              </w:rPr>
            </w:pPr>
            <w:r>
              <w:rPr>
                <w:rFonts w:ascii="Arial" w:cs="Arial" w:eastAsia="Arial" w:hAnsi="Arial"/>
                <w:sz w:val="15"/>
                <w:szCs w:val="15"/>
                <w:color w:val="auto"/>
              </w:rPr>
              <w:t>XBRL Instance Document</w:t>
            </w:r>
          </w:p>
        </w:tc>
      </w:tr>
      <w:tr>
        <w:trPr>
          <w:trHeight w:val="371"/>
        </w:trPr>
        <w:tc>
          <w:tcPr>
            <w:tcW w:w="880" w:type="dxa"/>
            <w:vAlign w:val="bottom"/>
          </w:tcPr>
          <w:p>
            <w:pPr>
              <w:spacing w:after="0"/>
              <w:rPr>
                <w:sz w:val="20"/>
                <w:szCs w:val="20"/>
                <w:color w:val="auto"/>
              </w:rPr>
            </w:pPr>
            <w:r>
              <w:rPr>
                <w:rFonts w:ascii="Arial" w:cs="Arial" w:eastAsia="Arial" w:hAnsi="Arial"/>
                <w:sz w:val="15"/>
                <w:szCs w:val="15"/>
                <w:color w:val="auto"/>
              </w:rPr>
              <w:t>101.SCH</w:t>
            </w:r>
          </w:p>
        </w:tc>
        <w:tc>
          <w:tcPr>
            <w:tcW w:w="4140" w:type="dxa"/>
            <w:vAlign w:val="bottom"/>
          </w:tcPr>
          <w:p>
            <w:pPr>
              <w:ind w:left="300"/>
              <w:spacing w:after="0"/>
              <w:rPr>
                <w:sz w:val="20"/>
                <w:szCs w:val="20"/>
                <w:color w:val="auto"/>
              </w:rPr>
            </w:pPr>
            <w:r>
              <w:rPr>
                <w:rFonts w:ascii="Arial" w:cs="Arial" w:eastAsia="Arial" w:hAnsi="Arial"/>
                <w:sz w:val="15"/>
                <w:szCs w:val="15"/>
                <w:color w:val="auto"/>
              </w:rPr>
              <w:t>XBRL Taxonomy Extension Schema Linkbase Document</w:t>
            </w:r>
          </w:p>
        </w:tc>
      </w:tr>
      <w:tr>
        <w:trPr>
          <w:trHeight w:val="371"/>
        </w:trPr>
        <w:tc>
          <w:tcPr>
            <w:tcW w:w="880" w:type="dxa"/>
            <w:vAlign w:val="bottom"/>
          </w:tcPr>
          <w:p>
            <w:pPr>
              <w:spacing w:after="0"/>
              <w:rPr>
                <w:sz w:val="20"/>
                <w:szCs w:val="20"/>
                <w:color w:val="auto"/>
              </w:rPr>
            </w:pPr>
            <w:r>
              <w:rPr>
                <w:rFonts w:ascii="Arial" w:cs="Arial" w:eastAsia="Arial" w:hAnsi="Arial"/>
                <w:sz w:val="15"/>
                <w:szCs w:val="15"/>
                <w:color w:val="auto"/>
              </w:rPr>
              <w:t>101.CAL</w:t>
            </w:r>
          </w:p>
        </w:tc>
        <w:tc>
          <w:tcPr>
            <w:tcW w:w="4140" w:type="dxa"/>
            <w:vAlign w:val="bottom"/>
          </w:tcPr>
          <w:p>
            <w:pPr>
              <w:ind w:left="300"/>
              <w:spacing w:after="0"/>
              <w:rPr>
                <w:sz w:val="20"/>
                <w:szCs w:val="20"/>
                <w:color w:val="auto"/>
              </w:rPr>
            </w:pPr>
            <w:r>
              <w:rPr>
                <w:rFonts w:ascii="Arial" w:cs="Arial" w:eastAsia="Arial" w:hAnsi="Arial"/>
                <w:sz w:val="15"/>
                <w:szCs w:val="15"/>
                <w:color w:val="auto"/>
                <w:w w:val="95"/>
              </w:rPr>
              <w:t>XBRL Taxonomy Extension Calculation Linkbase Document</w:t>
            </w:r>
          </w:p>
        </w:tc>
      </w:tr>
      <w:tr>
        <w:trPr>
          <w:trHeight w:val="371"/>
        </w:trPr>
        <w:tc>
          <w:tcPr>
            <w:tcW w:w="880" w:type="dxa"/>
            <w:vAlign w:val="bottom"/>
          </w:tcPr>
          <w:p>
            <w:pPr>
              <w:spacing w:after="0"/>
              <w:rPr>
                <w:sz w:val="20"/>
                <w:szCs w:val="20"/>
                <w:color w:val="auto"/>
              </w:rPr>
            </w:pPr>
            <w:r>
              <w:rPr>
                <w:rFonts w:ascii="Arial" w:cs="Arial" w:eastAsia="Arial" w:hAnsi="Arial"/>
                <w:sz w:val="15"/>
                <w:szCs w:val="15"/>
                <w:color w:val="auto"/>
              </w:rPr>
              <w:t>101.DEF</w:t>
            </w:r>
          </w:p>
        </w:tc>
        <w:tc>
          <w:tcPr>
            <w:tcW w:w="4140" w:type="dxa"/>
            <w:vAlign w:val="bottom"/>
          </w:tcPr>
          <w:p>
            <w:pPr>
              <w:ind w:left="300"/>
              <w:spacing w:after="0"/>
              <w:rPr>
                <w:sz w:val="20"/>
                <w:szCs w:val="20"/>
                <w:color w:val="auto"/>
              </w:rPr>
            </w:pPr>
            <w:r>
              <w:rPr>
                <w:rFonts w:ascii="Arial" w:cs="Arial" w:eastAsia="Arial" w:hAnsi="Arial"/>
                <w:sz w:val="15"/>
                <w:szCs w:val="15"/>
                <w:color w:val="auto"/>
                <w:w w:val="98"/>
              </w:rPr>
              <w:t>XBRL Taxonomy Extension Definition Linkbase Document</w:t>
            </w:r>
          </w:p>
        </w:tc>
      </w:tr>
      <w:tr>
        <w:trPr>
          <w:trHeight w:val="371"/>
        </w:trPr>
        <w:tc>
          <w:tcPr>
            <w:tcW w:w="880" w:type="dxa"/>
            <w:vAlign w:val="bottom"/>
          </w:tcPr>
          <w:p>
            <w:pPr>
              <w:spacing w:after="0"/>
              <w:rPr>
                <w:sz w:val="20"/>
                <w:szCs w:val="20"/>
                <w:color w:val="auto"/>
              </w:rPr>
            </w:pPr>
            <w:r>
              <w:rPr>
                <w:rFonts w:ascii="Arial" w:cs="Arial" w:eastAsia="Arial" w:hAnsi="Arial"/>
                <w:sz w:val="15"/>
                <w:szCs w:val="15"/>
                <w:color w:val="auto"/>
              </w:rPr>
              <w:t>101.LAB</w:t>
            </w:r>
          </w:p>
        </w:tc>
        <w:tc>
          <w:tcPr>
            <w:tcW w:w="4140" w:type="dxa"/>
            <w:vAlign w:val="bottom"/>
          </w:tcPr>
          <w:p>
            <w:pPr>
              <w:ind w:left="300"/>
              <w:spacing w:after="0"/>
              <w:rPr>
                <w:sz w:val="20"/>
                <w:szCs w:val="20"/>
                <w:color w:val="auto"/>
              </w:rPr>
            </w:pPr>
            <w:r>
              <w:rPr>
                <w:rFonts w:ascii="Arial" w:cs="Arial" w:eastAsia="Arial" w:hAnsi="Arial"/>
                <w:sz w:val="15"/>
                <w:szCs w:val="15"/>
                <w:color w:val="auto"/>
              </w:rPr>
              <w:t>XBRL Taxonomy Extension Label Linkbase Document</w:t>
            </w:r>
          </w:p>
        </w:tc>
      </w:tr>
      <w:tr>
        <w:trPr>
          <w:trHeight w:val="371"/>
        </w:trPr>
        <w:tc>
          <w:tcPr>
            <w:tcW w:w="880" w:type="dxa"/>
            <w:vAlign w:val="bottom"/>
          </w:tcPr>
          <w:p>
            <w:pPr>
              <w:spacing w:after="0"/>
              <w:rPr>
                <w:sz w:val="20"/>
                <w:szCs w:val="20"/>
                <w:color w:val="auto"/>
              </w:rPr>
            </w:pPr>
            <w:r>
              <w:rPr>
                <w:rFonts w:ascii="Arial" w:cs="Arial" w:eastAsia="Arial" w:hAnsi="Arial"/>
                <w:sz w:val="15"/>
                <w:szCs w:val="15"/>
                <w:color w:val="auto"/>
              </w:rPr>
              <w:t>101.PRE</w:t>
            </w:r>
          </w:p>
        </w:tc>
        <w:tc>
          <w:tcPr>
            <w:tcW w:w="4140" w:type="dxa"/>
            <w:vAlign w:val="bottom"/>
          </w:tcPr>
          <w:p>
            <w:pPr>
              <w:ind w:left="300"/>
              <w:spacing w:after="0"/>
              <w:rPr>
                <w:sz w:val="20"/>
                <w:szCs w:val="20"/>
                <w:color w:val="auto"/>
              </w:rPr>
            </w:pPr>
            <w:r>
              <w:rPr>
                <w:rFonts w:ascii="Arial" w:cs="Arial" w:eastAsia="Arial" w:hAnsi="Arial"/>
                <w:sz w:val="15"/>
                <w:szCs w:val="15"/>
                <w:color w:val="auto"/>
                <w:w w:val="93"/>
              </w:rPr>
              <w:t>XBRL Taxonomy Extension Presentation Linkbase Document</w:t>
            </w:r>
          </w:p>
        </w:tc>
      </w:tr>
    </w:tbl>
    <w:p>
      <w:pPr>
        <w:spacing w:after="0" w:line="360"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440"/>
          </w:cols>
          <w:pgMar w:left="240" w:top="210" w:right="219" w:bottom="1440" w:gutter="0" w:footer="0" w:header="0"/>
        </w:sectPr>
      </w:pPr>
    </w:p>
    <w:bookmarkStart w:id="49" w:name="page50"/>
    <w:bookmarkEnd w:id="4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SIGNATURES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 on November 10, 2017.</w:t>
      </w: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NI HOLDINGS,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8255</wp:posOffset>
            </wp:positionV>
            <wp:extent cx="290512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0512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Michael J. Alexander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President and Chief Executive Officer</w:t>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5"/>
          <w:szCs w:val="15"/>
          <w:i w:val="1"/>
          <w:iCs w:val="1"/>
          <w:color w:val="auto"/>
        </w:rPr>
        <w:t>(Principal Executive Officer)</w:t>
      </w:r>
    </w:p>
    <w:p>
      <w:pPr>
        <w:spacing w:after="0" w:line="18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90512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05125" cy="7620"/>
                    </a:xfrm>
                    <a:prstGeom prst="rect">
                      <a:avLst/>
                    </a:prstGeom>
                    <a:noFill/>
                  </pic:spPr>
                </pic:pic>
              </a:graphicData>
            </a:graphic>
          </wp:anchor>
        </w:drawing>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Brian R. Doom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Chief Financial Officer</w:t>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66305"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1320"/>
          </w:cols>
          <w:pgMar w:left="240" w:top="2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5"/>
          <w:szCs w:val="15"/>
          <w:b w:val="1"/>
          <w:bCs w:val="1"/>
          <w:color w:val="auto"/>
        </w:rPr>
        <w:t>Exhibit 31.1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PERIODIC REPORT UNDER SECTION 302 OF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SARBANES-OXLEY ACT OF 2002</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I, Michael J. Alexander, certify that:</w:t>
      </w:r>
    </w:p>
    <w:p>
      <w:pPr>
        <w:spacing w:after="0" w:line="163" w:lineRule="exact"/>
        <w:rPr>
          <w:sz w:val="20"/>
          <w:szCs w:val="20"/>
          <w:color w:val="auto"/>
        </w:rPr>
      </w:pPr>
    </w:p>
    <w:p>
      <w:pPr>
        <w:ind w:left="1100" w:hanging="551"/>
        <w:spacing w:after="0"/>
        <w:tabs>
          <w:tab w:leader="none" w:pos="11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NI Holdings, Inc.;</w:t>
      </w:r>
    </w:p>
    <w:p>
      <w:pPr>
        <w:spacing w:after="0" w:line="163" w:lineRule="exact"/>
        <w:rPr>
          <w:rFonts w:ascii="Arial" w:cs="Arial" w:eastAsia="Arial" w:hAnsi="Arial"/>
          <w:sz w:val="15"/>
          <w:szCs w:val="15"/>
          <w:color w:val="auto"/>
        </w:rPr>
      </w:pPr>
    </w:p>
    <w:p>
      <w:pPr>
        <w:ind w:left="1100" w:right="100" w:hanging="551"/>
        <w:spacing w:after="0" w:line="289" w:lineRule="auto"/>
        <w:tabs>
          <w:tab w:leader="none" w:pos="11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1100" w:right="80" w:hanging="551"/>
        <w:spacing w:after="0" w:line="289" w:lineRule="auto"/>
        <w:tabs>
          <w:tab w:leader="none" w:pos="11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1100" w:hanging="551"/>
        <w:spacing w:after="0"/>
        <w:tabs>
          <w:tab w:leader="none" w:pos="11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4"/>
          <w:szCs w:val="14"/>
          <w:color w:val="auto"/>
        </w:rPr>
      </w:pPr>
    </w:p>
    <w:p>
      <w:pPr>
        <w:ind w:left="1100"/>
        <w:spacing w:after="0"/>
        <w:rPr>
          <w:rFonts w:ascii="Arial" w:cs="Arial" w:eastAsia="Arial" w:hAnsi="Arial"/>
          <w:sz w:val="14"/>
          <w:szCs w:val="14"/>
          <w:color w:val="auto"/>
        </w:rPr>
      </w:pPr>
      <w:r>
        <w:rPr>
          <w:rFonts w:ascii="Arial" w:cs="Arial" w:eastAsia="Arial" w:hAnsi="Arial"/>
          <w:sz w:val="15"/>
          <w:szCs w:val="15"/>
          <w:color w:val="auto"/>
        </w:rPr>
        <w:t>13a-15(e) and 15d-15(e)) and have:</w:t>
      </w:r>
    </w:p>
    <w:p>
      <w:pPr>
        <w:spacing w:after="0" w:line="153" w:lineRule="exact"/>
        <w:rPr>
          <w:rFonts w:ascii="Arial" w:cs="Arial" w:eastAsia="Arial" w:hAnsi="Arial"/>
          <w:sz w:val="14"/>
          <w:szCs w:val="14"/>
          <w:color w:val="auto"/>
        </w:rPr>
      </w:pPr>
    </w:p>
    <w:p>
      <w:pPr>
        <w:ind w:left="1660" w:right="100" w:hanging="556"/>
        <w:spacing w:after="0" w:line="273" w:lineRule="auto"/>
        <w:tabs>
          <w:tab w:leader="none" w:pos="1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5"/>
          <w:szCs w:val="15"/>
          <w:color w:val="auto"/>
        </w:rPr>
      </w:pPr>
    </w:p>
    <w:p>
      <w:pPr>
        <w:ind w:left="1660" w:hanging="556"/>
        <w:spacing w:after="0"/>
        <w:tabs>
          <w:tab w:leader="none" w:pos="1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[Reserved];</w:t>
      </w:r>
    </w:p>
    <w:p>
      <w:pPr>
        <w:spacing w:after="0" w:line="163" w:lineRule="exact"/>
        <w:rPr>
          <w:rFonts w:ascii="Arial" w:cs="Arial" w:eastAsia="Arial" w:hAnsi="Arial"/>
          <w:sz w:val="15"/>
          <w:szCs w:val="15"/>
          <w:color w:val="auto"/>
        </w:rPr>
      </w:pPr>
    </w:p>
    <w:p>
      <w:pPr>
        <w:ind w:left="1660" w:right="220" w:hanging="556"/>
        <w:spacing w:after="0" w:line="289" w:lineRule="auto"/>
        <w:tabs>
          <w:tab w:leader="none" w:pos="1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5"/>
          <w:szCs w:val="15"/>
          <w:color w:val="auto"/>
        </w:rPr>
      </w:pPr>
    </w:p>
    <w:p>
      <w:pPr>
        <w:ind w:left="1660" w:right="160" w:hanging="556"/>
        <w:spacing w:after="0" w:line="273" w:lineRule="auto"/>
        <w:tabs>
          <w:tab w:leader="none" w:pos="1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5"/>
          <w:szCs w:val="15"/>
          <w:color w:val="auto"/>
        </w:rPr>
      </w:pPr>
    </w:p>
    <w:p>
      <w:pPr>
        <w:ind w:left="1100" w:right="540" w:hanging="551"/>
        <w:spacing w:after="0" w:line="289" w:lineRule="auto"/>
        <w:tabs>
          <w:tab w:leader="none" w:pos="11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660" w:right="380" w:hanging="556"/>
        <w:spacing w:after="0" w:line="289" w:lineRule="auto"/>
        <w:tabs>
          <w:tab w:leader="none" w:pos="1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5"/>
          <w:szCs w:val="15"/>
          <w:color w:val="auto"/>
        </w:rPr>
      </w:pPr>
    </w:p>
    <w:p>
      <w:pPr>
        <w:ind w:left="1660" w:right="20" w:hanging="556"/>
        <w:spacing w:after="0" w:line="289" w:lineRule="auto"/>
        <w:tabs>
          <w:tab w:leader="none" w:pos="1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ind w:left="1380"/>
              <w:spacing w:after="0"/>
              <w:rPr>
                <w:sz w:val="20"/>
                <w:szCs w:val="20"/>
                <w:color w:val="auto"/>
              </w:rPr>
            </w:pPr>
            <w:r>
              <w:rPr>
                <w:rFonts w:ascii="Arial" w:cs="Arial" w:eastAsia="Arial" w:hAnsi="Arial"/>
                <w:sz w:val="15"/>
                <w:szCs w:val="15"/>
                <w:color w:val="auto"/>
              </w:rPr>
              <w:t>November 10, 2017</w:t>
            </w:r>
          </w:p>
        </w:tc>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Michael J. Alexander</w:t>
            </w:r>
          </w:p>
        </w:tc>
        <w:tc>
          <w:tcPr>
            <w:tcW w:w="4540" w:type="dxa"/>
            <w:vAlign w:val="bottom"/>
          </w:tcPr>
          <w:p>
            <w:pPr>
              <w:spacing w:after="0"/>
              <w:rPr>
                <w:sz w:val="17"/>
                <w:szCs w:val="17"/>
                <w:color w:val="auto"/>
              </w:rPr>
            </w:pPr>
          </w:p>
        </w:tc>
      </w:tr>
      <w:tr>
        <w:trPr>
          <w:trHeight w:val="166"/>
        </w:trPr>
        <w:tc>
          <w:tcPr>
            <w:tcW w:w="4540" w:type="dxa"/>
            <w:vAlign w:val="bottom"/>
          </w:tcPr>
          <w:p>
            <w:pPr>
              <w:spacing w:after="0"/>
              <w:rPr>
                <w:sz w:val="14"/>
                <w:szCs w:val="14"/>
                <w:color w:val="auto"/>
              </w:rPr>
            </w:pPr>
          </w:p>
        </w:tc>
        <w:tc>
          <w:tcPr>
            <w:tcW w:w="2360" w:type="dxa"/>
            <w:vAlign w:val="bottom"/>
          </w:tcPr>
          <w:p>
            <w:pPr>
              <w:spacing w:after="0" w:line="167" w:lineRule="exact"/>
              <w:rPr>
                <w:sz w:val="20"/>
                <w:szCs w:val="20"/>
                <w:color w:val="auto"/>
              </w:rPr>
            </w:pPr>
            <w:r>
              <w:rPr>
                <w:rFonts w:ascii="Arial" w:cs="Arial" w:eastAsia="Arial" w:hAnsi="Arial"/>
                <w:sz w:val="15"/>
                <w:szCs w:val="15"/>
                <w:color w:val="auto"/>
              </w:rPr>
              <w:t>Michael J. Alexander</w:t>
            </w:r>
          </w:p>
        </w:tc>
        <w:tc>
          <w:tcPr>
            <w:tcW w:w="4540" w:type="dxa"/>
            <w:vAlign w:val="bottom"/>
          </w:tcPr>
          <w:p>
            <w:pPr>
              <w:spacing w:after="0"/>
              <w:rPr>
                <w:sz w:val="14"/>
                <w:szCs w:val="14"/>
                <w:color w:val="auto"/>
              </w:rPr>
            </w:pPr>
          </w:p>
        </w:tc>
      </w:tr>
      <w:tr>
        <w:trPr>
          <w:trHeight w:val="185"/>
        </w:trPr>
        <w:tc>
          <w:tcPr>
            <w:tcW w:w="454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3"/>
              </w:rPr>
              <w:t>President and Chief Executive Officer</w:t>
            </w:r>
          </w:p>
        </w:tc>
        <w:tc>
          <w:tcPr>
            <w:tcW w:w="4540" w:type="dxa"/>
            <w:vAlign w:val="bottom"/>
          </w:tcPr>
          <w:p>
            <w:pPr>
              <w:spacing w:after="0"/>
              <w:rPr>
                <w:sz w:val="16"/>
                <w:szCs w:val="16"/>
                <w:color w:val="auto"/>
              </w:rPr>
            </w:pPr>
          </w:p>
        </w:tc>
      </w:tr>
      <w:tr>
        <w:trPr>
          <w:trHeight w:val="196"/>
        </w:trPr>
        <w:tc>
          <w:tcPr>
            <w:tcW w:w="454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Executive Officer</w:t>
            </w:r>
            <w:r>
              <w:rPr>
                <w:rFonts w:ascii="Arial" w:cs="Arial" w:eastAsia="Arial" w:hAnsi="Arial"/>
                <w:sz w:val="15"/>
                <w:szCs w:val="15"/>
                <w:color w:val="auto"/>
              </w:rPr>
              <w:t>)</w:t>
            </w:r>
          </w:p>
        </w:tc>
        <w:tc>
          <w:tcPr>
            <w:tcW w:w="4540" w:type="dxa"/>
            <w:vAlign w:val="bottom"/>
          </w:tcPr>
          <w:p>
            <w:pPr>
              <w:spacing w:after="0"/>
              <w:rPr>
                <w:sz w:val="17"/>
                <w:szCs w:val="17"/>
                <w:color w:val="auto"/>
              </w:rPr>
            </w:pPr>
          </w:p>
        </w:tc>
      </w:tr>
      <w:tr>
        <w:trPr>
          <w:trHeight w:val="583"/>
        </w:trPr>
        <w:tc>
          <w:tcPr>
            <w:tcW w:w="45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1120"/>
              <w:spacing w:after="0"/>
              <w:rPr>
                <w:sz w:val="20"/>
                <w:szCs w:val="20"/>
                <w:color w:val="auto"/>
              </w:rPr>
            </w:pPr>
            <w:r>
              <w:rPr>
                <w:rFonts w:ascii="Arial" w:cs="Arial" w:eastAsia="Arial" w:hAnsi="Arial"/>
                <w:sz w:val="15"/>
                <w:szCs w:val="15"/>
                <w:color w:val="auto"/>
              </w:rPr>
              <w:t>49</w:t>
            </w: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5"/>
          <w:szCs w:val="15"/>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SARBANES-OXLEY ACT OF 2002</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I, Brian R. Doom, certify that:</w:t>
      </w:r>
    </w:p>
    <w:p>
      <w:pPr>
        <w:spacing w:after="0" w:line="163" w:lineRule="exact"/>
        <w:rPr>
          <w:sz w:val="20"/>
          <w:szCs w:val="20"/>
          <w:color w:val="auto"/>
        </w:rPr>
      </w:pPr>
    </w:p>
    <w:p>
      <w:pPr>
        <w:ind w:left="1100" w:hanging="551"/>
        <w:spacing w:after="0"/>
        <w:tabs>
          <w:tab w:leader="none" w:pos="11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NI Holdings, Inc.;</w:t>
      </w:r>
    </w:p>
    <w:p>
      <w:pPr>
        <w:spacing w:after="0" w:line="174" w:lineRule="exact"/>
        <w:rPr>
          <w:rFonts w:ascii="Arial" w:cs="Arial" w:eastAsia="Arial" w:hAnsi="Arial"/>
          <w:sz w:val="15"/>
          <w:szCs w:val="15"/>
          <w:color w:val="auto"/>
        </w:rPr>
      </w:pPr>
    </w:p>
    <w:p>
      <w:pPr>
        <w:ind w:left="1100" w:right="100" w:hanging="551"/>
        <w:spacing w:after="0" w:line="289" w:lineRule="auto"/>
        <w:tabs>
          <w:tab w:leader="none" w:pos="11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Arial" w:cs="Arial" w:eastAsia="Arial" w:hAnsi="Arial"/>
          <w:sz w:val="15"/>
          <w:szCs w:val="15"/>
          <w:color w:val="auto"/>
        </w:rPr>
      </w:pPr>
    </w:p>
    <w:p>
      <w:pPr>
        <w:ind w:left="1100" w:right="80" w:hanging="551"/>
        <w:spacing w:after="0" w:line="289" w:lineRule="auto"/>
        <w:tabs>
          <w:tab w:leader="none" w:pos="11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1100" w:hanging="551"/>
        <w:spacing w:after="0"/>
        <w:tabs>
          <w:tab w:leader="none" w:pos="11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4"/>
          <w:szCs w:val="14"/>
          <w:color w:val="auto"/>
        </w:rPr>
      </w:pPr>
    </w:p>
    <w:p>
      <w:pPr>
        <w:ind w:left="1100"/>
        <w:spacing w:after="0"/>
        <w:rPr>
          <w:rFonts w:ascii="Arial" w:cs="Arial" w:eastAsia="Arial" w:hAnsi="Arial"/>
          <w:sz w:val="14"/>
          <w:szCs w:val="14"/>
          <w:color w:val="auto"/>
        </w:rPr>
      </w:pPr>
      <w:r>
        <w:rPr>
          <w:rFonts w:ascii="Arial" w:cs="Arial" w:eastAsia="Arial" w:hAnsi="Arial"/>
          <w:sz w:val="15"/>
          <w:szCs w:val="15"/>
          <w:color w:val="auto"/>
        </w:rPr>
        <w:t>13a-15(e) and 15d-15(e)) and have:</w:t>
      </w:r>
    </w:p>
    <w:p>
      <w:pPr>
        <w:spacing w:after="0" w:line="164" w:lineRule="exact"/>
        <w:rPr>
          <w:rFonts w:ascii="Arial" w:cs="Arial" w:eastAsia="Arial" w:hAnsi="Arial"/>
          <w:sz w:val="14"/>
          <w:szCs w:val="14"/>
          <w:color w:val="auto"/>
        </w:rPr>
      </w:pPr>
    </w:p>
    <w:p>
      <w:pPr>
        <w:ind w:left="1660" w:right="100" w:hanging="556"/>
        <w:spacing w:after="0" w:line="273" w:lineRule="auto"/>
        <w:tabs>
          <w:tab w:leader="none" w:pos="1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5"/>
          <w:szCs w:val="15"/>
          <w:color w:val="auto"/>
        </w:rPr>
      </w:pPr>
    </w:p>
    <w:p>
      <w:pPr>
        <w:ind w:left="1660" w:hanging="556"/>
        <w:spacing w:after="0"/>
        <w:tabs>
          <w:tab w:leader="none" w:pos="1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[Reserved];</w:t>
      </w:r>
    </w:p>
    <w:p>
      <w:pPr>
        <w:spacing w:after="0" w:line="163" w:lineRule="exact"/>
        <w:rPr>
          <w:rFonts w:ascii="Arial" w:cs="Arial" w:eastAsia="Arial" w:hAnsi="Arial"/>
          <w:sz w:val="15"/>
          <w:szCs w:val="15"/>
          <w:color w:val="auto"/>
        </w:rPr>
      </w:pPr>
    </w:p>
    <w:p>
      <w:pPr>
        <w:ind w:left="1660" w:right="220" w:hanging="556"/>
        <w:spacing w:after="0" w:line="289" w:lineRule="auto"/>
        <w:tabs>
          <w:tab w:leader="none" w:pos="1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ind w:left="1660" w:right="160" w:hanging="556"/>
        <w:spacing w:after="0" w:line="273" w:lineRule="auto"/>
        <w:tabs>
          <w:tab w:leader="none" w:pos="1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5"/>
          <w:szCs w:val="15"/>
          <w:color w:val="auto"/>
        </w:rPr>
      </w:pPr>
    </w:p>
    <w:p>
      <w:pPr>
        <w:ind w:left="1100" w:right="540" w:hanging="551"/>
        <w:spacing w:after="0" w:line="289" w:lineRule="auto"/>
        <w:tabs>
          <w:tab w:leader="none" w:pos="11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660" w:right="380" w:hanging="556"/>
        <w:spacing w:after="0" w:line="289" w:lineRule="auto"/>
        <w:tabs>
          <w:tab w:leader="none" w:pos="1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5"/>
          <w:szCs w:val="15"/>
          <w:color w:val="auto"/>
        </w:rPr>
      </w:pPr>
    </w:p>
    <w:p>
      <w:pPr>
        <w:ind w:left="1660" w:right="20" w:hanging="556"/>
        <w:spacing w:after="0" w:line="289" w:lineRule="auto"/>
        <w:tabs>
          <w:tab w:leader="none" w:pos="1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ind w:left="1380"/>
              <w:spacing w:after="0"/>
              <w:rPr>
                <w:sz w:val="20"/>
                <w:szCs w:val="20"/>
                <w:color w:val="auto"/>
              </w:rPr>
            </w:pPr>
            <w:r>
              <w:rPr>
                <w:rFonts w:ascii="Arial" w:cs="Arial" w:eastAsia="Arial" w:hAnsi="Arial"/>
                <w:sz w:val="15"/>
                <w:szCs w:val="15"/>
                <w:color w:val="auto"/>
              </w:rPr>
              <w:t>November 10, 2017</w:t>
            </w:r>
          </w:p>
        </w:tc>
        <w:tc>
          <w:tcPr>
            <w:tcW w:w="2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Brian R. Doom</w:t>
            </w:r>
          </w:p>
        </w:tc>
        <w:tc>
          <w:tcPr>
            <w:tcW w:w="4580" w:type="dxa"/>
            <w:vAlign w:val="bottom"/>
          </w:tcPr>
          <w:p>
            <w:pPr>
              <w:spacing w:after="0"/>
              <w:rPr>
                <w:sz w:val="17"/>
                <w:szCs w:val="17"/>
                <w:color w:val="auto"/>
              </w:rPr>
            </w:pPr>
          </w:p>
        </w:tc>
      </w:tr>
      <w:tr>
        <w:trPr>
          <w:trHeight w:val="166"/>
        </w:trPr>
        <w:tc>
          <w:tcPr>
            <w:tcW w:w="4580" w:type="dxa"/>
            <w:vAlign w:val="bottom"/>
          </w:tcPr>
          <w:p>
            <w:pPr>
              <w:spacing w:after="0"/>
              <w:rPr>
                <w:sz w:val="14"/>
                <w:szCs w:val="14"/>
                <w:color w:val="auto"/>
              </w:rPr>
            </w:pPr>
          </w:p>
        </w:tc>
        <w:tc>
          <w:tcPr>
            <w:tcW w:w="2280" w:type="dxa"/>
            <w:vAlign w:val="bottom"/>
          </w:tcPr>
          <w:p>
            <w:pPr>
              <w:spacing w:after="0" w:line="167" w:lineRule="exact"/>
              <w:rPr>
                <w:sz w:val="20"/>
                <w:szCs w:val="20"/>
                <w:color w:val="auto"/>
              </w:rPr>
            </w:pPr>
            <w:r>
              <w:rPr>
                <w:rFonts w:ascii="Arial" w:cs="Arial" w:eastAsia="Arial" w:hAnsi="Arial"/>
                <w:sz w:val="15"/>
                <w:szCs w:val="15"/>
                <w:color w:val="auto"/>
              </w:rPr>
              <w:t>Brian R. Doom</w:t>
            </w:r>
          </w:p>
        </w:tc>
        <w:tc>
          <w:tcPr>
            <w:tcW w:w="4580" w:type="dxa"/>
            <w:vAlign w:val="bottom"/>
          </w:tcPr>
          <w:p>
            <w:pPr>
              <w:spacing w:after="0"/>
              <w:rPr>
                <w:sz w:val="14"/>
                <w:szCs w:val="14"/>
                <w:color w:val="auto"/>
              </w:rPr>
            </w:pPr>
          </w:p>
        </w:tc>
      </w:tr>
      <w:tr>
        <w:trPr>
          <w:trHeight w:val="185"/>
        </w:trPr>
        <w:tc>
          <w:tcPr>
            <w:tcW w:w="45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Chief Financial Officer</w:t>
            </w:r>
          </w:p>
        </w:tc>
        <w:tc>
          <w:tcPr>
            <w:tcW w:w="4580" w:type="dxa"/>
            <w:vAlign w:val="bottom"/>
          </w:tcPr>
          <w:p>
            <w:pPr>
              <w:spacing w:after="0"/>
              <w:rPr>
                <w:sz w:val="16"/>
                <w:szCs w:val="16"/>
                <w:color w:val="auto"/>
              </w:rPr>
            </w:pPr>
          </w:p>
        </w:tc>
      </w:tr>
      <w:tr>
        <w:trPr>
          <w:trHeight w:val="196"/>
        </w:trPr>
        <w:tc>
          <w:tcPr>
            <w:tcW w:w="4580" w:type="dxa"/>
            <w:vAlign w:val="bottom"/>
          </w:tcPr>
          <w:p>
            <w:pPr>
              <w:spacing w:after="0"/>
              <w:rPr>
                <w:sz w:val="17"/>
                <w:szCs w:val="17"/>
                <w:color w:val="auto"/>
              </w:rPr>
            </w:pPr>
          </w:p>
        </w:tc>
        <w:tc>
          <w:tcPr>
            <w:tcW w:w="228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Officer</w:t>
            </w:r>
            <w:r>
              <w:rPr>
                <w:rFonts w:ascii="Arial" w:cs="Arial" w:eastAsia="Arial" w:hAnsi="Arial"/>
                <w:sz w:val="15"/>
                <w:szCs w:val="15"/>
                <w:color w:val="auto"/>
              </w:rPr>
              <w:t>)</w:t>
            </w:r>
          </w:p>
        </w:tc>
        <w:tc>
          <w:tcPr>
            <w:tcW w:w="4580" w:type="dxa"/>
            <w:vAlign w:val="bottom"/>
          </w:tcPr>
          <w:p>
            <w:pPr>
              <w:spacing w:after="0"/>
              <w:rPr>
                <w:sz w:val="17"/>
                <w:szCs w:val="17"/>
                <w:color w:val="auto"/>
              </w:rPr>
            </w:pPr>
          </w:p>
        </w:tc>
      </w:tr>
      <w:tr>
        <w:trPr>
          <w:trHeight w:val="594"/>
        </w:trPr>
        <w:tc>
          <w:tcPr>
            <w:tcW w:w="4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963"/>
              <w:spacing w:after="0"/>
              <w:rPr>
                <w:sz w:val="20"/>
                <w:szCs w:val="20"/>
                <w:color w:val="auto"/>
              </w:rPr>
            </w:pPr>
            <w:r>
              <w:rPr>
                <w:rFonts w:ascii="Arial" w:cs="Arial" w:eastAsia="Arial" w:hAnsi="Arial"/>
                <w:sz w:val="15"/>
                <w:szCs w:val="15"/>
                <w:color w:val="auto"/>
              </w:rPr>
              <w:t>50</w:t>
            </w: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SECTION 906 OF THE SARBANES-OXLEY ACT OF 2002</w:t>
      </w:r>
    </w:p>
    <w:p>
      <w:pPr>
        <w:spacing w:after="0" w:line="315"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In connection with the quarterly report of NI Holdings, Inc. (the “Company”) on Form 10-Q for the period ended September 30, 2017,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18" w:lineRule="exact"/>
        <w:rPr>
          <w:sz w:val="20"/>
          <w:szCs w:val="20"/>
          <w:color w:val="auto"/>
        </w:rPr>
      </w:pPr>
    </w:p>
    <w:p>
      <w:pPr>
        <w:ind w:left="1100" w:hanging="551"/>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4" w:lineRule="exact"/>
        <w:rPr>
          <w:rFonts w:ascii="Arial" w:cs="Arial" w:eastAsia="Arial" w:hAnsi="Arial"/>
          <w:sz w:val="15"/>
          <w:szCs w:val="15"/>
          <w:color w:val="auto"/>
        </w:rPr>
      </w:pPr>
    </w:p>
    <w:p>
      <w:pPr>
        <w:ind w:left="1100" w:hanging="551"/>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ind w:left="1380"/>
              <w:spacing w:after="0"/>
              <w:rPr>
                <w:sz w:val="20"/>
                <w:szCs w:val="20"/>
                <w:color w:val="auto"/>
              </w:rPr>
            </w:pPr>
            <w:r>
              <w:rPr>
                <w:rFonts w:ascii="Arial" w:cs="Arial" w:eastAsia="Arial" w:hAnsi="Arial"/>
                <w:sz w:val="15"/>
                <w:szCs w:val="15"/>
                <w:color w:val="auto"/>
              </w:rPr>
              <w:t>November 10, 2017</w:t>
            </w:r>
          </w:p>
        </w:tc>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Michael J. Alexander</w:t>
            </w:r>
          </w:p>
        </w:tc>
        <w:tc>
          <w:tcPr>
            <w:tcW w:w="4540" w:type="dxa"/>
            <w:vAlign w:val="bottom"/>
          </w:tcPr>
          <w:p>
            <w:pPr>
              <w:spacing w:after="0"/>
              <w:rPr>
                <w:sz w:val="17"/>
                <w:szCs w:val="17"/>
                <w:color w:val="auto"/>
              </w:rPr>
            </w:pPr>
          </w:p>
        </w:tc>
      </w:tr>
      <w:tr>
        <w:trPr>
          <w:trHeight w:val="166"/>
        </w:trPr>
        <w:tc>
          <w:tcPr>
            <w:tcW w:w="4540" w:type="dxa"/>
            <w:vAlign w:val="bottom"/>
          </w:tcPr>
          <w:p>
            <w:pPr>
              <w:spacing w:after="0"/>
              <w:rPr>
                <w:sz w:val="14"/>
                <w:szCs w:val="14"/>
                <w:color w:val="auto"/>
              </w:rPr>
            </w:pPr>
          </w:p>
        </w:tc>
        <w:tc>
          <w:tcPr>
            <w:tcW w:w="2360" w:type="dxa"/>
            <w:vAlign w:val="bottom"/>
          </w:tcPr>
          <w:p>
            <w:pPr>
              <w:spacing w:after="0" w:line="167" w:lineRule="exact"/>
              <w:rPr>
                <w:sz w:val="20"/>
                <w:szCs w:val="20"/>
                <w:color w:val="auto"/>
              </w:rPr>
            </w:pPr>
            <w:r>
              <w:rPr>
                <w:rFonts w:ascii="Arial" w:cs="Arial" w:eastAsia="Arial" w:hAnsi="Arial"/>
                <w:sz w:val="15"/>
                <w:szCs w:val="15"/>
                <w:color w:val="auto"/>
              </w:rPr>
              <w:t>Michael J. Alexander</w:t>
            </w:r>
          </w:p>
        </w:tc>
        <w:tc>
          <w:tcPr>
            <w:tcW w:w="4540" w:type="dxa"/>
            <w:vAlign w:val="bottom"/>
          </w:tcPr>
          <w:p>
            <w:pPr>
              <w:spacing w:after="0"/>
              <w:rPr>
                <w:sz w:val="14"/>
                <w:szCs w:val="14"/>
                <w:color w:val="auto"/>
              </w:rPr>
            </w:pPr>
          </w:p>
        </w:tc>
      </w:tr>
      <w:tr>
        <w:trPr>
          <w:trHeight w:val="185"/>
        </w:trPr>
        <w:tc>
          <w:tcPr>
            <w:tcW w:w="454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3"/>
              </w:rPr>
              <w:t>President and Chief Executive Officer</w:t>
            </w:r>
          </w:p>
        </w:tc>
        <w:tc>
          <w:tcPr>
            <w:tcW w:w="4540" w:type="dxa"/>
            <w:vAlign w:val="bottom"/>
          </w:tcPr>
          <w:p>
            <w:pPr>
              <w:spacing w:after="0"/>
              <w:rPr>
                <w:sz w:val="16"/>
                <w:szCs w:val="16"/>
                <w:color w:val="auto"/>
              </w:rPr>
            </w:pPr>
          </w:p>
        </w:tc>
      </w:tr>
      <w:tr>
        <w:trPr>
          <w:trHeight w:val="196"/>
        </w:trPr>
        <w:tc>
          <w:tcPr>
            <w:tcW w:w="4540" w:type="dxa"/>
            <w:vAlign w:val="bottom"/>
          </w:tcPr>
          <w:p>
            <w:pPr>
              <w:spacing w:after="0"/>
              <w:rPr>
                <w:sz w:val="17"/>
                <w:szCs w:val="17"/>
                <w:color w:val="auto"/>
              </w:rPr>
            </w:pPr>
          </w:p>
        </w:tc>
        <w:tc>
          <w:tcPr>
            <w:tcW w:w="23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Executive Officer</w:t>
            </w:r>
            <w:r>
              <w:rPr>
                <w:rFonts w:ascii="Arial" w:cs="Arial" w:eastAsia="Arial" w:hAnsi="Arial"/>
                <w:sz w:val="15"/>
                <w:szCs w:val="15"/>
                <w:color w:val="auto"/>
              </w:rPr>
              <w:t>)</w:t>
            </w:r>
          </w:p>
        </w:tc>
        <w:tc>
          <w:tcPr>
            <w:tcW w:w="4540" w:type="dxa"/>
            <w:vAlign w:val="bottom"/>
          </w:tcPr>
          <w:p>
            <w:pPr>
              <w:spacing w:after="0"/>
              <w:rPr>
                <w:sz w:val="17"/>
                <w:szCs w:val="17"/>
                <w:color w:val="auto"/>
              </w:rPr>
            </w:pPr>
          </w:p>
        </w:tc>
      </w:tr>
      <w:tr>
        <w:trPr>
          <w:trHeight w:val="556"/>
        </w:trPr>
        <w:tc>
          <w:tcPr>
            <w:tcW w:w="4540" w:type="dxa"/>
            <w:vAlign w:val="bottom"/>
          </w:tcPr>
          <w:p>
            <w:pPr>
              <w:ind w:left="1380"/>
              <w:spacing w:after="0"/>
              <w:rPr>
                <w:sz w:val="20"/>
                <w:szCs w:val="20"/>
                <w:color w:val="auto"/>
              </w:rPr>
            </w:pPr>
            <w:r>
              <w:rPr>
                <w:rFonts w:ascii="Arial" w:cs="Arial" w:eastAsia="Arial" w:hAnsi="Arial"/>
                <w:sz w:val="15"/>
                <w:szCs w:val="15"/>
                <w:color w:val="auto"/>
              </w:rPr>
              <w:t>November 10, 2017</w:t>
            </w:r>
          </w:p>
        </w:tc>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Brian R. Doom</w:t>
            </w:r>
          </w:p>
        </w:tc>
        <w:tc>
          <w:tcPr>
            <w:tcW w:w="4540" w:type="dxa"/>
            <w:vAlign w:val="bottom"/>
          </w:tcPr>
          <w:p>
            <w:pPr>
              <w:spacing w:after="0"/>
              <w:rPr>
                <w:sz w:val="24"/>
                <w:szCs w:val="24"/>
                <w:color w:val="auto"/>
              </w:rPr>
            </w:pPr>
          </w:p>
        </w:tc>
      </w:tr>
      <w:tr>
        <w:trPr>
          <w:trHeight w:val="166"/>
        </w:trPr>
        <w:tc>
          <w:tcPr>
            <w:tcW w:w="4540" w:type="dxa"/>
            <w:vAlign w:val="bottom"/>
          </w:tcPr>
          <w:p>
            <w:pPr>
              <w:spacing w:after="0"/>
              <w:rPr>
                <w:sz w:val="14"/>
                <w:szCs w:val="14"/>
                <w:color w:val="auto"/>
              </w:rPr>
            </w:pPr>
          </w:p>
        </w:tc>
        <w:tc>
          <w:tcPr>
            <w:tcW w:w="2360" w:type="dxa"/>
            <w:vAlign w:val="bottom"/>
          </w:tcPr>
          <w:p>
            <w:pPr>
              <w:spacing w:after="0" w:line="167" w:lineRule="exact"/>
              <w:rPr>
                <w:sz w:val="20"/>
                <w:szCs w:val="20"/>
                <w:color w:val="auto"/>
              </w:rPr>
            </w:pPr>
            <w:r>
              <w:rPr>
                <w:rFonts w:ascii="Arial" w:cs="Arial" w:eastAsia="Arial" w:hAnsi="Arial"/>
                <w:sz w:val="15"/>
                <w:szCs w:val="15"/>
                <w:color w:val="auto"/>
              </w:rPr>
              <w:t>Brian R. Doom</w:t>
            </w:r>
          </w:p>
        </w:tc>
        <w:tc>
          <w:tcPr>
            <w:tcW w:w="4540" w:type="dxa"/>
            <w:vAlign w:val="bottom"/>
          </w:tcPr>
          <w:p>
            <w:pPr>
              <w:spacing w:after="0"/>
              <w:rPr>
                <w:sz w:val="14"/>
                <w:szCs w:val="14"/>
                <w:color w:val="auto"/>
              </w:rPr>
            </w:pPr>
          </w:p>
        </w:tc>
      </w:tr>
      <w:tr>
        <w:trPr>
          <w:trHeight w:val="185"/>
        </w:trPr>
        <w:tc>
          <w:tcPr>
            <w:tcW w:w="454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Chief Financial Officer</w:t>
            </w:r>
          </w:p>
        </w:tc>
        <w:tc>
          <w:tcPr>
            <w:tcW w:w="4540" w:type="dxa"/>
            <w:vAlign w:val="bottom"/>
          </w:tcPr>
          <w:p>
            <w:pPr>
              <w:spacing w:after="0"/>
              <w:rPr>
                <w:sz w:val="16"/>
                <w:szCs w:val="16"/>
                <w:color w:val="auto"/>
              </w:rPr>
            </w:pPr>
          </w:p>
        </w:tc>
      </w:tr>
      <w:tr>
        <w:trPr>
          <w:trHeight w:val="196"/>
        </w:trPr>
        <w:tc>
          <w:tcPr>
            <w:tcW w:w="4540" w:type="dxa"/>
            <w:vAlign w:val="bottom"/>
          </w:tcPr>
          <w:p>
            <w:pPr>
              <w:spacing w:after="0"/>
              <w:rPr>
                <w:sz w:val="17"/>
                <w:szCs w:val="17"/>
                <w:color w:val="auto"/>
              </w:rPr>
            </w:pPr>
          </w:p>
        </w:tc>
        <w:tc>
          <w:tcPr>
            <w:tcW w:w="23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Officer</w:t>
            </w:r>
            <w:r>
              <w:rPr>
                <w:rFonts w:ascii="Arial" w:cs="Arial" w:eastAsia="Arial" w:hAnsi="Arial"/>
                <w:sz w:val="15"/>
                <w:szCs w:val="15"/>
                <w:color w:val="auto"/>
              </w:rPr>
              <w:t>)</w:t>
            </w:r>
          </w:p>
        </w:tc>
        <w:tc>
          <w:tcPr>
            <w:tcW w:w="4540" w:type="dxa"/>
            <w:vAlign w:val="bottom"/>
          </w:tcPr>
          <w:p>
            <w:pPr>
              <w:spacing w:after="0"/>
              <w:rPr>
                <w:sz w:val="17"/>
                <w:szCs w:val="17"/>
                <w:color w:val="auto"/>
              </w:rPr>
            </w:pPr>
          </w:p>
        </w:tc>
      </w:tr>
      <w:tr>
        <w:trPr>
          <w:trHeight w:val="571"/>
        </w:trPr>
        <w:tc>
          <w:tcPr>
            <w:tcW w:w="45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1120"/>
              <w:spacing w:after="0"/>
              <w:rPr>
                <w:sz w:val="20"/>
                <w:szCs w:val="20"/>
                <w:color w:val="auto"/>
              </w:rPr>
            </w:pPr>
            <w:r>
              <w:rPr>
                <w:rFonts w:ascii="Arial" w:cs="Arial" w:eastAsia="Arial" w:hAnsi="Arial"/>
                <w:sz w:val="15"/>
                <w:szCs w:val="15"/>
                <w:color w:val="auto"/>
              </w:rPr>
              <w:t>51</w:t>
            </w:r>
          </w:p>
        </w:tc>
        <w:tc>
          <w:tcPr>
            <w:tcW w:w="4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6"/>
    </w:lvl>
  </w:abstractNum>
  <w:abstractNum w:abstractNumId="12">
    <w:nsid w:val="2443A858"/>
    <w:multiLevelType w:val="hybridMultilevel"/>
    <w:lvl w:ilvl="0">
      <w:lvlJc w:val="left"/>
      <w:lvlText w:val="%1."/>
      <w:numFmt w:val="decimal"/>
      <w:start w:val="7"/>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decimal"/>
      <w:start w:val="9"/>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decimal"/>
      <w:start w:val="11"/>
    </w:lvl>
  </w:abstractNum>
  <w:abstractNum w:abstractNumId="17">
    <w:nsid w:val="79838CB2"/>
    <w:multiLevelType w:val="hybridMultilevel"/>
    <w:lvl w:ilvl="0">
      <w:lvlJc w:val="left"/>
      <w:lvlText w:val="%1."/>
      <w:numFmt w:val="decimal"/>
      <w:start w:val="12"/>
    </w:lvl>
  </w:abstractNum>
  <w:abstractNum w:abstractNumId="18">
    <w:nsid w:val="4353D0CD"/>
    <w:multiLevelType w:val="hybridMultilevel"/>
    <w:lvl w:ilvl="0">
      <w:lvlJc w:val="left"/>
      <w:lvlText w:val="%1."/>
      <w:numFmt w:val="decimal"/>
      <w:start w:val="13"/>
    </w:lvl>
  </w:abstractNum>
  <w:abstractNum w:abstractNumId="19">
    <w:nsid w:val="B03E0C6"/>
    <w:multiLevelType w:val="hybridMultilevel"/>
    <w:lvl w:ilvl="0">
      <w:lvlJc w:val="left"/>
      <w:lvlText w:val="%1."/>
      <w:numFmt w:val="decimal"/>
      <w:start w:val="14"/>
    </w:lvl>
  </w:abstractNum>
  <w:abstractNum w:abstractNumId="20">
    <w:nsid w:val="189A769B"/>
    <w:multiLevelType w:val="hybridMultilevel"/>
    <w:lvl w:ilvl="0">
      <w:lvlJc w:val="left"/>
      <w:lvlText w:val="%1."/>
      <w:numFmt w:val="decimal"/>
      <w:start w:val="15"/>
    </w:lvl>
  </w:abstractNum>
  <w:abstractNum w:abstractNumId="21">
    <w:nsid w:val="54E49EB4"/>
    <w:multiLevelType w:val="hybridMultilevel"/>
    <w:lvl w:ilvl="0">
      <w:lvlJc w:val="left"/>
      <w:lvlText w:val="%1."/>
      <w:numFmt w:val="decimal"/>
      <w:start w:val="16"/>
    </w:lvl>
  </w:abstractNum>
  <w:abstractNum w:abstractNumId="22">
    <w:nsid w:val="71F32454"/>
    <w:multiLevelType w:val="hybridMultilevel"/>
    <w:lvl w:ilvl="0">
      <w:lvlJc w:val="left"/>
      <w:lvlText w:val="%1."/>
      <w:numFmt w:val="decimal"/>
      <w:start w:val="17"/>
    </w:lvl>
  </w:abstractNum>
  <w:abstractNum w:abstractNumId="23">
    <w:nsid w:val="2CA88611"/>
    <w:multiLevelType w:val="hybridMultilevel"/>
    <w:lvl w:ilvl="0">
      <w:lvlJc w:val="left"/>
      <w:lvlText w:val="%1."/>
      <w:numFmt w:val="decimal"/>
      <w:start w:val="18"/>
    </w:lvl>
  </w:abstractNum>
  <w:abstractNum w:abstractNumId="24">
    <w:nsid w:val="836C40E"/>
    <w:multiLevelType w:val="hybridMultilevel"/>
    <w:lvl w:ilvl="0">
      <w:lvlJc w:val="left"/>
      <w:lvlText w:val="%1."/>
      <w:numFmt w:val="decimal"/>
      <w:start w:val="19"/>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3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2019-12-29T02:54:03Z</dcterms:created>
  <dcterms:modified xsi:type="dcterms:W3CDTF">2019-12-29T02:54:03Z</dcterms:modified>
</cp:coreProperties>
</file>