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spacing w:before="0" w:after="0"/>
        <w:ind w:left="0" w:right="0" w:firstLine="8960"/>
        <w:jc w:val="left"/>
        <w:rPr>
          <w:caps w:val="false"/>
          <w:smallCaps w:val="false"/>
        </w:rPr>
      </w:pPr>
      <w:bookmarkStart w:id="0" w:name="nodk-20250630.htm"/>
      <w:bookmarkStart w:id="1" w:name="ksnodk20250630"/>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spacing w:before="60" w:after="6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b/>
                <w:sz w:val="20"/>
              </w:rPr>
            </w:pPr>
            <w:r>
              <w:rPr>
                <w:b/>
                <w:sz w:val="20"/>
              </w:rPr>
              <w:t>QUARTERLY REPORT PURSUANT TO SECTION 13 OR 15(d) OF THE SECURITIES EXCHANGE ACT OF 1934</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b/>
                <w:sz w:val="20"/>
              </w:rPr>
            </w:pPr>
            <w:r>
              <w:rPr>
                <w:b/>
                <w:sz w:val="20"/>
              </w:rPr>
              <w:t>TRANSITION REPORT PURSUANT TO SECTION 13 OR 15(d) OF THE SECURITIES EXCHANGE ACT OF 1934</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xml:space="preserve"> to </w:t>
      </w:r>
      <w:r>
        <w:rPr>
          <w:rFonts w:ascii="Times New Roman;Times;Serif" w:hAnsi="Times New Roman;Times;Serif"/>
          <w:b/>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6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001-37973</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320"/>
        <w:gridCol w:w="90"/>
        <w:gridCol w:w="1625"/>
      </w:tblGrid>
      <w:tr>
        <w:trPr/>
        <w:tc>
          <w:tcPr>
            <w:tcW w:w="33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Dakota</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81-2683619</w:t>
            </w:r>
          </w:p>
        </w:tc>
      </w:tr>
      <w:tr>
        <w:trPr/>
        <w:tc>
          <w:tcPr>
            <w:tcW w:w="33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33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32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 First Avenue North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Fargo, North Dakota</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58102</w:t>
            </w:r>
          </w:p>
        </w:tc>
      </w:tr>
      <w:tr>
        <w:trPr/>
        <w:tc>
          <w:tcPr>
            <w:tcW w:w="33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298-4200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bdr w:val="single" w:sz="6" w:space="1" w:color="000000"/>
        </w:rPr>
      </w:pPr>
      <w:r>
        <w:rPr>
          <w:caps w:val="false"/>
          <w:smallCaps w:val="false"/>
          <w:bdr w:val="single" w:sz="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6" w:space="1" w:color="000000"/>
        </w:rPr>
      </w:pPr>
      <w:r>
        <w:rPr>
          <w:rFonts w:ascii="Times New Roman;Times;Serif" w:hAnsi="Times New Roman;Times;Serif"/>
          <w:b/>
          <w:i w:val="false"/>
          <w:caps w:val="false"/>
          <w:smallCaps w:val="false"/>
          <w:sz w:val="20"/>
          <w:bdr w:val="single" w:sz="6" w:space="1" w:color="00000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6" w:space="1" w:color="000000"/>
        </w:rPr>
      </w:pPr>
      <w:r>
        <w:rPr>
          <w:rFonts w:ascii="Times New Roman;Times;Serif" w:hAnsi="Times New Roman;Times;Serif"/>
          <w:b/>
          <w:i w:val="false"/>
          <w:caps w:val="false"/>
          <w:smallCaps w:val="false"/>
          <w:sz w:val="20"/>
          <w:bdr w:val="single" w:sz="6" w:space="1" w:color="000000"/>
        </w:rPr>
        <w:t>Former name, former address, and former fiscal year, if changed since last report</w:t>
      </w:r>
    </w:p>
    <w:p>
      <w:pPr>
        <w:pStyle w:val="TextBody"/>
        <w:bidi w:val="0"/>
        <w:spacing w:before="0" w:after="0"/>
        <w:ind w:left="0" w:right="0" w:hanging="0"/>
        <w:jc w:val="center"/>
        <w:rPr>
          <w:caps w:val="false"/>
          <w:smallCaps w:val="false"/>
          <w:bdr w:val="single" w:sz="6" w:space="1" w:color="000000"/>
        </w:rPr>
      </w:pPr>
      <w:r>
        <w:rPr>
          <w:caps w:val="false"/>
          <w:smallCaps w:val="false"/>
          <w:bdr w:val="single" w:sz="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95" w:type="dxa"/>
        <w:jc w:val="left"/>
        <w:tblInd w:w="0" w:type="dxa"/>
        <w:tblLayout w:type="fixed"/>
        <w:tblCellMar>
          <w:top w:w="0" w:type="dxa"/>
          <w:left w:w="0" w:type="dxa"/>
          <w:bottom w:w="0" w:type="dxa"/>
          <w:right w:w="0" w:type="dxa"/>
        </w:tblCellMar>
      </w:tblPr>
      <w:tblGrid>
        <w:gridCol w:w="3440"/>
        <w:gridCol w:w="1685"/>
        <w:gridCol w:w="3770"/>
      </w:tblGrid>
      <w:tr>
        <w:trPr/>
        <w:tc>
          <w:tcPr>
            <w:tcW w:w="3440" w:type="dxa"/>
            <w:tcBorders/>
            <w:vAlign w:val="center"/>
          </w:tcPr>
          <w:p>
            <w:pPr>
              <w:pStyle w:val="TableContents"/>
              <w:bidi w:val="0"/>
              <w:spacing w:before="0" w:after="283"/>
              <w:jc w:val="center"/>
              <w:rPr>
                <w:b/>
                <w:sz w:val="20"/>
                <w:u w:val="single"/>
              </w:rPr>
            </w:pPr>
            <w:r>
              <w:rPr>
                <w:b/>
                <w:sz w:val="20"/>
                <w:u w:val="single"/>
              </w:rPr>
              <w:t>Title of each class</w:t>
            </w:r>
          </w:p>
        </w:tc>
        <w:tc>
          <w:tcPr>
            <w:tcW w:w="1685" w:type="dxa"/>
            <w:tcBorders/>
            <w:vAlign w:val="center"/>
          </w:tcPr>
          <w:p>
            <w:pPr>
              <w:pStyle w:val="TableContents"/>
              <w:bidi w:val="0"/>
              <w:spacing w:before="0" w:after="283"/>
              <w:jc w:val="center"/>
              <w:rPr>
                <w:b/>
                <w:sz w:val="20"/>
                <w:u w:val="single"/>
              </w:rPr>
            </w:pPr>
            <w:r>
              <w:rPr>
                <w:b/>
                <w:sz w:val="20"/>
                <w:u w:val="single"/>
              </w:rPr>
              <w:t>Trading Symbol(s) </w:t>
            </w:r>
          </w:p>
        </w:tc>
        <w:tc>
          <w:tcPr>
            <w:tcW w:w="3770" w:type="dxa"/>
            <w:tcBorders/>
            <w:vAlign w:val="center"/>
          </w:tcPr>
          <w:p>
            <w:pPr>
              <w:pStyle w:val="TableContents"/>
              <w:bidi w:val="0"/>
              <w:spacing w:before="0" w:after="283"/>
              <w:jc w:val="center"/>
              <w:rPr>
                <w:b/>
                <w:sz w:val="20"/>
                <w:u w:val="single"/>
              </w:rPr>
            </w:pPr>
            <w:r>
              <w:rPr>
                <w:b/>
                <w:sz w:val="20"/>
                <w:u w:val="single"/>
              </w:rPr>
              <w:t>Name of each exchange on which registered</w:t>
            </w:r>
          </w:p>
        </w:tc>
      </w:tr>
      <w:tr>
        <w:trPr/>
        <w:tc>
          <w:tcPr>
            <w:tcW w:w="3440" w:type="dxa"/>
            <w:tcBorders/>
            <w:vAlign w:val="center"/>
          </w:tcPr>
          <w:p>
            <w:pPr>
              <w:pStyle w:val="TableContents"/>
              <w:bidi w:val="0"/>
              <w:spacing w:before="0" w:after="283"/>
              <w:jc w:val="center"/>
              <w:rPr>
                <w:sz w:val="20"/>
              </w:rPr>
            </w:pPr>
            <w:r>
              <w:rPr>
                <w:sz w:val="20"/>
              </w:rPr>
              <w:t>Common Stock, $0.01 par value per share</w:t>
            </w:r>
          </w:p>
        </w:tc>
        <w:tc>
          <w:tcPr>
            <w:tcW w:w="1685" w:type="dxa"/>
            <w:tcBorders/>
            <w:vAlign w:val="center"/>
          </w:tcPr>
          <w:p>
            <w:pPr>
              <w:pStyle w:val="TableContents"/>
              <w:bidi w:val="0"/>
              <w:spacing w:before="0" w:after="283"/>
              <w:jc w:val="center"/>
              <w:rPr>
                <w:sz w:val="20"/>
              </w:rPr>
            </w:pPr>
            <w:r>
              <w:rPr>
                <w:sz w:val="20"/>
              </w:rPr>
              <w:t>NODK </w:t>
            </w:r>
          </w:p>
        </w:tc>
        <w:tc>
          <w:tcPr>
            <w:tcW w:w="3770" w:type="dxa"/>
            <w:tcBorders/>
            <w:vAlign w:val="center"/>
          </w:tcPr>
          <w:p>
            <w:pPr>
              <w:pStyle w:val="TableContents"/>
              <w:bidi w:val="0"/>
              <w:spacing w:before="0" w:after="283"/>
              <w:jc w:val="center"/>
              <w:rPr>
                <w:sz w:val="20"/>
              </w:rPr>
            </w:pPr>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sz w:val="20"/>
              </w:rPr>
            </w:pPr>
            <w:r>
              <w:rPr>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sz w:val="20"/>
              </w:rPr>
            </w:pPr>
            <w:r>
              <w:rPr>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20"/>
              </w:rPr>
            </w:pPr>
            <w:r>
              <w:rPr>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Registrant’s common stock outstanding on July 31, 2025 was 20,675,337. No preferred shares are issued or outstanding.</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70"/>
        <w:gridCol w:w="335"/>
      </w:tblGrid>
      <w:tr>
        <w:trPr/>
        <w:tc>
          <w:tcPr>
            <w:tcW w:w="9870" w:type="dxa"/>
            <w:tcBorders/>
            <w:vAlign w:val="center"/>
          </w:tcPr>
          <w:p>
            <w:pPr>
              <w:pStyle w:val="TableContents"/>
              <w:bidi w:val="0"/>
              <w:spacing w:before="0" w:after="283"/>
              <w:jc w:val="left"/>
              <w:rPr/>
            </w:pPr>
            <w:hyperlink w:anchor="a_001">
              <w:r>
                <w:rPr>
                  <w:rStyle w:val="InternetLink"/>
                </w:rPr>
                <w:t>FORWARD-LOOKING STATEMENTS</w:t>
              </w:r>
            </w:hyperlink>
          </w:p>
        </w:tc>
        <w:tc>
          <w:tcPr>
            <w:tcW w:w="335" w:type="dxa"/>
            <w:tcBorders/>
            <w:vAlign w:val="center"/>
          </w:tcPr>
          <w:p>
            <w:pPr>
              <w:pStyle w:val="TableContents"/>
              <w:bidi w:val="0"/>
              <w:spacing w:before="0" w:after="283"/>
              <w:jc w:val="right"/>
              <w:rPr/>
            </w:pPr>
            <w:r>
              <w:rPr/>
              <w:t>1</w:t>
            </w:r>
          </w:p>
        </w:tc>
      </w:tr>
      <w:tr>
        <w:trPr/>
        <w:tc>
          <w:tcPr>
            <w:tcW w:w="9870" w:type="dxa"/>
            <w:tcBorders/>
            <w:vAlign w:val="center"/>
          </w:tcPr>
          <w:p>
            <w:pPr>
              <w:pStyle w:val="TableContents"/>
              <w:bidi w:val="0"/>
              <w:spacing w:before="0" w:after="283"/>
              <w:jc w:val="left"/>
              <w:rPr/>
            </w:pPr>
            <w:hyperlink w:anchor="a_002">
              <w:r>
                <w:rPr>
                  <w:rStyle w:val="InternetLink"/>
                </w:rPr>
                <w:t>Part I. - FINANCIAL INFORMATION</w:t>
              </w:r>
            </w:hyperlink>
          </w:p>
        </w:tc>
        <w:tc>
          <w:tcPr>
            <w:tcW w:w="335" w:type="dxa"/>
            <w:tcBorders/>
            <w:vAlign w:val="center"/>
          </w:tcPr>
          <w:p>
            <w:pPr>
              <w:pStyle w:val="TableContents"/>
              <w:bidi w:val="0"/>
              <w:spacing w:before="0" w:after="283"/>
              <w:ind w:left="0" w:right="0" w:hanging="720"/>
              <w:jc w:val="right"/>
              <w:rPr/>
            </w:pPr>
            <w:r>
              <w:rPr/>
              <w:t>3</w:t>
            </w:r>
          </w:p>
        </w:tc>
      </w:tr>
      <w:tr>
        <w:trPr/>
        <w:tc>
          <w:tcPr>
            <w:tcW w:w="9870" w:type="dxa"/>
            <w:tcBorders/>
            <w:vAlign w:val="center"/>
          </w:tcPr>
          <w:p>
            <w:pPr>
              <w:pStyle w:val="TableContents"/>
              <w:bidi w:val="0"/>
              <w:spacing w:before="0" w:after="283"/>
              <w:jc w:val="left"/>
              <w:rPr/>
            </w:pPr>
            <w:hyperlink w:anchor="a_002">
              <w:r>
                <w:rPr>
                  <w:rStyle w:val="InternetLink"/>
                </w:rPr>
                <w:t>Item 1. - Financial Statements</w:t>
              </w:r>
            </w:hyperlink>
          </w:p>
        </w:tc>
        <w:tc>
          <w:tcPr>
            <w:tcW w:w="335" w:type="dxa"/>
            <w:tcBorders/>
            <w:vAlign w:val="center"/>
          </w:tcPr>
          <w:p>
            <w:pPr>
              <w:pStyle w:val="TableContents"/>
              <w:bidi w:val="0"/>
              <w:spacing w:before="0" w:after="283"/>
              <w:ind w:left="0" w:right="0" w:hanging="1080"/>
              <w:jc w:val="right"/>
              <w:rPr/>
            </w:pPr>
            <w:r>
              <w:rPr/>
              <w:t>3</w:t>
            </w:r>
          </w:p>
        </w:tc>
      </w:tr>
      <w:tr>
        <w:trPr/>
        <w:tc>
          <w:tcPr>
            <w:tcW w:w="9870" w:type="dxa"/>
            <w:tcBorders/>
            <w:vAlign w:val="center"/>
          </w:tcPr>
          <w:p>
            <w:pPr>
              <w:pStyle w:val="TableContents"/>
              <w:bidi w:val="0"/>
              <w:spacing w:before="0" w:after="283"/>
              <w:jc w:val="left"/>
              <w:rPr/>
            </w:pPr>
            <w:hyperlink w:anchor="a_003">
              <w:r>
                <w:rPr>
                  <w:rStyle w:val="InternetLink"/>
                </w:rPr>
                <w:t>Consolidated Balance Sheet – June 30, 2025 (Unaudited) and December 31, 2024</w:t>
              </w:r>
            </w:hyperlink>
          </w:p>
        </w:tc>
        <w:tc>
          <w:tcPr>
            <w:tcW w:w="335" w:type="dxa"/>
            <w:tcBorders/>
            <w:vAlign w:val="center"/>
          </w:tcPr>
          <w:p>
            <w:pPr>
              <w:pStyle w:val="TableContents"/>
              <w:bidi w:val="0"/>
              <w:spacing w:before="0" w:after="283"/>
              <w:ind w:left="0" w:right="0" w:hanging="1080"/>
              <w:jc w:val="right"/>
              <w:rPr/>
            </w:pPr>
            <w:r>
              <w:rPr/>
              <w:t>3</w:t>
            </w:r>
          </w:p>
        </w:tc>
      </w:tr>
      <w:tr>
        <w:trPr/>
        <w:tc>
          <w:tcPr>
            <w:tcW w:w="9870" w:type="dxa"/>
            <w:tcBorders/>
            <w:vAlign w:val="center"/>
          </w:tcPr>
          <w:p>
            <w:pPr>
              <w:pStyle w:val="TableContents"/>
              <w:bidi w:val="0"/>
              <w:spacing w:before="0" w:after="283"/>
              <w:jc w:val="left"/>
              <w:rPr/>
            </w:pPr>
            <w:hyperlink w:anchor="a_004">
              <w:r>
                <w:rPr>
                  <w:rStyle w:val="InternetLink"/>
                </w:rPr>
                <w:t>Consolidated Statements of Operations (Unaudited) – Three Months and Six Months Ended June 30, 2025 and 2024</w:t>
              </w:r>
            </w:hyperlink>
          </w:p>
        </w:tc>
        <w:tc>
          <w:tcPr>
            <w:tcW w:w="335" w:type="dxa"/>
            <w:tcBorders/>
            <w:vAlign w:val="center"/>
          </w:tcPr>
          <w:p>
            <w:pPr>
              <w:pStyle w:val="TableContents"/>
              <w:bidi w:val="0"/>
              <w:spacing w:before="0" w:after="283"/>
              <w:ind w:left="0" w:right="0" w:hanging="1080"/>
              <w:jc w:val="right"/>
              <w:rPr/>
            </w:pPr>
            <w:r>
              <w:rPr/>
              <w:t>4</w:t>
            </w:r>
          </w:p>
        </w:tc>
      </w:tr>
      <w:tr>
        <w:trPr/>
        <w:tc>
          <w:tcPr>
            <w:tcW w:w="9870" w:type="dxa"/>
            <w:tcBorders/>
            <w:vAlign w:val="center"/>
          </w:tcPr>
          <w:p>
            <w:pPr>
              <w:pStyle w:val="TableContents"/>
              <w:bidi w:val="0"/>
              <w:spacing w:before="0" w:after="283"/>
              <w:jc w:val="left"/>
              <w:rPr/>
            </w:pPr>
            <w:hyperlink w:anchor="a_005">
              <w:r>
                <w:rPr>
                  <w:rStyle w:val="InternetLink"/>
                </w:rPr>
                <w:t>Consolidated Statements of Comprehensive Income (Loss) (Unaudited) – Three Months and Six Months Ended June 30, 2025 and 2024</w:t>
              </w:r>
            </w:hyperlink>
          </w:p>
        </w:tc>
        <w:tc>
          <w:tcPr>
            <w:tcW w:w="335" w:type="dxa"/>
            <w:tcBorders/>
            <w:vAlign w:val="center"/>
          </w:tcPr>
          <w:p>
            <w:pPr>
              <w:pStyle w:val="TableContents"/>
              <w:bidi w:val="0"/>
              <w:spacing w:before="0" w:after="283"/>
              <w:ind w:left="0" w:right="0" w:hanging="1080"/>
              <w:jc w:val="right"/>
              <w:rPr/>
            </w:pPr>
            <w:r>
              <w:rPr/>
              <w:t>5</w:t>
            </w:r>
          </w:p>
        </w:tc>
      </w:tr>
      <w:tr>
        <w:trPr/>
        <w:tc>
          <w:tcPr>
            <w:tcW w:w="9870" w:type="dxa"/>
            <w:tcBorders/>
            <w:vAlign w:val="center"/>
          </w:tcPr>
          <w:p>
            <w:pPr>
              <w:pStyle w:val="TableContents"/>
              <w:bidi w:val="0"/>
              <w:spacing w:before="0" w:after="283"/>
              <w:jc w:val="left"/>
              <w:rPr/>
            </w:pPr>
            <w:hyperlink w:anchor="a_006">
              <w:r>
                <w:rPr>
                  <w:rStyle w:val="InternetLink"/>
                </w:rPr>
                <w:t>Consolidated Statements of Changes in Shareholders’ Equity (Unaudited) – Three Months and Six Months Ended June 30, 2025 and 2024</w:t>
              </w:r>
            </w:hyperlink>
          </w:p>
        </w:tc>
        <w:tc>
          <w:tcPr>
            <w:tcW w:w="335" w:type="dxa"/>
            <w:tcBorders/>
            <w:vAlign w:val="center"/>
          </w:tcPr>
          <w:p>
            <w:pPr>
              <w:pStyle w:val="TableContents"/>
              <w:bidi w:val="0"/>
              <w:spacing w:before="0" w:after="283"/>
              <w:ind w:left="0" w:right="0" w:hanging="1080"/>
              <w:jc w:val="right"/>
              <w:rPr/>
            </w:pPr>
            <w:r>
              <w:rPr/>
              <w:t>6</w:t>
            </w:r>
          </w:p>
        </w:tc>
      </w:tr>
      <w:tr>
        <w:trPr/>
        <w:tc>
          <w:tcPr>
            <w:tcW w:w="9870" w:type="dxa"/>
            <w:tcBorders/>
            <w:vAlign w:val="center"/>
          </w:tcPr>
          <w:p>
            <w:pPr>
              <w:pStyle w:val="TableContents"/>
              <w:bidi w:val="0"/>
              <w:spacing w:before="0" w:after="283"/>
              <w:jc w:val="left"/>
              <w:rPr/>
            </w:pPr>
            <w:hyperlink w:anchor="a_007">
              <w:r>
                <w:rPr>
                  <w:rStyle w:val="InternetLink"/>
                </w:rPr>
                <w:t>Consolidated Statements of Cash Flows (Unaudited) – Six Months Ended June 30, 2025 and 2024</w:t>
              </w:r>
            </w:hyperlink>
          </w:p>
        </w:tc>
        <w:tc>
          <w:tcPr>
            <w:tcW w:w="335" w:type="dxa"/>
            <w:tcBorders/>
            <w:vAlign w:val="center"/>
          </w:tcPr>
          <w:p>
            <w:pPr>
              <w:pStyle w:val="TableContents"/>
              <w:bidi w:val="0"/>
              <w:spacing w:before="0" w:after="283"/>
              <w:ind w:left="0" w:right="0" w:hanging="1080"/>
              <w:jc w:val="right"/>
              <w:rPr/>
            </w:pPr>
            <w:r>
              <w:rPr/>
              <w:t>8</w:t>
            </w:r>
          </w:p>
        </w:tc>
      </w:tr>
      <w:tr>
        <w:trPr/>
        <w:tc>
          <w:tcPr>
            <w:tcW w:w="9870" w:type="dxa"/>
            <w:tcBorders/>
            <w:vAlign w:val="center"/>
          </w:tcPr>
          <w:p>
            <w:pPr>
              <w:pStyle w:val="TableContents"/>
              <w:bidi w:val="0"/>
              <w:spacing w:before="0" w:after="283"/>
              <w:jc w:val="left"/>
              <w:rPr/>
            </w:pPr>
            <w:hyperlink w:anchor="a_009">
              <w:r>
                <w:rPr>
                  <w:rStyle w:val="InternetLink"/>
                </w:rPr>
                <w:t>Notes to Unaudited Consolidated Financial Statements</w:t>
              </w:r>
            </w:hyperlink>
          </w:p>
        </w:tc>
        <w:tc>
          <w:tcPr>
            <w:tcW w:w="335" w:type="dxa"/>
            <w:tcBorders/>
            <w:vAlign w:val="center"/>
          </w:tcPr>
          <w:p>
            <w:pPr>
              <w:pStyle w:val="TableContents"/>
              <w:bidi w:val="0"/>
              <w:spacing w:before="0" w:after="283"/>
              <w:ind w:left="0" w:right="0" w:hanging="720"/>
              <w:jc w:val="right"/>
              <w:rPr/>
            </w:pPr>
            <w:r>
              <w:rPr/>
              <w:t>9</w:t>
            </w:r>
          </w:p>
        </w:tc>
      </w:tr>
      <w:tr>
        <w:trPr/>
        <w:tc>
          <w:tcPr>
            <w:tcW w:w="9870" w:type="dxa"/>
            <w:tcBorders/>
            <w:vAlign w:val="center"/>
          </w:tcPr>
          <w:p>
            <w:pPr>
              <w:pStyle w:val="TableContents"/>
              <w:bidi w:val="0"/>
              <w:spacing w:before="0" w:after="283"/>
              <w:jc w:val="left"/>
              <w:rPr/>
            </w:pPr>
            <w:hyperlink w:anchor="a_010">
              <w:r>
                <w:rPr>
                  <w:rStyle w:val="InternetLink"/>
                </w:rPr>
                <w:t>Item 2. - Management’s Discussion and Analysis of Financial Condition and Results of Operations</w:t>
              </w:r>
            </w:hyperlink>
          </w:p>
        </w:tc>
        <w:tc>
          <w:tcPr>
            <w:tcW w:w="335" w:type="dxa"/>
            <w:tcBorders/>
            <w:vAlign w:val="center"/>
          </w:tcPr>
          <w:p>
            <w:pPr>
              <w:pStyle w:val="TableContents"/>
              <w:bidi w:val="0"/>
              <w:spacing w:before="0" w:after="283"/>
              <w:ind w:left="0" w:right="0" w:hanging="720"/>
              <w:jc w:val="right"/>
              <w:rPr/>
            </w:pPr>
            <w:r>
              <w:rPr/>
              <w:t>37</w:t>
            </w:r>
          </w:p>
        </w:tc>
      </w:tr>
      <w:tr>
        <w:trPr/>
        <w:tc>
          <w:tcPr>
            <w:tcW w:w="9870" w:type="dxa"/>
            <w:tcBorders/>
            <w:vAlign w:val="center"/>
          </w:tcPr>
          <w:p>
            <w:pPr>
              <w:pStyle w:val="TableContents"/>
              <w:bidi w:val="0"/>
              <w:spacing w:before="0" w:after="283"/>
              <w:jc w:val="left"/>
              <w:rPr/>
            </w:pPr>
            <w:hyperlink w:anchor="a_011">
              <w:r>
                <w:rPr>
                  <w:rStyle w:val="InternetLink"/>
                </w:rPr>
                <w:t>Item 3. - Quantitative and Qualitative Disclosures about Market Risk</w:t>
              </w:r>
            </w:hyperlink>
          </w:p>
        </w:tc>
        <w:tc>
          <w:tcPr>
            <w:tcW w:w="335" w:type="dxa"/>
            <w:tcBorders/>
            <w:vAlign w:val="center"/>
          </w:tcPr>
          <w:p>
            <w:pPr>
              <w:pStyle w:val="TableContents"/>
              <w:bidi w:val="0"/>
              <w:spacing w:before="0" w:after="283"/>
              <w:ind w:left="0" w:right="0" w:hanging="720"/>
              <w:jc w:val="right"/>
              <w:rPr/>
            </w:pPr>
            <w:r>
              <w:rPr/>
              <w:t>46</w:t>
            </w:r>
          </w:p>
        </w:tc>
      </w:tr>
      <w:tr>
        <w:trPr/>
        <w:tc>
          <w:tcPr>
            <w:tcW w:w="9870" w:type="dxa"/>
            <w:tcBorders/>
            <w:vAlign w:val="center"/>
          </w:tcPr>
          <w:p>
            <w:pPr>
              <w:pStyle w:val="TableContents"/>
              <w:bidi w:val="0"/>
              <w:spacing w:before="0" w:after="283"/>
              <w:jc w:val="left"/>
              <w:rPr/>
            </w:pPr>
            <w:hyperlink w:anchor="a_012">
              <w:r>
                <w:rPr>
                  <w:rStyle w:val="InternetLink"/>
                </w:rPr>
                <w:t>Item 4. - Controls and Procedures</w:t>
              </w:r>
            </w:hyperlink>
          </w:p>
        </w:tc>
        <w:tc>
          <w:tcPr>
            <w:tcW w:w="335" w:type="dxa"/>
            <w:tcBorders/>
            <w:vAlign w:val="center"/>
          </w:tcPr>
          <w:p>
            <w:pPr>
              <w:pStyle w:val="TableContents"/>
              <w:bidi w:val="0"/>
              <w:spacing w:before="0" w:after="283"/>
              <w:jc w:val="right"/>
              <w:rPr/>
            </w:pPr>
            <w:r>
              <w:rPr/>
              <w:t>46</w:t>
            </w:r>
          </w:p>
        </w:tc>
      </w:tr>
      <w:tr>
        <w:trPr/>
        <w:tc>
          <w:tcPr>
            <w:tcW w:w="9870" w:type="dxa"/>
            <w:tcBorders/>
            <w:vAlign w:val="center"/>
          </w:tcPr>
          <w:p>
            <w:pPr>
              <w:pStyle w:val="TableContents"/>
              <w:bidi w:val="0"/>
              <w:spacing w:before="0" w:after="283"/>
              <w:jc w:val="left"/>
              <w:rPr/>
            </w:pPr>
            <w:hyperlink w:anchor="a_013">
              <w:r>
                <w:rPr>
                  <w:rStyle w:val="InternetLink"/>
                </w:rPr>
                <w:t>Part II. - OTHER INFORMATION</w:t>
              </w:r>
            </w:hyperlink>
          </w:p>
        </w:tc>
        <w:tc>
          <w:tcPr>
            <w:tcW w:w="335" w:type="dxa"/>
            <w:tcBorders/>
            <w:vAlign w:val="center"/>
          </w:tcPr>
          <w:p>
            <w:pPr>
              <w:pStyle w:val="TableContents"/>
              <w:bidi w:val="0"/>
              <w:spacing w:before="0" w:after="283"/>
              <w:ind w:left="0" w:right="0" w:hanging="720"/>
              <w:jc w:val="right"/>
              <w:rPr/>
            </w:pPr>
            <w:r>
              <w:rPr/>
              <w:t>47</w:t>
            </w:r>
          </w:p>
        </w:tc>
      </w:tr>
      <w:tr>
        <w:trPr/>
        <w:tc>
          <w:tcPr>
            <w:tcW w:w="9870" w:type="dxa"/>
            <w:tcBorders/>
            <w:vAlign w:val="center"/>
          </w:tcPr>
          <w:p>
            <w:pPr>
              <w:pStyle w:val="TableContents"/>
              <w:bidi w:val="0"/>
              <w:spacing w:before="0" w:after="283"/>
              <w:jc w:val="left"/>
              <w:rPr/>
            </w:pPr>
            <w:hyperlink w:anchor="a_014">
              <w:r>
                <w:rPr>
                  <w:rStyle w:val="InternetLink"/>
                </w:rPr>
                <w:t>Item 1. - Legal Proceedings</w:t>
              </w:r>
            </w:hyperlink>
          </w:p>
        </w:tc>
        <w:tc>
          <w:tcPr>
            <w:tcW w:w="335" w:type="dxa"/>
            <w:tcBorders/>
            <w:vAlign w:val="center"/>
          </w:tcPr>
          <w:p>
            <w:pPr>
              <w:pStyle w:val="TableContents"/>
              <w:bidi w:val="0"/>
              <w:spacing w:before="0" w:after="283"/>
              <w:ind w:left="0" w:right="0" w:hanging="720"/>
              <w:jc w:val="right"/>
              <w:rPr/>
            </w:pPr>
            <w:r>
              <w:rPr/>
              <w:t>47</w:t>
            </w:r>
          </w:p>
        </w:tc>
      </w:tr>
      <w:tr>
        <w:trPr/>
        <w:tc>
          <w:tcPr>
            <w:tcW w:w="9870" w:type="dxa"/>
            <w:tcBorders/>
            <w:vAlign w:val="center"/>
          </w:tcPr>
          <w:p>
            <w:pPr>
              <w:pStyle w:val="TableContents"/>
              <w:bidi w:val="0"/>
              <w:spacing w:before="0" w:after="283"/>
              <w:jc w:val="left"/>
              <w:rPr/>
            </w:pPr>
            <w:hyperlink w:anchor="a_015">
              <w:r>
                <w:rPr>
                  <w:rStyle w:val="InternetLink"/>
                </w:rPr>
                <w:t>Item 1A. - Risk Factors</w:t>
              </w:r>
            </w:hyperlink>
          </w:p>
        </w:tc>
        <w:tc>
          <w:tcPr>
            <w:tcW w:w="335" w:type="dxa"/>
            <w:tcBorders/>
            <w:vAlign w:val="center"/>
          </w:tcPr>
          <w:p>
            <w:pPr>
              <w:pStyle w:val="TableContents"/>
              <w:bidi w:val="0"/>
              <w:spacing w:before="0" w:after="283"/>
              <w:ind w:left="0" w:right="0" w:hanging="720"/>
              <w:jc w:val="right"/>
              <w:rPr/>
            </w:pPr>
            <w:r>
              <w:rPr/>
              <w:t>47</w:t>
            </w:r>
          </w:p>
        </w:tc>
      </w:tr>
      <w:tr>
        <w:trPr/>
        <w:tc>
          <w:tcPr>
            <w:tcW w:w="9870" w:type="dxa"/>
            <w:tcBorders/>
            <w:vAlign w:val="center"/>
          </w:tcPr>
          <w:p>
            <w:pPr>
              <w:pStyle w:val="TableContents"/>
              <w:bidi w:val="0"/>
              <w:spacing w:before="0" w:after="283"/>
              <w:jc w:val="left"/>
              <w:rPr/>
            </w:pPr>
            <w:hyperlink w:anchor="a_016">
              <w:r>
                <w:rPr>
                  <w:rStyle w:val="InternetLink"/>
                </w:rPr>
                <w:t>Item 2. - Unregistered Sales of Equity Securities and Use of Proceeds</w:t>
              </w:r>
            </w:hyperlink>
          </w:p>
        </w:tc>
        <w:tc>
          <w:tcPr>
            <w:tcW w:w="335" w:type="dxa"/>
            <w:tcBorders/>
            <w:vAlign w:val="center"/>
          </w:tcPr>
          <w:p>
            <w:pPr>
              <w:pStyle w:val="TableContents"/>
              <w:bidi w:val="0"/>
              <w:spacing w:before="0" w:after="283"/>
              <w:ind w:left="0" w:right="0" w:hanging="720"/>
              <w:jc w:val="right"/>
              <w:rPr/>
            </w:pPr>
            <w:r>
              <w:rPr/>
              <w:t>48</w:t>
            </w:r>
          </w:p>
        </w:tc>
      </w:tr>
      <w:tr>
        <w:trPr/>
        <w:tc>
          <w:tcPr>
            <w:tcW w:w="9870" w:type="dxa"/>
            <w:tcBorders/>
            <w:vAlign w:val="center"/>
          </w:tcPr>
          <w:p>
            <w:pPr>
              <w:pStyle w:val="TableContents"/>
              <w:bidi w:val="0"/>
              <w:spacing w:before="0" w:after="283"/>
              <w:jc w:val="left"/>
              <w:rPr/>
            </w:pPr>
            <w:hyperlink w:anchor="a_017">
              <w:r>
                <w:rPr>
                  <w:rStyle w:val="InternetLink"/>
                </w:rPr>
                <w:t>Item 3. - Defaults upon Senior Securities</w:t>
              </w:r>
            </w:hyperlink>
          </w:p>
        </w:tc>
        <w:tc>
          <w:tcPr>
            <w:tcW w:w="335" w:type="dxa"/>
            <w:tcBorders/>
            <w:vAlign w:val="center"/>
          </w:tcPr>
          <w:p>
            <w:pPr>
              <w:pStyle w:val="TableContents"/>
              <w:bidi w:val="0"/>
              <w:spacing w:before="0" w:after="283"/>
              <w:ind w:left="0" w:right="0" w:hanging="720"/>
              <w:jc w:val="right"/>
              <w:rPr/>
            </w:pPr>
            <w:r>
              <w:rPr/>
              <w:t>48</w:t>
            </w:r>
          </w:p>
        </w:tc>
      </w:tr>
      <w:tr>
        <w:trPr/>
        <w:tc>
          <w:tcPr>
            <w:tcW w:w="9870" w:type="dxa"/>
            <w:tcBorders/>
            <w:vAlign w:val="center"/>
          </w:tcPr>
          <w:p>
            <w:pPr>
              <w:pStyle w:val="TableContents"/>
              <w:bidi w:val="0"/>
              <w:spacing w:before="0" w:after="283"/>
              <w:jc w:val="left"/>
              <w:rPr/>
            </w:pPr>
            <w:hyperlink w:anchor="a_018">
              <w:r>
                <w:rPr>
                  <w:rStyle w:val="InternetLink"/>
                </w:rPr>
                <w:t>Item 4. - Mine Safety Disclosures</w:t>
              </w:r>
            </w:hyperlink>
          </w:p>
        </w:tc>
        <w:tc>
          <w:tcPr>
            <w:tcW w:w="335" w:type="dxa"/>
            <w:tcBorders/>
            <w:vAlign w:val="center"/>
          </w:tcPr>
          <w:p>
            <w:pPr>
              <w:pStyle w:val="TableContents"/>
              <w:bidi w:val="0"/>
              <w:spacing w:before="0" w:after="283"/>
              <w:ind w:left="0" w:right="0" w:hanging="720"/>
              <w:jc w:val="right"/>
              <w:rPr/>
            </w:pPr>
            <w:r>
              <w:rPr/>
              <w:t>48</w:t>
            </w:r>
          </w:p>
        </w:tc>
      </w:tr>
      <w:tr>
        <w:trPr/>
        <w:tc>
          <w:tcPr>
            <w:tcW w:w="9870" w:type="dxa"/>
            <w:tcBorders/>
            <w:vAlign w:val="center"/>
          </w:tcPr>
          <w:p>
            <w:pPr>
              <w:pStyle w:val="TableContents"/>
              <w:bidi w:val="0"/>
              <w:spacing w:before="0" w:after="283"/>
              <w:jc w:val="left"/>
              <w:rPr/>
            </w:pPr>
            <w:hyperlink w:anchor="a_019">
              <w:r>
                <w:rPr>
                  <w:rStyle w:val="InternetLink"/>
                </w:rPr>
                <w:t>Item 5. - Other Information</w:t>
              </w:r>
            </w:hyperlink>
          </w:p>
        </w:tc>
        <w:tc>
          <w:tcPr>
            <w:tcW w:w="335" w:type="dxa"/>
            <w:tcBorders/>
            <w:vAlign w:val="center"/>
          </w:tcPr>
          <w:p>
            <w:pPr>
              <w:pStyle w:val="TableContents"/>
              <w:bidi w:val="0"/>
              <w:spacing w:before="0" w:after="283"/>
              <w:ind w:left="0" w:right="0" w:hanging="720"/>
              <w:jc w:val="right"/>
              <w:rPr/>
            </w:pPr>
            <w:r>
              <w:rPr/>
              <w:t>48</w:t>
            </w:r>
          </w:p>
        </w:tc>
      </w:tr>
      <w:tr>
        <w:trPr/>
        <w:tc>
          <w:tcPr>
            <w:tcW w:w="9870" w:type="dxa"/>
            <w:tcBorders/>
            <w:vAlign w:val="center"/>
          </w:tcPr>
          <w:p>
            <w:pPr>
              <w:pStyle w:val="TableContents"/>
              <w:bidi w:val="0"/>
              <w:spacing w:before="0" w:after="283"/>
              <w:jc w:val="left"/>
              <w:rPr/>
            </w:pPr>
            <w:hyperlink w:anchor="a_020">
              <w:r>
                <w:rPr>
                  <w:rStyle w:val="InternetLink"/>
                </w:rPr>
                <w:t>Item 6. - Exhibits</w:t>
              </w:r>
            </w:hyperlink>
          </w:p>
        </w:tc>
        <w:tc>
          <w:tcPr>
            <w:tcW w:w="335" w:type="dxa"/>
            <w:tcBorders/>
            <w:vAlign w:val="center"/>
          </w:tcPr>
          <w:p>
            <w:pPr>
              <w:pStyle w:val="TableContents"/>
              <w:bidi w:val="0"/>
              <w:spacing w:before="0" w:after="283"/>
              <w:ind w:left="0" w:right="0" w:hanging="720"/>
              <w:jc w:val="right"/>
              <w:rPr/>
            </w:pPr>
            <w:r>
              <w:rPr/>
              <w:t>49</w:t>
            </w:r>
          </w:p>
        </w:tc>
      </w:tr>
      <w:tr>
        <w:trPr/>
        <w:tc>
          <w:tcPr>
            <w:tcW w:w="9870" w:type="dxa"/>
            <w:tcBorders/>
            <w:vAlign w:val="center"/>
          </w:tcPr>
          <w:p>
            <w:pPr>
              <w:pStyle w:val="TableContents"/>
              <w:bidi w:val="0"/>
              <w:spacing w:before="0" w:after="283"/>
              <w:jc w:val="left"/>
              <w:rPr/>
            </w:pPr>
            <w:hyperlink w:anchor="a_021">
              <w:r>
                <w:rPr>
                  <w:rStyle w:val="InternetLink"/>
                </w:rPr>
                <w:t>Signatures</w:t>
              </w:r>
            </w:hyperlink>
          </w:p>
        </w:tc>
        <w:tc>
          <w:tcPr>
            <w:tcW w:w="335" w:type="dxa"/>
            <w:tcBorders/>
            <w:vAlign w:val="center"/>
          </w:tcPr>
          <w:p>
            <w:pPr>
              <w:pStyle w:val="TableContents"/>
              <w:bidi w:val="0"/>
              <w:spacing w:before="0" w:after="283"/>
              <w:jc w:val="right"/>
              <w:rPr/>
            </w:pPr>
            <w:r>
              <w:rPr/>
              <w:t>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IMPORTANT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as used in this Quarterly Report on Form 10-Q (“Form 10-Q”):</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NI Holdings,” “the Company,” “we,” “us,” and “our” refer to NI Holdings, Inc., together with Nodak Insurance Company and its subsidiaries, Direct Auto Insurance Company, and Westminster American Insurance Company (sold on June 30, 2024), for periods discussed after completion of the conversion, and for periods discussed prior to completion of the conversion refer to Nodak Mutual Insurance Company and all of its subsidiaries and Battle Creek Mutual Insurance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“Nodak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Nodak Mutual Group” refers to Nodak Mutual Group, Inc., which is the majority shareholder of NI Holdings;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Nodak Mutual” refers to Nodak Mutual Insurance Company, the predecessor company to Nodak Insurance Company prior to the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Nodak Insurance” refers to Nodak Insurance Company or Nodak Mutual Insurance Company interchangeably;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members” refers to the policyholders of Nodak Insurance, who are the named insureds under insurance policies issued by Nodak 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Battle Creek” refers to Battle Creek Mutual Insurance Company or Battle Creek Insurance Company interchangeably. Battle Creek Mutual Insurance Company became affiliated with Nodak Insurance in 2011 and, prior to January 2, 2024, was controlled by Nodak Insurance via a surplus note. The terms of the surplus note allowed Nodak Insurance to appoint two-thirds of the Battle Creek Mutual Insurance Company Board of Directors. As of January 2, 2024, the North Dakota Secretary of State approved the conversion of Battle Creek Mutual Insurance Company from a mutual insurance company to a stock insurance company. In accordance with the approved plan of conversion, the name of Battle Creek Mutual Insurance Company became Battle Creek Insurance Company, the surplus note was considered paid in full as of the conversion date, and Battle Creek became a wholly-owned subsidiary of Nodak 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Direct Auto” refers to Direct Auto Insurance Company. Direct Auto is a wholly-owned subsidiary of NI Holdings;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American West” refers to American West Insurance Company. American West is a wholly-owned subsidiary of Nodak 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Primero” refers to Primero Insurance Company. Primero is an indirect, wholly-owned subsidiary of Nodak 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Westminster” refers to Westminster American Insurance Company. Westminster was a wholly-owned subsidiary of NI Holdings until it was sold to Scott Insurance Holdings, LLC (“Scott Insurance Holdings”) on June 30, 2024;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Nodak Agency” refers to Nodak Agency, Inc. Nodak Agency is a wholly-owned subsidiary of Nodak Insurance.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50"/>
        <w:gridCol w:w="9871"/>
      </w:tblGrid>
      <w:tr>
        <w:trPr/>
        <w:tc>
          <w:tcPr>
            <w:tcW w:w="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left"/>
              <w:rPr/>
            </w:pPr>
            <w:r>
              <w:rPr/>
              <w:t>our anticipated operating and financial performance, business plans, and prospects;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7"/>
        <w:gridCol w:w="9861"/>
      </w:tblGrid>
      <w:tr>
        <w:trPr/>
        <w:tc>
          <w:tcPr>
            <w:tcW w:w="8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left"/>
              <w:rPr/>
            </w:pPr>
            <w:r>
              <w:rPr/>
              <w:t>strategic reviews, capital allocation objectives, dividends, and share repurchases;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plans for and prospects of acquisitions, dispositions, and other business development activities, and our ability to successfully capitalize on these opportunities;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impact of a future pandemic and related economic conditions, including the potential impact on the Company's investments;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our ability to enter new markets successfully and capitalize on growth opportunities either through acquisitions or the expansion of our distribution network;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11"/>
        <w:gridCol w:w="9923"/>
      </w:tblGrid>
      <w:tr>
        <w:trPr/>
        <w:tc>
          <w:tcPr>
            <w:tcW w:w="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left"/>
              <w:rPr/>
            </w:pPr>
            <w:r>
              <w:rPr/>
              <w:t>cyclical changes in the insurance industry, competition, and innovation and emerging technologies;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0"/>
        <w:gridCol w:w="9897"/>
      </w:tblGrid>
      <w:tr>
        <w:trPr/>
        <w:tc>
          <w:tcPr>
            <w:tcW w:w="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left"/>
              <w:rPr/>
            </w:pPr>
            <w:r>
              <w:rPr/>
              <w:t>expectations for impact of, or changes to, existing or new government regulations or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our ability to anticipate and respond to macroeconomic, geopolitical, health and industry trends, pandemics, acts of war, and other large-scale crises;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developments in general economic conditions (including the impact of tariffs and changes in tax laws), domestic and global financial markets, interest rates, unemployment, or inflation, that could affect the performance of our insurance operations and/or investment portfolio;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our ability to effectively manage future growth, including additional necessary capital, systems, and personnel.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Quarterly Report on Form 10-Q (“Form 10-Q”) and in the Part I, Item 1A, “Risk Factors” section in our Annual Report on Form 10-K for the year ended December 31, 2024 (“2024 Annual Report”). The occurrence of any of the risks identified in the Part I, Item 1A, “Risk Factors” section of the 2024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FINANCIAL INFORMATION</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par value)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4"/>
        <w:gridCol w:w="90"/>
        <w:gridCol w:w="189"/>
        <w:gridCol w:w="924"/>
        <w:gridCol w:w="139"/>
        <w:gridCol w:w="90"/>
        <w:gridCol w:w="212"/>
        <w:gridCol w:w="1043"/>
        <w:gridCol w:w="454"/>
      </w:tblGrid>
      <w:tr>
        <w:trPr/>
        <w:tc>
          <w:tcPr>
            <w:tcW w:w="70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0" w:type="dxa"/>
            <w:tcBorders/>
            <w:vAlign w:val="center"/>
          </w:tcPr>
          <w:p>
            <w:pPr>
              <w:pStyle w:val="TableContents"/>
              <w:bidi w:val="0"/>
              <w:spacing w:before="0" w:after="283"/>
              <w:jc w:val="left"/>
              <w:rPr/>
            </w:pPr>
            <w:r>
              <w:rPr/>
              <w:t> </w:t>
            </w:r>
          </w:p>
        </w:tc>
        <w:tc>
          <w:tcPr>
            <w:tcW w:w="170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r>
      <w:tr>
        <w:trPr/>
        <w:tc>
          <w:tcPr>
            <w:tcW w:w="70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2" w:type="dxa"/>
            <w:gridSpan w:val="3"/>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1709" w:type="dxa"/>
            <w:gridSpan w:val="3"/>
            <w:tcBorders/>
            <w:vAlign w:val="center"/>
          </w:tcPr>
          <w:p>
            <w:pPr>
              <w:pStyle w:val="TableContents"/>
              <w:bidi w:val="0"/>
              <w:spacing w:before="0" w:after="283"/>
              <w:ind w:left="0" w:right="0" w:hanging="216"/>
              <w:jc w:val="center"/>
              <w:rPr/>
            </w:pPr>
            <w:r>
              <w:rPr/>
              <w:t> </w:t>
            </w:r>
          </w:p>
        </w:tc>
      </w:tr>
      <w:tr>
        <w:trPr/>
        <w:tc>
          <w:tcPr>
            <w:tcW w:w="7064" w:type="dxa"/>
            <w:tcBorders/>
            <w:shd w:fill="CCEEFF" w:val="clear"/>
            <w:vAlign w:val="center"/>
          </w:tcPr>
          <w:p>
            <w:pPr>
              <w:pStyle w:val="TableContents"/>
              <w:bidi w:val="0"/>
              <w:spacing w:before="0" w:after="283"/>
              <w:jc w:val="left"/>
              <w:rPr/>
            </w:pPr>
            <w:r>
              <w:rPr/>
              <w:t>Assets: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56,784</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283"/>
              <w:jc w:val="right"/>
              <w:rPr/>
            </w:pPr>
            <w:r>
              <w:rPr/>
              <w:t>50,930</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Fixed income securities, at fair value (net of allowance for expected credit losses of $0 at June 30, 2025 and December 31, 2024)</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322,113</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307,712</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Equity securities, at fair value</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25,388</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24,640</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Other investments</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1,812</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r>
              <w:rPr/>
              <w:t>1,812</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Total cash and investments</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406,097</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385,094</w:t>
            </w:r>
          </w:p>
        </w:tc>
        <w:tc>
          <w:tcPr>
            <w:tcW w:w="454" w:type="dxa"/>
            <w:tcBorders/>
            <w:vAlign w:val="center"/>
          </w:tcPr>
          <w:p>
            <w:pPr>
              <w:pStyle w:val="TableContents"/>
              <w:bidi w:val="0"/>
              <w:spacing w:before="0" w:after="283"/>
              <w:ind w:left="0" w:right="0" w:hanging="216"/>
              <w:jc w:val="left"/>
              <w:rPr/>
            </w:pPr>
            <w:r>
              <w:rPr/>
              <w:t> </w:t>
            </w:r>
          </w:p>
        </w:tc>
      </w:tr>
      <w:tr>
        <w:trPr/>
        <w:tc>
          <w:tcPr>
            <w:tcW w:w="706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Premiums and agents' balances receivable (net of allowance for expected credit losses of $313 at June 30, 2025 and $337 at December 31, 2024)</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85,604</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52,907</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Deferred policy acquisition costs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26,320</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26,300</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Reinsurance premiums receivable</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746</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Reinsurance recoverables on losses (net of allowance for expected credit losses of $0 at June 30, 2025 and December 31, 2024)</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51,278</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12,561</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Income tax recoverable</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10,399</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7,017</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Accrued investment income</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2,698</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2,629</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7,375</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7,547</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Deferred income taxes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7,690</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7,324</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Receivable from Federal Crop Insurance Corporation</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11,332</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13,223</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Goodwill and other intangibles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100</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100</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tcMar>
              <w:bottom w:w="28" w:type="dxa"/>
            </w:tcMar>
            <w:vAlign w:val="center"/>
          </w:tcPr>
          <w:p>
            <w:pPr>
              <w:pStyle w:val="TableContents"/>
              <w:bidi w:val="0"/>
              <w:spacing w:before="0" w:after="283"/>
              <w:jc w:val="right"/>
              <w:rPr/>
            </w:pPr>
            <w:r>
              <w:rPr/>
              <w:t>11,158</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tcMar>
              <w:bottom w:w="28" w:type="dxa"/>
            </w:tcMar>
            <w:vAlign w:val="center"/>
          </w:tcPr>
          <w:p>
            <w:pPr>
              <w:pStyle w:val="TableContents"/>
              <w:bidi w:val="0"/>
              <w:spacing w:before="0" w:after="283"/>
              <w:jc w:val="right"/>
              <w:rPr/>
            </w:pPr>
            <w:r>
              <w:rPr/>
              <w:t>11,097</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jc w:val="right"/>
              <w:rPr/>
            </w:pPr>
            <w:r>
              <w:rPr/>
              <w:t>620,051</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3" w:type="dxa"/>
            <w:tcBorders>
              <w:bottom w:val="double" w:sz="6" w:space="0" w:color="000000"/>
            </w:tcBorders>
            <w:shd w:fill="CCEEFF" w:val="clear"/>
            <w:tcMar>
              <w:bottom w:w="28" w:type="dxa"/>
            </w:tcMar>
            <w:vAlign w:val="center"/>
          </w:tcPr>
          <w:p>
            <w:pPr>
              <w:pStyle w:val="TableContents"/>
              <w:bidi w:val="0"/>
              <w:spacing w:before="0" w:after="283"/>
              <w:jc w:val="right"/>
              <w:rPr/>
            </w:pPr>
            <w:r>
              <w:rPr/>
              <w:t>526,545</w:t>
            </w:r>
          </w:p>
        </w:tc>
        <w:tc>
          <w:tcPr>
            <w:tcW w:w="454" w:type="dxa"/>
            <w:tcBorders/>
            <w:shd w:fill="CCEEFF" w:val="clear"/>
            <w:vAlign w:val="center"/>
          </w:tcPr>
          <w:p>
            <w:pPr>
              <w:pStyle w:val="TableContents"/>
              <w:bidi w:val="0"/>
              <w:spacing w:before="0" w:after="283"/>
              <w:ind w:left="0" w:right="0" w:hanging="216"/>
              <w:jc w:val="left"/>
              <w:rPr/>
            </w:pPr>
            <w:r>
              <w:rPr/>
              <w:t> </w:t>
            </w:r>
          </w:p>
        </w:tc>
      </w:tr>
      <w:tr>
        <w:trPr/>
        <w:tc>
          <w:tcPr>
            <w:tcW w:w="70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 </w:t>
            </w:r>
          </w:p>
        </w:tc>
        <w:tc>
          <w:tcPr>
            <w:tcW w:w="454" w:type="dxa"/>
            <w:tcBorders/>
            <w:vAlign w:val="center"/>
          </w:tcPr>
          <w:p>
            <w:pPr>
              <w:pStyle w:val="TableContents"/>
              <w:bidi w:val="0"/>
              <w:spacing w:before="0" w:after="283"/>
              <w:ind w:left="0" w:right="0" w:hanging="216"/>
              <w:jc w:val="left"/>
              <w:rPr/>
            </w:pPr>
            <w:r>
              <w:rPr/>
              <w:t> </w:t>
            </w:r>
          </w:p>
        </w:tc>
      </w:tr>
      <w:tr>
        <w:trPr/>
        <w:tc>
          <w:tcPr>
            <w:tcW w:w="7064" w:type="dxa"/>
            <w:tcBorders/>
            <w:shd w:fill="CCEEFF" w:val="clear"/>
            <w:vAlign w:val="center"/>
          </w:tcPr>
          <w:p>
            <w:pPr>
              <w:pStyle w:val="TableContents"/>
              <w:bidi w:val="0"/>
              <w:spacing w:before="0" w:after="283"/>
              <w:jc w:val="left"/>
              <w:rPr/>
            </w:pPr>
            <w:r>
              <w:rPr/>
              <w:t>Liabilities: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Unpaid losses and loss adjustment expenses</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203,530</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283"/>
              <w:jc w:val="right"/>
              <w:rPr/>
            </w:pPr>
            <w:r>
              <w:rPr/>
              <w:t>137,288</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Unearned premiums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142,889</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126,498</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Reinsurance premiums payable</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6,857</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0"/>
              <w:jc w:val="right"/>
              <w:rPr/>
            </w:pPr>
            <w:r>
              <w:rPr/>
              <w:t>—</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Accrued expenses and other liabilities</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23,452</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r>
              <w:rPr/>
              <w:t>18,128</w:t>
            </w:r>
          </w:p>
        </w:tc>
        <w:tc>
          <w:tcPr>
            <w:tcW w:w="454" w:type="dxa"/>
            <w:tcBorders/>
            <w:shd w:fill="CCEEFF" w:val="clear"/>
            <w:vAlign w:val="center"/>
          </w:tcPr>
          <w:p>
            <w:pPr>
              <w:pStyle w:val="TableContents"/>
              <w:bidi w:val="0"/>
              <w:spacing w:before="0" w:after="283"/>
              <w:ind w:left="0" w:right="0" w:firstLine="187"/>
              <w:jc w:val="left"/>
              <w:rPr/>
            </w:pPr>
            <w:r>
              <w:rPr/>
              <w:t> </w:t>
            </w:r>
          </w:p>
        </w:tc>
      </w:tr>
      <w:tr>
        <w:trPr/>
        <w:tc>
          <w:tcPr>
            <w:tcW w:w="7064"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376,728</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281,914</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454" w:type="dxa"/>
            <w:tcBorders/>
            <w:shd w:fill="CCEEFF" w:val="clear"/>
            <w:vAlign w:val="center"/>
          </w:tcPr>
          <w:p>
            <w:pPr>
              <w:pStyle w:val="TableContents"/>
              <w:bidi w:val="0"/>
              <w:spacing w:before="0" w:after="283"/>
              <w:ind w:left="0" w:right="0" w:hanging="216"/>
              <w:jc w:val="left"/>
              <w:rPr/>
            </w:pPr>
            <w:r>
              <w:rPr/>
              <w:t> </w:t>
            </w:r>
          </w:p>
        </w:tc>
      </w:tr>
      <w:tr>
        <w:trPr/>
        <w:tc>
          <w:tcPr>
            <w:tcW w:w="7064" w:type="dxa"/>
            <w:tcBorders/>
            <w:vAlign w:val="center"/>
          </w:tcPr>
          <w:p>
            <w:pPr>
              <w:pStyle w:val="TableContents"/>
              <w:bidi w:val="0"/>
              <w:spacing w:before="0" w:after="283"/>
              <w:jc w:val="left"/>
              <w:rPr/>
            </w:pPr>
            <w:r>
              <w:rPr/>
              <w:t>Shareholders’ equity:</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 </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Common stock, $0.01 par value, authorized: 25,000,000 shares; issued: 23,000,000 shares; and outstanding: 2025 – 20,713,358 shares, 2024 – 20,673,268 shares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230</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230</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95,824</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95,796</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Unearned employee stock ownership plan shares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(455</w:t>
            </w:r>
          </w:p>
        </w:tc>
        <w:tc>
          <w:tcPr>
            <w:tcW w:w="13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(455</w:t>
            </w:r>
          </w:p>
        </w:tc>
        <w:tc>
          <w:tcPr>
            <w:tcW w:w="454" w:type="dxa"/>
            <w:tcBorders/>
            <w:shd w:fill="CCEEFF" w:val="clear"/>
            <w:vAlign w:val="center"/>
          </w:tcPr>
          <w:p>
            <w:pPr>
              <w:pStyle w:val="TableContents"/>
              <w:bidi w:val="0"/>
              <w:spacing w:before="0" w:after="283"/>
              <w:jc w:val="left"/>
              <w:rPr/>
            </w:pPr>
            <w:r>
              <w:rPr/>
              <w:t>)</w:t>
            </w:r>
          </w:p>
        </w:tc>
      </w:tr>
      <w:tr>
        <w:trPr/>
        <w:tc>
          <w:tcPr>
            <w:tcW w:w="7064" w:type="dxa"/>
            <w:tcBorders/>
            <w:vAlign w:val="center"/>
          </w:tcPr>
          <w:p>
            <w:pPr>
              <w:pStyle w:val="TableContents"/>
              <w:bidi w:val="0"/>
              <w:spacing w:before="0" w:after="283"/>
              <w:jc w:val="left"/>
              <w:rPr/>
            </w:pPr>
            <w:r>
              <w:rPr/>
              <w:t>Retained earnings</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195,912</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201,584</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Accumulated other comprehensive loss, net of income taxes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(14,536</w:t>
            </w:r>
          </w:p>
        </w:tc>
        <w:tc>
          <w:tcPr>
            <w:tcW w:w="13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(18,231</w:t>
            </w:r>
          </w:p>
        </w:tc>
        <w:tc>
          <w:tcPr>
            <w:tcW w:w="454" w:type="dxa"/>
            <w:tcBorders/>
            <w:shd w:fill="CCEEFF" w:val="clear"/>
            <w:vAlign w:val="center"/>
          </w:tcPr>
          <w:p>
            <w:pPr>
              <w:pStyle w:val="TableContents"/>
              <w:bidi w:val="0"/>
              <w:spacing w:before="0" w:after="283"/>
              <w:jc w:val="left"/>
              <w:rPr/>
            </w:pPr>
            <w:r>
              <w:rPr/>
              <w:t>)</w:t>
            </w:r>
          </w:p>
        </w:tc>
      </w:tr>
      <w:tr>
        <w:trPr/>
        <w:tc>
          <w:tcPr>
            <w:tcW w:w="7064" w:type="dxa"/>
            <w:tcBorders/>
            <w:vAlign w:val="center"/>
          </w:tcPr>
          <w:p>
            <w:pPr>
              <w:pStyle w:val="TableContents"/>
              <w:bidi w:val="0"/>
              <w:spacing w:before="0" w:after="283"/>
              <w:jc w:val="left"/>
              <w:rPr/>
            </w:pPr>
            <w:r>
              <w:rPr/>
              <w:t>Treasury stock, at cost, 2025 – 2,241,162 shares, 2024 – 2,281,252 shares</w:t>
            </w:r>
          </w:p>
        </w:tc>
        <w:tc>
          <w:tcPr>
            <w:tcW w:w="90" w:type="dxa"/>
            <w:tcBorders/>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tcMar>
              <w:bottom w:w="28" w:type="dxa"/>
            </w:tcMar>
            <w:vAlign w:val="center"/>
          </w:tcPr>
          <w:p>
            <w:pPr>
              <w:pStyle w:val="TableContents"/>
              <w:bidi w:val="0"/>
              <w:spacing w:before="0" w:after="283"/>
              <w:jc w:val="right"/>
              <w:rPr/>
            </w:pPr>
            <w:r>
              <w:rPr/>
              <w:t>(33,652</w:t>
            </w:r>
          </w:p>
        </w:tc>
        <w:tc>
          <w:tcPr>
            <w:tcW w:w="13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tcMar>
              <w:bottom w:w="28" w:type="dxa"/>
            </w:tcMar>
            <w:vAlign w:val="center"/>
          </w:tcPr>
          <w:p>
            <w:pPr>
              <w:pStyle w:val="TableContents"/>
              <w:bidi w:val="0"/>
              <w:spacing w:before="0" w:after="283"/>
              <w:jc w:val="right"/>
              <w:rPr/>
            </w:pPr>
            <w:r>
              <w:rPr/>
              <w:t>(34,293</w:t>
            </w:r>
          </w:p>
        </w:tc>
        <w:tc>
          <w:tcPr>
            <w:tcW w:w="454" w:type="dxa"/>
            <w:tcBorders/>
            <w:vAlign w:val="center"/>
          </w:tcPr>
          <w:p>
            <w:pPr>
              <w:pStyle w:val="TableContents"/>
              <w:bidi w:val="0"/>
              <w:spacing w:before="0" w:after="283"/>
              <w:ind w:left="0" w:right="0" w:firstLine="187"/>
              <w:jc w:val="left"/>
              <w:rPr/>
            </w:pPr>
            <w:r>
              <w:rPr/>
              <w:t>)</w:t>
            </w:r>
          </w:p>
        </w:tc>
      </w:tr>
      <w:tr>
        <w:trPr/>
        <w:tc>
          <w:tcPr>
            <w:tcW w:w="7064" w:type="dxa"/>
            <w:tcBorders/>
            <w:shd w:fill="CCEEFF" w:val="clear"/>
            <w:vAlign w:val="center"/>
          </w:tcPr>
          <w:p>
            <w:pPr>
              <w:pStyle w:val="TableContents"/>
              <w:bidi w:val="0"/>
              <w:spacing w:before="0" w:after="283"/>
              <w:jc w:val="left"/>
              <w:rPr/>
            </w:pPr>
            <w:r>
              <w:rPr/>
              <w:t>Total shareholders’ equity</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243,323</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r>
              <w:rPr/>
              <w:t>244,631</w:t>
            </w:r>
          </w:p>
        </w:tc>
        <w:tc>
          <w:tcPr>
            <w:tcW w:w="454" w:type="dxa"/>
            <w:tcBorders/>
            <w:shd w:fill="CCEEFF" w:val="clear"/>
            <w:vAlign w:val="center"/>
          </w:tcPr>
          <w:p>
            <w:pPr>
              <w:pStyle w:val="TableContents"/>
              <w:bidi w:val="0"/>
              <w:spacing w:before="0" w:after="283"/>
              <w:jc w:val="left"/>
              <w:rPr/>
            </w:pPr>
            <w:r>
              <w:rPr/>
              <w:t> </w:t>
            </w:r>
          </w:p>
        </w:tc>
      </w:tr>
      <w:tr>
        <w:trPr/>
        <w:tc>
          <w:tcPr>
            <w:tcW w:w="70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 </w:t>
            </w:r>
          </w:p>
        </w:tc>
        <w:tc>
          <w:tcPr>
            <w:tcW w:w="454" w:type="dxa"/>
            <w:tcBorders/>
            <w:vAlign w:val="center"/>
          </w:tcPr>
          <w:p>
            <w:pPr>
              <w:pStyle w:val="TableContents"/>
              <w:bidi w:val="0"/>
              <w:spacing w:before="0" w:after="283"/>
              <w:jc w:val="left"/>
              <w:rPr/>
            </w:pPr>
            <w:r>
              <w:rPr/>
              <w:t> </w:t>
            </w:r>
          </w:p>
        </w:tc>
      </w:tr>
      <w:tr>
        <w:trPr/>
        <w:tc>
          <w:tcPr>
            <w:tcW w:w="7064" w:type="dxa"/>
            <w:tcBorders/>
            <w:shd w:fill="CCEEFF" w:val="clear"/>
            <w:vAlign w:val="center"/>
          </w:tcPr>
          <w:p>
            <w:pPr>
              <w:pStyle w:val="TableContents"/>
              <w:bidi w:val="0"/>
              <w:spacing w:before="0" w:after="283"/>
              <w:jc w:val="left"/>
              <w:rPr/>
            </w:pPr>
            <w:r>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jc w:val="right"/>
              <w:rPr/>
            </w:pPr>
            <w:r>
              <w:rPr/>
              <w:t>620,051</w:t>
            </w:r>
          </w:p>
        </w:tc>
        <w:tc>
          <w:tcPr>
            <w:tcW w:w="1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3" w:type="dxa"/>
            <w:tcBorders>
              <w:bottom w:val="double" w:sz="6" w:space="0" w:color="000000"/>
            </w:tcBorders>
            <w:shd w:fill="CCEEFF" w:val="clear"/>
            <w:tcMar>
              <w:bottom w:w="28" w:type="dxa"/>
            </w:tcMar>
            <w:vAlign w:val="center"/>
          </w:tcPr>
          <w:p>
            <w:pPr>
              <w:pStyle w:val="TableContents"/>
              <w:bidi w:val="0"/>
              <w:spacing w:before="0" w:after="283"/>
              <w:jc w:val="right"/>
              <w:rPr/>
            </w:pPr>
            <w:r>
              <w:rPr/>
              <w:t>526,545</w:t>
            </w:r>
          </w:p>
        </w:tc>
        <w:tc>
          <w:tcPr>
            <w:tcW w:w="454"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Consolidated Statements of Operations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0"/>
        <w:gridCol w:w="90"/>
        <w:gridCol w:w="170"/>
        <w:gridCol w:w="1130"/>
        <w:gridCol w:w="125"/>
        <w:gridCol w:w="90"/>
        <w:gridCol w:w="170"/>
        <w:gridCol w:w="1130"/>
        <w:gridCol w:w="125"/>
        <w:gridCol w:w="90"/>
        <w:gridCol w:w="170"/>
        <w:gridCol w:w="1130"/>
        <w:gridCol w:w="125"/>
        <w:gridCol w:w="90"/>
        <w:gridCol w:w="170"/>
        <w:gridCol w:w="1130"/>
        <w:gridCol w:w="350"/>
      </w:tblGrid>
      <w:tr>
        <w:trPr/>
        <w:tc>
          <w:tcPr>
            <w:tcW w:w="392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94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16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14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14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1650" w:type="dxa"/>
            <w:gridSpan w:val="3"/>
            <w:tcBorders>
              <w:bottom w:val="single" w:sz="8" w:space="0" w:color="000000"/>
            </w:tcBorders>
            <w:tcMar>
              <w:bottom w:w="28" w:type="dxa"/>
            </w:tcMar>
            <w:vAlign w:val="center"/>
          </w:tcPr>
          <w:p>
            <w:pPr>
              <w:pStyle w:val="TableContents"/>
              <w:bidi w:val="0"/>
              <w:spacing w:before="0" w:after="283"/>
              <w:ind w:left="0" w:right="0" w:hanging="216"/>
              <w:jc w:val="center"/>
              <w:rPr>
                <w:b/>
              </w:rPr>
            </w:pPr>
            <w:r>
              <w:rPr>
                <w:b/>
              </w:rPr>
              <w:t>2024</w:t>
            </w:r>
          </w:p>
        </w:tc>
      </w:tr>
      <w:tr>
        <w:trPr/>
        <w:tc>
          <w:tcPr>
            <w:tcW w:w="392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73,005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85,169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140,502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155,053</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Fee and other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1,099</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Net investment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5,984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5,278</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investment gains (losses)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(580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876</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Total revenues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76,057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87,807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147,491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162,306</w:t>
            </w:r>
          </w:p>
        </w:tc>
        <w:tc>
          <w:tcPr>
            <w:tcW w:w="350"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Losses and loss adjustment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66,607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69,358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105,132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109,502</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Amortization of deferred policy acquisition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16,374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19,290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32,902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36,107</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Other underwriting and general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8,400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8,229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17,032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16,934</w:t>
            </w:r>
          </w:p>
        </w:tc>
        <w:tc>
          <w:tcPr>
            <w:tcW w:w="350" w:type="dxa"/>
            <w:tcBorders/>
            <w:shd w:fill="CCEEFF" w:val="clear"/>
            <w:vAlign w:val="center"/>
          </w:tcPr>
          <w:p>
            <w:pPr>
              <w:pStyle w:val="TableContents"/>
              <w:bidi w:val="0"/>
              <w:spacing w:before="0" w:after="283"/>
              <w:ind w:left="0" w:right="0" w:firstLine="187"/>
              <w:jc w:val="left"/>
              <w:rPr/>
            </w:pPr>
            <w:r>
              <w:rPr/>
              <w:t> </w:t>
            </w:r>
          </w:p>
        </w:tc>
      </w:tr>
      <w:tr>
        <w:trPr/>
        <w:tc>
          <w:tcPr>
            <w:tcW w:w="3920" w:type="dxa"/>
            <w:tcBorders/>
            <w:vAlign w:val="center"/>
          </w:tcPr>
          <w:p>
            <w:pPr>
              <w:pStyle w:val="TableContents"/>
              <w:bidi w:val="0"/>
              <w:spacing w:before="0" w:after="283"/>
              <w:jc w:val="left"/>
              <w:rPr/>
            </w:pPr>
            <w:r>
              <w:rPr/>
              <w:t>Total expenses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91,381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96,877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155,066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162,543</w:t>
            </w:r>
          </w:p>
        </w:tc>
        <w:tc>
          <w:tcPr>
            <w:tcW w:w="350"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Loss from continuing operations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(15,324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(9,070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(7,575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(237</w:t>
            </w:r>
          </w:p>
        </w:tc>
        <w:tc>
          <w:tcPr>
            <w:tcW w:w="35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Income tax expense (benefit)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(1,592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(1,984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306</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r>
              <w:rPr/>
              <w:t>Loss from continuing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(12,051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(5,591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(543</w:t>
            </w:r>
          </w:p>
        </w:tc>
        <w:tc>
          <w:tcPr>
            <w:tcW w:w="35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Loss from discontinued operations, net of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(1,512</w:t>
            </w:r>
          </w:p>
        </w:tc>
        <w:tc>
          <w:tcPr>
            <w:tcW w:w="35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Loss on sale of discontinued operations, net of taxes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(11,148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(11,148</w:t>
            </w:r>
          </w:p>
        </w:tc>
        <w:tc>
          <w:tcPr>
            <w:tcW w:w="350" w:type="dxa"/>
            <w:tcBorders/>
            <w:vAlign w:val="center"/>
          </w:tcPr>
          <w:p>
            <w:pPr>
              <w:pStyle w:val="TableContents"/>
              <w:bidi w:val="0"/>
              <w:spacing w:before="0" w:after="283"/>
              <w:ind w:left="0" w:right="0" w:firstLine="180"/>
              <w:jc w:val="left"/>
              <w:rPr/>
            </w:pPr>
            <w:r>
              <w:rPr/>
              <w:t>)</w:t>
            </w:r>
          </w:p>
        </w:tc>
      </w:tr>
      <w:tr>
        <w:trPr/>
        <w:tc>
          <w:tcPr>
            <w:tcW w:w="39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(12,051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(19,622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(5,591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(13,203</w:t>
            </w:r>
          </w:p>
        </w:tc>
        <w:tc>
          <w:tcPr>
            <w:tcW w:w="35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Loss per common share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ind w:left="0" w:right="0" w:firstLine="180"/>
              <w:jc w:val="left"/>
              <w:rPr/>
            </w:pPr>
            <w:r>
              <w:rPr/>
              <w:t> </w:t>
            </w:r>
          </w:p>
        </w:tc>
      </w:tr>
      <w:tr>
        <w:trPr/>
        <w:tc>
          <w:tcPr>
            <w:tcW w:w="3920"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(0.03</w:t>
            </w:r>
          </w:p>
        </w:tc>
        <w:tc>
          <w:tcPr>
            <w:tcW w:w="350" w:type="dxa"/>
            <w:tcBorders/>
            <w:vAlign w:val="center"/>
          </w:tcPr>
          <w:p>
            <w:pPr>
              <w:pStyle w:val="TableContents"/>
              <w:bidi w:val="0"/>
              <w:spacing w:before="0" w:after="283"/>
              <w:ind w:left="0" w:right="0" w:firstLine="180"/>
              <w:jc w:val="left"/>
              <w:rPr/>
            </w:pPr>
            <w:r>
              <w:rPr/>
              <w:t>)</w:t>
            </w:r>
          </w:p>
        </w:tc>
      </w:tr>
      <w:tr>
        <w:trPr/>
        <w:tc>
          <w:tcPr>
            <w:tcW w:w="3920"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(0.03</w:t>
            </w:r>
          </w:p>
        </w:tc>
        <w:tc>
          <w:tcPr>
            <w:tcW w:w="35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Loss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(0.63</w:t>
            </w:r>
          </w:p>
        </w:tc>
        <w:tc>
          <w:tcPr>
            <w:tcW w:w="35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(0.63</w:t>
            </w:r>
          </w:p>
        </w:tc>
        <w:tc>
          <w:tcPr>
            <w:tcW w:w="350" w:type="dxa"/>
            <w:tcBorders/>
            <w:shd w:fill="CCEEFF" w:val="clear"/>
            <w:vAlign w:val="center"/>
          </w:tcPr>
          <w:p>
            <w:pPr>
              <w:pStyle w:val="TableContents"/>
              <w:bidi w:val="0"/>
              <w:spacing w:before="0" w:after="283"/>
              <w:ind w:left="0" w:right="0" w:hanging="216"/>
              <w:jc w:val="left"/>
              <w:rPr/>
            </w:pPr>
            <w:r>
              <w:rPr/>
              <w:t>)</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Share data: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Weighted average common shares outstanding used in basic per common share calculations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21,039,090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20,970,384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21,027,073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20,951,579</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Dilutive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Weighted average common shares used in diluted per common share calculations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21,039,090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20,970,384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21,027,073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20,951,579</w:t>
            </w:r>
          </w:p>
        </w:tc>
        <w:tc>
          <w:tcPr>
            <w:tcW w:w="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Consolidated Statements of Comprehensive Income (Loss)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5"/>
        <w:gridCol w:w="90"/>
        <w:gridCol w:w="203"/>
        <w:gridCol w:w="941"/>
        <w:gridCol w:w="149"/>
        <w:gridCol w:w="107"/>
        <w:gridCol w:w="203"/>
        <w:gridCol w:w="941"/>
        <w:gridCol w:w="149"/>
        <w:gridCol w:w="90"/>
        <w:gridCol w:w="187"/>
        <w:gridCol w:w="734"/>
        <w:gridCol w:w="137"/>
        <w:gridCol w:w="99"/>
        <w:gridCol w:w="187"/>
        <w:gridCol w:w="867"/>
        <w:gridCol w:w="436"/>
      </w:tblGrid>
      <w:tr>
        <w:trPr/>
        <w:tc>
          <w:tcPr>
            <w:tcW w:w="4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3"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2647"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4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129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105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1490" w:type="dxa"/>
            <w:gridSpan w:val="3"/>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2024</w:t>
            </w:r>
          </w:p>
        </w:tc>
      </w:tr>
      <w:tr>
        <w:trPr/>
        <w:tc>
          <w:tcPr>
            <w:tcW w:w="468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(12,051</w:t>
            </w:r>
          </w:p>
        </w:tc>
        <w:tc>
          <w:tcPr>
            <w:tcW w:w="149"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(19,622</w:t>
            </w:r>
          </w:p>
        </w:tc>
        <w:tc>
          <w:tcPr>
            <w:tcW w:w="14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(5,591</w:t>
            </w:r>
          </w:p>
        </w:tc>
        <w:tc>
          <w:tcPr>
            <w:tcW w:w="13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pPr>
            <w:r>
              <w:rPr/>
              <w:t>(13,203</w:t>
            </w:r>
          </w:p>
        </w:tc>
        <w:tc>
          <w:tcPr>
            <w:tcW w:w="436" w:type="dxa"/>
            <w:tcBorders/>
            <w:shd w:fill="CCEEFF" w:val="clear"/>
            <w:vAlign w:val="center"/>
          </w:tcPr>
          <w:p>
            <w:pPr>
              <w:pStyle w:val="TableContents"/>
              <w:bidi w:val="0"/>
              <w:spacing w:before="0" w:after="283"/>
              <w:jc w:val="left"/>
              <w:rPr/>
            </w:pPr>
            <w:r>
              <w:rPr/>
              <w:t>)</w:t>
            </w:r>
          </w:p>
        </w:tc>
      </w:tr>
      <w:tr>
        <w:trPr/>
        <w:tc>
          <w:tcPr>
            <w:tcW w:w="4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Other comprehensive income (loss), before income taxes:</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436" w:type="dxa"/>
            <w:tcBorders/>
            <w:shd w:fill="CCEEFF" w:val="clear"/>
            <w:vAlign w:val="center"/>
          </w:tcPr>
          <w:p>
            <w:pPr>
              <w:pStyle w:val="TableContents"/>
              <w:bidi w:val="0"/>
              <w:spacing w:before="0" w:after="283"/>
              <w:ind w:left="0" w:right="0" w:firstLine="36"/>
              <w:jc w:val="left"/>
              <w:rPr/>
            </w:pPr>
            <w:r>
              <w:rPr/>
              <w:t> </w:t>
            </w:r>
          </w:p>
        </w:tc>
      </w:tr>
      <w:tr>
        <w:trPr/>
        <w:tc>
          <w:tcPr>
            <w:tcW w:w="4685" w:type="dxa"/>
            <w:tcBorders/>
            <w:vAlign w:val="center"/>
          </w:tcPr>
          <w:p>
            <w:pPr>
              <w:pStyle w:val="TableContents"/>
              <w:bidi w:val="0"/>
              <w:spacing w:before="0" w:after="283"/>
              <w:jc w:val="left"/>
              <w:rPr/>
            </w:pPr>
            <w:r>
              <w:rPr/>
              <w:t>Holding gains (losses) on investments</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1,336</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(953</w:t>
            </w:r>
          </w:p>
        </w:tc>
        <w:tc>
          <w:tcPr>
            <w:tcW w:w="14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4,649</w:t>
            </w:r>
          </w:p>
        </w:tc>
        <w:tc>
          <w:tcPr>
            <w:tcW w:w="13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(2,770</w:t>
            </w:r>
          </w:p>
        </w:tc>
        <w:tc>
          <w:tcPr>
            <w:tcW w:w="436" w:type="dxa"/>
            <w:tcBorders/>
            <w:vAlign w:val="center"/>
          </w:tcPr>
          <w:p>
            <w:pPr>
              <w:pStyle w:val="TableContents"/>
              <w:bidi w:val="0"/>
              <w:spacing w:before="0" w:after="283"/>
              <w:jc w:val="left"/>
              <w:rPr/>
            </w:pPr>
            <w:r>
              <w:rPr/>
              <w:t>)</w:t>
            </w:r>
          </w:p>
        </w:tc>
      </w:tr>
      <w:tr>
        <w:trPr/>
        <w:tc>
          <w:tcPr>
            <w:tcW w:w="4685" w:type="dxa"/>
            <w:tcBorders/>
            <w:shd w:fill="CCEEFF" w:val="clear"/>
            <w:vAlign w:val="center"/>
          </w:tcPr>
          <w:p>
            <w:pPr>
              <w:pStyle w:val="TableContents"/>
              <w:bidi w:val="0"/>
              <w:spacing w:before="0" w:after="283"/>
              <w:jc w:val="left"/>
              <w:rPr/>
            </w:pPr>
            <w:r>
              <w:rPr/>
              <w:t>Reclassification adjustment for net realized losses included in net income</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133</w:t>
            </w:r>
          </w:p>
        </w:tc>
        <w:tc>
          <w:tcPr>
            <w:tcW w:w="14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4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133</w:t>
            </w:r>
          </w:p>
        </w:tc>
        <w:tc>
          <w:tcPr>
            <w:tcW w:w="13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436"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Other comprehensive income (loss), before income taxes</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1,469</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(923</w:t>
            </w:r>
          </w:p>
        </w:tc>
        <w:tc>
          <w:tcPr>
            <w:tcW w:w="14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4,782</w:t>
            </w:r>
          </w:p>
        </w:tc>
        <w:tc>
          <w:tcPr>
            <w:tcW w:w="13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(2,730</w:t>
            </w:r>
          </w:p>
        </w:tc>
        <w:tc>
          <w:tcPr>
            <w:tcW w:w="436" w:type="dxa"/>
            <w:tcBorders/>
            <w:vAlign w:val="center"/>
          </w:tcPr>
          <w:p>
            <w:pPr>
              <w:pStyle w:val="TableContents"/>
              <w:bidi w:val="0"/>
              <w:spacing w:before="0" w:after="283"/>
              <w:jc w:val="left"/>
              <w:rPr/>
            </w:pPr>
            <w:r>
              <w:rPr/>
              <w:t>)</w:t>
            </w:r>
          </w:p>
        </w:tc>
      </w:tr>
      <w:tr>
        <w:trPr/>
        <w:tc>
          <w:tcPr>
            <w:tcW w:w="4685" w:type="dxa"/>
            <w:tcBorders/>
            <w:shd w:fill="CCEEFF" w:val="clear"/>
            <w:vAlign w:val="center"/>
          </w:tcPr>
          <w:p>
            <w:pPr>
              <w:pStyle w:val="TableContents"/>
              <w:bidi w:val="0"/>
              <w:spacing w:before="0" w:after="283"/>
              <w:jc w:val="left"/>
              <w:rPr/>
            </w:pPr>
            <w:r>
              <w:rPr/>
              <w:t>Income tax benefit (expense) related to items of other comprehensive income (loss)</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(334</w:t>
            </w:r>
          </w:p>
        </w:tc>
        <w:tc>
          <w:tcPr>
            <w:tcW w:w="149"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14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(1,087</w:t>
            </w:r>
          </w:p>
        </w:tc>
        <w:tc>
          <w:tcPr>
            <w:tcW w:w="13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pPr>
            <w:r>
              <w:rPr/>
              <w:t>616</w:t>
            </w:r>
          </w:p>
        </w:tc>
        <w:tc>
          <w:tcPr>
            <w:tcW w:w="436"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Other comprehensive income (loss), net of income taxes</w:t>
            </w:r>
          </w:p>
        </w:tc>
        <w:tc>
          <w:tcPr>
            <w:tcW w:w="90" w:type="dxa"/>
            <w:tcBorders/>
            <w:vAlign w:val="center"/>
          </w:tcPr>
          <w:p>
            <w:pPr>
              <w:pStyle w:val="TableContents"/>
              <w:bidi w:val="0"/>
              <w:spacing w:before="0" w:after="283"/>
              <w:jc w:val="left"/>
              <w:rPr/>
            </w:pPr>
            <w:r>
              <w:rPr/>
              <w:t> </w:t>
            </w:r>
          </w:p>
        </w:tc>
        <w:tc>
          <w:tcPr>
            <w:tcW w:w="203" w:type="dxa"/>
            <w:tcBorders>
              <w:bottom w:val="single" w:sz="8" w:space="0" w:color="000000"/>
            </w:tcBorders>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tcMar>
              <w:bottom w:w="28" w:type="dxa"/>
            </w:tcMar>
            <w:vAlign w:val="center"/>
          </w:tcPr>
          <w:p>
            <w:pPr>
              <w:pStyle w:val="TableContents"/>
              <w:bidi w:val="0"/>
              <w:spacing w:before="0" w:after="283"/>
              <w:jc w:val="right"/>
              <w:rPr/>
            </w:pPr>
            <w:r>
              <w:rPr/>
              <w:t>1,135</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3" w:type="dxa"/>
            <w:tcBorders>
              <w:bottom w:val="single" w:sz="8" w:space="0" w:color="000000"/>
            </w:tcBorders>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tcMar>
              <w:bottom w:w="28" w:type="dxa"/>
            </w:tcMar>
            <w:vAlign w:val="center"/>
          </w:tcPr>
          <w:p>
            <w:pPr>
              <w:pStyle w:val="TableContents"/>
              <w:bidi w:val="0"/>
              <w:spacing w:before="0" w:after="283"/>
              <w:jc w:val="right"/>
              <w:rPr/>
            </w:pPr>
            <w:r>
              <w:rPr/>
              <w:t>(714</w:t>
            </w:r>
          </w:p>
        </w:tc>
        <w:tc>
          <w:tcPr>
            <w:tcW w:w="14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tcMar>
              <w:bottom w:w="28" w:type="dxa"/>
            </w:tcMar>
            <w:vAlign w:val="center"/>
          </w:tcPr>
          <w:p>
            <w:pPr>
              <w:pStyle w:val="TableContents"/>
              <w:bidi w:val="0"/>
              <w:spacing w:before="0" w:after="283"/>
              <w:jc w:val="right"/>
              <w:rPr/>
            </w:pPr>
            <w:r>
              <w:rPr/>
              <w:t>3,695</w:t>
            </w:r>
          </w:p>
        </w:tc>
        <w:tc>
          <w:tcPr>
            <w:tcW w:w="13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tcMar>
              <w:bottom w:w="28" w:type="dxa"/>
            </w:tcMar>
            <w:vAlign w:val="center"/>
          </w:tcPr>
          <w:p>
            <w:pPr>
              <w:pStyle w:val="TableContents"/>
              <w:bidi w:val="0"/>
              <w:spacing w:before="0" w:after="283"/>
              <w:jc w:val="right"/>
              <w:rPr/>
            </w:pPr>
            <w:r>
              <w:rPr/>
              <w:t>(2,114</w:t>
            </w:r>
          </w:p>
        </w:tc>
        <w:tc>
          <w:tcPr>
            <w:tcW w:w="436" w:type="dxa"/>
            <w:tcBorders/>
            <w:vAlign w:val="center"/>
          </w:tcPr>
          <w:p>
            <w:pPr>
              <w:pStyle w:val="TableContents"/>
              <w:bidi w:val="0"/>
              <w:spacing w:before="0" w:after="283"/>
              <w:ind w:left="0" w:right="0" w:firstLine="216"/>
              <w:jc w:val="left"/>
              <w:rPr/>
            </w:pPr>
            <w:r>
              <w:rPr/>
              <w:t>)</w:t>
            </w:r>
          </w:p>
        </w:tc>
      </w:tr>
      <w:tr>
        <w:trPr/>
        <w:tc>
          <w:tcPr>
            <w:tcW w:w="46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436" w:type="dxa"/>
            <w:tcBorders/>
            <w:shd w:fill="CCEEFF" w:val="clear"/>
            <w:vAlign w:val="center"/>
          </w:tcPr>
          <w:p>
            <w:pPr>
              <w:pStyle w:val="TableContents"/>
              <w:bidi w:val="0"/>
              <w:spacing w:before="0" w:after="283"/>
              <w:ind w:left="0" w:right="0" w:hanging="288"/>
              <w:jc w:val="left"/>
              <w:rPr/>
            </w:pPr>
            <w:r>
              <w:rPr/>
              <w:t> </w:t>
            </w:r>
          </w:p>
        </w:tc>
      </w:tr>
      <w:tr>
        <w:trPr/>
        <w:tc>
          <w:tcPr>
            <w:tcW w:w="4685" w:type="dxa"/>
            <w:tcBorders/>
            <w:vAlign w:val="center"/>
          </w:tcPr>
          <w:p>
            <w:pPr>
              <w:pStyle w:val="TableContents"/>
              <w:bidi w:val="0"/>
              <w:spacing w:before="0" w:after="283"/>
              <w:jc w:val="left"/>
              <w:rPr/>
            </w:pPr>
            <w:r>
              <w:rPr/>
              <w:t>Comprehensive loss</w:t>
            </w:r>
          </w:p>
        </w:tc>
        <w:tc>
          <w:tcPr>
            <w:tcW w:w="90" w:type="dxa"/>
            <w:tcBorders/>
            <w:vAlign w:val="center"/>
          </w:tcPr>
          <w:p>
            <w:pPr>
              <w:pStyle w:val="TableContents"/>
              <w:bidi w:val="0"/>
              <w:spacing w:before="0" w:after="283"/>
              <w:jc w:val="left"/>
              <w:rPr/>
            </w:pPr>
            <w:r>
              <w:rPr/>
              <w:t> </w:t>
            </w:r>
          </w:p>
        </w:tc>
        <w:tc>
          <w:tcPr>
            <w:tcW w:w="203" w:type="dxa"/>
            <w:tcBorders>
              <w:bottom w:val="double" w:sz="6" w:space="0" w:color="000000"/>
            </w:tcBorders>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tcMar>
              <w:bottom w:w="28" w:type="dxa"/>
            </w:tcMar>
            <w:vAlign w:val="center"/>
          </w:tcPr>
          <w:p>
            <w:pPr>
              <w:pStyle w:val="TableContents"/>
              <w:bidi w:val="0"/>
              <w:spacing w:before="0" w:after="283"/>
              <w:jc w:val="right"/>
              <w:rPr/>
            </w:pPr>
            <w:r>
              <w:rPr/>
              <w:t>(10,916</w:t>
            </w:r>
          </w:p>
        </w:tc>
        <w:tc>
          <w:tcPr>
            <w:tcW w:w="149"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203" w:type="dxa"/>
            <w:tcBorders>
              <w:bottom w:val="double" w:sz="6" w:space="0" w:color="000000"/>
            </w:tcBorders>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tcMar>
              <w:bottom w:w="28" w:type="dxa"/>
            </w:tcMar>
            <w:vAlign w:val="center"/>
          </w:tcPr>
          <w:p>
            <w:pPr>
              <w:pStyle w:val="TableContents"/>
              <w:bidi w:val="0"/>
              <w:spacing w:before="0" w:after="283"/>
              <w:jc w:val="right"/>
              <w:rPr/>
            </w:pPr>
            <w:r>
              <w:rPr/>
              <w:t>(20,336</w:t>
            </w:r>
          </w:p>
        </w:tc>
        <w:tc>
          <w:tcPr>
            <w:tcW w:w="14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bottom w:val="double" w:sz="6" w:space="0" w:color="000000"/>
            </w:tcBorders>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tcMar>
              <w:bottom w:w="28" w:type="dxa"/>
            </w:tcMar>
            <w:vAlign w:val="center"/>
          </w:tcPr>
          <w:p>
            <w:pPr>
              <w:pStyle w:val="TableContents"/>
              <w:bidi w:val="0"/>
              <w:spacing w:before="0" w:after="283"/>
              <w:jc w:val="right"/>
              <w:rPr/>
            </w:pPr>
            <w:r>
              <w:rPr/>
              <w:t>(1,896</w:t>
            </w:r>
          </w:p>
        </w:tc>
        <w:tc>
          <w:tcPr>
            <w:tcW w:w="137"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87" w:type="dxa"/>
            <w:tcBorders>
              <w:bottom w:val="double" w:sz="6" w:space="0" w:color="000000"/>
            </w:tcBorders>
            <w:tcMar>
              <w:bottom w:w="28" w:type="dxa"/>
            </w:tcMar>
            <w:vAlign w:val="center"/>
          </w:tcPr>
          <w:p>
            <w:pPr>
              <w:pStyle w:val="TableContents"/>
              <w:bidi w:val="0"/>
              <w:spacing w:before="0" w:after="283"/>
              <w:jc w:val="left"/>
              <w:rPr/>
            </w:pPr>
            <w:r>
              <w:rPr/>
              <w:t>$</w:t>
            </w:r>
          </w:p>
        </w:tc>
        <w:tc>
          <w:tcPr>
            <w:tcW w:w="867" w:type="dxa"/>
            <w:tcBorders>
              <w:bottom w:val="double" w:sz="6" w:space="0" w:color="000000"/>
            </w:tcBorders>
            <w:tcMar>
              <w:bottom w:w="28" w:type="dxa"/>
            </w:tcMar>
            <w:vAlign w:val="center"/>
          </w:tcPr>
          <w:p>
            <w:pPr>
              <w:pStyle w:val="TableContents"/>
              <w:bidi w:val="0"/>
              <w:spacing w:before="0" w:after="283"/>
              <w:jc w:val="right"/>
              <w:rPr/>
            </w:pPr>
            <w:r>
              <w:rPr/>
              <w:t>(15,317</w:t>
            </w:r>
          </w:p>
        </w:tc>
        <w:tc>
          <w:tcPr>
            <w:tcW w:w="436"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Consolidated Statements of Changes in Shareholders’ Equity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2010" w:type="dxa"/>
        <w:jc w:val="left"/>
        <w:tblInd w:w="0" w:type="dxa"/>
        <w:tblLayout w:type="fixed"/>
        <w:tblCellMar>
          <w:top w:w="0" w:type="dxa"/>
          <w:left w:w="0" w:type="dxa"/>
          <w:bottom w:w="28" w:type="dxa"/>
          <w:right w:w="0" w:type="dxa"/>
        </w:tblCellMar>
      </w:tblPr>
      <w:tblGrid>
        <w:gridCol w:w="1565"/>
        <w:gridCol w:w="90"/>
        <w:gridCol w:w="243"/>
        <w:gridCol w:w="587"/>
        <w:gridCol w:w="90"/>
        <w:gridCol w:w="90"/>
        <w:gridCol w:w="183"/>
        <w:gridCol w:w="767"/>
        <w:gridCol w:w="125"/>
        <w:gridCol w:w="90"/>
        <w:gridCol w:w="250"/>
        <w:gridCol w:w="715"/>
        <w:gridCol w:w="125"/>
        <w:gridCol w:w="90"/>
        <w:gridCol w:w="170"/>
        <w:gridCol w:w="830"/>
        <w:gridCol w:w="125"/>
        <w:gridCol w:w="90"/>
        <w:gridCol w:w="243"/>
        <w:gridCol w:w="1127"/>
        <w:gridCol w:w="125"/>
        <w:gridCol w:w="90"/>
        <w:gridCol w:w="170"/>
        <w:gridCol w:w="785"/>
        <w:gridCol w:w="125"/>
        <w:gridCol w:w="90"/>
        <w:gridCol w:w="534"/>
        <w:gridCol w:w="911"/>
        <w:gridCol w:w="90"/>
        <w:gridCol w:w="90"/>
        <w:gridCol w:w="209"/>
        <w:gridCol w:w="1026"/>
        <w:gridCol w:w="170"/>
      </w:tblGrid>
      <w:tr>
        <w:trPr/>
        <w:tc>
          <w:tcPr>
            <w:tcW w:w="12010" w:type="dxa"/>
            <w:gridSpan w:val="33"/>
            <w:tcBorders>
              <w:bottom w:val="single" w:sz="8" w:space="0" w:color="000000"/>
            </w:tcBorders>
            <w:vAlign w:val="center"/>
          </w:tcPr>
          <w:p>
            <w:pPr>
              <w:pStyle w:val="TableContents"/>
              <w:bidi w:val="0"/>
              <w:spacing w:before="0" w:after="283"/>
              <w:jc w:val="center"/>
              <w:rPr>
                <w:b/>
              </w:rPr>
            </w:pPr>
            <w:r>
              <w:rPr>
                <w:b/>
              </w:rPr>
              <w:t>Three Months Ended June 30, 2025</w:t>
            </w:r>
          </w:p>
        </w:tc>
      </w:tr>
      <w:tr>
        <w:trPr/>
        <w:tc>
          <w:tcPr>
            <w:tcW w:w="15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w:t>
              <w:br/>
              <w:t>Stock</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br/>
              <w:t xml:space="preserve">Paid-in </w:t>
              <w:br/>
              <w:t>Capital</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Unearned </w:t>
              <w:br/>
              <w:t xml:space="preserve">Employee </w:t>
              <w:br/>
              <w:t>Stock</w:t>
              <w:br/>
              <w:t xml:space="preserve">Ownership </w:t>
              <w:br/>
              <w:t>Plan Shares</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Retained </w:t>
              <w:br/>
              <w:t>Earnings</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br/>
              <w:t xml:space="preserve">Other </w:t>
              <w:br/>
              <w:t>Comprehensive</w:t>
              <w:br/>
              <w:t>Loss, Net of</w:t>
              <w:br/>
              <w:t>Income Taxes</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Treasury </w:t>
              <w:br/>
              <w:t>Stock</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Non-Controlling </w:t>
              <w:br/>
              <w:t>Interest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Shareholders’</w:t>
              <w:br/>
              <w:t>Equity</w:t>
            </w:r>
          </w:p>
        </w:tc>
        <w:tc>
          <w:tcPr>
            <w:tcW w:w="1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tcMar>
              <w:bottom w:w="0" w:type="dxa"/>
            </w:tcMar>
            <w:vAlign w:val="center"/>
          </w:tcPr>
          <w:p>
            <w:pPr>
              <w:pStyle w:val="TableContents"/>
              <w:bidi w:val="0"/>
              <w:spacing w:before="0" w:after="283"/>
              <w:jc w:val="left"/>
              <w:rPr/>
            </w:pPr>
            <w:r>
              <w:rPr/>
              <w:t xml:space="preserve">Balance, </w:t>
              <w:br/>
              <w:t>April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w:t>
            </w:r>
          </w:p>
        </w:tc>
        <w:tc>
          <w:tcPr>
            <w:tcW w:w="587" w:type="dxa"/>
            <w:tcBorders/>
            <w:shd w:fill="CCEEFF" w:val="clear"/>
            <w:tcMar>
              <w:bottom w:w="0" w:type="dxa"/>
            </w:tcM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767" w:type="dxa"/>
            <w:tcBorders/>
            <w:shd w:fill="CCEEFF" w:val="clear"/>
            <w:tcMar>
              <w:bottom w:w="0" w:type="dxa"/>
            </w:tcMar>
            <w:vAlign w:val="center"/>
          </w:tcPr>
          <w:p>
            <w:pPr>
              <w:pStyle w:val="TableContents"/>
              <w:bidi w:val="0"/>
              <w:spacing w:before="0" w:after="283"/>
              <w:jc w:val="right"/>
              <w:rPr/>
            </w:pPr>
            <w:r>
              <w:rPr/>
              <w:t>95,783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(455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207,997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w:t>
            </w:r>
          </w:p>
        </w:tc>
        <w:tc>
          <w:tcPr>
            <w:tcW w:w="1127" w:type="dxa"/>
            <w:tcBorders/>
            <w:shd w:fill="CCEEFF" w:val="clear"/>
            <w:tcMar>
              <w:bottom w:w="0" w:type="dxa"/>
            </w:tcMar>
            <w:vAlign w:val="center"/>
          </w:tcPr>
          <w:p>
            <w:pPr>
              <w:pStyle w:val="TableContents"/>
              <w:bidi w:val="0"/>
              <w:spacing w:before="0" w:after="283"/>
              <w:jc w:val="right"/>
              <w:rPr/>
            </w:pPr>
            <w:r>
              <w:rPr/>
              <w:t>(15,671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785" w:type="dxa"/>
            <w:tcBorders/>
            <w:shd w:fill="CCEEFF" w:val="clear"/>
            <w:tcMar>
              <w:bottom w:w="0" w:type="dxa"/>
            </w:tcMar>
            <w:vAlign w:val="center"/>
          </w:tcPr>
          <w:p>
            <w:pPr>
              <w:pStyle w:val="TableContents"/>
              <w:bidi w:val="0"/>
              <w:spacing w:before="0" w:after="283"/>
              <w:jc w:val="right"/>
              <w:rPr/>
            </w:pPr>
            <w:r>
              <w:rPr/>
              <w:t>(33,884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w:t>
            </w:r>
          </w:p>
        </w:tc>
        <w:tc>
          <w:tcPr>
            <w:tcW w:w="91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w:t>
            </w:r>
          </w:p>
        </w:tc>
        <w:tc>
          <w:tcPr>
            <w:tcW w:w="1026" w:type="dxa"/>
            <w:tcBorders/>
            <w:shd w:fill="CCEEFF" w:val="clear"/>
            <w:tcMar>
              <w:bottom w:w="0" w:type="dxa"/>
            </w:tcMar>
            <w:vAlign w:val="center"/>
          </w:tcPr>
          <w:p>
            <w:pPr>
              <w:pStyle w:val="TableContents"/>
              <w:bidi w:val="0"/>
              <w:spacing w:before="0" w:after="283"/>
              <w:jc w:val="right"/>
              <w:rPr/>
            </w:pPr>
            <w:r>
              <w:rPr/>
              <w:t>254,000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58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3" w:type="dxa"/>
            <w:tcBorders/>
            <w:tcMar>
              <w:bottom w:w="0" w:type="dxa"/>
            </w:tcMar>
            <w:vAlign w:val="center"/>
          </w:tcPr>
          <w:p>
            <w:pPr>
              <w:pStyle w:val="TableContents"/>
              <w:bidi w:val="0"/>
              <w:spacing w:before="0" w:after="283"/>
              <w:jc w:val="left"/>
              <w:rPr/>
            </w:pPr>
            <w:r>
              <w:rPr/>
              <w:t> </w:t>
            </w:r>
          </w:p>
        </w:tc>
        <w:tc>
          <w:tcPr>
            <w:tcW w:w="76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71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112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4" w:type="dxa"/>
            <w:tcBorders/>
            <w:tcMar>
              <w:bottom w:w="0" w:type="dxa"/>
            </w:tcMar>
            <w:vAlign w:val="center"/>
          </w:tcPr>
          <w:p>
            <w:pPr>
              <w:pStyle w:val="TableContents"/>
              <w:bidi w:val="0"/>
              <w:spacing w:before="0" w:after="283"/>
              <w:jc w:val="left"/>
              <w:rPr/>
            </w:pPr>
            <w:r>
              <w:rPr/>
              <w:t> </w:t>
            </w:r>
          </w:p>
        </w:tc>
        <w:tc>
          <w:tcPr>
            <w:tcW w:w="91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Battle Creek demutualization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71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026"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58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3" w:type="dxa"/>
            <w:tcBorders/>
            <w:tcMar>
              <w:bottom w:w="0" w:type="dxa"/>
            </w:tcMar>
            <w:vAlign w:val="center"/>
          </w:tcPr>
          <w:p>
            <w:pPr>
              <w:pStyle w:val="TableContents"/>
              <w:bidi w:val="0"/>
              <w:spacing w:before="0" w:after="283"/>
              <w:jc w:val="left"/>
              <w:rPr/>
            </w:pPr>
            <w:r>
              <w:rPr/>
              <w:t> </w:t>
            </w:r>
          </w:p>
        </w:tc>
        <w:tc>
          <w:tcPr>
            <w:tcW w:w="76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71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(12,051</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112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4" w:type="dxa"/>
            <w:tcBorders/>
            <w:tcMar>
              <w:bottom w:w="0" w:type="dxa"/>
            </w:tcMar>
            <w:vAlign w:val="center"/>
          </w:tcPr>
          <w:p>
            <w:pPr>
              <w:pStyle w:val="TableContents"/>
              <w:bidi w:val="0"/>
              <w:spacing w:before="0" w:after="283"/>
              <w:jc w:val="left"/>
              <w:rPr/>
            </w:pPr>
            <w:r>
              <w:rPr/>
              <w:t> </w:t>
            </w:r>
          </w:p>
        </w:tc>
        <w:tc>
          <w:tcPr>
            <w:tcW w:w="91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right"/>
              <w:rPr/>
            </w:pPr>
            <w:r>
              <w:rPr/>
              <w:t>(12,051</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Impact of Westminster unrealized investment gains/losses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71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026"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Other comprehensive income (loss), net of income taxes</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58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3" w:type="dxa"/>
            <w:tcBorders/>
            <w:tcMar>
              <w:bottom w:w="0" w:type="dxa"/>
            </w:tcMar>
            <w:vAlign w:val="center"/>
          </w:tcPr>
          <w:p>
            <w:pPr>
              <w:pStyle w:val="TableContents"/>
              <w:bidi w:val="0"/>
              <w:spacing w:before="0" w:after="283"/>
              <w:jc w:val="left"/>
              <w:rPr/>
            </w:pPr>
            <w:r>
              <w:rPr/>
              <w:t> </w:t>
            </w:r>
          </w:p>
        </w:tc>
        <w:tc>
          <w:tcPr>
            <w:tcW w:w="76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71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1127" w:type="dxa"/>
            <w:tcBorders/>
            <w:tcMar>
              <w:bottom w:w="0" w:type="dxa"/>
            </w:tcMar>
            <w:vAlign w:val="center"/>
          </w:tcPr>
          <w:p>
            <w:pPr>
              <w:pStyle w:val="TableContents"/>
              <w:bidi w:val="0"/>
              <w:spacing w:before="0" w:after="283"/>
              <w:jc w:val="right"/>
              <w:rPr/>
            </w:pPr>
            <w:r>
              <w:rPr/>
              <w:t>1,135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4" w:type="dxa"/>
            <w:tcBorders/>
            <w:tcMar>
              <w:bottom w:w="0" w:type="dxa"/>
            </w:tcMar>
            <w:vAlign w:val="center"/>
          </w:tcPr>
          <w:p>
            <w:pPr>
              <w:pStyle w:val="TableContents"/>
              <w:bidi w:val="0"/>
              <w:spacing w:before="0" w:after="283"/>
              <w:jc w:val="left"/>
              <w:rPr/>
            </w:pPr>
            <w:r>
              <w:rPr/>
              <w:t> </w:t>
            </w:r>
          </w:p>
        </w:tc>
        <w:tc>
          <w:tcPr>
            <w:tcW w:w="91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right"/>
              <w:rPr/>
            </w:pPr>
            <w:r>
              <w:rPr/>
              <w:t>1,135</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Share-based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right"/>
              <w:rPr/>
            </w:pPr>
            <w:r>
              <w:rPr/>
              <w:t>244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71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026" w:type="dxa"/>
            <w:tcBorders/>
            <w:shd w:fill="CCEEFF" w:val="clear"/>
            <w:tcMar>
              <w:bottom w:w="0" w:type="dxa"/>
            </w:tcMar>
            <w:vAlign w:val="center"/>
          </w:tcPr>
          <w:p>
            <w:pPr>
              <w:pStyle w:val="TableContents"/>
              <w:bidi w:val="0"/>
              <w:spacing w:before="0" w:after="283"/>
              <w:jc w:val="right"/>
              <w:rPr/>
            </w:pPr>
            <w:r>
              <w:rPr/>
              <w:t>244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Issuance of vested award shares</w:t>
            </w:r>
          </w:p>
        </w:tc>
        <w:tc>
          <w:tcPr>
            <w:tcW w:w="90" w:type="dxa"/>
            <w:tcBorders/>
            <w:tcMar>
              <w:bottom w:w="0" w:type="dxa"/>
            </w:tcMar>
            <w:vAlign w:val="center"/>
          </w:tcPr>
          <w:p>
            <w:pPr>
              <w:pStyle w:val="TableContents"/>
              <w:bidi w:val="0"/>
              <w:spacing w:before="0" w:after="283"/>
              <w:jc w:val="left"/>
              <w:rPr/>
            </w:pPr>
            <w:r>
              <w:rPr/>
              <w:t> </w:t>
            </w:r>
          </w:p>
        </w:tc>
        <w:tc>
          <w:tcPr>
            <w:tcW w:w="243" w:type="dxa"/>
            <w:tcBorders>
              <w:bottom w:val="single" w:sz="8" w:space="0" w:color="000000"/>
            </w:tcBorders>
            <w:vAlign w:val="center"/>
          </w:tcPr>
          <w:p>
            <w:pPr>
              <w:pStyle w:val="TableContents"/>
              <w:bidi w:val="0"/>
              <w:spacing w:before="0" w:after="283"/>
              <w:jc w:val="left"/>
              <w:rPr/>
            </w:pPr>
            <w:r>
              <w:rPr/>
              <w:t> </w:t>
            </w:r>
          </w:p>
        </w:tc>
        <w:tc>
          <w:tcPr>
            <w:tcW w:w="587"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3" w:type="dxa"/>
            <w:tcBorders>
              <w:bottom w:val="single" w:sz="8" w:space="0" w:color="000000"/>
            </w:tcBorders>
            <w:vAlign w:val="center"/>
          </w:tcPr>
          <w:p>
            <w:pPr>
              <w:pStyle w:val="TableContents"/>
              <w:bidi w:val="0"/>
              <w:spacing w:before="0" w:after="283"/>
              <w:jc w:val="left"/>
              <w:rPr/>
            </w:pPr>
            <w:r>
              <w:rPr/>
              <w:t> </w:t>
            </w:r>
          </w:p>
        </w:tc>
        <w:tc>
          <w:tcPr>
            <w:tcW w:w="767" w:type="dxa"/>
            <w:tcBorders>
              <w:bottom w:val="single" w:sz="8" w:space="0" w:color="000000"/>
            </w:tcBorders>
            <w:vAlign w:val="center"/>
          </w:tcPr>
          <w:p>
            <w:pPr>
              <w:pStyle w:val="TableContents"/>
              <w:bidi w:val="0"/>
              <w:spacing w:before="0" w:after="283"/>
              <w:jc w:val="right"/>
              <w:rPr/>
            </w:pPr>
            <w:r>
              <w:rPr/>
              <w:t>(203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50" w:type="dxa"/>
            <w:tcBorders>
              <w:bottom w:val="single" w:sz="8" w:space="0" w:color="000000"/>
            </w:tcBorders>
            <w:vAlign w:val="center"/>
          </w:tcPr>
          <w:p>
            <w:pPr>
              <w:pStyle w:val="TableContents"/>
              <w:bidi w:val="0"/>
              <w:spacing w:before="0" w:after="283"/>
              <w:jc w:val="left"/>
              <w:rPr/>
            </w:pPr>
            <w:r>
              <w:rPr/>
              <w:t> </w:t>
            </w:r>
          </w:p>
        </w:tc>
        <w:tc>
          <w:tcPr>
            <w:tcW w:w="715" w:type="dxa"/>
            <w:tcBorders>
              <w:bottom w:val="single" w:sz="8"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(34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43" w:type="dxa"/>
            <w:tcBorders>
              <w:bottom w:val="single" w:sz="8" w:space="0" w:color="000000"/>
            </w:tcBorders>
            <w:vAlign w:val="center"/>
          </w:tcPr>
          <w:p>
            <w:pPr>
              <w:pStyle w:val="TableContents"/>
              <w:bidi w:val="0"/>
              <w:spacing w:before="0" w:after="283"/>
              <w:jc w:val="left"/>
              <w:rPr/>
            </w:pPr>
            <w:r>
              <w:rPr/>
              <w:t> </w:t>
            </w:r>
          </w:p>
        </w:tc>
        <w:tc>
          <w:tcPr>
            <w:tcW w:w="1127" w:type="dxa"/>
            <w:tcBorders>
              <w:bottom w:val="single" w:sz="8"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283"/>
              <w:jc w:val="right"/>
              <w:rPr/>
            </w:pPr>
            <w:r>
              <w:rPr/>
              <w:t>232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4" w:type="dxa"/>
            <w:tcBorders>
              <w:bottom w:val="single" w:sz="8" w:space="0" w:color="000000"/>
            </w:tcBorders>
            <w:vAlign w:val="center"/>
          </w:tcPr>
          <w:p>
            <w:pPr>
              <w:pStyle w:val="TableContents"/>
              <w:bidi w:val="0"/>
              <w:spacing w:before="0" w:after="283"/>
              <w:jc w:val="left"/>
              <w:rPr/>
            </w:pPr>
            <w:r>
              <w:rPr/>
              <w:t> </w:t>
            </w:r>
          </w:p>
        </w:tc>
        <w:tc>
          <w:tcPr>
            <w:tcW w:w="911"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vAlign w:val="center"/>
          </w:tcPr>
          <w:p>
            <w:pPr>
              <w:pStyle w:val="TableContents"/>
              <w:bidi w:val="0"/>
              <w:spacing w:before="0" w:after="283"/>
              <w:jc w:val="left"/>
              <w:rPr/>
            </w:pPr>
            <w:r>
              <w:rPr/>
              <w:t> </w:t>
            </w:r>
          </w:p>
        </w:tc>
        <w:tc>
          <w:tcPr>
            <w:tcW w:w="1026" w:type="dxa"/>
            <w:tcBorders>
              <w:bottom w:val="single" w:sz="8" w:space="0" w:color="000000"/>
            </w:tcBorders>
            <w:vAlign w:val="center"/>
          </w:tcPr>
          <w:p>
            <w:pPr>
              <w:pStyle w:val="TableContents"/>
              <w:bidi w:val="0"/>
              <w:spacing w:before="0" w:after="283"/>
              <w:jc w:val="right"/>
              <w:rPr/>
            </w:pPr>
            <w:r>
              <w:rPr/>
              <w:t>(5</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Balance,</w:t>
              <w:br/>
              <w:t>June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vAlign w:val="center"/>
          </w:tcPr>
          <w:p>
            <w:pPr>
              <w:pStyle w:val="TableContents"/>
              <w:bidi w:val="0"/>
              <w:spacing w:before="0" w:after="283"/>
              <w:jc w:val="left"/>
              <w:rPr/>
            </w:pPr>
            <w:r>
              <w:rPr/>
              <w:t>$</w:t>
            </w:r>
          </w:p>
        </w:tc>
        <w:tc>
          <w:tcPr>
            <w:tcW w:w="587" w:type="dxa"/>
            <w:tcBorders>
              <w:bottom w:val="double" w:sz="6" w:space="0" w:color="000000"/>
            </w:tcBorders>
            <w:shd w:fill="CCEEFF" w:val="cle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double" w:sz="6" w:space="0" w:color="000000"/>
            </w:tcBorders>
            <w:shd w:fill="CCEEFF" w:val="clear"/>
            <w:vAlign w:val="center"/>
          </w:tcPr>
          <w:p>
            <w:pPr>
              <w:pStyle w:val="TableContents"/>
              <w:bidi w:val="0"/>
              <w:spacing w:before="0" w:after="283"/>
              <w:jc w:val="left"/>
              <w:rPr/>
            </w:pPr>
            <w:r>
              <w:rPr/>
              <w:t>$</w:t>
            </w:r>
          </w:p>
        </w:tc>
        <w:tc>
          <w:tcPr>
            <w:tcW w:w="767" w:type="dxa"/>
            <w:tcBorders>
              <w:bottom w:val="double" w:sz="6" w:space="0" w:color="000000"/>
            </w:tcBorders>
            <w:shd w:fill="CCEEFF" w:val="clear"/>
            <w:vAlign w:val="center"/>
          </w:tcPr>
          <w:p>
            <w:pPr>
              <w:pStyle w:val="TableContents"/>
              <w:bidi w:val="0"/>
              <w:spacing w:before="0" w:after="283"/>
              <w:jc w:val="right"/>
              <w:rPr/>
            </w:pPr>
            <w:r>
              <w:rPr/>
              <w:t>95,824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bottom w:val="double" w:sz="6" w:space="0" w:color="000000"/>
            </w:tcBorders>
            <w:shd w:fill="CCEEFF" w:val="clear"/>
            <w:vAlign w:val="center"/>
          </w:tcPr>
          <w:p>
            <w:pPr>
              <w:pStyle w:val="TableContents"/>
              <w:bidi w:val="0"/>
              <w:spacing w:before="0" w:after="283"/>
              <w:jc w:val="left"/>
              <w:rPr/>
            </w:pPr>
            <w:r>
              <w:rPr/>
              <w:t>$</w:t>
            </w:r>
          </w:p>
        </w:tc>
        <w:tc>
          <w:tcPr>
            <w:tcW w:w="715" w:type="dxa"/>
            <w:tcBorders>
              <w:bottom w:val="double" w:sz="6" w:space="0" w:color="000000"/>
            </w:tcBorders>
            <w:shd w:fill="CCEEFF" w:val="clear"/>
            <w:vAlign w:val="center"/>
          </w:tcPr>
          <w:p>
            <w:pPr>
              <w:pStyle w:val="TableContents"/>
              <w:bidi w:val="0"/>
              <w:spacing w:before="0" w:after="283"/>
              <w:jc w:val="right"/>
              <w:rPr/>
            </w:pPr>
            <w:r>
              <w:rPr/>
              <w:t>(455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830" w:type="dxa"/>
            <w:tcBorders>
              <w:bottom w:val="double" w:sz="6" w:space="0" w:color="000000"/>
            </w:tcBorders>
            <w:shd w:fill="CCEEFF" w:val="clear"/>
            <w:vAlign w:val="center"/>
          </w:tcPr>
          <w:p>
            <w:pPr>
              <w:pStyle w:val="TableContents"/>
              <w:bidi w:val="0"/>
              <w:spacing w:before="0" w:after="283"/>
              <w:jc w:val="right"/>
              <w:rPr/>
            </w:pPr>
            <w:r>
              <w:rPr/>
              <w:t>195,912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vAlign w:val="center"/>
          </w:tcPr>
          <w:p>
            <w:pPr>
              <w:pStyle w:val="TableContents"/>
              <w:bidi w:val="0"/>
              <w:spacing w:before="0" w:after="283"/>
              <w:jc w:val="left"/>
              <w:rPr/>
            </w:pPr>
            <w:r>
              <w:rPr/>
              <w:t>$</w:t>
            </w:r>
          </w:p>
        </w:tc>
        <w:tc>
          <w:tcPr>
            <w:tcW w:w="1127" w:type="dxa"/>
            <w:tcBorders>
              <w:bottom w:val="double" w:sz="6" w:space="0" w:color="000000"/>
            </w:tcBorders>
            <w:shd w:fill="CCEEFF" w:val="clear"/>
            <w:vAlign w:val="center"/>
          </w:tcPr>
          <w:p>
            <w:pPr>
              <w:pStyle w:val="TableContents"/>
              <w:bidi w:val="0"/>
              <w:spacing w:before="0" w:after="283"/>
              <w:jc w:val="right"/>
              <w:rPr/>
            </w:pPr>
            <w:r>
              <w:rPr/>
              <w:t>(14,536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785" w:type="dxa"/>
            <w:tcBorders>
              <w:bottom w:val="double" w:sz="6" w:space="0" w:color="000000"/>
            </w:tcBorders>
            <w:shd w:fill="CCEEFF" w:val="clear"/>
            <w:vAlign w:val="center"/>
          </w:tcPr>
          <w:p>
            <w:pPr>
              <w:pStyle w:val="TableContents"/>
              <w:bidi w:val="0"/>
              <w:spacing w:before="0" w:after="283"/>
              <w:jc w:val="right"/>
              <w:rPr/>
            </w:pPr>
            <w:r>
              <w:rPr/>
              <w:t>(33,652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4" w:type="dxa"/>
            <w:tcBorders>
              <w:bottom w:val="double" w:sz="6" w:space="0" w:color="000000"/>
            </w:tcBorders>
            <w:shd w:fill="CCEEFF" w:val="clear"/>
            <w:vAlign w:val="center"/>
          </w:tcPr>
          <w:p>
            <w:pPr>
              <w:pStyle w:val="TableContents"/>
              <w:bidi w:val="0"/>
              <w:spacing w:before="0" w:after="283"/>
              <w:jc w:val="left"/>
              <w:rPr/>
            </w:pPr>
            <w:r>
              <w:rPr/>
              <w:t>$</w:t>
            </w:r>
          </w:p>
        </w:tc>
        <w:tc>
          <w:tcPr>
            <w:tcW w:w="911" w:type="dxa"/>
            <w:tcBorders>
              <w:bottom w:val="double" w:sz="6"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double" w:sz="6" w:space="0" w:color="000000"/>
            </w:tcBorders>
            <w:shd w:fill="CCEEFF" w:val="clear"/>
            <w:vAlign w:val="center"/>
          </w:tcPr>
          <w:p>
            <w:pPr>
              <w:pStyle w:val="TableContents"/>
              <w:bidi w:val="0"/>
              <w:spacing w:before="0" w:after="283"/>
              <w:jc w:val="left"/>
              <w:rPr/>
            </w:pPr>
            <w:r>
              <w:rPr/>
              <w:t>$</w:t>
            </w:r>
          </w:p>
        </w:tc>
        <w:tc>
          <w:tcPr>
            <w:tcW w:w="1026" w:type="dxa"/>
            <w:tcBorders>
              <w:bottom w:val="double" w:sz="6" w:space="0" w:color="000000"/>
            </w:tcBorders>
            <w:shd w:fill="CCEEFF" w:val="clear"/>
            <w:vAlign w:val="center"/>
          </w:tcPr>
          <w:p>
            <w:pPr>
              <w:pStyle w:val="TableContents"/>
              <w:bidi w:val="0"/>
              <w:spacing w:before="0" w:after="283"/>
              <w:jc w:val="right"/>
              <w:rPr/>
            </w:pPr>
            <w:r>
              <w:rPr/>
              <w:t>243,323</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400" w:type="dxa"/>
        <w:jc w:val="left"/>
        <w:tblInd w:w="0" w:type="dxa"/>
        <w:tblLayout w:type="fixed"/>
        <w:tblCellMar>
          <w:top w:w="0" w:type="dxa"/>
          <w:left w:w="0" w:type="dxa"/>
          <w:bottom w:w="28" w:type="dxa"/>
          <w:right w:w="0" w:type="dxa"/>
        </w:tblCellMar>
      </w:tblPr>
      <w:tblGrid>
        <w:gridCol w:w="1565"/>
        <w:gridCol w:w="90"/>
        <w:gridCol w:w="291"/>
        <w:gridCol w:w="704"/>
        <w:gridCol w:w="90"/>
        <w:gridCol w:w="90"/>
        <w:gridCol w:w="218"/>
        <w:gridCol w:w="912"/>
        <w:gridCol w:w="125"/>
        <w:gridCol w:w="90"/>
        <w:gridCol w:w="304"/>
        <w:gridCol w:w="871"/>
        <w:gridCol w:w="125"/>
        <w:gridCol w:w="90"/>
        <w:gridCol w:w="170"/>
        <w:gridCol w:w="830"/>
        <w:gridCol w:w="125"/>
        <w:gridCol w:w="90"/>
        <w:gridCol w:w="291"/>
        <w:gridCol w:w="1349"/>
        <w:gridCol w:w="125"/>
        <w:gridCol w:w="90"/>
        <w:gridCol w:w="177"/>
        <w:gridCol w:w="818"/>
        <w:gridCol w:w="125"/>
        <w:gridCol w:w="90"/>
        <w:gridCol w:w="639"/>
        <w:gridCol w:w="1091"/>
        <w:gridCol w:w="90"/>
        <w:gridCol w:w="90"/>
        <w:gridCol w:w="250"/>
        <w:gridCol w:w="1225"/>
        <w:gridCol w:w="170"/>
      </w:tblGrid>
      <w:tr>
        <w:trPr/>
        <w:tc>
          <w:tcPr>
            <w:tcW w:w="13400" w:type="dxa"/>
            <w:gridSpan w:val="33"/>
            <w:tcBorders>
              <w:bottom w:val="single" w:sz="8" w:space="0" w:color="000000"/>
            </w:tcBorders>
            <w:vAlign w:val="center"/>
          </w:tcPr>
          <w:p>
            <w:pPr>
              <w:pStyle w:val="TableContents"/>
              <w:bidi w:val="0"/>
              <w:spacing w:before="0" w:after="283"/>
              <w:jc w:val="center"/>
              <w:rPr>
                <w:b/>
              </w:rPr>
            </w:pPr>
            <w:r>
              <w:rPr>
                <w:b/>
              </w:rPr>
              <w:t>Six Months Ended June 30, 2025</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 xml:space="preserve">Additional </w:t>
              <w:br/>
              <w:t xml:space="preserve">Paid-in </w:t>
              <w:br/>
              <w:t>Capital</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 xml:space="preserve">Stock </w:t>
              <w:br/>
              <w:t xml:space="preserve">Ownership </w:t>
              <w:br/>
              <w:t>Plan</w:t>
              <w:br/>
              <w:t>Shares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 xml:space="preserve">Accumulated </w:t>
              <w:br/>
              <w:t xml:space="preserve">Other </w:t>
              <w:br/>
              <w:t xml:space="preserve">Comprehensive </w:t>
              <w:br/>
              <w:t>Loss, Net of</w:t>
              <w:br/>
              <w:t>Income Taxes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8" w:space="0" w:color="000000"/>
            </w:tcBorders>
            <w:vAlign w:val="center"/>
          </w:tcPr>
          <w:p>
            <w:pPr>
              <w:pStyle w:val="TableContents"/>
              <w:bidi w:val="0"/>
              <w:spacing w:before="0" w:after="283"/>
              <w:jc w:val="center"/>
              <w:rPr>
                <w:b/>
              </w:rPr>
            </w:pPr>
            <w:r>
              <w:rPr>
                <w:b/>
              </w:rPr>
              <w:t xml:space="preserve">Total </w:t>
              <w:br/>
              <w:t xml:space="preserve">Shareholders’ </w:t>
              <w:br/>
              <w:t>Equity</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 xml:space="preserve">Balance, </w:t>
              <w:br/>
              <w:t>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912" w:type="dxa"/>
            <w:tcBorders/>
            <w:shd w:fill="CCEEFF" w:val="clear"/>
            <w:tcMar>
              <w:bottom w:w="0" w:type="dxa"/>
            </w:tcMar>
            <w:vAlign w:val="center"/>
          </w:tcPr>
          <w:p>
            <w:pPr>
              <w:pStyle w:val="TableContents"/>
              <w:bidi w:val="0"/>
              <w:spacing w:before="0" w:after="283"/>
              <w:jc w:val="right"/>
              <w:rPr/>
            </w:pPr>
            <w:r>
              <w:rPr/>
              <w:t>95,796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right"/>
              <w:rPr/>
            </w:pPr>
            <w:r>
              <w:rPr/>
              <w:t>(455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201,584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1349" w:type="dxa"/>
            <w:tcBorders/>
            <w:shd w:fill="CCEEFF" w:val="clear"/>
            <w:tcMar>
              <w:bottom w:w="0" w:type="dxa"/>
            </w:tcMar>
            <w:vAlign w:val="center"/>
          </w:tcPr>
          <w:p>
            <w:pPr>
              <w:pStyle w:val="TableContents"/>
              <w:bidi w:val="0"/>
              <w:spacing w:before="0" w:after="283"/>
              <w:jc w:val="right"/>
              <w:rPr/>
            </w:pPr>
            <w:r>
              <w:rPr/>
              <w:t>(18,231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818" w:type="dxa"/>
            <w:tcBorders/>
            <w:shd w:fill="CCEEFF" w:val="clear"/>
            <w:tcMar>
              <w:bottom w:w="0" w:type="dxa"/>
            </w:tcMar>
            <w:vAlign w:val="center"/>
          </w:tcPr>
          <w:p>
            <w:pPr>
              <w:pStyle w:val="TableContents"/>
              <w:bidi w:val="0"/>
              <w:spacing w:before="0" w:after="283"/>
              <w:jc w:val="right"/>
              <w:rPr/>
            </w:pPr>
            <w:r>
              <w:rPr/>
              <w:t>(34,293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1225" w:type="dxa"/>
            <w:tcBorders/>
            <w:shd w:fill="CCEEFF" w:val="clear"/>
            <w:tcMar>
              <w:bottom w:w="0" w:type="dxa"/>
            </w:tcMar>
            <w:vAlign w:val="center"/>
          </w:tcPr>
          <w:p>
            <w:pPr>
              <w:pStyle w:val="TableContents"/>
              <w:bidi w:val="0"/>
              <w:spacing w:before="0" w:after="283"/>
              <w:jc w:val="right"/>
              <w:rPr/>
            </w:pPr>
            <w:r>
              <w:rPr/>
              <w:t>244,631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Battle Creek demutualization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(5,591</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(5,591</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Impact of Westminster unrealized investment gains/losses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Other comprehensive income (loss), net of income taxes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3,695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3,695</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Share-based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724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724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Issuance of vested award shares</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vAlign w:val="center"/>
          </w:tcPr>
          <w:p>
            <w:pPr>
              <w:pStyle w:val="TableContents"/>
              <w:bidi w:val="0"/>
              <w:spacing w:before="0" w:after="283"/>
              <w:jc w:val="left"/>
              <w:rPr/>
            </w:pPr>
            <w:r>
              <w:rPr/>
              <w:t> </w:t>
            </w:r>
          </w:p>
        </w:tc>
        <w:tc>
          <w:tcPr>
            <w:tcW w:w="704"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bottom w:val="single" w:sz="8" w:space="0" w:color="000000"/>
            </w:tcBorders>
            <w:vAlign w:val="center"/>
          </w:tcPr>
          <w:p>
            <w:pPr>
              <w:pStyle w:val="TableContents"/>
              <w:bidi w:val="0"/>
              <w:spacing w:before="0" w:after="283"/>
              <w:jc w:val="left"/>
              <w:rPr/>
            </w:pPr>
            <w:r>
              <w:rPr/>
              <w:t> </w:t>
            </w:r>
          </w:p>
        </w:tc>
        <w:tc>
          <w:tcPr>
            <w:tcW w:w="912" w:type="dxa"/>
            <w:tcBorders>
              <w:bottom w:val="single" w:sz="8" w:space="0" w:color="000000"/>
            </w:tcBorders>
            <w:vAlign w:val="center"/>
          </w:tcPr>
          <w:p>
            <w:pPr>
              <w:pStyle w:val="TableContents"/>
              <w:bidi w:val="0"/>
              <w:spacing w:before="0" w:after="283"/>
              <w:jc w:val="right"/>
              <w:rPr/>
            </w:pPr>
            <w:r>
              <w:rPr/>
              <w:t>(696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04" w:type="dxa"/>
            <w:tcBorders>
              <w:bottom w:val="single" w:sz="8" w:space="0" w:color="000000"/>
            </w:tcBorders>
            <w:vAlign w:val="center"/>
          </w:tcPr>
          <w:p>
            <w:pPr>
              <w:pStyle w:val="TableContents"/>
              <w:bidi w:val="0"/>
              <w:spacing w:before="0" w:after="283"/>
              <w:jc w:val="left"/>
              <w:rPr/>
            </w:pPr>
            <w:r>
              <w:rPr/>
              <w:t> </w:t>
            </w:r>
          </w:p>
        </w:tc>
        <w:tc>
          <w:tcPr>
            <w:tcW w:w="871" w:type="dxa"/>
            <w:tcBorders>
              <w:bottom w:val="single" w:sz="8"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(81</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vAlign w:val="center"/>
          </w:tcPr>
          <w:p>
            <w:pPr>
              <w:pStyle w:val="TableContents"/>
              <w:bidi w:val="0"/>
              <w:spacing w:before="0" w:after="283"/>
              <w:jc w:val="left"/>
              <w:rPr/>
            </w:pPr>
            <w:r>
              <w:rPr/>
              <w:t> </w:t>
            </w:r>
          </w:p>
        </w:tc>
        <w:tc>
          <w:tcPr>
            <w:tcW w:w="1349" w:type="dxa"/>
            <w:tcBorders>
              <w:bottom w:val="single" w:sz="8"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single" w:sz="8" w:space="0" w:color="000000"/>
            </w:tcBorders>
            <w:vAlign w:val="center"/>
          </w:tcPr>
          <w:p>
            <w:pPr>
              <w:pStyle w:val="TableContents"/>
              <w:bidi w:val="0"/>
              <w:spacing w:before="0" w:after="283"/>
              <w:jc w:val="left"/>
              <w:rPr/>
            </w:pPr>
            <w:r>
              <w:rPr/>
              <w:t> </w:t>
            </w:r>
          </w:p>
        </w:tc>
        <w:tc>
          <w:tcPr>
            <w:tcW w:w="818" w:type="dxa"/>
            <w:tcBorders>
              <w:bottom w:val="single" w:sz="8" w:space="0" w:color="000000"/>
            </w:tcBorders>
            <w:vAlign w:val="center"/>
          </w:tcPr>
          <w:p>
            <w:pPr>
              <w:pStyle w:val="TableContents"/>
              <w:bidi w:val="0"/>
              <w:spacing w:before="0" w:after="283"/>
              <w:jc w:val="right"/>
              <w:rPr/>
            </w:pPr>
            <w:r>
              <w:rPr/>
              <w:t>641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bottom w:val="single" w:sz="8" w:space="0" w:color="000000"/>
            </w:tcBorders>
            <w:vAlign w:val="center"/>
          </w:tcPr>
          <w:p>
            <w:pPr>
              <w:pStyle w:val="TableContents"/>
              <w:bidi w:val="0"/>
              <w:spacing w:before="0" w:after="283"/>
              <w:jc w:val="left"/>
              <w:rPr/>
            </w:pPr>
            <w:r>
              <w:rPr/>
              <w:t> </w:t>
            </w:r>
          </w:p>
        </w:tc>
        <w:tc>
          <w:tcPr>
            <w:tcW w:w="1091"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bottom w:val="single" w:sz="8" w:space="0" w:color="000000"/>
            </w:tcBorders>
            <w:vAlign w:val="center"/>
          </w:tcPr>
          <w:p>
            <w:pPr>
              <w:pStyle w:val="TableContents"/>
              <w:bidi w:val="0"/>
              <w:spacing w:before="0" w:after="283"/>
              <w:jc w:val="left"/>
              <w:rPr/>
            </w:pPr>
            <w:r>
              <w:rPr/>
              <w:t> </w:t>
            </w:r>
          </w:p>
        </w:tc>
        <w:tc>
          <w:tcPr>
            <w:tcW w:w="1225" w:type="dxa"/>
            <w:tcBorders>
              <w:bottom w:val="single" w:sz="8" w:space="0" w:color="000000"/>
            </w:tcBorders>
            <w:vAlign w:val="center"/>
          </w:tcPr>
          <w:p>
            <w:pPr>
              <w:pStyle w:val="TableContents"/>
              <w:bidi w:val="0"/>
              <w:spacing w:before="0" w:after="283"/>
              <w:jc w:val="right"/>
              <w:rPr/>
            </w:pPr>
            <w:r>
              <w:rPr/>
              <w:t>(136</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 xml:space="preserve">Balance, </w:t>
              <w:br/>
              <w:t>June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shd w:fill="CCEEFF" w:val="clear"/>
            <w:vAlign w:val="center"/>
          </w:tcPr>
          <w:p>
            <w:pPr>
              <w:pStyle w:val="TableContents"/>
              <w:bidi w:val="0"/>
              <w:spacing w:before="0" w:after="283"/>
              <w:jc w:val="left"/>
              <w:rPr/>
            </w:pPr>
            <w:r>
              <w:rPr/>
              <w:t>$</w:t>
            </w:r>
          </w:p>
        </w:tc>
        <w:tc>
          <w:tcPr>
            <w:tcW w:w="704" w:type="dxa"/>
            <w:tcBorders>
              <w:bottom w:val="double" w:sz="6" w:space="0" w:color="000000"/>
            </w:tcBorders>
            <w:shd w:fill="CCEEFF" w:val="cle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bottom w:val="double" w:sz="6" w:space="0" w:color="000000"/>
            </w:tcBorders>
            <w:shd w:fill="CCEEFF" w:val="clear"/>
            <w:vAlign w:val="center"/>
          </w:tcPr>
          <w:p>
            <w:pPr>
              <w:pStyle w:val="TableContents"/>
              <w:bidi w:val="0"/>
              <w:spacing w:before="0" w:after="283"/>
              <w:jc w:val="left"/>
              <w:rPr/>
            </w:pPr>
            <w:r>
              <w:rPr/>
              <w:t>$</w:t>
            </w:r>
          </w:p>
        </w:tc>
        <w:tc>
          <w:tcPr>
            <w:tcW w:w="912" w:type="dxa"/>
            <w:tcBorders>
              <w:bottom w:val="double" w:sz="6" w:space="0" w:color="000000"/>
            </w:tcBorders>
            <w:shd w:fill="CCEEFF" w:val="clear"/>
            <w:vAlign w:val="center"/>
          </w:tcPr>
          <w:p>
            <w:pPr>
              <w:pStyle w:val="TableContents"/>
              <w:bidi w:val="0"/>
              <w:spacing w:before="0" w:after="283"/>
              <w:jc w:val="right"/>
              <w:rPr/>
            </w:pPr>
            <w:r>
              <w:rPr/>
              <w:t>95,824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shd w:fill="CCEEFF" w:val="clear"/>
            <w:vAlign w:val="center"/>
          </w:tcPr>
          <w:p>
            <w:pPr>
              <w:pStyle w:val="TableContents"/>
              <w:bidi w:val="0"/>
              <w:spacing w:before="0" w:after="283"/>
              <w:jc w:val="left"/>
              <w:rPr/>
            </w:pPr>
            <w:r>
              <w:rPr/>
              <w:t>$</w:t>
            </w:r>
          </w:p>
        </w:tc>
        <w:tc>
          <w:tcPr>
            <w:tcW w:w="871" w:type="dxa"/>
            <w:tcBorders>
              <w:bottom w:val="double" w:sz="6" w:space="0" w:color="000000"/>
            </w:tcBorders>
            <w:shd w:fill="CCEEFF" w:val="clear"/>
            <w:vAlign w:val="center"/>
          </w:tcPr>
          <w:p>
            <w:pPr>
              <w:pStyle w:val="TableContents"/>
              <w:bidi w:val="0"/>
              <w:spacing w:before="0" w:after="283"/>
              <w:jc w:val="right"/>
              <w:rPr/>
            </w:pPr>
            <w:r>
              <w:rPr/>
              <w:t>(455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830" w:type="dxa"/>
            <w:tcBorders>
              <w:bottom w:val="double" w:sz="6" w:space="0" w:color="000000"/>
            </w:tcBorders>
            <w:shd w:fill="CCEEFF" w:val="clear"/>
            <w:vAlign w:val="center"/>
          </w:tcPr>
          <w:p>
            <w:pPr>
              <w:pStyle w:val="TableContents"/>
              <w:bidi w:val="0"/>
              <w:spacing w:before="0" w:after="283"/>
              <w:jc w:val="right"/>
              <w:rPr/>
            </w:pPr>
            <w:r>
              <w:rPr/>
              <w:t>195,912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shd w:fill="CCEEFF" w:val="clear"/>
            <w:vAlign w:val="center"/>
          </w:tcPr>
          <w:p>
            <w:pPr>
              <w:pStyle w:val="TableContents"/>
              <w:bidi w:val="0"/>
              <w:spacing w:before="0" w:after="283"/>
              <w:jc w:val="left"/>
              <w:rPr/>
            </w:pPr>
            <w:r>
              <w:rPr/>
              <w:t>$</w:t>
            </w:r>
          </w:p>
        </w:tc>
        <w:tc>
          <w:tcPr>
            <w:tcW w:w="1349" w:type="dxa"/>
            <w:tcBorders>
              <w:bottom w:val="double" w:sz="6" w:space="0" w:color="000000"/>
            </w:tcBorders>
            <w:shd w:fill="CCEEFF" w:val="clear"/>
            <w:vAlign w:val="center"/>
          </w:tcPr>
          <w:p>
            <w:pPr>
              <w:pStyle w:val="TableContents"/>
              <w:bidi w:val="0"/>
              <w:spacing w:before="0" w:after="283"/>
              <w:jc w:val="right"/>
              <w:rPr/>
            </w:pPr>
            <w:r>
              <w:rPr/>
              <w:t>(14,536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double" w:sz="6" w:space="0" w:color="000000"/>
            </w:tcBorders>
            <w:shd w:fill="CCEEFF" w:val="clear"/>
            <w:vAlign w:val="center"/>
          </w:tcPr>
          <w:p>
            <w:pPr>
              <w:pStyle w:val="TableContents"/>
              <w:bidi w:val="0"/>
              <w:spacing w:before="0" w:after="283"/>
              <w:jc w:val="left"/>
              <w:rPr/>
            </w:pPr>
            <w:r>
              <w:rPr/>
              <w:t>$</w:t>
            </w:r>
          </w:p>
        </w:tc>
        <w:tc>
          <w:tcPr>
            <w:tcW w:w="818" w:type="dxa"/>
            <w:tcBorders>
              <w:bottom w:val="double" w:sz="6" w:space="0" w:color="000000"/>
            </w:tcBorders>
            <w:shd w:fill="CCEEFF" w:val="clear"/>
            <w:vAlign w:val="center"/>
          </w:tcPr>
          <w:p>
            <w:pPr>
              <w:pStyle w:val="TableContents"/>
              <w:bidi w:val="0"/>
              <w:spacing w:before="0" w:after="283"/>
              <w:jc w:val="right"/>
              <w:rPr/>
            </w:pPr>
            <w:r>
              <w:rPr/>
              <w:t>(33,652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bottom w:val="double" w:sz="6" w:space="0" w:color="000000"/>
            </w:tcBorders>
            <w:shd w:fill="CCEEFF" w:val="clear"/>
            <w:vAlign w:val="center"/>
          </w:tcPr>
          <w:p>
            <w:pPr>
              <w:pStyle w:val="TableContents"/>
              <w:bidi w:val="0"/>
              <w:spacing w:before="0" w:after="283"/>
              <w:jc w:val="left"/>
              <w:rPr/>
            </w:pPr>
            <w:r>
              <w:rPr/>
              <w:t>$</w:t>
            </w:r>
          </w:p>
        </w:tc>
        <w:tc>
          <w:tcPr>
            <w:tcW w:w="1091" w:type="dxa"/>
            <w:tcBorders>
              <w:bottom w:val="double" w:sz="6"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bottom w:val="double" w:sz="6" w:space="0" w:color="000000"/>
            </w:tcBorders>
            <w:shd w:fill="CCEEFF" w:val="clear"/>
            <w:vAlign w:val="center"/>
          </w:tcPr>
          <w:p>
            <w:pPr>
              <w:pStyle w:val="TableContents"/>
              <w:bidi w:val="0"/>
              <w:spacing w:before="0" w:after="283"/>
              <w:jc w:val="left"/>
              <w:rPr/>
            </w:pPr>
            <w:r>
              <w:rPr/>
              <w:t>$</w:t>
            </w:r>
          </w:p>
        </w:tc>
        <w:tc>
          <w:tcPr>
            <w:tcW w:w="1225" w:type="dxa"/>
            <w:tcBorders>
              <w:bottom w:val="double" w:sz="6" w:space="0" w:color="000000"/>
            </w:tcBorders>
            <w:shd w:fill="CCEEFF" w:val="clear"/>
            <w:vAlign w:val="center"/>
          </w:tcPr>
          <w:p>
            <w:pPr>
              <w:pStyle w:val="TableContents"/>
              <w:bidi w:val="0"/>
              <w:spacing w:before="0" w:after="283"/>
              <w:jc w:val="right"/>
              <w:rPr/>
            </w:pPr>
            <w:r>
              <w:rPr/>
              <w:t>243,323</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3400" w:type="dxa"/>
        <w:jc w:val="left"/>
        <w:tblInd w:w="0" w:type="dxa"/>
        <w:tblLayout w:type="fixed"/>
        <w:tblCellMar>
          <w:top w:w="0" w:type="dxa"/>
          <w:left w:w="0" w:type="dxa"/>
          <w:bottom w:w="28" w:type="dxa"/>
          <w:right w:w="0" w:type="dxa"/>
        </w:tblCellMar>
      </w:tblPr>
      <w:tblGrid>
        <w:gridCol w:w="1565"/>
        <w:gridCol w:w="90"/>
        <w:gridCol w:w="291"/>
        <w:gridCol w:w="704"/>
        <w:gridCol w:w="90"/>
        <w:gridCol w:w="90"/>
        <w:gridCol w:w="218"/>
        <w:gridCol w:w="912"/>
        <w:gridCol w:w="125"/>
        <w:gridCol w:w="90"/>
        <w:gridCol w:w="304"/>
        <w:gridCol w:w="871"/>
        <w:gridCol w:w="125"/>
        <w:gridCol w:w="90"/>
        <w:gridCol w:w="170"/>
        <w:gridCol w:w="830"/>
        <w:gridCol w:w="125"/>
        <w:gridCol w:w="90"/>
        <w:gridCol w:w="291"/>
        <w:gridCol w:w="1349"/>
        <w:gridCol w:w="125"/>
        <w:gridCol w:w="90"/>
        <w:gridCol w:w="177"/>
        <w:gridCol w:w="818"/>
        <w:gridCol w:w="125"/>
        <w:gridCol w:w="90"/>
        <w:gridCol w:w="639"/>
        <w:gridCol w:w="1091"/>
        <w:gridCol w:w="90"/>
        <w:gridCol w:w="90"/>
        <w:gridCol w:w="250"/>
        <w:gridCol w:w="1225"/>
        <w:gridCol w:w="170"/>
      </w:tblGrid>
      <w:tr>
        <w:trPr/>
        <w:tc>
          <w:tcPr>
            <w:tcW w:w="13400" w:type="dxa"/>
            <w:gridSpan w:val="33"/>
            <w:tcBorders>
              <w:bottom w:val="single" w:sz="8" w:space="0" w:color="000000"/>
            </w:tcBorders>
            <w:vAlign w:val="center"/>
          </w:tcPr>
          <w:p>
            <w:pPr>
              <w:pStyle w:val="TableContents"/>
              <w:bidi w:val="0"/>
              <w:spacing w:before="0" w:after="283"/>
              <w:jc w:val="center"/>
              <w:rPr>
                <w:b/>
              </w:rPr>
            </w:pPr>
            <w:r>
              <w:rPr>
                <w:b/>
              </w:rPr>
              <w:t>Three Months Ended June 30, 2024</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 xml:space="preserve">Additional </w:t>
              <w:br/>
              <w:t xml:space="preserve">Paid-in </w:t>
              <w:br/>
              <w:t>Capital</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 xml:space="preserve">Stock </w:t>
              <w:br/>
              <w:t xml:space="preserve">Ownership </w:t>
              <w:br/>
              <w:t>Plan Shares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Retained</w:t>
              <w:br/>
              <w:t>Earnings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Accumulated</w:t>
              <w:br/>
              <w:t>Other</w:t>
              <w:br/>
              <w:t>Comprehensive</w:t>
              <w:br/>
              <w:t xml:space="preserve">Loss, Net of </w:t>
              <w:br/>
              <w:t>Income Taxes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8" w:space="0" w:color="000000"/>
            </w:tcBorders>
            <w:vAlign w:val="center"/>
          </w:tcPr>
          <w:p>
            <w:pPr>
              <w:pStyle w:val="TableContents"/>
              <w:bidi w:val="0"/>
              <w:spacing w:before="0" w:after="283"/>
              <w:jc w:val="center"/>
              <w:rPr>
                <w:b/>
              </w:rPr>
            </w:pPr>
            <w:r>
              <w:rPr>
                <w:b/>
              </w:rPr>
              <w:t>Total</w:t>
              <w:br/>
              <w:t xml:space="preserve">Shareholders’ </w:t>
              <w:br/>
              <w:t>Equity</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 xml:space="preserve">Balance, </w:t>
              <w:br/>
              <w:t>April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912" w:type="dxa"/>
            <w:tcBorders/>
            <w:shd w:fill="CCEEFF" w:val="clear"/>
            <w:tcMar>
              <w:bottom w:w="0" w:type="dxa"/>
            </w:tcMar>
            <w:vAlign w:val="center"/>
          </w:tcPr>
          <w:p>
            <w:pPr>
              <w:pStyle w:val="TableContents"/>
              <w:bidi w:val="0"/>
              <w:spacing w:before="0" w:after="283"/>
              <w:jc w:val="right"/>
              <w:rPr/>
            </w:pPr>
            <w:r>
              <w:rPr/>
              <w:t>96,320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right"/>
              <w:rPr/>
            </w:pPr>
            <w:r>
              <w:rPr/>
              <w:t>(698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218,451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1349" w:type="dxa"/>
            <w:tcBorders/>
            <w:shd w:fill="CCEEFF" w:val="clear"/>
            <w:tcMar>
              <w:bottom w:w="0" w:type="dxa"/>
            </w:tcMar>
            <w:vAlign w:val="center"/>
          </w:tcPr>
          <w:p>
            <w:pPr>
              <w:pStyle w:val="TableContents"/>
              <w:bidi w:val="0"/>
              <w:spacing w:before="0" w:after="283"/>
              <w:jc w:val="right"/>
              <w:rPr/>
            </w:pPr>
            <w:r>
              <w:rPr/>
              <w:t>(23,858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818" w:type="dxa"/>
            <w:tcBorders/>
            <w:shd w:fill="CCEEFF" w:val="clear"/>
            <w:tcMar>
              <w:bottom w:w="0" w:type="dxa"/>
            </w:tcMar>
            <w:vAlign w:val="center"/>
          </w:tcPr>
          <w:p>
            <w:pPr>
              <w:pStyle w:val="TableContents"/>
              <w:bidi w:val="0"/>
              <w:spacing w:before="0" w:after="283"/>
              <w:jc w:val="right"/>
              <w:rPr/>
            </w:pPr>
            <w:r>
              <w:rPr/>
              <w:t>(34,599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1225" w:type="dxa"/>
            <w:tcBorders/>
            <w:shd w:fill="CCEEFF" w:val="clear"/>
            <w:tcMar>
              <w:bottom w:w="0" w:type="dxa"/>
            </w:tcMar>
            <w:vAlign w:val="center"/>
          </w:tcPr>
          <w:p>
            <w:pPr>
              <w:pStyle w:val="TableContents"/>
              <w:bidi w:val="0"/>
              <w:spacing w:before="0" w:after="283"/>
              <w:jc w:val="right"/>
              <w:rPr/>
            </w:pPr>
            <w:r>
              <w:rPr/>
              <w:t>255,846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Battle Creek demutualization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(19,622</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(19,622</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Impact of Westminster unrealized investment gains/losses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(4,380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4,380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Other comprehensive income (loss), net of income taxes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(714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(714</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Share-based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555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555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Issuance of vested award shares</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vAlign w:val="center"/>
          </w:tcPr>
          <w:p>
            <w:pPr>
              <w:pStyle w:val="TableContents"/>
              <w:bidi w:val="0"/>
              <w:spacing w:before="0" w:after="283"/>
              <w:jc w:val="left"/>
              <w:rPr/>
            </w:pPr>
            <w:r>
              <w:rPr/>
              <w:t> </w:t>
            </w:r>
          </w:p>
        </w:tc>
        <w:tc>
          <w:tcPr>
            <w:tcW w:w="704"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bottom w:val="single" w:sz="8" w:space="0" w:color="000000"/>
            </w:tcBorders>
            <w:vAlign w:val="center"/>
          </w:tcPr>
          <w:p>
            <w:pPr>
              <w:pStyle w:val="TableContents"/>
              <w:bidi w:val="0"/>
              <w:spacing w:before="0" w:after="283"/>
              <w:jc w:val="left"/>
              <w:rPr/>
            </w:pPr>
            <w:r>
              <w:rPr/>
              <w:t> </w:t>
            </w:r>
          </w:p>
        </w:tc>
        <w:tc>
          <w:tcPr>
            <w:tcW w:w="912" w:type="dxa"/>
            <w:tcBorders>
              <w:bottom w:val="single" w:sz="8" w:space="0" w:color="000000"/>
            </w:tcBorders>
            <w:vAlign w:val="center"/>
          </w:tcPr>
          <w:p>
            <w:pPr>
              <w:pStyle w:val="TableContents"/>
              <w:bidi w:val="0"/>
              <w:spacing w:before="0" w:after="283"/>
              <w:jc w:val="right"/>
              <w:rPr/>
            </w:pPr>
            <w:r>
              <w:rPr/>
              <w:t>(294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04" w:type="dxa"/>
            <w:tcBorders>
              <w:bottom w:val="single" w:sz="8" w:space="0" w:color="000000"/>
            </w:tcBorders>
            <w:vAlign w:val="center"/>
          </w:tcPr>
          <w:p>
            <w:pPr>
              <w:pStyle w:val="TableContents"/>
              <w:bidi w:val="0"/>
              <w:spacing w:before="0" w:after="283"/>
              <w:jc w:val="left"/>
              <w:rPr/>
            </w:pPr>
            <w:r>
              <w:rPr/>
              <w:t> </w:t>
            </w:r>
          </w:p>
        </w:tc>
        <w:tc>
          <w:tcPr>
            <w:tcW w:w="871" w:type="dxa"/>
            <w:tcBorders>
              <w:bottom w:val="single" w:sz="8"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vAlign w:val="center"/>
          </w:tcPr>
          <w:p>
            <w:pPr>
              <w:pStyle w:val="TableContents"/>
              <w:bidi w:val="0"/>
              <w:spacing w:before="0" w:after="283"/>
              <w:jc w:val="left"/>
              <w:rPr/>
            </w:pPr>
            <w:r>
              <w:rPr/>
              <w:t> </w:t>
            </w:r>
          </w:p>
        </w:tc>
        <w:tc>
          <w:tcPr>
            <w:tcW w:w="1349" w:type="dxa"/>
            <w:tcBorders>
              <w:bottom w:val="single" w:sz="8"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single" w:sz="8" w:space="0" w:color="000000"/>
            </w:tcBorders>
            <w:vAlign w:val="center"/>
          </w:tcPr>
          <w:p>
            <w:pPr>
              <w:pStyle w:val="TableContents"/>
              <w:bidi w:val="0"/>
              <w:spacing w:before="0" w:after="283"/>
              <w:jc w:val="left"/>
              <w:rPr/>
            </w:pPr>
            <w:r>
              <w:rPr/>
              <w:t> </w:t>
            </w:r>
          </w:p>
        </w:tc>
        <w:tc>
          <w:tcPr>
            <w:tcW w:w="818" w:type="dxa"/>
            <w:tcBorders>
              <w:bottom w:val="single" w:sz="8" w:space="0" w:color="000000"/>
            </w:tcBorders>
            <w:vAlign w:val="center"/>
          </w:tcPr>
          <w:p>
            <w:pPr>
              <w:pStyle w:val="TableContents"/>
              <w:bidi w:val="0"/>
              <w:spacing w:before="0" w:after="283"/>
              <w:jc w:val="right"/>
              <w:rPr/>
            </w:pPr>
            <w:r>
              <w:rPr/>
              <w:t>301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bottom w:val="single" w:sz="8" w:space="0" w:color="000000"/>
            </w:tcBorders>
            <w:vAlign w:val="center"/>
          </w:tcPr>
          <w:p>
            <w:pPr>
              <w:pStyle w:val="TableContents"/>
              <w:bidi w:val="0"/>
              <w:spacing w:before="0" w:after="283"/>
              <w:jc w:val="left"/>
              <w:rPr/>
            </w:pPr>
            <w:r>
              <w:rPr/>
              <w:t> </w:t>
            </w:r>
          </w:p>
        </w:tc>
        <w:tc>
          <w:tcPr>
            <w:tcW w:w="1091"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bottom w:val="single" w:sz="8" w:space="0" w:color="000000"/>
            </w:tcBorders>
            <w:vAlign w:val="center"/>
          </w:tcPr>
          <w:p>
            <w:pPr>
              <w:pStyle w:val="TableContents"/>
              <w:bidi w:val="0"/>
              <w:spacing w:before="0" w:after="283"/>
              <w:jc w:val="left"/>
              <w:rPr/>
            </w:pPr>
            <w:r>
              <w:rPr/>
              <w:t> </w:t>
            </w:r>
          </w:p>
        </w:tc>
        <w:tc>
          <w:tcPr>
            <w:tcW w:w="1225" w:type="dxa"/>
            <w:tcBorders>
              <w:bottom w:val="single" w:sz="8" w:space="0" w:color="000000"/>
            </w:tcBorders>
            <w:vAlign w:val="center"/>
          </w:tcPr>
          <w:p>
            <w:pPr>
              <w:pStyle w:val="TableContents"/>
              <w:bidi w:val="0"/>
              <w:spacing w:before="0" w:after="283"/>
              <w:jc w:val="right"/>
              <w:rPr/>
            </w:pPr>
            <w:r>
              <w:rPr/>
              <w:t>(1</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 xml:space="preserve">Balance, </w:t>
              <w:br/>
              <w:t>June 30,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shd w:fill="CCEEFF" w:val="clear"/>
            <w:vAlign w:val="center"/>
          </w:tcPr>
          <w:p>
            <w:pPr>
              <w:pStyle w:val="TableContents"/>
              <w:bidi w:val="0"/>
              <w:spacing w:before="0" w:after="283"/>
              <w:jc w:val="left"/>
              <w:rPr/>
            </w:pPr>
            <w:r>
              <w:rPr/>
              <w:t>$</w:t>
            </w:r>
          </w:p>
        </w:tc>
        <w:tc>
          <w:tcPr>
            <w:tcW w:w="704" w:type="dxa"/>
            <w:tcBorders>
              <w:bottom w:val="double" w:sz="6" w:space="0" w:color="000000"/>
            </w:tcBorders>
            <w:shd w:fill="CCEEFF" w:val="cle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bottom w:val="double" w:sz="6" w:space="0" w:color="000000"/>
            </w:tcBorders>
            <w:shd w:fill="CCEEFF" w:val="clear"/>
            <w:vAlign w:val="center"/>
          </w:tcPr>
          <w:p>
            <w:pPr>
              <w:pStyle w:val="TableContents"/>
              <w:bidi w:val="0"/>
              <w:spacing w:before="0" w:after="283"/>
              <w:jc w:val="left"/>
              <w:rPr/>
            </w:pPr>
            <w:r>
              <w:rPr/>
              <w:t>$</w:t>
            </w:r>
          </w:p>
        </w:tc>
        <w:tc>
          <w:tcPr>
            <w:tcW w:w="912" w:type="dxa"/>
            <w:tcBorders>
              <w:bottom w:val="double" w:sz="6" w:space="0" w:color="000000"/>
            </w:tcBorders>
            <w:shd w:fill="CCEEFF" w:val="clear"/>
            <w:vAlign w:val="center"/>
          </w:tcPr>
          <w:p>
            <w:pPr>
              <w:pStyle w:val="TableContents"/>
              <w:bidi w:val="0"/>
              <w:spacing w:before="0" w:after="283"/>
              <w:jc w:val="right"/>
              <w:rPr/>
            </w:pPr>
            <w:r>
              <w:rPr/>
              <w:t>96,581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shd w:fill="CCEEFF" w:val="clear"/>
            <w:vAlign w:val="center"/>
          </w:tcPr>
          <w:p>
            <w:pPr>
              <w:pStyle w:val="TableContents"/>
              <w:bidi w:val="0"/>
              <w:spacing w:before="0" w:after="283"/>
              <w:jc w:val="left"/>
              <w:rPr/>
            </w:pPr>
            <w:r>
              <w:rPr/>
              <w:t>$</w:t>
            </w:r>
          </w:p>
        </w:tc>
        <w:tc>
          <w:tcPr>
            <w:tcW w:w="871" w:type="dxa"/>
            <w:tcBorders>
              <w:bottom w:val="double" w:sz="6" w:space="0" w:color="000000"/>
            </w:tcBorders>
            <w:shd w:fill="CCEEFF" w:val="clear"/>
            <w:vAlign w:val="center"/>
          </w:tcPr>
          <w:p>
            <w:pPr>
              <w:pStyle w:val="TableContents"/>
              <w:bidi w:val="0"/>
              <w:spacing w:before="0" w:after="283"/>
              <w:jc w:val="right"/>
              <w:rPr/>
            </w:pPr>
            <w:r>
              <w:rPr/>
              <w:t>(698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830" w:type="dxa"/>
            <w:tcBorders>
              <w:bottom w:val="double" w:sz="6" w:space="0" w:color="000000"/>
            </w:tcBorders>
            <w:shd w:fill="CCEEFF" w:val="clear"/>
            <w:vAlign w:val="center"/>
          </w:tcPr>
          <w:p>
            <w:pPr>
              <w:pStyle w:val="TableContents"/>
              <w:bidi w:val="0"/>
              <w:spacing w:before="0" w:after="283"/>
              <w:jc w:val="right"/>
              <w:rPr/>
            </w:pPr>
            <w:r>
              <w:rPr/>
              <w:t>194,441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shd w:fill="CCEEFF" w:val="clear"/>
            <w:vAlign w:val="center"/>
          </w:tcPr>
          <w:p>
            <w:pPr>
              <w:pStyle w:val="TableContents"/>
              <w:bidi w:val="0"/>
              <w:spacing w:before="0" w:after="283"/>
              <w:jc w:val="left"/>
              <w:rPr/>
            </w:pPr>
            <w:r>
              <w:rPr/>
              <w:t>$</w:t>
            </w:r>
          </w:p>
        </w:tc>
        <w:tc>
          <w:tcPr>
            <w:tcW w:w="1349" w:type="dxa"/>
            <w:tcBorders>
              <w:bottom w:val="double" w:sz="6" w:space="0" w:color="000000"/>
            </w:tcBorders>
            <w:shd w:fill="CCEEFF" w:val="clear"/>
            <w:vAlign w:val="center"/>
          </w:tcPr>
          <w:p>
            <w:pPr>
              <w:pStyle w:val="TableContents"/>
              <w:bidi w:val="0"/>
              <w:spacing w:before="0" w:after="283"/>
              <w:jc w:val="right"/>
              <w:rPr/>
            </w:pPr>
            <w:r>
              <w:rPr/>
              <w:t>(20,192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double" w:sz="6" w:space="0" w:color="000000"/>
            </w:tcBorders>
            <w:shd w:fill="CCEEFF" w:val="clear"/>
            <w:vAlign w:val="center"/>
          </w:tcPr>
          <w:p>
            <w:pPr>
              <w:pStyle w:val="TableContents"/>
              <w:bidi w:val="0"/>
              <w:spacing w:before="0" w:after="283"/>
              <w:jc w:val="left"/>
              <w:rPr/>
            </w:pPr>
            <w:r>
              <w:rPr/>
              <w:t>$</w:t>
            </w:r>
          </w:p>
        </w:tc>
        <w:tc>
          <w:tcPr>
            <w:tcW w:w="818" w:type="dxa"/>
            <w:tcBorders>
              <w:bottom w:val="double" w:sz="6" w:space="0" w:color="000000"/>
            </w:tcBorders>
            <w:shd w:fill="CCEEFF" w:val="clear"/>
            <w:vAlign w:val="center"/>
          </w:tcPr>
          <w:p>
            <w:pPr>
              <w:pStyle w:val="TableContents"/>
              <w:bidi w:val="0"/>
              <w:spacing w:before="0" w:after="283"/>
              <w:jc w:val="right"/>
              <w:rPr/>
            </w:pPr>
            <w:r>
              <w:rPr/>
              <w:t>(34,298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bottom w:val="double" w:sz="6" w:space="0" w:color="000000"/>
            </w:tcBorders>
            <w:shd w:fill="CCEEFF" w:val="clear"/>
            <w:vAlign w:val="center"/>
          </w:tcPr>
          <w:p>
            <w:pPr>
              <w:pStyle w:val="TableContents"/>
              <w:bidi w:val="0"/>
              <w:spacing w:before="0" w:after="283"/>
              <w:jc w:val="left"/>
              <w:rPr/>
            </w:pPr>
            <w:r>
              <w:rPr/>
              <w:t>$</w:t>
            </w:r>
          </w:p>
        </w:tc>
        <w:tc>
          <w:tcPr>
            <w:tcW w:w="1091" w:type="dxa"/>
            <w:tcBorders>
              <w:bottom w:val="double" w:sz="6"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bottom w:val="double" w:sz="6" w:space="0" w:color="000000"/>
            </w:tcBorders>
            <w:shd w:fill="CCEEFF" w:val="clear"/>
            <w:vAlign w:val="center"/>
          </w:tcPr>
          <w:p>
            <w:pPr>
              <w:pStyle w:val="TableContents"/>
              <w:bidi w:val="0"/>
              <w:spacing w:before="0" w:after="283"/>
              <w:jc w:val="left"/>
              <w:rPr/>
            </w:pPr>
            <w:r>
              <w:rPr/>
              <w:t>$</w:t>
            </w:r>
          </w:p>
        </w:tc>
        <w:tc>
          <w:tcPr>
            <w:tcW w:w="1225" w:type="dxa"/>
            <w:tcBorders>
              <w:bottom w:val="double" w:sz="6" w:space="0" w:color="000000"/>
            </w:tcBorders>
            <w:shd w:fill="CCEEFF" w:val="clear"/>
            <w:vAlign w:val="center"/>
          </w:tcPr>
          <w:p>
            <w:pPr>
              <w:pStyle w:val="TableContents"/>
              <w:bidi w:val="0"/>
              <w:spacing w:before="0" w:after="283"/>
              <w:jc w:val="right"/>
              <w:rPr/>
            </w:pPr>
            <w:r>
              <w:rPr/>
              <w:t>236,064</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435" w:type="dxa"/>
        <w:jc w:val="left"/>
        <w:tblInd w:w="0" w:type="dxa"/>
        <w:tblLayout w:type="fixed"/>
        <w:tblCellMar>
          <w:top w:w="0" w:type="dxa"/>
          <w:left w:w="0" w:type="dxa"/>
          <w:bottom w:w="28" w:type="dxa"/>
          <w:right w:w="0" w:type="dxa"/>
        </w:tblCellMar>
      </w:tblPr>
      <w:tblGrid>
        <w:gridCol w:w="1565"/>
        <w:gridCol w:w="90"/>
        <w:gridCol w:w="291"/>
        <w:gridCol w:w="704"/>
        <w:gridCol w:w="90"/>
        <w:gridCol w:w="90"/>
        <w:gridCol w:w="218"/>
        <w:gridCol w:w="912"/>
        <w:gridCol w:w="125"/>
        <w:gridCol w:w="90"/>
        <w:gridCol w:w="304"/>
        <w:gridCol w:w="871"/>
        <w:gridCol w:w="125"/>
        <w:gridCol w:w="90"/>
        <w:gridCol w:w="170"/>
        <w:gridCol w:w="830"/>
        <w:gridCol w:w="125"/>
        <w:gridCol w:w="90"/>
        <w:gridCol w:w="291"/>
        <w:gridCol w:w="1349"/>
        <w:gridCol w:w="125"/>
        <w:gridCol w:w="90"/>
        <w:gridCol w:w="177"/>
        <w:gridCol w:w="818"/>
        <w:gridCol w:w="125"/>
        <w:gridCol w:w="90"/>
        <w:gridCol w:w="352"/>
        <w:gridCol w:w="1378"/>
        <w:gridCol w:w="125"/>
        <w:gridCol w:w="90"/>
        <w:gridCol w:w="250"/>
        <w:gridCol w:w="1225"/>
        <w:gridCol w:w="170"/>
      </w:tblGrid>
      <w:tr>
        <w:trPr/>
        <w:tc>
          <w:tcPr>
            <w:tcW w:w="13435" w:type="dxa"/>
            <w:gridSpan w:val="33"/>
            <w:tcBorders>
              <w:bottom w:val="single" w:sz="8" w:space="0" w:color="000000"/>
            </w:tcBorders>
            <w:vAlign w:val="center"/>
          </w:tcPr>
          <w:p>
            <w:pPr>
              <w:pStyle w:val="TableContents"/>
              <w:bidi w:val="0"/>
              <w:spacing w:before="0" w:after="283"/>
              <w:jc w:val="center"/>
              <w:rPr>
                <w:b/>
              </w:rPr>
            </w:pPr>
            <w:r>
              <w:rPr>
                <w:b/>
              </w:rPr>
              <w:t>Six Months Ended June 30, 2024</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Additional</w:t>
              <w:br/>
              <w:t xml:space="preserve">Paid-in </w:t>
              <w:br/>
              <w:t>Capital</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283"/>
              <w:jc w:val="center"/>
              <w:rPr>
                <w:b/>
              </w:rPr>
            </w:pPr>
            <w:r>
              <w:rPr>
                <w:b/>
              </w:rPr>
              <w:t xml:space="preserve">Unearned </w:t>
              <w:br/>
              <w:t>Employee</w:t>
              <w:br/>
              <w:t xml:space="preserve">Stock </w:t>
              <w:br/>
              <w:t>Ownership</w:t>
              <w:br/>
              <w:t>Plan Shares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Accumulated</w:t>
              <w:br/>
              <w:t>Other</w:t>
              <w:br/>
              <w:t>Comprehensive</w:t>
              <w:br/>
              <w:t xml:space="preserve">Loss, Net of </w:t>
              <w:br/>
              <w:t>Income Taxes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8" w:space="0" w:color="000000"/>
            </w:tcBorders>
            <w:vAlign w:val="center"/>
          </w:tcPr>
          <w:p>
            <w:pPr>
              <w:pStyle w:val="TableContents"/>
              <w:bidi w:val="0"/>
              <w:spacing w:before="0" w:after="283"/>
              <w:jc w:val="center"/>
              <w:rPr>
                <w:b/>
              </w:rPr>
            </w:pPr>
            <w:r>
              <w:rPr>
                <w:b/>
              </w:rPr>
              <w:t xml:space="preserve">Total </w:t>
              <w:br/>
              <w:t xml:space="preserve">Shareholders’ </w:t>
              <w:br/>
              <w:t>Equity</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Balance,</w:t>
              <w:br/>
              <w:t>January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912" w:type="dxa"/>
            <w:tcBorders/>
            <w:shd w:fill="CCEEFF" w:val="clear"/>
            <w:tcMar>
              <w:bottom w:w="0" w:type="dxa"/>
            </w:tcMar>
            <w:vAlign w:val="center"/>
          </w:tcPr>
          <w:p>
            <w:pPr>
              <w:pStyle w:val="TableContents"/>
              <w:bidi w:val="0"/>
              <w:spacing w:before="0" w:after="283"/>
              <w:jc w:val="right"/>
              <w:rPr/>
            </w:pPr>
            <w:r>
              <w:rPr/>
              <w:t>96,294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right"/>
              <w:rPr/>
            </w:pPr>
            <w:r>
              <w:rPr/>
              <w:t>(698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208,376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1349" w:type="dxa"/>
            <w:tcBorders/>
            <w:shd w:fill="CCEEFF" w:val="clear"/>
            <w:tcMar>
              <w:bottom w:w="0" w:type="dxa"/>
            </w:tcMar>
            <w:vAlign w:val="center"/>
          </w:tcPr>
          <w:p>
            <w:pPr>
              <w:pStyle w:val="TableContents"/>
              <w:bidi w:val="0"/>
              <w:spacing w:before="0" w:after="283"/>
              <w:jc w:val="right"/>
              <w:rPr/>
            </w:pPr>
            <w:r>
              <w:rPr/>
              <w:t>(21,384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818" w:type="dxa"/>
            <w:tcBorders/>
            <w:shd w:fill="CCEEFF" w:val="clear"/>
            <w:tcMar>
              <w:bottom w:w="0" w:type="dxa"/>
            </w:tcMar>
            <w:vAlign w:val="center"/>
          </w:tcPr>
          <w:p>
            <w:pPr>
              <w:pStyle w:val="TableContents"/>
              <w:bidi w:val="0"/>
              <w:spacing w:before="0" w:after="283"/>
              <w:jc w:val="right"/>
              <w:rPr/>
            </w:pPr>
            <w:r>
              <w:rPr/>
              <w:t>(35,177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right"/>
              <w:rPr/>
            </w:pPr>
            <w:r>
              <w:rPr/>
              <w:t>2,758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1225" w:type="dxa"/>
            <w:tcBorders/>
            <w:shd w:fill="CCEEFF" w:val="clear"/>
            <w:tcMar>
              <w:bottom w:w="0" w:type="dxa"/>
            </w:tcMar>
            <w:vAlign w:val="center"/>
          </w:tcPr>
          <w:p>
            <w:pPr>
              <w:pStyle w:val="TableContents"/>
              <w:bidi w:val="0"/>
              <w:spacing w:before="0" w:after="283"/>
              <w:jc w:val="right"/>
              <w:rPr/>
            </w:pPr>
            <w:r>
              <w:rPr/>
              <w:t>250,399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2" w:type="dxa"/>
            <w:tcBorders/>
            <w:tcMar>
              <w:bottom w:w="0" w:type="dxa"/>
            </w:tcMar>
            <w:vAlign w:val="center"/>
          </w:tcPr>
          <w:p>
            <w:pPr>
              <w:pStyle w:val="TableContents"/>
              <w:bidi w:val="0"/>
              <w:spacing w:before="0" w:after="283"/>
              <w:jc w:val="left"/>
              <w:rPr/>
            </w:pPr>
            <w:r>
              <w:rPr/>
              <w:t> </w:t>
            </w:r>
          </w:p>
        </w:tc>
        <w:tc>
          <w:tcPr>
            <w:tcW w:w="137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Battle Creek demutualization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3,832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(1,074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283"/>
              <w:jc w:val="right"/>
              <w:rPr/>
            </w:pPr>
            <w:r>
              <w:rPr/>
              <w:t>(2,758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(13,203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2" w:type="dxa"/>
            <w:tcBorders/>
            <w:tcMar>
              <w:bottom w:w="0" w:type="dxa"/>
            </w:tcMar>
            <w:vAlign w:val="center"/>
          </w:tcPr>
          <w:p>
            <w:pPr>
              <w:pStyle w:val="TableContents"/>
              <w:bidi w:val="0"/>
              <w:spacing w:before="0" w:after="283"/>
              <w:jc w:val="left"/>
              <w:rPr/>
            </w:pPr>
            <w:r>
              <w:rPr/>
              <w:t> </w:t>
            </w:r>
          </w:p>
        </w:tc>
        <w:tc>
          <w:tcPr>
            <w:tcW w:w="137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(13,203</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Impact of Westminster unrealized investment gains/losses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(4,380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4,380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Other comprehensive income (loss), net of income taxes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(2,114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2" w:type="dxa"/>
            <w:tcBorders/>
            <w:tcMar>
              <w:bottom w:w="0" w:type="dxa"/>
            </w:tcMar>
            <w:vAlign w:val="center"/>
          </w:tcPr>
          <w:p>
            <w:pPr>
              <w:pStyle w:val="TableContents"/>
              <w:bidi w:val="0"/>
              <w:spacing w:before="0" w:after="283"/>
              <w:jc w:val="left"/>
              <w:rPr/>
            </w:pPr>
            <w:r>
              <w:rPr/>
              <w:t> </w:t>
            </w:r>
          </w:p>
        </w:tc>
        <w:tc>
          <w:tcPr>
            <w:tcW w:w="137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(2,114</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Share-based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1,136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1,136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Issuance of vested award shares</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vAlign w:val="center"/>
          </w:tcPr>
          <w:p>
            <w:pPr>
              <w:pStyle w:val="TableContents"/>
              <w:bidi w:val="0"/>
              <w:spacing w:before="0" w:after="283"/>
              <w:jc w:val="left"/>
              <w:rPr/>
            </w:pPr>
            <w:r>
              <w:rPr/>
              <w:t> </w:t>
            </w:r>
          </w:p>
        </w:tc>
        <w:tc>
          <w:tcPr>
            <w:tcW w:w="704"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bottom w:val="single" w:sz="8" w:space="0" w:color="000000"/>
            </w:tcBorders>
            <w:vAlign w:val="center"/>
          </w:tcPr>
          <w:p>
            <w:pPr>
              <w:pStyle w:val="TableContents"/>
              <w:bidi w:val="0"/>
              <w:spacing w:before="0" w:after="283"/>
              <w:jc w:val="left"/>
              <w:rPr/>
            </w:pPr>
            <w:r>
              <w:rPr/>
              <w:t> </w:t>
            </w:r>
          </w:p>
        </w:tc>
        <w:tc>
          <w:tcPr>
            <w:tcW w:w="912" w:type="dxa"/>
            <w:tcBorders>
              <w:bottom w:val="single" w:sz="8" w:space="0" w:color="000000"/>
            </w:tcBorders>
            <w:vAlign w:val="center"/>
          </w:tcPr>
          <w:p>
            <w:pPr>
              <w:pStyle w:val="TableContents"/>
              <w:bidi w:val="0"/>
              <w:spacing w:before="0" w:after="283"/>
              <w:jc w:val="right"/>
              <w:rPr/>
            </w:pPr>
            <w:r>
              <w:rPr/>
              <w:t>(849</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04" w:type="dxa"/>
            <w:tcBorders>
              <w:bottom w:val="single" w:sz="8" w:space="0" w:color="000000"/>
            </w:tcBorders>
            <w:vAlign w:val="center"/>
          </w:tcPr>
          <w:p>
            <w:pPr>
              <w:pStyle w:val="TableContents"/>
              <w:bidi w:val="0"/>
              <w:spacing w:before="0" w:after="283"/>
              <w:jc w:val="left"/>
              <w:rPr/>
            </w:pPr>
            <w:r>
              <w:rPr/>
              <w:t> </w:t>
            </w:r>
          </w:p>
        </w:tc>
        <w:tc>
          <w:tcPr>
            <w:tcW w:w="871" w:type="dxa"/>
            <w:tcBorders>
              <w:bottom w:val="single" w:sz="8"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(184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vAlign w:val="center"/>
          </w:tcPr>
          <w:p>
            <w:pPr>
              <w:pStyle w:val="TableContents"/>
              <w:bidi w:val="0"/>
              <w:spacing w:before="0" w:after="283"/>
              <w:jc w:val="left"/>
              <w:rPr/>
            </w:pPr>
            <w:r>
              <w:rPr/>
              <w:t> </w:t>
            </w:r>
          </w:p>
        </w:tc>
        <w:tc>
          <w:tcPr>
            <w:tcW w:w="1349" w:type="dxa"/>
            <w:tcBorders>
              <w:bottom w:val="single" w:sz="8"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single" w:sz="8" w:space="0" w:color="000000"/>
            </w:tcBorders>
            <w:vAlign w:val="center"/>
          </w:tcPr>
          <w:p>
            <w:pPr>
              <w:pStyle w:val="TableContents"/>
              <w:bidi w:val="0"/>
              <w:spacing w:before="0" w:after="283"/>
              <w:jc w:val="left"/>
              <w:rPr/>
            </w:pPr>
            <w:r>
              <w:rPr/>
              <w:t> </w:t>
            </w:r>
          </w:p>
        </w:tc>
        <w:tc>
          <w:tcPr>
            <w:tcW w:w="818" w:type="dxa"/>
            <w:tcBorders>
              <w:bottom w:val="single" w:sz="8" w:space="0" w:color="000000"/>
            </w:tcBorders>
            <w:vAlign w:val="center"/>
          </w:tcPr>
          <w:p>
            <w:pPr>
              <w:pStyle w:val="TableContents"/>
              <w:bidi w:val="0"/>
              <w:spacing w:before="0" w:after="283"/>
              <w:jc w:val="right"/>
              <w:rPr/>
            </w:pPr>
            <w:r>
              <w:rPr/>
              <w:t>879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2" w:type="dxa"/>
            <w:tcBorders>
              <w:bottom w:val="single" w:sz="8" w:space="0" w:color="000000"/>
            </w:tcBorders>
            <w:vAlign w:val="center"/>
          </w:tcPr>
          <w:p>
            <w:pPr>
              <w:pStyle w:val="TableContents"/>
              <w:bidi w:val="0"/>
              <w:spacing w:before="0" w:after="283"/>
              <w:jc w:val="left"/>
              <w:rPr/>
            </w:pPr>
            <w:r>
              <w:rPr/>
              <w:t> </w:t>
            </w:r>
          </w:p>
        </w:tc>
        <w:tc>
          <w:tcPr>
            <w:tcW w:w="1378" w:type="dxa"/>
            <w:tcBorders>
              <w:bottom w:val="single" w:sz="8"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bottom w:val="single" w:sz="8" w:space="0" w:color="000000"/>
            </w:tcBorders>
            <w:vAlign w:val="center"/>
          </w:tcPr>
          <w:p>
            <w:pPr>
              <w:pStyle w:val="TableContents"/>
              <w:bidi w:val="0"/>
              <w:spacing w:before="0" w:after="283"/>
              <w:jc w:val="left"/>
              <w:rPr/>
            </w:pPr>
            <w:r>
              <w:rPr/>
              <w:t> </w:t>
            </w:r>
          </w:p>
        </w:tc>
        <w:tc>
          <w:tcPr>
            <w:tcW w:w="1225" w:type="dxa"/>
            <w:tcBorders>
              <w:bottom w:val="single" w:sz="8" w:space="0" w:color="000000"/>
            </w:tcBorders>
            <w:vAlign w:val="center"/>
          </w:tcPr>
          <w:p>
            <w:pPr>
              <w:pStyle w:val="TableContents"/>
              <w:bidi w:val="0"/>
              <w:spacing w:before="0" w:after="283"/>
              <w:jc w:val="right"/>
              <w:rPr/>
            </w:pPr>
            <w:r>
              <w:rPr/>
              <w:t>(154</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Balance,</w:t>
              <w:br/>
              <w:t>June 30,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shd w:fill="CCEEFF" w:val="clear"/>
            <w:vAlign w:val="center"/>
          </w:tcPr>
          <w:p>
            <w:pPr>
              <w:pStyle w:val="TableContents"/>
              <w:bidi w:val="0"/>
              <w:spacing w:before="0" w:after="283"/>
              <w:jc w:val="left"/>
              <w:rPr/>
            </w:pPr>
            <w:r>
              <w:rPr/>
              <w:t>$</w:t>
            </w:r>
          </w:p>
        </w:tc>
        <w:tc>
          <w:tcPr>
            <w:tcW w:w="704" w:type="dxa"/>
            <w:tcBorders>
              <w:bottom w:val="double" w:sz="6" w:space="0" w:color="000000"/>
            </w:tcBorders>
            <w:shd w:fill="CCEEFF" w:val="cle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bottom w:val="double" w:sz="6" w:space="0" w:color="000000"/>
            </w:tcBorders>
            <w:shd w:fill="CCEEFF" w:val="clear"/>
            <w:vAlign w:val="center"/>
          </w:tcPr>
          <w:p>
            <w:pPr>
              <w:pStyle w:val="TableContents"/>
              <w:bidi w:val="0"/>
              <w:spacing w:before="0" w:after="283"/>
              <w:jc w:val="left"/>
              <w:rPr/>
            </w:pPr>
            <w:r>
              <w:rPr/>
              <w:t>$</w:t>
            </w:r>
          </w:p>
        </w:tc>
        <w:tc>
          <w:tcPr>
            <w:tcW w:w="912" w:type="dxa"/>
            <w:tcBorders>
              <w:bottom w:val="double" w:sz="6" w:space="0" w:color="000000"/>
            </w:tcBorders>
            <w:shd w:fill="CCEEFF" w:val="clear"/>
            <w:vAlign w:val="center"/>
          </w:tcPr>
          <w:p>
            <w:pPr>
              <w:pStyle w:val="TableContents"/>
              <w:bidi w:val="0"/>
              <w:spacing w:before="0" w:after="283"/>
              <w:jc w:val="right"/>
              <w:rPr/>
            </w:pPr>
            <w:r>
              <w:rPr/>
              <w:t>96,581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shd w:fill="CCEEFF" w:val="clear"/>
            <w:vAlign w:val="center"/>
          </w:tcPr>
          <w:p>
            <w:pPr>
              <w:pStyle w:val="TableContents"/>
              <w:bidi w:val="0"/>
              <w:spacing w:before="0" w:after="283"/>
              <w:jc w:val="left"/>
              <w:rPr/>
            </w:pPr>
            <w:r>
              <w:rPr/>
              <w:t>$</w:t>
            </w:r>
          </w:p>
        </w:tc>
        <w:tc>
          <w:tcPr>
            <w:tcW w:w="871" w:type="dxa"/>
            <w:tcBorders>
              <w:bottom w:val="double" w:sz="6" w:space="0" w:color="000000"/>
            </w:tcBorders>
            <w:shd w:fill="CCEEFF" w:val="clear"/>
            <w:vAlign w:val="center"/>
          </w:tcPr>
          <w:p>
            <w:pPr>
              <w:pStyle w:val="TableContents"/>
              <w:bidi w:val="0"/>
              <w:spacing w:before="0" w:after="283"/>
              <w:jc w:val="right"/>
              <w:rPr/>
            </w:pPr>
            <w:r>
              <w:rPr/>
              <w:t>(698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830" w:type="dxa"/>
            <w:tcBorders>
              <w:bottom w:val="double" w:sz="6" w:space="0" w:color="000000"/>
            </w:tcBorders>
            <w:shd w:fill="CCEEFF" w:val="clear"/>
            <w:vAlign w:val="center"/>
          </w:tcPr>
          <w:p>
            <w:pPr>
              <w:pStyle w:val="TableContents"/>
              <w:bidi w:val="0"/>
              <w:spacing w:before="0" w:after="283"/>
              <w:jc w:val="right"/>
              <w:rPr/>
            </w:pPr>
            <w:r>
              <w:rPr/>
              <w:t>194,441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shd w:fill="CCEEFF" w:val="clear"/>
            <w:vAlign w:val="center"/>
          </w:tcPr>
          <w:p>
            <w:pPr>
              <w:pStyle w:val="TableContents"/>
              <w:bidi w:val="0"/>
              <w:spacing w:before="0" w:after="283"/>
              <w:jc w:val="left"/>
              <w:rPr/>
            </w:pPr>
            <w:r>
              <w:rPr/>
              <w:t>$</w:t>
            </w:r>
          </w:p>
        </w:tc>
        <w:tc>
          <w:tcPr>
            <w:tcW w:w="1349" w:type="dxa"/>
            <w:tcBorders>
              <w:bottom w:val="double" w:sz="6" w:space="0" w:color="000000"/>
            </w:tcBorders>
            <w:shd w:fill="CCEEFF" w:val="clear"/>
            <w:vAlign w:val="center"/>
          </w:tcPr>
          <w:p>
            <w:pPr>
              <w:pStyle w:val="TableContents"/>
              <w:bidi w:val="0"/>
              <w:spacing w:before="0" w:after="283"/>
              <w:jc w:val="right"/>
              <w:rPr/>
            </w:pPr>
            <w:r>
              <w:rPr/>
              <w:t>(20,192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double" w:sz="6" w:space="0" w:color="000000"/>
            </w:tcBorders>
            <w:shd w:fill="CCEEFF" w:val="clear"/>
            <w:vAlign w:val="center"/>
          </w:tcPr>
          <w:p>
            <w:pPr>
              <w:pStyle w:val="TableContents"/>
              <w:bidi w:val="0"/>
              <w:spacing w:before="0" w:after="283"/>
              <w:jc w:val="left"/>
              <w:rPr/>
            </w:pPr>
            <w:r>
              <w:rPr/>
              <w:t>$</w:t>
            </w:r>
          </w:p>
        </w:tc>
        <w:tc>
          <w:tcPr>
            <w:tcW w:w="818" w:type="dxa"/>
            <w:tcBorders>
              <w:bottom w:val="double" w:sz="6" w:space="0" w:color="000000"/>
            </w:tcBorders>
            <w:shd w:fill="CCEEFF" w:val="clear"/>
            <w:vAlign w:val="center"/>
          </w:tcPr>
          <w:p>
            <w:pPr>
              <w:pStyle w:val="TableContents"/>
              <w:bidi w:val="0"/>
              <w:spacing w:before="0" w:after="283"/>
              <w:jc w:val="right"/>
              <w:rPr/>
            </w:pPr>
            <w:r>
              <w:rPr/>
              <w:t>(34,298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bottom w:val="double" w:sz="6" w:space="0" w:color="000000"/>
            </w:tcBorders>
            <w:shd w:fill="CCEEFF" w:val="clear"/>
            <w:vAlign w:val="center"/>
          </w:tcPr>
          <w:p>
            <w:pPr>
              <w:pStyle w:val="TableContents"/>
              <w:bidi w:val="0"/>
              <w:spacing w:before="0" w:after="283"/>
              <w:jc w:val="left"/>
              <w:rPr/>
            </w:pPr>
            <w:r>
              <w:rPr/>
              <w:t>$</w:t>
            </w:r>
          </w:p>
        </w:tc>
        <w:tc>
          <w:tcPr>
            <w:tcW w:w="1378" w:type="dxa"/>
            <w:tcBorders>
              <w:bottom w:val="double" w:sz="6"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bottom w:val="double" w:sz="6" w:space="0" w:color="000000"/>
            </w:tcBorders>
            <w:shd w:fill="CCEEFF" w:val="clear"/>
            <w:vAlign w:val="center"/>
          </w:tcPr>
          <w:p>
            <w:pPr>
              <w:pStyle w:val="TableContents"/>
              <w:bidi w:val="0"/>
              <w:spacing w:before="0" w:after="283"/>
              <w:jc w:val="left"/>
              <w:rPr/>
            </w:pPr>
            <w:r>
              <w:rPr/>
              <w:t>$</w:t>
            </w:r>
          </w:p>
        </w:tc>
        <w:tc>
          <w:tcPr>
            <w:tcW w:w="1225" w:type="dxa"/>
            <w:tcBorders>
              <w:bottom w:val="double" w:sz="6" w:space="0" w:color="000000"/>
            </w:tcBorders>
            <w:shd w:fill="CCEEFF" w:val="clear"/>
            <w:vAlign w:val="center"/>
          </w:tcPr>
          <w:p>
            <w:pPr>
              <w:pStyle w:val="TableContents"/>
              <w:bidi w:val="0"/>
              <w:spacing w:before="0" w:after="283"/>
              <w:jc w:val="right"/>
              <w:rPr/>
            </w:pPr>
            <w:r>
              <w:rPr/>
              <w:t>236,064</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Consolidated Statements of Cash Flows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tbl>
      <w:tblPr>
        <w:tblW w:w="10205" w:type="dxa"/>
        <w:jc w:val="left"/>
        <w:tblInd w:w="0" w:type="dxa"/>
        <w:tblLayout w:type="fixed"/>
        <w:tblCellMar>
          <w:top w:w="0" w:type="dxa"/>
          <w:left w:w="0" w:type="dxa"/>
          <w:bottom w:w="0" w:type="dxa"/>
          <w:right w:w="0" w:type="dxa"/>
        </w:tblCellMar>
      </w:tblPr>
      <w:tblGrid>
        <w:gridCol w:w="6622"/>
        <w:gridCol w:w="90"/>
        <w:gridCol w:w="218"/>
        <w:gridCol w:w="1008"/>
        <w:gridCol w:w="159"/>
        <w:gridCol w:w="114"/>
        <w:gridCol w:w="218"/>
        <w:gridCol w:w="1008"/>
        <w:gridCol w:w="768"/>
      </w:tblGrid>
      <w:tr>
        <w:trPr/>
        <w:tc>
          <w:tcPr>
            <w:tcW w:w="6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68" w:type="dxa"/>
            <w:tcBorders/>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Cash flows from operating activities: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008" w:type="dxa"/>
            <w:tcBorders/>
            <w:vAlign w:val="center"/>
          </w:tcPr>
          <w:p>
            <w:pPr>
              <w:pStyle w:val="TableContents"/>
              <w:bidi w:val="0"/>
              <w:spacing w:before="0" w:after="283"/>
              <w:jc w:val="right"/>
              <w:rPr/>
            </w:pPr>
            <w:r>
              <w:rPr/>
              <w:t>(5,591</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008" w:type="dxa"/>
            <w:tcBorders/>
            <w:vAlign w:val="center"/>
          </w:tcPr>
          <w:p>
            <w:pPr>
              <w:pStyle w:val="TableContents"/>
              <w:bidi w:val="0"/>
              <w:spacing w:before="0" w:after="283"/>
              <w:jc w:val="right"/>
              <w:rPr/>
            </w:pPr>
            <w:r>
              <w:rPr/>
              <w:t>(13,203</w:t>
            </w:r>
          </w:p>
        </w:tc>
        <w:tc>
          <w:tcPr>
            <w:tcW w:w="768" w:type="dxa"/>
            <w:tcBorders/>
            <w:vAlign w:val="center"/>
          </w:tcPr>
          <w:p>
            <w:pPr>
              <w:pStyle w:val="TableContents"/>
              <w:bidi w:val="0"/>
              <w:spacing w:before="0" w:after="283"/>
              <w:jc w:val="left"/>
              <w:rPr/>
            </w:pPr>
            <w:r>
              <w:rPr/>
              <w:t>)</w:t>
            </w:r>
          </w:p>
        </w:tc>
      </w:tr>
      <w:tr>
        <w:trPr/>
        <w:tc>
          <w:tcPr>
            <w:tcW w:w="6622" w:type="dxa"/>
            <w:tcBorders/>
            <w:shd w:fill="CCEEFF" w:val="clear"/>
            <w:vAlign w:val="center"/>
          </w:tcPr>
          <w:p>
            <w:pPr>
              <w:pStyle w:val="TableContents"/>
              <w:bidi w:val="0"/>
              <w:spacing w:before="0" w:after="283"/>
              <w:jc w:val="left"/>
              <w:rPr/>
            </w:pPr>
            <w:r>
              <w:rPr/>
              <w:t>Less net loss from discontinued operations, net of income taxes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(1,512</w:t>
            </w:r>
          </w:p>
        </w:tc>
        <w:tc>
          <w:tcPr>
            <w:tcW w:w="768" w:type="dxa"/>
            <w:tcBorders/>
            <w:shd w:fill="CCEEFF" w:val="clear"/>
            <w:vAlign w:val="center"/>
          </w:tcPr>
          <w:p>
            <w:pPr>
              <w:pStyle w:val="TableContents"/>
              <w:bidi w:val="0"/>
              <w:spacing w:before="0" w:after="283"/>
              <w:jc w:val="left"/>
              <w:rPr/>
            </w:pPr>
            <w:r>
              <w:rPr/>
              <w:t>)</w:t>
            </w:r>
          </w:p>
        </w:tc>
      </w:tr>
      <w:tr>
        <w:trPr/>
        <w:tc>
          <w:tcPr>
            <w:tcW w:w="6622" w:type="dxa"/>
            <w:tcBorders/>
            <w:vAlign w:val="center"/>
          </w:tcPr>
          <w:p>
            <w:pPr>
              <w:pStyle w:val="TableContents"/>
              <w:bidi w:val="0"/>
              <w:spacing w:before="0" w:after="283"/>
              <w:jc w:val="left"/>
              <w:rPr/>
            </w:pPr>
            <w:r>
              <w:rPr/>
              <w:t>Adjustments to reconcile net loss to net cash flows from operating activities: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Net investment gains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(459</w:t>
            </w:r>
          </w:p>
        </w:tc>
        <w:tc>
          <w:tcPr>
            <w:tcW w:w="159"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(876</w:t>
            </w:r>
          </w:p>
        </w:tc>
        <w:tc>
          <w:tcPr>
            <w:tcW w:w="768" w:type="dxa"/>
            <w:tcBorders/>
            <w:shd w:fill="CCEEFF" w:val="clear"/>
            <w:vAlign w:val="center"/>
          </w:tcPr>
          <w:p>
            <w:pPr>
              <w:pStyle w:val="TableContents"/>
              <w:bidi w:val="0"/>
              <w:spacing w:before="0" w:after="283"/>
              <w:jc w:val="left"/>
              <w:rPr/>
            </w:pPr>
            <w:r>
              <w:rPr/>
              <w:t>)</w:t>
            </w:r>
          </w:p>
        </w:tc>
      </w:tr>
      <w:tr>
        <w:trPr/>
        <w:tc>
          <w:tcPr>
            <w:tcW w:w="6622" w:type="dxa"/>
            <w:tcBorders/>
            <w:vAlign w:val="center"/>
          </w:tcPr>
          <w:p>
            <w:pPr>
              <w:pStyle w:val="TableContents"/>
              <w:bidi w:val="0"/>
              <w:spacing w:before="0" w:after="283"/>
              <w:jc w:val="left"/>
              <w:rPr/>
            </w:pPr>
            <w:r>
              <w:rPr/>
              <w:t>Deferred income tax benefit</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(1,452</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(491</w:t>
            </w:r>
          </w:p>
        </w:tc>
        <w:tc>
          <w:tcPr>
            <w:tcW w:w="768" w:type="dxa"/>
            <w:tcBorders/>
            <w:vAlign w:val="center"/>
          </w:tcPr>
          <w:p>
            <w:pPr>
              <w:pStyle w:val="TableContents"/>
              <w:bidi w:val="0"/>
              <w:spacing w:before="0" w:after="283"/>
              <w:jc w:val="left"/>
              <w:rPr/>
            </w:pPr>
            <w:r>
              <w:rPr/>
              <w:t>)</w:t>
            </w:r>
          </w:p>
        </w:tc>
      </w:tr>
      <w:tr>
        <w:trPr/>
        <w:tc>
          <w:tcPr>
            <w:tcW w:w="6622" w:type="dxa"/>
            <w:tcBorders/>
            <w:shd w:fill="CCEEFF" w:val="clear"/>
            <w:vAlign w:val="center"/>
          </w:tcPr>
          <w:p>
            <w:pPr>
              <w:pStyle w:val="TableContents"/>
              <w:bidi w:val="0"/>
              <w:spacing w:before="0" w:after="283"/>
              <w:jc w:val="left"/>
              <w:rPr/>
            </w:pPr>
            <w:r>
              <w:rPr/>
              <w:t>Depreciation of property and equipment</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344</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341</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724</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1,136</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32,902</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36,107</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Deferral of policy acquisition costs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(32,922</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(40,474</w:t>
            </w:r>
          </w:p>
        </w:tc>
        <w:tc>
          <w:tcPr>
            <w:tcW w:w="768" w:type="dxa"/>
            <w:tcBorders/>
            <w:vAlign w:val="center"/>
          </w:tcPr>
          <w:p>
            <w:pPr>
              <w:pStyle w:val="TableContents"/>
              <w:bidi w:val="0"/>
              <w:spacing w:before="0" w:after="283"/>
              <w:jc w:val="left"/>
              <w:rPr/>
            </w:pPr>
            <w:r>
              <w:rPr/>
              <w:t>)</w:t>
            </w:r>
          </w:p>
        </w:tc>
      </w:tr>
      <w:tr>
        <w:trPr/>
        <w:tc>
          <w:tcPr>
            <w:tcW w:w="6622" w:type="dxa"/>
            <w:tcBorders/>
            <w:shd w:fill="CCEEFF" w:val="clear"/>
            <w:vAlign w:val="center"/>
          </w:tcPr>
          <w:p>
            <w:pPr>
              <w:pStyle w:val="TableContents"/>
              <w:bidi w:val="0"/>
              <w:spacing w:before="0" w:after="283"/>
              <w:jc w:val="left"/>
              <w:rPr/>
            </w:pPr>
            <w:r>
              <w:rPr/>
              <w:t>Net amortization of premiums and discounts on investments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174</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331</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Gain on sale of property and equipment</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(9</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(72</w:t>
            </w:r>
          </w:p>
        </w:tc>
        <w:tc>
          <w:tcPr>
            <w:tcW w:w="768" w:type="dxa"/>
            <w:tcBorders/>
            <w:vAlign w:val="center"/>
          </w:tcPr>
          <w:p>
            <w:pPr>
              <w:pStyle w:val="TableContents"/>
              <w:bidi w:val="0"/>
              <w:spacing w:before="0" w:after="283"/>
              <w:ind w:left="0" w:right="0" w:hanging="216"/>
              <w:jc w:val="left"/>
              <w:rPr/>
            </w:pPr>
            <w:r>
              <w:rPr/>
              <w:t>)</w:t>
            </w:r>
          </w:p>
        </w:tc>
      </w:tr>
      <w:tr>
        <w:trPr/>
        <w:tc>
          <w:tcPr>
            <w:tcW w:w="6622"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768" w:type="dxa"/>
            <w:tcBorders/>
            <w:shd w:fill="CCEEFF" w:val="clear"/>
            <w:vAlign w:val="center"/>
          </w:tcPr>
          <w:p>
            <w:pPr>
              <w:pStyle w:val="TableContents"/>
              <w:bidi w:val="0"/>
              <w:spacing w:before="0" w:after="283"/>
              <w:ind w:left="0" w:right="0" w:hanging="36"/>
              <w:jc w:val="left"/>
              <w:rPr/>
            </w:pPr>
            <w:r>
              <w:rPr/>
              <w:t> </w:t>
            </w:r>
          </w:p>
        </w:tc>
      </w:tr>
      <w:tr>
        <w:trPr/>
        <w:tc>
          <w:tcPr>
            <w:tcW w:w="6622" w:type="dxa"/>
            <w:tcBorders/>
            <w:vAlign w:val="center"/>
          </w:tcPr>
          <w:p>
            <w:pPr>
              <w:pStyle w:val="TableContents"/>
              <w:bidi w:val="0"/>
              <w:spacing w:before="0" w:after="283"/>
              <w:jc w:val="left"/>
              <w:rPr/>
            </w:pPr>
            <w:r>
              <w:rPr/>
              <w:t>Premiums and agents’ balances receivable</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(32,697</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(36,677</w:t>
            </w:r>
          </w:p>
        </w:tc>
        <w:tc>
          <w:tcPr>
            <w:tcW w:w="768" w:type="dxa"/>
            <w:tcBorders/>
            <w:vAlign w:val="center"/>
          </w:tcPr>
          <w:p>
            <w:pPr>
              <w:pStyle w:val="TableContents"/>
              <w:bidi w:val="0"/>
              <w:spacing w:before="0" w:after="283"/>
              <w:ind w:left="0" w:right="0" w:hanging="36"/>
              <w:jc w:val="left"/>
              <w:rPr/>
            </w:pPr>
            <w:r>
              <w:rPr/>
              <w:t>)</w:t>
            </w:r>
          </w:p>
        </w:tc>
      </w:tr>
      <w:tr>
        <w:trPr/>
        <w:tc>
          <w:tcPr>
            <w:tcW w:w="6622" w:type="dxa"/>
            <w:tcBorders/>
            <w:shd w:fill="CCEEFF" w:val="clear"/>
            <w:vAlign w:val="center"/>
          </w:tcPr>
          <w:p>
            <w:pPr>
              <w:pStyle w:val="TableContents"/>
              <w:bidi w:val="0"/>
              <w:spacing w:before="0" w:after="283"/>
              <w:jc w:val="left"/>
              <w:rPr/>
            </w:pPr>
            <w:r>
              <w:rPr/>
              <w:t>Reinsurance premiums receivable / payable</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7,603</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(491</w:t>
            </w:r>
          </w:p>
        </w:tc>
        <w:tc>
          <w:tcPr>
            <w:tcW w:w="768" w:type="dxa"/>
            <w:tcBorders/>
            <w:shd w:fill="CCEEFF" w:val="clear"/>
            <w:vAlign w:val="center"/>
          </w:tcPr>
          <w:p>
            <w:pPr>
              <w:pStyle w:val="TableContents"/>
              <w:bidi w:val="0"/>
              <w:spacing w:before="0" w:after="283"/>
              <w:ind w:left="0" w:right="0" w:hanging="36"/>
              <w:jc w:val="left"/>
              <w:rPr/>
            </w:pPr>
            <w:r>
              <w:rPr/>
              <w:t>)</w:t>
            </w:r>
          </w:p>
        </w:tc>
      </w:tr>
      <w:tr>
        <w:trPr/>
        <w:tc>
          <w:tcPr>
            <w:tcW w:w="6622"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(38,717</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(2,963</w:t>
            </w:r>
          </w:p>
        </w:tc>
        <w:tc>
          <w:tcPr>
            <w:tcW w:w="768" w:type="dxa"/>
            <w:tcBorders/>
            <w:vAlign w:val="center"/>
          </w:tcPr>
          <w:p>
            <w:pPr>
              <w:pStyle w:val="TableContents"/>
              <w:bidi w:val="0"/>
              <w:spacing w:before="0" w:after="283"/>
              <w:ind w:left="0" w:right="0" w:hanging="36"/>
              <w:jc w:val="left"/>
              <w:rPr/>
            </w:pPr>
            <w:r>
              <w:rPr/>
              <w:t>)</w:t>
            </w:r>
          </w:p>
        </w:tc>
      </w:tr>
      <w:tr>
        <w:trPr/>
        <w:tc>
          <w:tcPr>
            <w:tcW w:w="6622" w:type="dxa"/>
            <w:tcBorders/>
            <w:shd w:fill="CCEEFF" w:val="clear"/>
            <w:vAlign w:val="center"/>
          </w:tcPr>
          <w:p>
            <w:pPr>
              <w:pStyle w:val="TableContents"/>
              <w:bidi w:val="0"/>
              <w:spacing w:before="0" w:after="283"/>
              <w:jc w:val="left"/>
              <w:rPr/>
            </w:pPr>
            <w:r>
              <w:rPr/>
              <w:t>Income tax recoverable / payable</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(3,382</w:t>
            </w:r>
          </w:p>
        </w:tc>
        <w:tc>
          <w:tcPr>
            <w:tcW w:w="159"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(8,216</w:t>
            </w:r>
          </w:p>
        </w:tc>
        <w:tc>
          <w:tcPr>
            <w:tcW w:w="768" w:type="dxa"/>
            <w:tcBorders/>
            <w:shd w:fill="CCEEFF" w:val="clear"/>
            <w:vAlign w:val="center"/>
          </w:tcPr>
          <w:p>
            <w:pPr>
              <w:pStyle w:val="TableContents"/>
              <w:bidi w:val="0"/>
              <w:spacing w:before="0" w:after="283"/>
              <w:ind w:left="0" w:right="0" w:hanging="36"/>
              <w:jc w:val="left"/>
              <w:rPr/>
            </w:pPr>
            <w:r>
              <w:rPr/>
              <w:t>)</w:t>
            </w:r>
          </w:p>
        </w:tc>
      </w:tr>
      <w:tr>
        <w:trPr/>
        <w:tc>
          <w:tcPr>
            <w:tcW w:w="6622" w:type="dxa"/>
            <w:tcBorders/>
            <w:vAlign w:val="center"/>
          </w:tcPr>
          <w:p>
            <w:pPr>
              <w:pStyle w:val="TableContents"/>
              <w:bidi w:val="0"/>
              <w:spacing w:before="0" w:after="283"/>
              <w:jc w:val="left"/>
              <w:rPr/>
            </w:pPr>
            <w:r>
              <w:rPr/>
              <w:t>Accrued investment income</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(69</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(148</w:t>
            </w:r>
          </w:p>
        </w:tc>
        <w:tc>
          <w:tcPr>
            <w:tcW w:w="768" w:type="dxa"/>
            <w:tcBorders/>
            <w:vAlign w:val="center"/>
          </w:tcPr>
          <w:p>
            <w:pPr>
              <w:pStyle w:val="TableContents"/>
              <w:bidi w:val="0"/>
              <w:spacing w:before="0" w:after="283"/>
              <w:ind w:left="0" w:right="0" w:hanging="36"/>
              <w:jc w:val="left"/>
              <w:rPr/>
            </w:pPr>
            <w:r>
              <w:rPr/>
              <w:t>)</w:t>
            </w:r>
          </w:p>
        </w:tc>
      </w:tr>
      <w:tr>
        <w:trPr/>
        <w:tc>
          <w:tcPr>
            <w:tcW w:w="6622" w:type="dxa"/>
            <w:tcBorders/>
            <w:shd w:fill="CCEEFF" w:val="clear"/>
            <w:vAlign w:val="center"/>
          </w:tcPr>
          <w:p>
            <w:pPr>
              <w:pStyle w:val="TableContents"/>
              <w:bidi w:val="0"/>
              <w:spacing w:before="0" w:after="283"/>
              <w:jc w:val="left"/>
              <w:rPr/>
            </w:pPr>
            <w:r>
              <w:rPr/>
              <w:t>Federal Crop Insurance Corporation receivable / payable</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1,891</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3,611</w:t>
            </w:r>
          </w:p>
        </w:tc>
        <w:tc>
          <w:tcPr>
            <w:tcW w:w="768" w:type="dxa"/>
            <w:tcBorders/>
            <w:shd w:fill="CCEEFF" w:val="clear"/>
            <w:vAlign w:val="center"/>
          </w:tcPr>
          <w:p>
            <w:pPr>
              <w:pStyle w:val="TableContents"/>
              <w:bidi w:val="0"/>
              <w:spacing w:before="0" w:after="283"/>
              <w:ind w:left="0" w:right="0" w:hanging="36"/>
              <w:jc w:val="left"/>
              <w:rPr/>
            </w:pPr>
            <w:r>
              <w:rPr/>
              <w:t> </w:t>
            </w:r>
          </w:p>
        </w:tc>
      </w:tr>
      <w:tr>
        <w:trPr/>
        <w:tc>
          <w:tcPr>
            <w:tcW w:w="6622"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(61</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(2,041</w:t>
            </w:r>
          </w:p>
        </w:tc>
        <w:tc>
          <w:tcPr>
            <w:tcW w:w="768" w:type="dxa"/>
            <w:tcBorders/>
            <w:vAlign w:val="center"/>
          </w:tcPr>
          <w:p>
            <w:pPr>
              <w:pStyle w:val="TableContents"/>
              <w:bidi w:val="0"/>
              <w:spacing w:before="0" w:after="283"/>
              <w:ind w:left="0" w:right="0" w:hanging="36"/>
              <w:jc w:val="left"/>
              <w:rPr/>
            </w:pPr>
            <w:r>
              <w:rPr/>
              <w:t>)</w:t>
            </w:r>
          </w:p>
        </w:tc>
      </w:tr>
      <w:tr>
        <w:trPr/>
        <w:tc>
          <w:tcPr>
            <w:tcW w:w="6622" w:type="dxa"/>
            <w:tcBorders/>
            <w:shd w:fill="CCEEFF" w:val="clear"/>
            <w:vAlign w:val="center"/>
          </w:tcPr>
          <w:p>
            <w:pPr>
              <w:pStyle w:val="TableContents"/>
              <w:bidi w:val="0"/>
              <w:spacing w:before="0" w:after="283"/>
              <w:jc w:val="left"/>
              <w:rPr/>
            </w:pPr>
            <w:r>
              <w:rPr/>
              <w:t>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66,242</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29,342</w:t>
            </w:r>
          </w:p>
        </w:tc>
        <w:tc>
          <w:tcPr>
            <w:tcW w:w="768" w:type="dxa"/>
            <w:tcBorders/>
            <w:shd w:fill="CCEEFF" w:val="clear"/>
            <w:vAlign w:val="center"/>
          </w:tcPr>
          <w:p>
            <w:pPr>
              <w:pStyle w:val="TableContents"/>
              <w:bidi w:val="0"/>
              <w:spacing w:before="0" w:after="283"/>
              <w:ind w:left="0" w:right="0" w:hanging="36"/>
              <w:jc w:val="left"/>
              <w:rPr/>
            </w:pPr>
            <w:r>
              <w:rPr/>
              <w:t> </w:t>
            </w:r>
          </w:p>
        </w:tc>
      </w:tr>
      <w:tr>
        <w:trPr/>
        <w:tc>
          <w:tcPr>
            <w:tcW w:w="6622" w:type="dxa"/>
            <w:tcBorders/>
            <w:vAlign w:val="center"/>
          </w:tcPr>
          <w:p>
            <w:pPr>
              <w:pStyle w:val="TableContents"/>
              <w:bidi w:val="0"/>
              <w:spacing w:before="0" w:after="283"/>
              <w:jc w:val="left"/>
              <w:rPr/>
            </w:pPr>
            <w:r>
              <w:rPr/>
              <w:t>Unearned premiums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16,391</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31,630</w:t>
            </w:r>
          </w:p>
        </w:tc>
        <w:tc>
          <w:tcPr>
            <w:tcW w:w="768" w:type="dxa"/>
            <w:tcBorders/>
            <w:vAlign w:val="center"/>
          </w:tcPr>
          <w:p>
            <w:pPr>
              <w:pStyle w:val="TableContents"/>
              <w:bidi w:val="0"/>
              <w:spacing w:before="0" w:after="283"/>
              <w:ind w:left="0" w:right="0" w:hanging="36"/>
              <w:jc w:val="left"/>
              <w:rPr/>
            </w:pPr>
            <w:r>
              <w:rPr/>
              <w:t> </w:t>
            </w:r>
          </w:p>
        </w:tc>
      </w:tr>
      <w:tr>
        <w:trPr/>
        <w:tc>
          <w:tcPr>
            <w:tcW w:w="6622" w:type="dxa"/>
            <w:tcBorders/>
            <w:shd w:fill="CCEEFF" w:val="clear"/>
            <w:vAlign w:val="center"/>
          </w:tcPr>
          <w:p>
            <w:pPr>
              <w:pStyle w:val="TableContents"/>
              <w:bidi w:val="0"/>
              <w:spacing w:before="0" w:after="283"/>
              <w:jc w:val="left"/>
              <w:rPr/>
            </w:pPr>
            <w:r>
              <w:rPr/>
              <w:t>Accrued expenses and other liabilities</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5,377</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6,658</w:t>
            </w:r>
          </w:p>
        </w:tc>
        <w:tc>
          <w:tcPr>
            <w:tcW w:w="768" w:type="dxa"/>
            <w:tcBorders/>
            <w:shd w:fill="CCEEFF" w:val="clear"/>
            <w:vAlign w:val="center"/>
          </w:tcPr>
          <w:p>
            <w:pPr>
              <w:pStyle w:val="TableContents"/>
              <w:bidi w:val="0"/>
              <w:spacing w:before="0" w:after="283"/>
              <w:ind w:left="0" w:right="0" w:firstLine="630"/>
              <w:jc w:val="left"/>
              <w:rPr/>
            </w:pPr>
            <w:r>
              <w:rPr/>
              <w:t> </w:t>
            </w:r>
          </w:p>
        </w:tc>
      </w:tr>
      <w:tr>
        <w:trPr/>
        <w:tc>
          <w:tcPr>
            <w:tcW w:w="6622" w:type="dxa"/>
            <w:tcBorders/>
            <w:vAlign w:val="center"/>
          </w:tcPr>
          <w:p>
            <w:pPr>
              <w:pStyle w:val="TableContents"/>
              <w:bidi w:val="0"/>
              <w:spacing w:before="0" w:after="283"/>
              <w:jc w:val="left"/>
              <w:rPr/>
            </w:pPr>
            <w:r>
              <w:rPr/>
              <w:t>Net cash flows from operating activities – continuing operations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21,880</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16,707</w:t>
            </w:r>
          </w:p>
        </w:tc>
        <w:tc>
          <w:tcPr>
            <w:tcW w:w="768" w:type="dxa"/>
            <w:tcBorders/>
            <w:vAlign w:val="center"/>
          </w:tcPr>
          <w:p>
            <w:pPr>
              <w:pStyle w:val="TableContents"/>
              <w:bidi w:val="0"/>
              <w:spacing w:before="0" w:after="283"/>
              <w:ind w:left="0" w:right="0" w:firstLine="630"/>
              <w:jc w:val="left"/>
              <w:rPr/>
            </w:pPr>
            <w:r>
              <w:rPr/>
              <w:t> </w:t>
            </w:r>
          </w:p>
        </w:tc>
      </w:tr>
      <w:tr>
        <w:trPr/>
        <w:tc>
          <w:tcPr>
            <w:tcW w:w="6622" w:type="dxa"/>
            <w:tcBorders/>
            <w:shd w:fill="CCEEFF" w:val="clear"/>
            <w:vAlign w:val="center"/>
          </w:tcPr>
          <w:p>
            <w:pPr>
              <w:pStyle w:val="TableContents"/>
              <w:bidi w:val="0"/>
              <w:spacing w:before="0" w:after="283"/>
              <w:jc w:val="left"/>
              <w:rPr/>
            </w:pPr>
            <w:r>
              <w:rPr/>
              <w:t>Net cash flows from operating activities – discontinued operations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10,493</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Net cash flows from operating activities – loss on sale of discontinued operations</w:t>
            </w:r>
          </w:p>
        </w:tc>
        <w:tc>
          <w:tcPr>
            <w:tcW w:w="90"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283"/>
              <w:jc w:val="right"/>
              <w:rPr/>
            </w:pPr>
            <w:r>
              <w:rPr/>
              <w:t>19,251</w:t>
            </w:r>
          </w:p>
        </w:tc>
        <w:tc>
          <w:tcPr>
            <w:tcW w:w="768" w:type="dxa"/>
            <w:tcBorders/>
            <w:vAlign w:val="center"/>
          </w:tcPr>
          <w:p>
            <w:pPr>
              <w:pStyle w:val="TableContents"/>
              <w:bidi w:val="0"/>
              <w:spacing w:before="0" w:after="283"/>
              <w:ind w:left="0" w:right="0" w:firstLine="630"/>
              <w:jc w:val="left"/>
              <w:rPr/>
            </w:pPr>
            <w:r>
              <w:rPr/>
              <w:t> </w:t>
            </w:r>
          </w:p>
        </w:tc>
      </w:tr>
      <w:tr>
        <w:trPr/>
        <w:tc>
          <w:tcPr>
            <w:tcW w:w="6622" w:type="dxa"/>
            <w:tcBorders/>
            <w:shd w:fill="CCEEFF" w:val="clear"/>
            <w:vAlign w:val="center"/>
          </w:tcPr>
          <w:p>
            <w:pPr>
              <w:pStyle w:val="TableContents"/>
              <w:bidi w:val="0"/>
              <w:spacing w:before="0" w:after="283"/>
              <w:jc w:val="left"/>
              <w:rPr/>
            </w:pPr>
            <w:r>
              <w:rPr/>
              <w:t>Total adjustments</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21,880</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46,451</w:t>
            </w:r>
          </w:p>
        </w:tc>
        <w:tc>
          <w:tcPr>
            <w:tcW w:w="768" w:type="dxa"/>
            <w:tcBorders/>
            <w:shd w:fill="CCEEFF" w:val="clear"/>
            <w:vAlign w:val="center"/>
          </w:tcPr>
          <w:p>
            <w:pPr>
              <w:pStyle w:val="TableContents"/>
              <w:bidi w:val="0"/>
              <w:spacing w:before="0" w:after="283"/>
              <w:ind w:left="0" w:right="0" w:firstLine="630"/>
              <w:jc w:val="left"/>
              <w:rPr/>
            </w:pPr>
            <w:r>
              <w:rPr/>
              <w:t> </w:t>
            </w:r>
          </w:p>
        </w:tc>
      </w:tr>
      <w:tr>
        <w:trPr/>
        <w:tc>
          <w:tcPr>
            <w:tcW w:w="6622" w:type="dxa"/>
            <w:tcBorders/>
            <w:vAlign w:val="center"/>
          </w:tcPr>
          <w:p>
            <w:pPr>
              <w:pStyle w:val="TableContents"/>
              <w:bidi w:val="0"/>
              <w:spacing w:before="0" w:after="283"/>
              <w:jc w:val="left"/>
              <w:rPr/>
            </w:pPr>
            <w:r>
              <w:rPr/>
              <w:t>Net cash flows from operating activities</w:t>
            </w:r>
          </w:p>
        </w:tc>
        <w:tc>
          <w:tcPr>
            <w:tcW w:w="90"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283"/>
              <w:jc w:val="right"/>
              <w:rPr/>
            </w:pPr>
            <w:r>
              <w:rPr/>
              <w:t>16,289</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283"/>
              <w:jc w:val="right"/>
              <w:rPr/>
            </w:pPr>
            <w:r>
              <w:rPr/>
              <w:t>34,760</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Cash flows from investing activities: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Proceeds from maturities and sales of fixed income securities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13,714</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15,596</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Proceeds from sales of equity securities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3,098</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3,827</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Purchases of fixed income securities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(23,641</w:t>
            </w:r>
          </w:p>
        </w:tc>
        <w:tc>
          <w:tcPr>
            <w:tcW w:w="159"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(32,239</w:t>
            </w:r>
          </w:p>
        </w:tc>
        <w:tc>
          <w:tcPr>
            <w:tcW w:w="768" w:type="dxa"/>
            <w:tcBorders/>
            <w:shd w:fill="CCEEFF" w:val="clear"/>
            <w:vAlign w:val="center"/>
          </w:tcPr>
          <w:p>
            <w:pPr>
              <w:pStyle w:val="TableContents"/>
              <w:bidi w:val="0"/>
              <w:spacing w:before="0" w:after="283"/>
              <w:jc w:val="left"/>
              <w:rPr/>
            </w:pPr>
            <w:r>
              <w:rPr/>
              <w:t>)</w:t>
            </w:r>
          </w:p>
        </w:tc>
      </w:tr>
      <w:tr>
        <w:trPr/>
        <w:tc>
          <w:tcPr>
            <w:tcW w:w="6622" w:type="dxa"/>
            <w:tcBorders/>
            <w:vAlign w:val="center"/>
          </w:tcPr>
          <w:p>
            <w:pPr>
              <w:pStyle w:val="TableContents"/>
              <w:bidi w:val="0"/>
              <w:spacing w:before="0" w:after="283"/>
              <w:jc w:val="left"/>
              <w:rPr/>
            </w:pPr>
            <w:r>
              <w:rPr/>
              <w:t>Purchases of equity securities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(3,255</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(3,935</w:t>
            </w:r>
          </w:p>
        </w:tc>
        <w:tc>
          <w:tcPr>
            <w:tcW w:w="768" w:type="dxa"/>
            <w:tcBorders/>
            <w:vAlign w:val="center"/>
          </w:tcPr>
          <w:p>
            <w:pPr>
              <w:pStyle w:val="TableContents"/>
              <w:bidi w:val="0"/>
              <w:spacing w:before="0" w:after="283"/>
              <w:jc w:val="left"/>
              <w:rPr/>
            </w:pPr>
            <w:r>
              <w:rPr/>
              <w:t>)</w:t>
            </w:r>
          </w:p>
        </w:tc>
      </w:tr>
      <w:tr>
        <w:trPr/>
        <w:tc>
          <w:tcPr>
            <w:tcW w:w="6622"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(182</w:t>
            </w:r>
          </w:p>
        </w:tc>
        <w:tc>
          <w:tcPr>
            <w:tcW w:w="159"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(630</w:t>
            </w:r>
          </w:p>
        </w:tc>
        <w:tc>
          <w:tcPr>
            <w:tcW w:w="768" w:type="dxa"/>
            <w:tcBorders/>
            <w:shd w:fill="CCEEFF" w:val="clear"/>
            <w:vAlign w:val="center"/>
          </w:tcPr>
          <w:p>
            <w:pPr>
              <w:pStyle w:val="TableContents"/>
              <w:bidi w:val="0"/>
              <w:spacing w:before="0" w:after="283"/>
              <w:ind w:left="0" w:right="0" w:hanging="216"/>
              <w:jc w:val="left"/>
              <w:rPr/>
            </w:pPr>
            <w:r>
              <w:rPr/>
              <w:t>)</w:t>
            </w:r>
          </w:p>
        </w:tc>
      </w:tr>
      <w:tr>
        <w:trPr/>
        <w:tc>
          <w:tcPr>
            <w:tcW w:w="6622" w:type="dxa"/>
            <w:tcBorders/>
            <w:vAlign w:val="center"/>
          </w:tcPr>
          <w:p>
            <w:pPr>
              <w:pStyle w:val="TableContents"/>
              <w:bidi w:val="0"/>
              <w:spacing w:before="0" w:after="283"/>
              <w:jc w:val="left"/>
              <w:rPr/>
            </w:pPr>
            <w:r>
              <w:rPr/>
              <w:t>Proceeds from sales of property and equipment</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20</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227</w:t>
            </w:r>
          </w:p>
        </w:tc>
        <w:tc>
          <w:tcPr>
            <w:tcW w:w="768" w:type="dxa"/>
            <w:tcBorders/>
            <w:vAlign w:val="center"/>
          </w:tcPr>
          <w:p>
            <w:pPr>
              <w:pStyle w:val="TableContents"/>
              <w:bidi w:val="0"/>
              <w:spacing w:before="0" w:after="283"/>
              <w:ind w:left="0" w:right="0" w:hanging="216"/>
              <w:jc w:val="left"/>
              <w:rPr/>
            </w:pPr>
            <w:r>
              <w:rPr/>
              <w:t> </w:t>
            </w:r>
          </w:p>
        </w:tc>
      </w:tr>
      <w:tr>
        <w:trPr/>
        <w:tc>
          <w:tcPr>
            <w:tcW w:w="6622" w:type="dxa"/>
            <w:tcBorders/>
            <w:shd w:fill="CCEEFF" w:val="clear"/>
            <w:vAlign w:val="center"/>
          </w:tcPr>
          <w:p>
            <w:pPr>
              <w:pStyle w:val="TableContents"/>
              <w:bidi w:val="0"/>
              <w:spacing w:before="0" w:after="283"/>
              <w:jc w:val="left"/>
              <w:rPr/>
            </w:pPr>
            <w:r>
              <w:rPr/>
              <w:t>Proceeds from disposition of Westminster</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10,500</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Net cash flows from investing activities – continuing operations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(10,246</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(6,654</w:t>
            </w:r>
          </w:p>
        </w:tc>
        <w:tc>
          <w:tcPr>
            <w:tcW w:w="768" w:type="dxa"/>
            <w:tcBorders/>
            <w:vAlign w:val="center"/>
          </w:tcPr>
          <w:p>
            <w:pPr>
              <w:pStyle w:val="TableContents"/>
              <w:bidi w:val="0"/>
              <w:spacing w:before="0" w:after="283"/>
              <w:jc w:val="left"/>
              <w:rPr/>
            </w:pPr>
            <w:r>
              <w:rPr/>
              <w:t>)</w:t>
            </w:r>
          </w:p>
        </w:tc>
      </w:tr>
      <w:tr>
        <w:trPr/>
        <w:tc>
          <w:tcPr>
            <w:tcW w:w="6622" w:type="dxa"/>
            <w:tcBorders/>
            <w:shd w:fill="CCEEFF" w:val="clear"/>
            <w:vAlign w:val="center"/>
          </w:tcPr>
          <w:p>
            <w:pPr>
              <w:pStyle w:val="TableContents"/>
              <w:bidi w:val="0"/>
              <w:spacing w:before="0" w:after="283"/>
              <w:jc w:val="left"/>
              <w:rPr/>
            </w:pPr>
            <w:r>
              <w:rPr/>
              <w:t>Net cash flows from investing activities – discontinued operations</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2,878</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Net cash flows from investing activities</w:t>
            </w:r>
          </w:p>
        </w:tc>
        <w:tc>
          <w:tcPr>
            <w:tcW w:w="90"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283"/>
              <w:jc w:val="right"/>
              <w:rPr/>
            </w:pPr>
            <w:r>
              <w:rPr/>
              <w:t>(10,246</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283"/>
              <w:jc w:val="right"/>
              <w:rPr/>
            </w:pPr>
            <w:r>
              <w:rPr/>
              <w:t>(3,776</w:t>
            </w:r>
          </w:p>
        </w:tc>
        <w:tc>
          <w:tcPr>
            <w:tcW w:w="768" w:type="dxa"/>
            <w:tcBorders/>
            <w:vAlign w:val="center"/>
          </w:tcPr>
          <w:p>
            <w:pPr>
              <w:pStyle w:val="TableContents"/>
              <w:bidi w:val="0"/>
              <w:spacing w:before="0" w:after="283"/>
              <w:jc w:val="left"/>
              <w:rPr/>
            </w:pPr>
            <w:r>
              <w:rPr/>
              <w:t>)</w:t>
            </w:r>
          </w:p>
        </w:tc>
      </w:tr>
      <w:tr>
        <w:trPr/>
        <w:tc>
          <w:tcPr>
            <w:tcW w:w="662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Cash flows from financing activities: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Pooling (payments) receipts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(7,058</w:t>
            </w:r>
          </w:p>
        </w:tc>
        <w:tc>
          <w:tcPr>
            <w:tcW w:w="768" w:type="dxa"/>
            <w:tcBorders/>
            <w:shd w:fill="CCEEFF" w:val="clear"/>
            <w:vAlign w:val="center"/>
          </w:tcPr>
          <w:p>
            <w:pPr>
              <w:pStyle w:val="TableContents"/>
              <w:bidi w:val="0"/>
              <w:spacing w:before="0" w:after="283"/>
              <w:jc w:val="left"/>
              <w:rPr/>
            </w:pPr>
            <w:r>
              <w:rPr/>
              <w:t>)</w:t>
            </w:r>
          </w:p>
        </w:tc>
      </w:tr>
      <w:tr>
        <w:trPr/>
        <w:tc>
          <w:tcPr>
            <w:tcW w:w="6622" w:type="dxa"/>
            <w:tcBorders/>
            <w:vAlign w:val="center"/>
          </w:tcPr>
          <w:p>
            <w:pPr>
              <w:pStyle w:val="TableContents"/>
              <w:bidi w:val="0"/>
              <w:spacing w:before="0" w:after="283"/>
              <w:jc w:val="left"/>
              <w:rPr/>
            </w:pPr>
            <w:r>
              <w:rPr/>
              <w:t>Principal repayments of finance leases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(53</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(48</w:t>
            </w:r>
          </w:p>
        </w:tc>
        <w:tc>
          <w:tcPr>
            <w:tcW w:w="768" w:type="dxa"/>
            <w:tcBorders/>
            <w:vAlign w:val="center"/>
          </w:tcPr>
          <w:p>
            <w:pPr>
              <w:pStyle w:val="TableContents"/>
              <w:bidi w:val="0"/>
              <w:spacing w:before="0" w:after="283"/>
              <w:jc w:val="left"/>
              <w:rPr/>
            </w:pPr>
            <w:r>
              <w:rPr/>
              <w:t>)</w:t>
            </w:r>
          </w:p>
        </w:tc>
      </w:tr>
      <w:tr>
        <w:trPr/>
        <w:tc>
          <w:tcPr>
            <w:tcW w:w="6622" w:type="dxa"/>
            <w:tcBorders/>
            <w:shd w:fill="CCEEFF" w:val="clear"/>
            <w:vAlign w:val="center"/>
          </w:tcPr>
          <w:p>
            <w:pPr>
              <w:pStyle w:val="TableContents"/>
              <w:bidi w:val="0"/>
              <w:spacing w:before="0" w:after="283"/>
              <w:jc w:val="left"/>
              <w:rPr/>
            </w:pPr>
            <w:r>
              <w:rPr/>
              <w:t>Issuance of vested award shares</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(136</w:t>
            </w:r>
          </w:p>
        </w:tc>
        <w:tc>
          <w:tcPr>
            <w:tcW w:w="159"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768" w:type="dxa"/>
            <w:tcBorders/>
            <w:shd w:fill="CCEEFF" w:val="clear"/>
            <w:vAlign w:val="center"/>
          </w:tcPr>
          <w:p>
            <w:pPr>
              <w:pStyle w:val="TableContents"/>
              <w:bidi w:val="0"/>
              <w:spacing w:before="0" w:after="283"/>
              <w:jc w:val="left"/>
              <w:rPr/>
            </w:pPr>
            <w:r>
              <w:rPr/>
              <w:t>)</w:t>
            </w:r>
          </w:p>
        </w:tc>
      </w:tr>
      <w:tr>
        <w:trPr/>
        <w:tc>
          <w:tcPr>
            <w:tcW w:w="6622" w:type="dxa"/>
            <w:tcBorders/>
            <w:vAlign w:val="center"/>
          </w:tcPr>
          <w:p>
            <w:pPr>
              <w:pStyle w:val="TableContents"/>
              <w:bidi w:val="0"/>
              <w:spacing w:before="0" w:after="283"/>
              <w:jc w:val="left"/>
              <w:rPr/>
            </w:pPr>
            <w:r>
              <w:rPr/>
              <w:t>Net cash flows from financing activities – continuing operations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(189</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(7,260</w:t>
            </w:r>
          </w:p>
        </w:tc>
        <w:tc>
          <w:tcPr>
            <w:tcW w:w="768" w:type="dxa"/>
            <w:tcBorders/>
            <w:vAlign w:val="center"/>
          </w:tcPr>
          <w:p>
            <w:pPr>
              <w:pStyle w:val="TableContents"/>
              <w:bidi w:val="0"/>
              <w:spacing w:before="0" w:after="283"/>
              <w:jc w:val="left"/>
              <w:rPr/>
            </w:pPr>
            <w:r>
              <w:rPr/>
              <w:t>)</w:t>
            </w:r>
          </w:p>
        </w:tc>
      </w:tr>
      <w:tr>
        <w:trPr/>
        <w:tc>
          <w:tcPr>
            <w:tcW w:w="6622" w:type="dxa"/>
            <w:tcBorders/>
            <w:shd w:fill="CCEEFF" w:val="clear"/>
            <w:vAlign w:val="center"/>
          </w:tcPr>
          <w:p>
            <w:pPr>
              <w:pStyle w:val="TableContents"/>
              <w:bidi w:val="0"/>
              <w:spacing w:before="0" w:after="283"/>
              <w:jc w:val="left"/>
              <w:rPr/>
            </w:pPr>
            <w:r>
              <w:rPr/>
              <w:t>Net cash flows from financing activities – discontinued operations</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7,058</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Net cash flows from financing activities</w:t>
            </w:r>
          </w:p>
        </w:tc>
        <w:tc>
          <w:tcPr>
            <w:tcW w:w="90"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283"/>
              <w:jc w:val="right"/>
              <w:rPr/>
            </w:pPr>
            <w:r>
              <w:rPr/>
              <w:t>(189</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283"/>
              <w:jc w:val="right"/>
              <w:rPr/>
            </w:pPr>
            <w:r>
              <w:rPr/>
              <w:t>(202</w:t>
            </w:r>
          </w:p>
        </w:tc>
        <w:tc>
          <w:tcPr>
            <w:tcW w:w="768" w:type="dxa"/>
            <w:tcBorders/>
            <w:vAlign w:val="center"/>
          </w:tcPr>
          <w:p>
            <w:pPr>
              <w:pStyle w:val="TableContents"/>
              <w:bidi w:val="0"/>
              <w:spacing w:before="0" w:after="283"/>
              <w:jc w:val="left"/>
              <w:rPr/>
            </w:pPr>
            <w:r>
              <w:rPr/>
              <w:t>)</w:t>
            </w:r>
          </w:p>
        </w:tc>
      </w:tr>
      <w:tr>
        <w:trPr/>
        <w:tc>
          <w:tcPr>
            <w:tcW w:w="662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Net change in cash and cash equivalents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5,854</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30,782</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(Increase) decrease in cash and cash equivalents – discontinued operations</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(20,429</w:t>
            </w:r>
          </w:p>
        </w:tc>
        <w:tc>
          <w:tcPr>
            <w:tcW w:w="768" w:type="dxa"/>
            <w:tcBorders/>
            <w:shd w:fill="CCEEFF" w:val="clear"/>
            <w:vAlign w:val="center"/>
          </w:tcPr>
          <w:p>
            <w:pPr>
              <w:pStyle w:val="TableContents"/>
              <w:bidi w:val="0"/>
              <w:spacing w:before="0" w:after="283"/>
              <w:jc w:val="left"/>
              <w:rPr/>
            </w:pPr>
            <w:r>
              <w:rPr/>
              <w:t>)</w:t>
            </w:r>
          </w:p>
        </w:tc>
      </w:tr>
      <w:tr>
        <w:trPr/>
        <w:tc>
          <w:tcPr>
            <w:tcW w:w="6622" w:type="dxa"/>
            <w:tcBorders/>
            <w:vAlign w:val="center"/>
          </w:tcPr>
          <w:p>
            <w:pPr>
              <w:pStyle w:val="TableContents"/>
              <w:bidi w:val="0"/>
              <w:spacing w:before="0" w:after="283"/>
              <w:jc w:val="left"/>
              <w:rPr/>
            </w:pPr>
            <w:r>
              <w:rPr/>
              <w:t>Net increase (decrease) in cash and cash equivalents – continuing operations</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5,854</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10,353</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Cash and cash equivalents at beginning of period – continuing operations</w:t>
            </w:r>
          </w:p>
        </w:tc>
        <w:tc>
          <w:tcPr>
            <w:tcW w:w="90"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283"/>
              <w:jc w:val="right"/>
              <w:rPr/>
            </w:pPr>
            <w:r>
              <w:rPr/>
              <w:t>50,930</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tcMar>
              <w:bottom w:w="28" w:type="dxa"/>
            </w:tcMar>
            <w:vAlign w:val="center"/>
          </w:tcPr>
          <w:p>
            <w:pPr>
              <w:pStyle w:val="TableContents"/>
              <w:bidi w:val="0"/>
              <w:spacing w:before="0" w:after="283"/>
              <w:jc w:val="right"/>
              <w:rPr/>
            </w:pPr>
            <w:r>
              <w:rPr/>
              <w:t>41,037</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768" w:type="dxa"/>
            <w:tcBorders/>
            <w:shd w:fill="CCEEFF" w:val="clear"/>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pPr>
            <w:r>
              <w:rPr/>
              <w:t>Cash and cash equivalents at end of period – continuing operations</w:t>
            </w:r>
          </w:p>
        </w:tc>
        <w:tc>
          <w:tcPr>
            <w:tcW w:w="90" w:type="dxa"/>
            <w:tcBorders/>
            <w:vAlign w:val="center"/>
          </w:tcPr>
          <w:p>
            <w:pPr>
              <w:pStyle w:val="TableContents"/>
              <w:bidi w:val="0"/>
              <w:spacing w:before="0" w:after="283"/>
              <w:jc w:val="left"/>
              <w:rPr/>
            </w:pPr>
            <w:r>
              <w:rPr/>
              <w:t> </w:t>
            </w:r>
          </w:p>
        </w:tc>
        <w:tc>
          <w:tcPr>
            <w:tcW w:w="218" w:type="dxa"/>
            <w:tcBorders>
              <w:bottom w:val="double" w:sz="6" w:space="0" w:color="000000"/>
            </w:tcBorders>
            <w:tcMar>
              <w:bottom w:w="28" w:type="dxa"/>
            </w:tcMar>
            <w:vAlign w:val="center"/>
          </w:tcPr>
          <w:p>
            <w:pPr>
              <w:pStyle w:val="TableContents"/>
              <w:bidi w:val="0"/>
              <w:spacing w:before="0" w:after="283"/>
              <w:jc w:val="left"/>
              <w:rPr/>
            </w:pPr>
            <w:r>
              <w:rPr/>
              <w:t>$</w:t>
            </w:r>
          </w:p>
        </w:tc>
        <w:tc>
          <w:tcPr>
            <w:tcW w:w="1008" w:type="dxa"/>
            <w:tcBorders>
              <w:bottom w:val="double" w:sz="6" w:space="0" w:color="000000"/>
            </w:tcBorders>
            <w:tcMar>
              <w:bottom w:w="28" w:type="dxa"/>
            </w:tcMar>
            <w:vAlign w:val="center"/>
          </w:tcPr>
          <w:p>
            <w:pPr>
              <w:pStyle w:val="TableContents"/>
              <w:bidi w:val="0"/>
              <w:spacing w:before="0" w:after="283"/>
              <w:jc w:val="right"/>
              <w:rPr/>
            </w:pPr>
            <w:r>
              <w:rPr/>
              <w:t>56,784</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bottom w:val="double" w:sz="6" w:space="0" w:color="000000"/>
            </w:tcBorders>
            <w:tcMar>
              <w:bottom w:w="28" w:type="dxa"/>
            </w:tcMar>
            <w:vAlign w:val="center"/>
          </w:tcPr>
          <w:p>
            <w:pPr>
              <w:pStyle w:val="TableContents"/>
              <w:bidi w:val="0"/>
              <w:spacing w:before="0" w:after="283"/>
              <w:jc w:val="left"/>
              <w:rPr/>
            </w:pPr>
            <w:r>
              <w:rPr/>
              <w:t>$</w:t>
            </w:r>
          </w:p>
        </w:tc>
        <w:tc>
          <w:tcPr>
            <w:tcW w:w="1008" w:type="dxa"/>
            <w:tcBorders>
              <w:bottom w:val="double" w:sz="6" w:space="0" w:color="000000"/>
            </w:tcBorders>
            <w:tcMar>
              <w:bottom w:w="28" w:type="dxa"/>
            </w:tcMar>
            <w:vAlign w:val="center"/>
          </w:tcPr>
          <w:p>
            <w:pPr>
              <w:pStyle w:val="TableContents"/>
              <w:bidi w:val="0"/>
              <w:spacing w:before="0" w:after="283"/>
              <w:jc w:val="right"/>
              <w:rPr/>
            </w:pPr>
            <w:r>
              <w:rPr/>
              <w:t>51,390</w:t>
            </w:r>
          </w:p>
        </w:tc>
        <w:tc>
          <w:tcPr>
            <w:tcW w:w="768"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768" w:type="dxa"/>
            <w:tcBorders/>
            <w:shd w:fill="CCEEFF" w:val="clear"/>
            <w:vAlign w:val="center"/>
          </w:tcPr>
          <w:p>
            <w:pPr>
              <w:pStyle w:val="TableContents"/>
              <w:bidi w:val="0"/>
              <w:spacing w:before="0" w:after="283"/>
              <w:ind w:left="0" w:right="0" w:hanging="216"/>
              <w:jc w:val="left"/>
              <w:rPr/>
            </w:pPr>
            <w:r>
              <w:rPr/>
              <w:t> </w:t>
            </w:r>
          </w:p>
        </w:tc>
      </w:tr>
      <w:tr>
        <w:trPr/>
        <w:tc>
          <w:tcPr>
            <w:tcW w:w="6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68" w:type="dxa"/>
            <w:tcBorders/>
            <w:vAlign w:val="center"/>
          </w:tcPr>
          <w:p>
            <w:pPr>
              <w:pStyle w:val="TableContents"/>
              <w:bidi w:val="0"/>
              <w:spacing w:before="0" w:after="283"/>
              <w:ind w:left="0" w:right="0" w:hanging="216"/>
              <w:jc w:val="left"/>
              <w:rPr/>
            </w:pPr>
            <w:r>
              <w:rPr/>
              <w:t> </w:t>
            </w:r>
          </w:p>
        </w:tc>
      </w:tr>
      <w:tr>
        <w:trPr/>
        <w:tc>
          <w:tcPr>
            <w:tcW w:w="6622" w:type="dxa"/>
            <w:tcBorders/>
            <w:shd w:fill="CCEEFF" w:val="clear"/>
            <w:vAlign w:val="center"/>
          </w:tcPr>
          <w:p>
            <w:pPr>
              <w:pStyle w:val="TableContents"/>
              <w:bidi w:val="0"/>
              <w:spacing w:before="0" w:after="283"/>
              <w:jc w:val="left"/>
              <w:rPr/>
            </w:pPr>
            <w:r>
              <w:rPr/>
              <w:t>Federal and state income taxes paid (net of refunds received)</w:t>
            </w:r>
          </w:p>
        </w:tc>
        <w:tc>
          <w:tcPr>
            <w:tcW w:w="9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2,975</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2,848</w:t>
            </w:r>
          </w:p>
        </w:tc>
        <w:tc>
          <w:tcPr>
            <w:tcW w:w="7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9" w:name="a_009"/>
      <w:bookmarkStart w:id="10" w:name="a_009"/>
      <w:bookmarkEnd w:id="10"/>
    </w:p>
    <w:tbl>
      <w:tblPr>
        <w:tblW w:w="5000" w:type="pct"/>
        <w:jc w:val="left"/>
        <w:tblInd w:w="0" w:type="dxa"/>
        <w:tblLayout w:type="fixed"/>
        <w:tblCellMar>
          <w:top w:w="0" w:type="dxa"/>
          <w:left w:w="0" w:type="dxa"/>
          <w:bottom w:w="0" w:type="dxa"/>
          <w:right w:w="0" w:type="dxa"/>
        </w:tblCellMar>
      </w:tblPr>
      <w:tblGrid>
        <w:gridCol w:w="401"/>
        <w:gridCol w:w="1358"/>
        <w:gridCol w:w="8446"/>
      </w:tblGrid>
      <w:tr>
        <w:trPr/>
        <w:tc>
          <w:tcPr>
            <w:tcW w:w="40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b/>
              </w:rPr>
            </w:pPr>
            <w:r>
              <w:rPr>
                <w:b/>
              </w:rPr>
              <w:t>1.</w:t>
            </w:r>
          </w:p>
        </w:tc>
        <w:tc>
          <w:tcPr>
            <w:tcW w:w="8446" w:type="dxa"/>
            <w:tcBorders/>
            <w:vAlign w:val="center"/>
          </w:tcPr>
          <w:p>
            <w:pPr>
              <w:pStyle w:val="TableContents"/>
              <w:bidi w:val="0"/>
              <w:spacing w:before="0" w:after="283"/>
              <w:jc w:val="both"/>
              <w:rPr>
                <w:b/>
              </w:rPr>
            </w:pPr>
            <w:r>
              <w:rPr>
                <w:b/>
              </w:rPr>
              <w:t>Organization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is a North Dakota business corporation that is the stock holding company of Nodak Insurance and became such in connection with the Nodak conversion, whereby Nodak Mutual converted from a mutual to stock form of organization and the creation of a mutual holding company. The Nodak conversion was consummated on March 13, 2017. Immediately following the Nodak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Nodak conversion, NI Holdings conducted no business and had no assets or liabilities. As a result of the Nodak conversion, NI Holdings became the holding company for Nodak Insurance and its existing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consolidated financial statements include the financial position and results of operations of NI Holdings and the following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Agency,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Agency is an inactive shell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American West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West is a property and casualty insurance company licensed in eight states in the Midwest and Western regions of the United States (“U.S.”). American West began writing policies in 2002 and primarily writes private passenger auto, homeowners, and farm coverages in South Dakota. American West also writes private passenger auto coverage in North Dakota, as well as crop hail and Federal multi-peril crop insurance coverages in Minnesota and South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Primero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Primero is a wholly-owned subsidiary of Tri-State, Ltd. Tri-State, Ltd. is an inactive shell corporation 100% owned by Nodak Insurance. Primero is a property and casualty insurance company writing non-standard auto coverage in the states of Arizona, North Dakota, and South Dakota. Prior to December 31, 2024, Primero also wrote non-standard auto coverage in the state of Nevada. Primero was acquired by Nodak Insurance in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Battle Creek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and its net income or loss was excluded from net income or loss attributed to NI Holdings in our Consolidated Statements of Operations. Subsequent to January 2, 2024, Battle Creek is fully consolidated in our Consolidated Balance Sheets and Consolidated Statements of Operations and, as such, no longer reflected as a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Auto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is a property and casualty insurance company licensed in Illinois. Direct Auto began writing non-standard auto coverage in 2007, and was acquired by NI Holdings on August 31, 2018, via a stock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Westminster American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was a property and casualty insurance company underwriting commercial multi-peril insurance in 18 states and the District of Columbia. Westminster was sold to Scott Insurance Holdings on June 30, 2024. Subsequent to the date of sale, Westminster is reflected as discontinued operations within our Consolidated Balance Sheets and Consolidated Statements of Operations. For additional information see Part I, Item 1, Note 19 “Discontinued Operations”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Organizational Structure and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markets and distributes its policies through its captive agents, while all other companies utilize the independent agent distribution channel. Additionally, all of the Company’s insurance subsidiary and affiliate companies, excluding Westminster, are rated “A” Excellent by A.M. Best Company, Inc. (“AM Best”), a global credit rating agency specializing in the insurance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same executive management team provides oversight and strategic direction for the entire organization. Westminster personnel managed the day-to-day operations of their company prior to the date of sale.</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30"/>
        <w:gridCol w:w="4685"/>
      </w:tblGrid>
      <w:tr>
        <w:trPr/>
        <w:tc>
          <w:tcPr>
            <w:tcW w:w="230" w:type="dxa"/>
            <w:tcBorders/>
            <w:vAlign w:val="center"/>
          </w:tcPr>
          <w:p>
            <w:pPr>
              <w:pStyle w:val="TableContents"/>
              <w:bidi w:val="0"/>
              <w:spacing w:before="0" w:after="283"/>
              <w:jc w:val="left"/>
              <w:rPr>
                <w:b/>
              </w:rPr>
            </w:pPr>
            <w:r>
              <w:rPr>
                <w:b/>
              </w:rPr>
              <w:t>2.</w:t>
            </w:r>
          </w:p>
        </w:tc>
        <w:tc>
          <w:tcPr>
            <w:tcW w:w="4685" w:type="dxa"/>
            <w:tcBorders/>
            <w:vAlign w:val="center"/>
          </w:tcPr>
          <w:p>
            <w:pPr>
              <w:pStyle w:val="TableContents"/>
              <w:bidi w:val="0"/>
              <w:spacing w:before="0" w:after="283"/>
              <w:jc w:val="left"/>
              <w:rPr>
                <w:b/>
              </w:rPr>
            </w:pPr>
            <w:r>
              <w:rPr>
                <w:b/>
              </w:rPr>
              <w:t>Basis of Presentation and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2024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at December 31, 2024, has been derived from the audited consolidated financial statements at that date but does not include all of the information and footnotes required by GAAP for complete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estimates and assumptions that can have a significant effect on amounts and disclosures we report in our unaudited consolidated financial statements. The most significant estimates relate to our reserves for unpaid losses and loss adjustment expenses, earned premiums for crop insurance, valuation of investments, determination of credit impairments, valuation allowances for deferred income tax assets, deferred policy acquisition costs, as well as valuation and impairments of goodwill and other intangible assets. While we believe our estimates are appropriate, the ultimate amounts may differ from the estimates provided. We regularly review our methods for making these estimates as well as the continued appropriateness of the estimated amounts, and we reflect any adjustment we consider necessary in our current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interim periods ended June 30, 2025, are not necessarily indicative of the results that may be expected for the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2024 Annual Report describes the accounting policies and estimates that are critical to the understanding of our results of operations, financial condition, and liquidity. The accounting policies and estimation processes described in the 2024 Annual Report were consistently applied to the unaudited consolidated financial statements as of and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Enactment of the One Big Beautiful Bill Act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enacted a budget reconciliation package knows as the One Big Beautiful Bill Act of 2025 (OBBBA) which includes both tax and non-tax provisions. The legislation has multiple effective dates, with certain provisions effective in 2025 and others through 2027. The Company believes that the changes resulting from the tax provisions in the OBBBA are not expected to have a material impact on the Company’s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NI Holdings entered into a Stock Purchase Agreement (“Purchase Agreement”) to sell its subsidiary, Westminster, to Scott Insurance Holdings, a privately owned Maryland limited liability company. Scott Insurance Holdings is affiliated with John Scott, Sr., the father of the president of Westminster, John Scott, Jr. The sale closed on June 30, 2024. The Purchase Agreement included a cash purchase price of $10,500, subject to certain post-closing adjustments, including a post-closing payment to NI Holdings for the amount by which the ending statutory surplus balance for Westminster exceeded $20,000. The post-closing payment received from Scott Insurance Holdings during the third quarter of 2024 was $1,772 and has been included as an adjustment to the purchase price for the calculation of the loss on the sale of Westminster. The sale of Westminster, which represented the majority of our Commercial segment in prior periods, was a strategic shift that has had a major effect on our operations and financial results. Therefore, Westminster has been reported as discontinued operations in the Consolidated Balance Sheets, Consolidated Statements of Operations, and Consolidated Statements of Cash Flows for all periods presented in this Form 10-Q. All current and prior periods reflected in this Form 10-Q have been presented as continuing and discontinued operations, unless otherwise noted. For additional information see Part I, Item 1, Note 19 “Discontinued Operations”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accounting pronouncements that the Company adopted during the periods presented, see Part II, Item 8, Note 2 “Recent Accounting Pronouncements” section of the 2024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 Yet Adopted</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Improvements to Income Tax Disclosures</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This guidance requires that an entity, on an annual basis, disclose additional income tax information, primarily related to the rate reconciliation and income taxes paid. The guidance is intended to enhance the transparency and decision usefulness of income tax disclosures. The amendments in this update are effective for annual periods beginning after December 15, 2024. We are currently evaluating the impact of the new standard on our consolidated financial statements, which is expected to result in enhanced disclosures.</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Income Statement Expenses</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This guidance is intended to improve disclosures about a public business entity's expenses and address requests 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statement of operations,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30"/>
        <w:gridCol w:w="1295"/>
      </w:tblGrid>
      <w:tr>
        <w:trPr/>
        <w:tc>
          <w:tcPr>
            <w:tcW w:w="230" w:type="dxa"/>
            <w:tcBorders/>
            <w:vAlign w:val="center"/>
          </w:tcPr>
          <w:p>
            <w:pPr>
              <w:pStyle w:val="TableContents"/>
              <w:bidi w:val="0"/>
              <w:spacing w:before="0" w:after="283"/>
              <w:jc w:val="left"/>
              <w:rPr>
                <w:b/>
              </w:rPr>
            </w:pPr>
            <w:r>
              <w:rPr>
                <w:b/>
              </w:rPr>
              <w:t>3.</w:t>
            </w:r>
          </w:p>
        </w:tc>
        <w:tc>
          <w:tcPr>
            <w:tcW w:w="1295" w:type="dxa"/>
            <w:tcBorders/>
            <w:vAlign w:val="center"/>
          </w:tcPr>
          <w:p>
            <w:pPr>
              <w:pStyle w:val="TableContents"/>
              <w:bidi w:val="0"/>
              <w:spacing w:before="0" w:after="283"/>
              <w:jc w:val="left"/>
              <w:rPr>
                <w:b/>
              </w:rPr>
            </w:pPr>
            <w:r>
              <w:rPr>
                <w:b/>
              </w:rPr>
              <w:t>Investments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presented on a consolidated basis as of June 30, 2025, and December 31, 2024, were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03"/>
        <w:gridCol w:w="90"/>
        <w:gridCol w:w="170"/>
        <w:gridCol w:w="830"/>
        <w:gridCol w:w="90"/>
        <w:gridCol w:w="90"/>
        <w:gridCol w:w="437"/>
        <w:gridCol w:w="749"/>
        <w:gridCol w:w="90"/>
        <w:gridCol w:w="90"/>
        <w:gridCol w:w="227"/>
        <w:gridCol w:w="789"/>
        <w:gridCol w:w="90"/>
        <w:gridCol w:w="90"/>
        <w:gridCol w:w="179"/>
        <w:gridCol w:w="837"/>
        <w:gridCol w:w="125"/>
        <w:gridCol w:w="90"/>
        <w:gridCol w:w="170"/>
        <w:gridCol w:w="830"/>
        <w:gridCol w:w="139"/>
      </w:tblGrid>
      <w:tr>
        <w:trPr/>
        <w:tc>
          <w:tcPr>
            <w:tcW w:w="40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73"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39" w:type="dxa"/>
            <w:tcBorders/>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Cost or </w:t>
              <w:br/>
              <w:t xml:space="preserve">Amortized </w:t>
              <w:br/>
              <w:t>Cost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Allowance for</w:t>
              <w:br/>
              <w:t xml:space="preserve">Expected </w:t>
              <w:br/>
              <w:t>Credit Losses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Gross </w:t>
              <w:br/>
              <w:t xml:space="preserve">Unrealized </w:t>
              <w:br/>
              <w:t>Gains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Gross </w:t>
              <w:br/>
              <w:t xml:space="preserve">Unrealized </w:t>
              <w:br/>
              <w:t>Losses</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03"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12,707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w:t>
            </w:r>
          </w:p>
        </w:tc>
        <w:tc>
          <w:tcPr>
            <w:tcW w:w="74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789" w:type="dxa"/>
            <w:tcBorders/>
            <w:vAlign w:val="center"/>
          </w:tcPr>
          <w:p>
            <w:pPr>
              <w:pStyle w:val="TableContents"/>
              <w:bidi w:val="0"/>
              <w:spacing w:before="0" w:after="283"/>
              <w:jc w:val="right"/>
              <w:rPr/>
            </w:pPr>
            <w:r>
              <w:rPr/>
              <w:t>120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12,682</w:t>
            </w:r>
          </w:p>
        </w:tc>
        <w:tc>
          <w:tcPr>
            <w:tcW w:w="139"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50,939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(6,095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44,877</w:t>
            </w:r>
          </w:p>
        </w:tc>
        <w:tc>
          <w:tcPr>
            <w:tcW w:w="139"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136,368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right"/>
              <w:rPr/>
            </w:pPr>
            <w:r>
              <w:rPr/>
              <w:t>851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(4,834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132,385</w:t>
            </w:r>
          </w:p>
        </w:tc>
        <w:tc>
          <w:tcPr>
            <w:tcW w:w="139"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76,561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332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(6,084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70,809</w:t>
            </w:r>
          </w:p>
        </w:tc>
        <w:tc>
          <w:tcPr>
            <w:tcW w:w="139"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31,080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right"/>
              <w:rPr/>
            </w:pPr>
            <w:r>
              <w:rPr/>
              <w:t>147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(2,486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28,741</w:t>
            </w:r>
          </w:p>
        </w:tc>
        <w:tc>
          <w:tcPr>
            <w:tcW w:w="139"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(367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29,498</w:t>
            </w:r>
          </w:p>
        </w:tc>
        <w:tc>
          <w:tcPr>
            <w:tcW w:w="139"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Redeemable preferred stocks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3,736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bottom w:val="single" w:sz="8" w:space="0" w:color="000000"/>
            </w:tcBorders>
            <w:tcMar>
              <w:bottom w:w="28" w:type="dxa"/>
            </w:tcMar>
            <w:vAlign w:val="center"/>
          </w:tcPr>
          <w:p>
            <w:pPr>
              <w:pStyle w:val="TableContents"/>
              <w:bidi w:val="0"/>
              <w:spacing w:before="0" w:after="283"/>
              <w:jc w:val="left"/>
              <w:rPr/>
            </w:pPr>
            <w:r>
              <w:rPr/>
              <w:t> </w:t>
            </w:r>
          </w:p>
        </w:tc>
        <w:tc>
          <w:tcPr>
            <w:tcW w:w="749"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bottom w:val="single" w:sz="8" w:space="0" w:color="000000"/>
            </w:tcBorders>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tcMar>
              <w:bottom w:w="28" w:type="dxa"/>
            </w:tcMar>
            <w:vAlign w:val="center"/>
          </w:tcPr>
          <w:p>
            <w:pPr>
              <w:pStyle w:val="TableContents"/>
              <w:bidi w:val="0"/>
              <w:spacing w:before="0" w:after="283"/>
              <w:jc w:val="right"/>
              <w:rPr/>
            </w:pPr>
            <w:r>
              <w:rPr/>
              <w:t>(615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3,121</w:t>
            </w:r>
          </w:p>
        </w:tc>
        <w:tc>
          <w:tcPr>
            <w:tcW w:w="139"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340,923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9"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before="0" w:after="283"/>
              <w:jc w:val="right"/>
              <w:rPr/>
            </w:pPr>
            <w:r>
              <w:rPr/>
              <w:t>1,816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CCEEFF" w:val="clear"/>
            <w:tcMar>
              <w:bottom w:w="28" w:type="dxa"/>
            </w:tcMar>
            <w:vAlign w:val="center"/>
          </w:tcPr>
          <w:p>
            <w:pPr>
              <w:pStyle w:val="TableContents"/>
              <w:bidi w:val="0"/>
              <w:spacing w:before="0" w:after="283"/>
              <w:jc w:val="right"/>
              <w:rPr/>
            </w:pPr>
            <w:r>
              <w:rPr/>
              <w:t>(20,626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322,113</w:t>
            </w:r>
          </w:p>
        </w:tc>
        <w:tc>
          <w:tcPr>
            <w:tcW w:w="139"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6"/>
        <w:gridCol w:w="90"/>
        <w:gridCol w:w="192"/>
        <w:gridCol w:w="938"/>
        <w:gridCol w:w="90"/>
        <w:gridCol w:w="90"/>
        <w:gridCol w:w="489"/>
        <w:gridCol w:w="835"/>
        <w:gridCol w:w="90"/>
        <w:gridCol w:w="90"/>
        <w:gridCol w:w="349"/>
        <w:gridCol w:w="844"/>
        <w:gridCol w:w="90"/>
        <w:gridCol w:w="90"/>
        <w:gridCol w:w="211"/>
        <w:gridCol w:w="982"/>
        <w:gridCol w:w="125"/>
        <w:gridCol w:w="90"/>
        <w:gridCol w:w="184"/>
        <w:gridCol w:w="900"/>
        <w:gridCol w:w="140"/>
      </w:tblGrid>
      <w:tr>
        <w:trPr/>
        <w:tc>
          <w:tcPr>
            <w:tcW w:w="3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79"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40" w:type="dxa"/>
            <w:tcBorders/>
            <w:vAlign w:val="center"/>
          </w:tcPr>
          <w:p>
            <w:pPr>
              <w:pStyle w:val="TableContents"/>
              <w:bidi w:val="0"/>
              <w:spacing w:before="0" w:after="283"/>
              <w:jc w:val="left"/>
              <w:rPr/>
            </w:pPr>
            <w:r>
              <w:rPr/>
              <w:t> </w:t>
            </w:r>
          </w:p>
        </w:tc>
      </w:tr>
      <w:tr>
        <w:trPr/>
        <w:tc>
          <w:tcPr>
            <w:tcW w:w="3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Cost or </w:t>
              <w:br/>
              <w:t>Amortized</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 xml:space="preserve">Expected </w:t>
              <w:br/>
              <w:t>Credit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40" w:type="dxa"/>
            <w:tcBorders/>
            <w:vAlign w:val="center"/>
          </w:tcPr>
          <w:p>
            <w:pPr>
              <w:pStyle w:val="TableContents"/>
              <w:bidi w:val="0"/>
              <w:spacing w:before="0" w:after="283"/>
              <w:jc w:val="left"/>
              <w:rPr/>
            </w:pPr>
            <w:r>
              <w:rPr/>
              <w:t> </w:t>
            </w:r>
          </w:p>
        </w:tc>
      </w:tr>
      <w:tr>
        <w:trPr/>
        <w:tc>
          <w:tcPr>
            <w:tcW w:w="3296"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3296"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12,601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w:t>
            </w:r>
          </w:p>
        </w:tc>
        <w:tc>
          <w:tcPr>
            <w:tcW w:w="8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(335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12,274</w:t>
            </w:r>
          </w:p>
        </w:tc>
        <w:tc>
          <w:tcPr>
            <w:tcW w:w="140" w:type="dxa"/>
            <w:tcBorders/>
            <w:vAlign w:val="center"/>
          </w:tcPr>
          <w:p>
            <w:pPr>
              <w:pStyle w:val="TableContents"/>
              <w:bidi w:val="0"/>
              <w:spacing w:before="0" w:after="283"/>
              <w:jc w:val="left"/>
              <w:rPr/>
            </w:pPr>
            <w:r>
              <w:rPr/>
              <w:t> </w:t>
            </w:r>
          </w:p>
        </w:tc>
      </w:tr>
      <w:tr>
        <w:trPr/>
        <w:tc>
          <w:tcPr>
            <w:tcW w:w="3296"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48,559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43,823</w:t>
            </w:r>
          </w:p>
        </w:tc>
        <w:tc>
          <w:tcPr>
            <w:tcW w:w="140" w:type="dxa"/>
            <w:tcBorders/>
            <w:shd w:fill="CCEEFF" w:val="clear"/>
            <w:vAlign w:val="center"/>
          </w:tcPr>
          <w:p>
            <w:pPr>
              <w:pStyle w:val="TableContents"/>
              <w:bidi w:val="0"/>
              <w:spacing w:before="0" w:after="283"/>
              <w:jc w:val="left"/>
              <w:rPr/>
            </w:pPr>
            <w:r>
              <w:rPr/>
              <w:t> </w:t>
            </w:r>
          </w:p>
        </w:tc>
      </w:tr>
      <w:tr>
        <w:trPr/>
        <w:tc>
          <w:tcPr>
            <w:tcW w:w="3296"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123,585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206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(7,517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116,274</w:t>
            </w:r>
          </w:p>
        </w:tc>
        <w:tc>
          <w:tcPr>
            <w:tcW w:w="140" w:type="dxa"/>
            <w:tcBorders/>
            <w:vAlign w:val="center"/>
          </w:tcPr>
          <w:p>
            <w:pPr>
              <w:pStyle w:val="TableContents"/>
              <w:bidi w:val="0"/>
              <w:spacing w:before="0" w:after="283"/>
              <w:jc w:val="left"/>
              <w:rPr/>
            </w:pPr>
            <w:r>
              <w:rPr/>
              <w:t> </w:t>
            </w:r>
          </w:p>
        </w:tc>
      </w:tr>
      <w:tr>
        <w:trPr/>
        <w:tc>
          <w:tcPr>
            <w:tcW w:w="3296"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53,714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48,777</w:t>
            </w:r>
          </w:p>
        </w:tc>
        <w:tc>
          <w:tcPr>
            <w:tcW w:w="140" w:type="dxa"/>
            <w:tcBorders/>
            <w:shd w:fill="CCEEFF" w:val="clear"/>
            <w:vAlign w:val="center"/>
          </w:tcPr>
          <w:p>
            <w:pPr>
              <w:pStyle w:val="TableContents"/>
              <w:bidi w:val="0"/>
              <w:spacing w:before="0" w:after="283"/>
              <w:jc w:val="left"/>
              <w:rPr/>
            </w:pPr>
            <w:r>
              <w:rPr/>
              <w:t> </w:t>
            </w:r>
          </w:p>
        </w:tc>
      </w:tr>
      <w:tr>
        <w:trPr/>
        <w:tc>
          <w:tcPr>
            <w:tcW w:w="3296"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30,062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(2,943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27,184</w:t>
            </w:r>
          </w:p>
        </w:tc>
        <w:tc>
          <w:tcPr>
            <w:tcW w:w="140" w:type="dxa"/>
            <w:tcBorders/>
            <w:vAlign w:val="center"/>
          </w:tcPr>
          <w:p>
            <w:pPr>
              <w:pStyle w:val="TableContents"/>
              <w:bidi w:val="0"/>
              <w:spacing w:before="0" w:after="283"/>
              <w:jc w:val="left"/>
              <w:rPr/>
            </w:pPr>
            <w:r>
              <w:rPr/>
              <w:t> </w:t>
            </w:r>
          </w:p>
        </w:tc>
      </w:tr>
      <w:tr>
        <w:trPr/>
        <w:tc>
          <w:tcPr>
            <w:tcW w:w="3296"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59,046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386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(3,301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56,131</w:t>
            </w:r>
          </w:p>
        </w:tc>
        <w:tc>
          <w:tcPr>
            <w:tcW w:w="140" w:type="dxa"/>
            <w:tcBorders/>
            <w:shd w:fill="CCEEFF" w:val="clear"/>
            <w:vAlign w:val="center"/>
          </w:tcPr>
          <w:p>
            <w:pPr>
              <w:pStyle w:val="TableContents"/>
              <w:bidi w:val="0"/>
              <w:spacing w:before="0" w:after="283"/>
              <w:jc w:val="left"/>
              <w:rPr/>
            </w:pPr>
            <w:r>
              <w:rPr/>
              <w:t> </w:t>
            </w:r>
          </w:p>
        </w:tc>
      </w:tr>
      <w:tr>
        <w:trPr/>
        <w:tc>
          <w:tcPr>
            <w:tcW w:w="3296" w:type="dxa"/>
            <w:tcBorders/>
            <w:vAlign w:val="center"/>
          </w:tcPr>
          <w:p>
            <w:pPr>
              <w:pStyle w:val="TableContents"/>
              <w:bidi w:val="0"/>
              <w:spacing w:before="0" w:after="283"/>
              <w:jc w:val="left"/>
              <w:rPr/>
            </w:pPr>
            <w:r>
              <w:rPr/>
              <w:t>Redeemable preferred stocks</w:t>
            </w:r>
          </w:p>
        </w:tc>
        <w:tc>
          <w:tcPr>
            <w:tcW w:w="90" w:type="dxa"/>
            <w:tcBorders/>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right"/>
              <w:rPr/>
            </w:pPr>
            <w:r>
              <w:rPr/>
              <w:t>3,737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bottom w:val="single" w:sz="8" w:space="0" w:color="000000"/>
            </w:tcBorders>
            <w:tcMar>
              <w:bottom w:w="28" w:type="dxa"/>
            </w:tcMar>
            <w:vAlign w:val="center"/>
          </w:tcPr>
          <w:p>
            <w:pPr>
              <w:pStyle w:val="TableContents"/>
              <w:bidi w:val="0"/>
              <w:spacing w:before="0" w:after="283"/>
              <w:jc w:val="left"/>
              <w:rPr/>
            </w:pPr>
            <w:r>
              <w:rPr/>
              <w:t> </w:t>
            </w:r>
          </w:p>
        </w:tc>
        <w:tc>
          <w:tcPr>
            <w:tcW w:w="835"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tcMar>
              <w:bottom w:w="28" w:type="dxa"/>
            </w:tcMar>
            <w:vAlign w:val="center"/>
          </w:tcPr>
          <w:p>
            <w:pPr>
              <w:pStyle w:val="TableContents"/>
              <w:bidi w:val="0"/>
              <w:spacing w:before="0" w:after="283"/>
              <w:jc w:val="right"/>
              <w:rPr/>
            </w:pPr>
            <w:r>
              <w:rPr/>
              <w:t>(488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140" w:type="dxa"/>
            <w:tcBorders/>
            <w:vAlign w:val="center"/>
          </w:tcPr>
          <w:p>
            <w:pPr>
              <w:pStyle w:val="TableContents"/>
              <w:bidi w:val="0"/>
              <w:spacing w:before="0" w:after="283"/>
              <w:jc w:val="left"/>
              <w:rPr/>
            </w:pPr>
            <w:r>
              <w:rPr/>
              <w:t> </w:t>
            </w:r>
          </w:p>
        </w:tc>
      </w:tr>
      <w:tr>
        <w:trPr/>
        <w:tc>
          <w:tcPr>
            <w:tcW w:w="3296"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331,304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893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(24,485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307,712</w:t>
            </w:r>
          </w:p>
        </w:tc>
        <w:tc>
          <w:tcPr>
            <w:tcW w:w="14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by contractual maturity, presented on a consolidated basis, are shown below. Actual maturities could differ from contractual maturities because issuers may have the right to call or prepay these securities.</w:t>
      </w:r>
    </w:p>
    <w:p>
      <w:pPr>
        <w:pStyle w:val="TextBody"/>
        <w:bidi w:val="0"/>
        <w:spacing w:before="0" w:after="0"/>
        <w:ind w:left="15" w:right="15" w:hanging="0"/>
        <w:jc w:val="left"/>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3290"/>
        <w:gridCol w:w="90"/>
        <w:gridCol w:w="281"/>
        <w:gridCol w:w="1373"/>
        <w:gridCol w:w="90"/>
        <w:gridCol w:w="90"/>
        <w:gridCol w:w="194"/>
        <w:gridCol w:w="950"/>
        <w:gridCol w:w="142"/>
      </w:tblGrid>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42"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Due to mature:</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One year or less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373" w:type="dxa"/>
            <w:tcBorders/>
            <w:vAlign w:val="center"/>
          </w:tcPr>
          <w:p>
            <w:pPr>
              <w:pStyle w:val="TableContents"/>
              <w:bidi w:val="0"/>
              <w:spacing w:before="0" w:after="283"/>
              <w:jc w:val="right"/>
              <w:rPr/>
            </w:pPr>
            <w:r>
              <w:rPr/>
              <w:t>9,629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9,564</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After one year through five years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79,529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77,464</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After five years through ten years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68,929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66,688</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After ten years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41,927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36,228</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Mortgage / asset-backed securities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137,173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129,048</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Redeemable preferred stocks</w:t>
            </w:r>
          </w:p>
        </w:tc>
        <w:tc>
          <w:tcPr>
            <w:tcW w:w="9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3,736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3,121</w:t>
            </w:r>
          </w:p>
        </w:tc>
        <w:tc>
          <w:tcPr>
            <w:tcW w:w="142" w:type="dxa"/>
            <w:tcBorders/>
            <w:shd w:fill="CCEEFF" w:val="clear"/>
            <w:vAlign w:val="center"/>
          </w:tcPr>
          <w:p>
            <w:pPr>
              <w:pStyle w:val="TableContents"/>
              <w:bidi w:val="0"/>
              <w:spacing w:before="0" w:after="283"/>
              <w:ind w:left="0" w:right="0" w:firstLine="7"/>
              <w:jc w:val="left"/>
              <w:rPr/>
            </w:pPr>
            <w:r>
              <w:rPr/>
              <w:t> </w:t>
            </w:r>
          </w:p>
        </w:tc>
      </w:tr>
      <w:tr>
        <w:trPr/>
        <w:tc>
          <w:tcPr>
            <w:tcW w:w="3290" w:type="dxa"/>
            <w:tcBorders/>
            <w:vAlign w:val="center"/>
          </w:tcPr>
          <w:p>
            <w:pPr>
              <w:pStyle w:val="TableContents"/>
              <w:bidi w:val="0"/>
              <w:spacing w:before="0" w:after="283"/>
              <w:jc w:val="left"/>
              <w:rPr/>
            </w:pPr>
            <w:r>
              <w:rPr/>
              <w:t>Total fixed income securities</w:t>
            </w:r>
          </w:p>
        </w:tc>
        <w:tc>
          <w:tcPr>
            <w:tcW w:w="90" w:type="dxa"/>
            <w:tcBorders/>
            <w:vAlign w:val="center"/>
          </w:tcPr>
          <w:p>
            <w:pPr>
              <w:pStyle w:val="TableContents"/>
              <w:bidi w:val="0"/>
              <w:spacing w:before="0" w:after="283"/>
              <w:jc w:val="left"/>
              <w:rPr/>
            </w:pPr>
            <w:r>
              <w:rPr/>
              <w:t> </w:t>
            </w:r>
          </w:p>
        </w:tc>
        <w:tc>
          <w:tcPr>
            <w:tcW w:w="281" w:type="dxa"/>
            <w:tcBorders>
              <w:bottom w:val="double" w:sz="6" w:space="0" w:color="000000"/>
            </w:tcBorders>
            <w:tcMar>
              <w:bottom w:w="28" w:type="dxa"/>
            </w:tcMar>
            <w:vAlign w:val="center"/>
          </w:tcPr>
          <w:p>
            <w:pPr>
              <w:pStyle w:val="TableContents"/>
              <w:bidi w:val="0"/>
              <w:spacing w:before="0" w:after="283"/>
              <w:jc w:val="left"/>
              <w:rPr/>
            </w:pPr>
            <w:r>
              <w:rPr/>
              <w:t>$</w:t>
            </w:r>
          </w:p>
        </w:tc>
        <w:tc>
          <w:tcPr>
            <w:tcW w:w="1373" w:type="dxa"/>
            <w:tcBorders>
              <w:bottom w:val="double" w:sz="6" w:space="0" w:color="000000"/>
            </w:tcBorders>
            <w:tcMar>
              <w:bottom w:w="28" w:type="dxa"/>
            </w:tcMar>
            <w:vAlign w:val="center"/>
          </w:tcPr>
          <w:p>
            <w:pPr>
              <w:pStyle w:val="TableContents"/>
              <w:bidi w:val="0"/>
              <w:spacing w:before="0" w:after="283"/>
              <w:jc w:val="right"/>
              <w:rPr/>
            </w:pPr>
            <w:r>
              <w:rPr/>
              <w:t>340,923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950" w:type="dxa"/>
            <w:tcBorders>
              <w:bottom w:val="double" w:sz="6" w:space="0" w:color="000000"/>
            </w:tcBorders>
            <w:tcMar>
              <w:bottom w:w="28" w:type="dxa"/>
            </w:tcMar>
            <w:vAlign w:val="center"/>
          </w:tcPr>
          <w:p>
            <w:pPr>
              <w:pStyle w:val="TableContents"/>
              <w:bidi w:val="0"/>
              <w:spacing w:before="0" w:after="283"/>
              <w:jc w:val="right"/>
              <w:rPr/>
            </w:pPr>
            <w:r>
              <w:rPr/>
              <w:t>322,113</w:t>
            </w:r>
          </w:p>
        </w:tc>
        <w:tc>
          <w:tcPr>
            <w:tcW w:w="14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3290"/>
        <w:gridCol w:w="90"/>
        <w:gridCol w:w="281"/>
        <w:gridCol w:w="1373"/>
        <w:gridCol w:w="90"/>
        <w:gridCol w:w="90"/>
        <w:gridCol w:w="194"/>
        <w:gridCol w:w="950"/>
        <w:gridCol w:w="142"/>
      </w:tblGrid>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42"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Due to mature:</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One year or less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373" w:type="dxa"/>
            <w:tcBorders/>
            <w:vAlign w:val="center"/>
          </w:tcPr>
          <w:p>
            <w:pPr>
              <w:pStyle w:val="TableContents"/>
              <w:bidi w:val="0"/>
              <w:spacing w:before="0" w:after="283"/>
              <w:jc w:val="right"/>
              <w:rPr/>
            </w:pPr>
            <w:r>
              <w:rPr/>
              <w:t>5,750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5,696</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After one year through five years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57,986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55,882</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After five years through ten years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79,544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74,070</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After ten years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41,465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36,723</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Mortgage / asset-backed securities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142,822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132,092</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Redeemable preferred stocks</w:t>
            </w:r>
          </w:p>
        </w:tc>
        <w:tc>
          <w:tcPr>
            <w:tcW w:w="9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3,737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3,249</w:t>
            </w:r>
          </w:p>
        </w:tc>
        <w:tc>
          <w:tcPr>
            <w:tcW w:w="142" w:type="dxa"/>
            <w:tcBorders/>
            <w:shd w:fill="CCEEFF" w:val="clear"/>
            <w:vAlign w:val="center"/>
          </w:tcPr>
          <w:p>
            <w:pPr>
              <w:pStyle w:val="TableContents"/>
              <w:bidi w:val="0"/>
              <w:spacing w:before="0" w:after="283"/>
              <w:ind w:left="0" w:right="0" w:firstLine="7"/>
              <w:jc w:val="left"/>
              <w:rPr/>
            </w:pPr>
            <w:r>
              <w:rPr/>
              <w:t> </w:t>
            </w:r>
          </w:p>
        </w:tc>
      </w:tr>
      <w:tr>
        <w:trPr/>
        <w:tc>
          <w:tcPr>
            <w:tcW w:w="3290" w:type="dxa"/>
            <w:tcBorders/>
            <w:vAlign w:val="center"/>
          </w:tcPr>
          <w:p>
            <w:pPr>
              <w:pStyle w:val="TableContents"/>
              <w:bidi w:val="0"/>
              <w:spacing w:before="0" w:after="283"/>
              <w:jc w:val="left"/>
              <w:rPr/>
            </w:pPr>
            <w:r>
              <w:rPr/>
              <w:t>Total fixed income securities</w:t>
            </w:r>
          </w:p>
        </w:tc>
        <w:tc>
          <w:tcPr>
            <w:tcW w:w="90" w:type="dxa"/>
            <w:tcBorders/>
            <w:vAlign w:val="center"/>
          </w:tcPr>
          <w:p>
            <w:pPr>
              <w:pStyle w:val="TableContents"/>
              <w:bidi w:val="0"/>
              <w:spacing w:before="0" w:after="283"/>
              <w:jc w:val="left"/>
              <w:rPr/>
            </w:pPr>
            <w:r>
              <w:rPr/>
              <w:t> </w:t>
            </w:r>
          </w:p>
        </w:tc>
        <w:tc>
          <w:tcPr>
            <w:tcW w:w="281" w:type="dxa"/>
            <w:tcBorders>
              <w:bottom w:val="double" w:sz="6" w:space="0" w:color="000000"/>
            </w:tcBorders>
            <w:tcMar>
              <w:bottom w:w="28" w:type="dxa"/>
            </w:tcMar>
            <w:vAlign w:val="center"/>
          </w:tcPr>
          <w:p>
            <w:pPr>
              <w:pStyle w:val="TableContents"/>
              <w:bidi w:val="0"/>
              <w:spacing w:before="0" w:after="283"/>
              <w:jc w:val="left"/>
              <w:rPr/>
            </w:pPr>
            <w:r>
              <w:rPr/>
              <w:t>$</w:t>
            </w:r>
          </w:p>
        </w:tc>
        <w:tc>
          <w:tcPr>
            <w:tcW w:w="1373" w:type="dxa"/>
            <w:tcBorders>
              <w:bottom w:val="double" w:sz="6" w:space="0" w:color="000000"/>
            </w:tcBorders>
            <w:tcMar>
              <w:bottom w:w="28" w:type="dxa"/>
            </w:tcMar>
            <w:vAlign w:val="center"/>
          </w:tcPr>
          <w:p>
            <w:pPr>
              <w:pStyle w:val="TableContents"/>
              <w:bidi w:val="0"/>
              <w:spacing w:before="0" w:after="283"/>
              <w:jc w:val="right"/>
              <w:rPr/>
            </w:pPr>
            <w:r>
              <w:rPr/>
              <w:t>331,304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950" w:type="dxa"/>
            <w:tcBorders>
              <w:bottom w:val="double" w:sz="6" w:space="0" w:color="000000"/>
            </w:tcBorders>
            <w:tcMar>
              <w:bottom w:w="28" w:type="dxa"/>
            </w:tcMar>
            <w:vAlign w:val="center"/>
          </w:tcPr>
          <w:p>
            <w:pPr>
              <w:pStyle w:val="TableContents"/>
              <w:bidi w:val="0"/>
              <w:spacing w:before="0" w:after="283"/>
              <w:jc w:val="right"/>
              <w:rPr/>
            </w:pPr>
            <w:r>
              <w:rPr/>
              <w:t>307,712</w:t>
            </w:r>
          </w:p>
        </w:tc>
        <w:tc>
          <w:tcPr>
            <w:tcW w:w="142" w:type="dxa"/>
            <w:tcBorders/>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income securities with a fair value of $4,490 at June 30, 2025, and $5,634 at December 31, 2024, were deposited with various state regulatory agencies as required by law. The Company has not pledged any assets to secure any obligations.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category and duration of the Company’s gross unrealized losses on fixed income securities, presented on a consolidated basis, are shown below. Investments with unrealized losses are categorized with a duration of greater than 12 months when all positions of a security have continually been in a loss position for at least 12 months.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4"/>
        <w:gridCol w:w="90"/>
        <w:gridCol w:w="177"/>
        <w:gridCol w:w="740"/>
        <w:gridCol w:w="93"/>
        <w:gridCol w:w="93"/>
        <w:gridCol w:w="236"/>
        <w:gridCol w:w="924"/>
        <w:gridCol w:w="125"/>
        <w:gridCol w:w="90"/>
        <w:gridCol w:w="178"/>
        <w:gridCol w:w="869"/>
        <w:gridCol w:w="94"/>
        <w:gridCol w:w="94"/>
        <w:gridCol w:w="206"/>
        <w:gridCol w:w="954"/>
        <w:gridCol w:w="125"/>
        <w:gridCol w:w="90"/>
        <w:gridCol w:w="170"/>
        <w:gridCol w:w="830"/>
        <w:gridCol w:w="90"/>
        <w:gridCol w:w="90"/>
        <w:gridCol w:w="206"/>
        <w:gridCol w:w="954"/>
        <w:gridCol w:w="173"/>
      </w:tblGrid>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28"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73" w:type="dxa"/>
            <w:tcBorders/>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73" w:type="dxa"/>
            <w:tcBorders/>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991</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4,269</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(133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5,260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(145</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9,074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(604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31,633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(5,491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40,707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(6,095</w:t>
            </w:r>
          </w:p>
        </w:tc>
        <w:tc>
          <w:tcPr>
            <w:tcW w:w="173" w:type="dxa"/>
            <w:tcBorders/>
            <w:shd w:fill="CCEEFF" w:val="clear"/>
            <w:vAlign w:val="center"/>
          </w:tcPr>
          <w:p>
            <w:pPr>
              <w:pStyle w:val="TableContents"/>
              <w:bidi w:val="0"/>
              <w:spacing w:before="0" w:after="283"/>
              <w:jc w:val="left"/>
              <w:rPr/>
            </w:pPr>
            <w:r>
              <w:rPr/>
              <w:t>)</w:t>
            </w:r>
          </w:p>
        </w:tc>
      </w:tr>
      <w:tr>
        <w:trPr/>
        <w:tc>
          <w:tcPr>
            <w:tcW w:w="2514"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14,992</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71,636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(4,600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86,628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(4,834</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16,868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32,023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(5,858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48,891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(6,084</w:t>
            </w:r>
          </w:p>
        </w:tc>
        <w:tc>
          <w:tcPr>
            <w:tcW w:w="173" w:type="dxa"/>
            <w:tcBorders/>
            <w:shd w:fill="CCEEFF" w:val="clear"/>
            <w:vAlign w:val="center"/>
          </w:tcPr>
          <w:p>
            <w:pPr>
              <w:pStyle w:val="TableContents"/>
              <w:bidi w:val="0"/>
              <w:spacing w:before="0" w:after="283"/>
              <w:jc w:val="left"/>
              <w:rPr/>
            </w:pPr>
            <w:r>
              <w:rPr/>
              <w:t>)</w:t>
            </w:r>
          </w:p>
        </w:tc>
      </w:tr>
      <w:tr>
        <w:trPr/>
        <w:tc>
          <w:tcPr>
            <w:tcW w:w="2514"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1,458</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21,013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(2,484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22,471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(2,486</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3,205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6,776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9,981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(367</w:t>
            </w:r>
          </w:p>
        </w:tc>
        <w:tc>
          <w:tcPr>
            <w:tcW w:w="173" w:type="dxa"/>
            <w:tcBorders/>
            <w:shd w:fill="CCEEFF" w:val="clear"/>
            <w:vAlign w:val="center"/>
          </w:tcPr>
          <w:p>
            <w:pPr>
              <w:pStyle w:val="TableContents"/>
              <w:bidi w:val="0"/>
              <w:spacing w:before="0" w:after="283"/>
              <w:jc w:val="left"/>
              <w:rPr/>
            </w:pPr>
            <w:r>
              <w:rPr/>
              <w:t>)</w:t>
            </w:r>
          </w:p>
        </w:tc>
      </w:tr>
      <w:tr>
        <w:trPr/>
        <w:tc>
          <w:tcPr>
            <w:tcW w:w="2514" w:type="dxa"/>
            <w:tcBorders/>
            <w:vAlign w:val="center"/>
          </w:tcPr>
          <w:p>
            <w:pPr>
              <w:pStyle w:val="TableContents"/>
              <w:bidi w:val="0"/>
              <w:spacing w:before="0" w:after="283"/>
              <w:jc w:val="left"/>
              <w:rPr/>
            </w:pPr>
            <w:r>
              <w:rPr/>
              <w:t>Redeemable preferred stocks</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right"/>
              <w:rPr/>
            </w:pPr>
            <w:r>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tcMar>
              <w:bottom w:w="28" w:type="dxa"/>
            </w:tcMar>
            <w:vAlign w:val="center"/>
          </w:tcPr>
          <w:p>
            <w:pPr>
              <w:pStyle w:val="TableContents"/>
              <w:bidi w:val="0"/>
              <w:spacing w:before="0" w:after="283"/>
              <w:jc w:val="right"/>
              <w:rPr/>
            </w:pPr>
            <w:r>
              <w:rPr/>
              <w:t>3,121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(615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3,121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(615</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46,588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(1,092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170,471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(19,534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217,059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(20,626</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4"/>
        <w:gridCol w:w="90"/>
        <w:gridCol w:w="177"/>
        <w:gridCol w:w="740"/>
        <w:gridCol w:w="93"/>
        <w:gridCol w:w="93"/>
        <w:gridCol w:w="236"/>
        <w:gridCol w:w="924"/>
        <w:gridCol w:w="125"/>
        <w:gridCol w:w="90"/>
        <w:gridCol w:w="178"/>
        <w:gridCol w:w="869"/>
        <w:gridCol w:w="94"/>
        <w:gridCol w:w="94"/>
        <w:gridCol w:w="206"/>
        <w:gridCol w:w="954"/>
        <w:gridCol w:w="125"/>
        <w:gridCol w:w="90"/>
        <w:gridCol w:w="170"/>
        <w:gridCol w:w="830"/>
        <w:gridCol w:w="90"/>
        <w:gridCol w:w="90"/>
        <w:gridCol w:w="206"/>
        <w:gridCol w:w="954"/>
        <w:gridCol w:w="173"/>
      </w:tblGrid>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28"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73" w:type="dxa"/>
            <w:tcBorders/>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73" w:type="dxa"/>
            <w:tcBorders/>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5,443</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(109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4,177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(226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9,620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(335</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8,465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29,428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(4,777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37,893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(4,920</w:t>
            </w:r>
          </w:p>
        </w:tc>
        <w:tc>
          <w:tcPr>
            <w:tcW w:w="173" w:type="dxa"/>
            <w:tcBorders/>
            <w:shd w:fill="CCEEFF" w:val="clear"/>
            <w:vAlign w:val="center"/>
          </w:tcPr>
          <w:p>
            <w:pPr>
              <w:pStyle w:val="TableContents"/>
              <w:bidi w:val="0"/>
              <w:spacing w:before="0" w:after="283"/>
              <w:jc w:val="left"/>
              <w:rPr/>
            </w:pPr>
            <w:r>
              <w:rPr/>
              <w:t>)</w:t>
            </w:r>
          </w:p>
        </w:tc>
      </w:tr>
      <w:tr>
        <w:trPr/>
        <w:tc>
          <w:tcPr>
            <w:tcW w:w="2514"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25,790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(481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76,364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(7,036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102,154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(7,517</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20,827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23,159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(4,530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43,986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(4,981</w:t>
            </w:r>
          </w:p>
        </w:tc>
        <w:tc>
          <w:tcPr>
            <w:tcW w:w="173" w:type="dxa"/>
            <w:tcBorders/>
            <w:shd w:fill="CCEEFF" w:val="clear"/>
            <w:vAlign w:val="center"/>
          </w:tcPr>
          <w:p>
            <w:pPr>
              <w:pStyle w:val="TableContents"/>
              <w:bidi w:val="0"/>
              <w:spacing w:before="0" w:after="283"/>
              <w:jc w:val="left"/>
              <w:rPr/>
            </w:pPr>
            <w:r>
              <w:rPr/>
              <w:t>)</w:t>
            </w:r>
          </w:p>
        </w:tc>
      </w:tr>
      <w:tr>
        <w:trPr/>
        <w:tc>
          <w:tcPr>
            <w:tcW w:w="2514"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1,409</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19,442</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(2,893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20,851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(2,943</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10,926</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20,579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(3,179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31,505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(3,301</w:t>
            </w:r>
          </w:p>
        </w:tc>
        <w:tc>
          <w:tcPr>
            <w:tcW w:w="173" w:type="dxa"/>
            <w:tcBorders/>
            <w:shd w:fill="CCEEFF" w:val="clear"/>
            <w:vAlign w:val="center"/>
          </w:tcPr>
          <w:p>
            <w:pPr>
              <w:pStyle w:val="TableContents"/>
              <w:bidi w:val="0"/>
              <w:spacing w:before="0" w:after="283"/>
              <w:jc w:val="left"/>
              <w:rPr/>
            </w:pPr>
            <w:r>
              <w:rPr/>
              <w:t>)</w:t>
            </w:r>
          </w:p>
        </w:tc>
      </w:tr>
      <w:tr>
        <w:trPr/>
        <w:tc>
          <w:tcPr>
            <w:tcW w:w="2514" w:type="dxa"/>
            <w:tcBorders/>
            <w:vAlign w:val="center"/>
          </w:tcPr>
          <w:p>
            <w:pPr>
              <w:pStyle w:val="TableContents"/>
              <w:bidi w:val="0"/>
              <w:spacing w:before="0" w:after="283"/>
              <w:jc w:val="left"/>
              <w:rPr/>
            </w:pPr>
            <w:r>
              <w:rPr/>
              <w:t>Redeemable preferred stocks</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right"/>
              <w:rPr/>
            </w:pPr>
            <w:r>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(488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(488</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72,860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(1,356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176,398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(23,129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249,258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(24,485</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along with our investment advisor, frequently review our investment portfolio for declines in fair value that could be indicative of credit losses, which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have not recognized any credit losses for fixed income securities since adoption of the credit loss standard. Therefore, there was no beginning balance, activity, or ending balance of credit losses as of and during the six months ended June 30, 2025 and 2024. See Part II, Item 8, Note 3 “Summary of Significant Accounting Policies and Basis of Presentation” section of the 2024 Annual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for continuing and discontinued operations consisted of the following:</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3"/>
        <w:gridCol w:w="90"/>
        <w:gridCol w:w="287"/>
        <w:gridCol w:w="999"/>
        <w:gridCol w:w="152"/>
        <w:gridCol w:w="152"/>
        <w:gridCol w:w="287"/>
        <w:gridCol w:w="999"/>
        <w:gridCol w:w="90"/>
        <w:gridCol w:w="90"/>
        <w:gridCol w:w="263"/>
        <w:gridCol w:w="915"/>
        <w:gridCol w:w="139"/>
        <w:gridCol w:w="139"/>
        <w:gridCol w:w="263"/>
        <w:gridCol w:w="915"/>
        <w:gridCol w:w="322"/>
      </w:tblGrid>
      <w:tr>
        <w:trPr/>
        <w:tc>
          <w:tcPr>
            <w:tcW w:w="41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322" w:type="dxa"/>
            <w:tcBorders/>
            <w:vAlign w:val="center"/>
          </w:tcPr>
          <w:p>
            <w:pPr>
              <w:pStyle w:val="TableContents"/>
              <w:bidi w:val="0"/>
              <w:spacing w:before="0" w:after="283"/>
              <w:jc w:val="left"/>
              <w:rPr/>
            </w:pPr>
            <w:r>
              <w:rPr/>
              <w:t> </w:t>
            </w:r>
          </w:p>
        </w:tc>
      </w:tr>
      <w:tr>
        <w:trPr/>
        <w:tc>
          <w:tcPr>
            <w:tcW w:w="41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22" w:type="dxa"/>
            <w:tcBorders/>
            <w:vAlign w:val="center"/>
          </w:tcPr>
          <w:p>
            <w:pPr>
              <w:pStyle w:val="TableContents"/>
              <w:bidi w:val="0"/>
              <w:spacing w:before="0" w:after="283"/>
              <w:jc w:val="left"/>
              <w:rPr/>
            </w:pPr>
            <w:r>
              <w:rPr/>
              <w:t> </w:t>
            </w:r>
          </w:p>
        </w:tc>
      </w:tr>
      <w:tr>
        <w:trPr/>
        <w:tc>
          <w:tcPr>
            <w:tcW w:w="4103"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ind w:left="0" w:right="0" w:firstLine="180"/>
              <w:jc w:val="left"/>
              <w:rPr/>
            </w:pPr>
            <w:r>
              <w:rPr/>
              <w:t> </w:t>
            </w:r>
          </w:p>
        </w:tc>
      </w:tr>
      <w:tr>
        <w:trPr/>
        <w:tc>
          <w:tcPr>
            <w:tcW w:w="4103" w:type="dxa"/>
            <w:tcBorders/>
            <w:vAlign w:val="center"/>
          </w:tcPr>
          <w:p>
            <w:pPr>
              <w:pStyle w:val="TableContents"/>
              <w:bidi w:val="0"/>
              <w:spacing w:before="0" w:after="283"/>
              <w:jc w:val="left"/>
              <w:rPr/>
            </w:pPr>
            <w:r>
              <w:rPr/>
              <w:t>Fixed income securities</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283"/>
              <w:jc w:val="right"/>
              <w:rPr/>
            </w:pPr>
            <w:r>
              <w:rPr/>
              <w:t>3,193</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999" w:type="dxa"/>
            <w:tcBorders/>
            <w:vAlign w:val="center"/>
          </w:tcPr>
          <w:p>
            <w:pPr>
              <w:pStyle w:val="TableContents"/>
              <w:bidi w:val="0"/>
              <w:spacing w:before="0" w:after="283"/>
              <w:jc w:val="right"/>
              <w:rPr/>
            </w:pPr>
            <w:r>
              <w:rPr/>
              <w:t>2,624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915" w:type="dxa"/>
            <w:tcBorders/>
            <w:vAlign w:val="center"/>
          </w:tcPr>
          <w:p>
            <w:pPr>
              <w:pStyle w:val="TableContents"/>
              <w:bidi w:val="0"/>
              <w:spacing w:before="0" w:after="283"/>
              <w:jc w:val="right"/>
              <w:rPr/>
            </w:pPr>
            <w:r>
              <w:rPr/>
              <w:t>6,321</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915" w:type="dxa"/>
            <w:tcBorders/>
            <w:vAlign w:val="center"/>
          </w:tcPr>
          <w:p>
            <w:pPr>
              <w:pStyle w:val="TableContents"/>
              <w:bidi w:val="0"/>
              <w:spacing w:before="0" w:after="283"/>
              <w:jc w:val="right"/>
              <w:rPr/>
            </w:pPr>
            <w:r>
              <w:rPr/>
              <w:t>5,496</w:t>
            </w:r>
          </w:p>
        </w:tc>
        <w:tc>
          <w:tcPr>
            <w:tcW w:w="322" w:type="dxa"/>
            <w:tcBorders/>
            <w:vAlign w:val="center"/>
          </w:tcPr>
          <w:p>
            <w:pPr>
              <w:pStyle w:val="TableContents"/>
              <w:bidi w:val="0"/>
              <w:spacing w:before="0" w:after="283"/>
              <w:ind w:left="0" w:right="0" w:firstLine="180"/>
              <w:jc w:val="left"/>
              <w:rPr/>
            </w:pPr>
            <w:r>
              <w:rPr/>
              <w:t> </w:t>
            </w:r>
          </w:p>
        </w:tc>
      </w:tr>
      <w:tr>
        <w:trPr/>
        <w:tc>
          <w:tcPr>
            <w:tcW w:w="4103" w:type="dxa"/>
            <w:tcBorders/>
            <w:shd w:fill="CCEEFF" w:val="clear"/>
            <w:vAlign w:val="center"/>
          </w:tcPr>
          <w:p>
            <w:pPr>
              <w:pStyle w:val="TableContents"/>
              <w:bidi w:val="0"/>
              <w:spacing w:before="0" w:after="283"/>
              <w:jc w:val="left"/>
              <w:rPr/>
            </w:pPr>
            <w:r>
              <w:rPr/>
              <w:t>Equity securities</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247</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455</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423</w:t>
            </w:r>
          </w:p>
        </w:tc>
        <w:tc>
          <w:tcPr>
            <w:tcW w:w="322" w:type="dxa"/>
            <w:tcBorders/>
            <w:shd w:fill="CCEEFF" w:val="clear"/>
            <w:vAlign w:val="center"/>
          </w:tcPr>
          <w:p>
            <w:pPr>
              <w:pStyle w:val="TableContents"/>
              <w:bidi w:val="0"/>
              <w:spacing w:before="0" w:after="283"/>
              <w:ind w:left="0" w:right="0" w:firstLine="180"/>
              <w:jc w:val="left"/>
              <w:rPr/>
            </w:pPr>
            <w:r>
              <w:rPr/>
              <w:t> </w:t>
            </w:r>
          </w:p>
        </w:tc>
      </w:tr>
      <w:tr>
        <w:trPr/>
        <w:tc>
          <w:tcPr>
            <w:tcW w:w="4103" w:type="dxa"/>
            <w:tcBorders/>
            <w:vAlign w:val="center"/>
          </w:tcPr>
          <w:p>
            <w:pPr>
              <w:pStyle w:val="TableContents"/>
              <w:bidi w:val="0"/>
              <w:spacing w:before="0" w:after="283"/>
              <w:jc w:val="left"/>
              <w:rPr/>
            </w:pPr>
            <w:r>
              <w:rPr/>
              <w:t>Real estate</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65</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131</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189</w:t>
            </w:r>
          </w:p>
        </w:tc>
        <w:tc>
          <w:tcPr>
            <w:tcW w:w="322" w:type="dxa"/>
            <w:tcBorders/>
            <w:vAlign w:val="center"/>
          </w:tcPr>
          <w:p>
            <w:pPr>
              <w:pStyle w:val="TableContents"/>
              <w:bidi w:val="0"/>
              <w:spacing w:before="0" w:after="283"/>
              <w:ind w:left="0" w:right="0" w:firstLine="180"/>
              <w:jc w:val="left"/>
              <w:rPr/>
            </w:pPr>
            <w:r>
              <w:rPr/>
              <w:t> </w:t>
            </w:r>
          </w:p>
        </w:tc>
      </w:tr>
      <w:tr>
        <w:trPr/>
        <w:tc>
          <w:tcPr>
            <w:tcW w:w="4103"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379</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432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pPr>
            <w:r>
              <w:rPr/>
              <w:t>748</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pPr>
            <w:r>
              <w:rPr/>
              <w:t>869</w:t>
            </w:r>
          </w:p>
        </w:tc>
        <w:tc>
          <w:tcPr>
            <w:tcW w:w="322" w:type="dxa"/>
            <w:tcBorders/>
            <w:shd w:fill="CCEEFF" w:val="clear"/>
            <w:vAlign w:val="center"/>
          </w:tcPr>
          <w:p>
            <w:pPr>
              <w:pStyle w:val="TableContents"/>
              <w:bidi w:val="0"/>
              <w:spacing w:before="0" w:after="283"/>
              <w:jc w:val="left"/>
              <w:rPr/>
            </w:pPr>
            <w:r>
              <w:rPr/>
              <w:t> </w:t>
            </w:r>
          </w:p>
        </w:tc>
      </w:tr>
      <w:tr>
        <w:trPr/>
        <w:tc>
          <w:tcPr>
            <w:tcW w:w="4103" w:type="dxa"/>
            <w:tcBorders/>
            <w:vAlign w:val="center"/>
          </w:tcPr>
          <w:p>
            <w:pPr>
              <w:pStyle w:val="TableContents"/>
              <w:bidi w:val="0"/>
              <w:spacing w:before="0" w:after="283"/>
              <w:jc w:val="left"/>
              <w:rPr/>
            </w:pPr>
            <w:r>
              <w:rPr/>
              <w:t>Total gross investment income</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3,884</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3,330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7,655</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6,977</w:t>
            </w:r>
          </w:p>
        </w:tc>
        <w:tc>
          <w:tcPr>
            <w:tcW w:w="322" w:type="dxa"/>
            <w:tcBorders/>
            <w:vAlign w:val="center"/>
          </w:tcPr>
          <w:p>
            <w:pPr>
              <w:pStyle w:val="TableContents"/>
              <w:bidi w:val="0"/>
              <w:spacing w:before="0" w:after="283"/>
              <w:ind w:left="0" w:right="0" w:firstLine="180"/>
              <w:jc w:val="left"/>
              <w:rPr/>
            </w:pPr>
            <w:r>
              <w:rPr/>
              <w:t> </w:t>
            </w:r>
          </w:p>
        </w:tc>
      </w:tr>
      <w:tr>
        <w:trPr/>
        <w:tc>
          <w:tcPr>
            <w:tcW w:w="4103" w:type="dxa"/>
            <w:tcBorders/>
            <w:shd w:fill="CCEEFF" w:val="clear"/>
            <w:vAlign w:val="center"/>
          </w:tcPr>
          <w:p>
            <w:pPr>
              <w:pStyle w:val="TableContents"/>
              <w:bidi w:val="0"/>
              <w:spacing w:before="0" w:after="283"/>
              <w:jc w:val="left"/>
              <w:rPr/>
            </w:pPr>
            <w:r>
              <w:rPr/>
              <w:t>Investment expenses</w:t>
            </w:r>
          </w:p>
        </w:tc>
        <w:tc>
          <w:tcPr>
            <w:tcW w:w="9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738</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807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pPr>
            <w:r>
              <w:rPr/>
              <w:t>1,671</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pPr>
            <w:r>
              <w:rPr/>
              <w:t>1,699</w:t>
            </w:r>
          </w:p>
        </w:tc>
        <w:tc>
          <w:tcPr>
            <w:tcW w:w="322" w:type="dxa"/>
            <w:tcBorders/>
            <w:shd w:fill="CCEEFF" w:val="clear"/>
            <w:vAlign w:val="center"/>
          </w:tcPr>
          <w:p>
            <w:pPr>
              <w:pStyle w:val="TableContents"/>
              <w:bidi w:val="0"/>
              <w:spacing w:before="0" w:after="283"/>
              <w:jc w:val="left"/>
              <w:rPr/>
            </w:pPr>
            <w:r>
              <w:rPr/>
              <w:t> </w:t>
            </w:r>
          </w:p>
        </w:tc>
      </w:tr>
      <w:tr>
        <w:trPr/>
        <w:tc>
          <w:tcPr>
            <w:tcW w:w="4103" w:type="dxa"/>
            <w:tcBorders/>
            <w:vAlign w:val="center"/>
          </w:tcPr>
          <w:p>
            <w:pPr>
              <w:pStyle w:val="TableContents"/>
              <w:bidi w:val="0"/>
              <w:spacing w:before="0" w:after="283"/>
              <w:jc w:val="left"/>
              <w:rPr/>
            </w:pPr>
            <w:r>
              <w:rPr/>
              <w:t>Net investment income – continuing operations</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3,146</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2,523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5,984</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5,278</w:t>
            </w:r>
          </w:p>
        </w:tc>
        <w:tc>
          <w:tcPr>
            <w:tcW w:w="322" w:type="dxa"/>
            <w:tcBorders/>
            <w:vAlign w:val="center"/>
          </w:tcPr>
          <w:p>
            <w:pPr>
              <w:pStyle w:val="TableContents"/>
              <w:bidi w:val="0"/>
              <w:spacing w:before="0" w:after="283"/>
              <w:jc w:val="left"/>
              <w:rPr/>
            </w:pPr>
            <w:r>
              <w:rPr/>
              <w:t> </w:t>
            </w:r>
          </w:p>
        </w:tc>
      </w:tr>
      <w:tr>
        <w:trPr/>
        <w:tc>
          <w:tcPr>
            <w:tcW w:w="4103" w:type="dxa"/>
            <w:tcBorders/>
            <w:shd w:fill="CCEEFF" w:val="clear"/>
            <w:vAlign w:val="center"/>
          </w:tcPr>
          <w:p>
            <w:pPr>
              <w:pStyle w:val="TableContents"/>
              <w:bidi w:val="0"/>
              <w:spacing w:before="0" w:after="283"/>
              <w:jc w:val="left"/>
              <w:rPr/>
            </w:pPr>
            <w:r>
              <w:rPr/>
              <w:t>Net investment income – discontinued operations</w:t>
            </w:r>
          </w:p>
        </w:tc>
        <w:tc>
          <w:tcPr>
            <w:tcW w:w="9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621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pPr>
            <w:r>
              <w:rPr/>
              <w:t>1,419</w:t>
            </w:r>
          </w:p>
        </w:tc>
        <w:tc>
          <w:tcPr>
            <w:tcW w:w="322" w:type="dxa"/>
            <w:tcBorders/>
            <w:shd w:fill="CCEEFF" w:val="clear"/>
            <w:vAlign w:val="center"/>
          </w:tcPr>
          <w:p>
            <w:pPr>
              <w:pStyle w:val="TableContents"/>
              <w:bidi w:val="0"/>
              <w:spacing w:before="0" w:after="283"/>
              <w:jc w:val="left"/>
              <w:rPr/>
            </w:pPr>
            <w:r>
              <w:rPr/>
              <w:t> </w:t>
            </w:r>
          </w:p>
        </w:tc>
      </w:tr>
      <w:tr>
        <w:trPr/>
        <w:tc>
          <w:tcPr>
            <w:tcW w:w="4103" w:type="dxa"/>
            <w:tcBorders/>
            <w:vAlign w:val="center"/>
          </w:tcPr>
          <w:p>
            <w:pPr>
              <w:pStyle w:val="TableContents"/>
              <w:bidi w:val="0"/>
              <w:spacing w:before="0" w:after="283"/>
              <w:jc w:val="left"/>
              <w:rPr/>
            </w:pPr>
            <w:r>
              <w:rPr/>
              <w:t>Net investment income</w:t>
            </w:r>
          </w:p>
        </w:tc>
        <w:tc>
          <w:tcPr>
            <w:tcW w:w="90" w:type="dxa"/>
            <w:tcBorders/>
            <w:vAlign w:val="center"/>
          </w:tcPr>
          <w:p>
            <w:pPr>
              <w:pStyle w:val="TableContents"/>
              <w:bidi w:val="0"/>
              <w:spacing w:before="0" w:after="283"/>
              <w:jc w:val="left"/>
              <w:rPr/>
            </w:pPr>
            <w:r>
              <w:rPr/>
              <w:t> </w:t>
            </w:r>
          </w:p>
        </w:tc>
        <w:tc>
          <w:tcPr>
            <w:tcW w:w="287" w:type="dxa"/>
            <w:tcBorders>
              <w:bottom w:val="double" w:sz="6" w:space="0" w:color="000000"/>
            </w:tcBorders>
            <w:tcMar>
              <w:bottom w:w="28" w:type="dxa"/>
            </w:tcMar>
            <w:vAlign w:val="center"/>
          </w:tcPr>
          <w:p>
            <w:pPr>
              <w:pStyle w:val="TableContents"/>
              <w:bidi w:val="0"/>
              <w:spacing w:before="0" w:after="283"/>
              <w:jc w:val="left"/>
              <w:rPr/>
            </w:pPr>
            <w:r>
              <w:rPr/>
              <w:t>$</w:t>
            </w:r>
          </w:p>
        </w:tc>
        <w:tc>
          <w:tcPr>
            <w:tcW w:w="999" w:type="dxa"/>
            <w:tcBorders>
              <w:bottom w:val="double" w:sz="6" w:space="0" w:color="000000"/>
            </w:tcBorders>
            <w:tcMar>
              <w:bottom w:w="28" w:type="dxa"/>
            </w:tcMar>
            <w:vAlign w:val="center"/>
          </w:tcPr>
          <w:p>
            <w:pPr>
              <w:pStyle w:val="TableContents"/>
              <w:bidi w:val="0"/>
              <w:spacing w:before="0" w:after="283"/>
              <w:jc w:val="right"/>
              <w:rPr/>
            </w:pPr>
            <w:r>
              <w:rPr/>
              <w:t>3,146</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7" w:type="dxa"/>
            <w:tcBorders>
              <w:bottom w:val="double" w:sz="6" w:space="0" w:color="000000"/>
            </w:tcBorders>
            <w:tcMar>
              <w:bottom w:w="28" w:type="dxa"/>
            </w:tcMar>
            <w:vAlign w:val="center"/>
          </w:tcPr>
          <w:p>
            <w:pPr>
              <w:pStyle w:val="TableContents"/>
              <w:bidi w:val="0"/>
              <w:spacing w:before="0" w:after="283"/>
              <w:jc w:val="left"/>
              <w:rPr/>
            </w:pPr>
            <w:r>
              <w:rPr/>
              <w:t>$</w:t>
            </w:r>
          </w:p>
        </w:tc>
        <w:tc>
          <w:tcPr>
            <w:tcW w:w="999" w:type="dxa"/>
            <w:tcBorders>
              <w:bottom w:val="double" w:sz="6" w:space="0" w:color="000000"/>
            </w:tcBorders>
            <w:tcMar>
              <w:bottom w:w="28" w:type="dxa"/>
            </w:tcMar>
            <w:vAlign w:val="center"/>
          </w:tcPr>
          <w:p>
            <w:pPr>
              <w:pStyle w:val="TableContents"/>
              <w:bidi w:val="0"/>
              <w:spacing w:before="0" w:after="283"/>
              <w:jc w:val="right"/>
              <w:rPr/>
            </w:pPr>
            <w:r>
              <w:rPr/>
              <w:t>3,144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 w:type="dxa"/>
            <w:tcBorders>
              <w:bottom w:val="double" w:sz="6" w:space="0" w:color="000000"/>
            </w:tcBorders>
            <w:tcMar>
              <w:bottom w:w="28" w:type="dxa"/>
            </w:tcMar>
            <w:vAlign w:val="center"/>
          </w:tcPr>
          <w:p>
            <w:pPr>
              <w:pStyle w:val="TableContents"/>
              <w:bidi w:val="0"/>
              <w:spacing w:before="0" w:after="283"/>
              <w:jc w:val="left"/>
              <w:rPr/>
            </w:pPr>
            <w:r>
              <w:rPr/>
              <w:t>$</w:t>
            </w:r>
          </w:p>
        </w:tc>
        <w:tc>
          <w:tcPr>
            <w:tcW w:w="915" w:type="dxa"/>
            <w:tcBorders>
              <w:bottom w:val="double" w:sz="6" w:space="0" w:color="000000"/>
            </w:tcBorders>
            <w:tcMar>
              <w:bottom w:w="28" w:type="dxa"/>
            </w:tcMar>
            <w:vAlign w:val="center"/>
          </w:tcPr>
          <w:p>
            <w:pPr>
              <w:pStyle w:val="TableContents"/>
              <w:bidi w:val="0"/>
              <w:spacing w:before="0" w:after="283"/>
              <w:jc w:val="right"/>
              <w:rPr/>
            </w:pPr>
            <w:r>
              <w:rPr/>
              <w:t>5,984</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3" w:type="dxa"/>
            <w:tcBorders>
              <w:bottom w:val="double" w:sz="6" w:space="0" w:color="000000"/>
            </w:tcBorders>
            <w:tcMar>
              <w:bottom w:w="28" w:type="dxa"/>
            </w:tcMar>
            <w:vAlign w:val="center"/>
          </w:tcPr>
          <w:p>
            <w:pPr>
              <w:pStyle w:val="TableContents"/>
              <w:bidi w:val="0"/>
              <w:spacing w:before="0" w:after="283"/>
              <w:jc w:val="left"/>
              <w:rPr/>
            </w:pPr>
            <w:r>
              <w:rPr/>
              <w:t>$</w:t>
            </w:r>
          </w:p>
        </w:tc>
        <w:tc>
          <w:tcPr>
            <w:tcW w:w="915" w:type="dxa"/>
            <w:tcBorders>
              <w:bottom w:val="double" w:sz="6" w:space="0" w:color="000000"/>
            </w:tcBorders>
            <w:tcMar>
              <w:bottom w:w="28" w:type="dxa"/>
            </w:tcMar>
            <w:vAlign w:val="center"/>
          </w:tcPr>
          <w:p>
            <w:pPr>
              <w:pStyle w:val="TableContents"/>
              <w:bidi w:val="0"/>
              <w:spacing w:before="0" w:after="283"/>
              <w:jc w:val="right"/>
              <w:rPr/>
            </w:pPr>
            <w:r>
              <w:rPr/>
              <w:t>6,697</w:t>
            </w:r>
          </w:p>
        </w:tc>
        <w:tc>
          <w:tcPr>
            <w:tcW w:w="322" w:type="dxa"/>
            <w:tcBorders/>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(losses) for continuing and discontinued operations consisted of the following:</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24"/>
        <w:gridCol w:w="90"/>
        <w:gridCol w:w="294"/>
        <w:gridCol w:w="842"/>
        <w:gridCol w:w="216"/>
        <w:gridCol w:w="156"/>
        <w:gridCol w:w="294"/>
        <w:gridCol w:w="842"/>
        <w:gridCol w:w="125"/>
        <w:gridCol w:w="90"/>
        <w:gridCol w:w="272"/>
        <w:gridCol w:w="776"/>
        <w:gridCol w:w="200"/>
        <w:gridCol w:w="143"/>
        <w:gridCol w:w="272"/>
        <w:gridCol w:w="776"/>
        <w:gridCol w:w="393"/>
      </w:tblGrid>
      <w:tr>
        <w:trPr/>
        <w:tc>
          <w:tcPr>
            <w:tcW w:w="44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393" w:type="dxa"/>
            <w:tcBorders/>
            <w:vAlign w:val="center"/>
          </w:tcPr>
          <w:p>
            <w:pPr>
              <w:pStyle w:val="TableContents"/>
              <w:bidi w:val="0"/>
              <w:spacing w:before="0" w:after="283"/>
              <w:jc w:val="left"/>
              <w:rPr/>
            </w:pPr>
            <w:r>
              <w:rPr/>
              <w:t> </w:t>
            </w:r>
          </w:p>
        </w:tc>
      </w:tr>
      <w:tr>
        <w:trPr/>
        <w:tc>
          <w:tcPr>
            <w:tcW w:w="44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93" w:type="dxa"/>
            <w:tcBorders/>
            <w:vAlign w:val="center"/>
          </w:tcPr>
          <w:p>
            <w:pPr>
              <w:pStyle w:val="TableContents"/>
              <w:bidi w:val="0"/>
              <w:spacing w:before="0" w:after="283"/>
              <w:jc w:val="left"/>
              <w:rPr/>
            </w:pPr>
            <w:r>
              <w:rPr/>
              <w:t> </w:t>
            </w:r>
          </w:p>
        </w:tc>
      </w:tr>
      <w:tr>
        <w:trPr/>
        <w:tc>
          <w:tcPr>
            <w:tcW w:w="4424"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r>
      <w:tr>
        <w:trPr/>
        <w:tc>
          <w:tcPr>
            <w:tcW w:w="4424" w:type="dxa"/>
            <w:tcBorders/>
            <w:vAlign w:val="center"/>
          </w:tcPr>
          <w:p>
            <w:pPr>
              <w:pStyle w:val="TableContents"/>
              <w:bidi w:val="0"/>
              <w:spacing w:before="0" w:after="283"/>
              <w:jc w:val="left"/>
              <w:rPr/>
            </w:pPr>
            <w:r>
              <w:rPr/>
              <w:t>Gross realized gains:</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 </w:t>
            </w:r>
          </w:p>
        </w:tc>
      </w:tr>
      <w:tr>
        <w:trPr/>
        <w:tc>
          <w:tcPr>
            <w:tcW w:w="4424"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6</w:t>
            </w:r>
          </w:p>
        </w:tc>
        <w:tc>
          <w:tcPr>
            <w:tcW w:w="21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6</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9</w:t>
            </w:r>
          </w:p>
        </w:tc>
        <w:tc>
          <w:tcPr>
            <w:tcW w:w="393" w:type="dxa"/>
            <w:tcBorders/>
            <w:shd w:fill="CCEEFF" w:val="clear"/>
            <w:vAlign w:val="center"/>
          </w:tcPr>
          <w:p>
            <w:pPr>
              <w:pStyle w:val="TableContents"/>
              <w:bidi w:val="0"/>
              <w:spacing w:before="0" w:after="283"/>
              <w:ind w:left="0" w:right="0" w:firstLine="216"/>
              <w:jc w:val="left"/>
              <w:rPr/>
            </w:pPr>
            <w:r>
              <w:rPr/>
              <w:t> </w:t>
            </w:r>
          </w:p>
        </w:tc>
      </w:tr>
      <w:tr>
        <w:trPr/>
        <w:tc>
          <w:tcPr>
            <w:tcW w:w="4424" w:type="dxa"/>
            <w:tcBorders/>
            <w:vAlign w:val="center"/>
          </w:tcPr>
          <w:p>
            <w:pPr>
              <w:pStyle w:val="TableContents"/>
              <w:bidi w:val="0"/>
              <w:spacing w:before="0" w:after="283"/>
              <w:jc w:val="left"/>
              <w:rPr/>
            </w:pPr>
            <w:r>
              <w:rPr/>
              <w:t>Equity securities</w:t>
            </w:r>
          </w:p>
        </w:tc>
        <w:tc>
          <w:tcPr>
            <w:tcW w:w="90" w:type="dxa"/>
            <w:tcBorders/>
            <w:vAlign w:val="center"/>
          </w:tcPr>
          <w:p>
            <w:pPr>
              <w:pStyle w:val="TableContents"/>
              <w:bidi w:val="0"/>
              <w:spacing w:before="0" w:after="283"/>
              <w:jc w:val="left"/>
              <w:rPr/>
            </w:pPr>
            <w:r>
              <w:rPr/>
              <w:t> </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tcMar>
              <w:bottom w:w="28" w:type="dxa"/>
            </w:tcMar>
            <w:vAlign w:val="center"/>
          </w:tcPr>
          <w:p>
            <w:pPr>
              <w:pStyle w:val="TableContents"/>
              <w:bidi w:val="0"/>
              <w:spacing w:before="0" w:after="283"/>
              <w:jc w:val="right"/>
              <w:rPr/>
            </w:pPr>
            <w:r>
              <w:rPr/>
              <w:t>240</w:t>
            </w:r>
          </w:p>
        </w:tc>
        <w:tc>
          <w:tcPr>
            <w:tcW w:w="21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tcMar>
              <w:bottom w:w="28" w:type="dxa"/>
            </w:tcMar>
            <w:vAlign w:val="center"/>
          </w:tcPr>
          <w:p>
            <w:pPr>
              <w:pStyle w:val="TableContents"/>
              <w:bidi w:val="0"/>
              <w:spacing w:before="0" w:after="283"/>
              <w:jc w:val="right"/>
              <w:rPr/>
            </w:pPr>
            <w:r>
              <w:rPr/>
              <w:t>191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tcMar>
              <w:bottom w:w="28" w:type="dxa"/>
            </w:tcMar>
            <w:vAlign w:val="center"/>
          </w:tcPr>
          <w:p>
            <w:pPr>
              <w:pStyle w:val="TableContents"/>
              <w:bidi w:val="0"/>
              <w:spacing w:before="0" w:after="283"/>
              <w:jc w:val="right"/>
              <w:rPr/>
            </w:pPr>
            <w:r>
              <w:rPr/>
              <w:t>743</w:t>
            </w:r>
          </w:p>
        </w:tc>
        <w:tc>
          <w:tcPr>
            <w:tcW w:w="20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tcMar>
              <w:bottom w:w="28" w:type="dxa"/>
            </w:tcMar>
            <w:vAlign w:val="center"/>
          </w:tcPr>
          <w:p>
            <w:pPr>
              <w:pStyle w:val="TableContents"/>
              <w:bidi w:val="0"/>
              <w:spacing w:before="0" w:after="283"/>
              <w:jc w:val="right"/>
              <w:rPr/>
            </w:pPr>
            <w:r>
              <w:rPr/>
              <w:t>381</w:t>
            </w:r>
          </w:p>
        </w:tc>
        <w:tc>
          <w:tcPr>
            <w:tcW w:w="393" w:type="dxa"/>
            <w:tcBorders/>
            <w:vAlign w:val="center"/>
          </w:tcPr>
          <w:p>
            <w:pPr>
              <w:pStyle w:val="TableContents"/>
              <w:bidi w:val="0"/>
              <w:spacing w:before="0" w:after="283"/>
              <w:jc w:val="left"/>
              <w:rPr/>
            </w:pPr>
            <w:r>
              <w:rPr/>
              <w:t> </w:t>
            </w:r>
          </w:p>
        </w:tc>
      </w:tr>
      <w:tr>
        <w:trPr/>
        <w:tc>
          <w:tcPr>
            <w:tcW w:w="4424" w:type="dxa"/>
            <w:tcBorders/>
            <w:shd w:fill="CCEEFF" w:val="clear"/>
            <w:vAlign w:val="center"/>
          </w:tcPr>
          <w:p>
            <w:pPr>
              <w:pStyle w:val="TableContents"/>
              <w:bidi w:val="0"/>
              <w:spacing w:before="0" w:after="283"/>
              <w:jc w:val="left"/>
              <w:rPr/>
            </w:pPr>
            <w:r>
              <w:rPr/>
              <w:t>Total gross realized gains</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246</w:t>
            </w:r>
          </w:p>
        </w:tc>
        <w:tc>
          <w:tcPr>
            <w:tcW w:w="21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749</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390</w:t>
            </w:r>
          </w:p>
        </w:tc>
        <w:tc>
          <w:tcPr>
            <w:tcW w:w="393" w:type="dxa"/>
            <w:tcBorders/>
            <w:shd w:fill="CCEEFF" w:val="clear"/>
            <w:vAlign w:val="center"/>
          </w:tcPr>
          <w:p>
            <w:pPr>
              <w:pStyle w:val="TableContents"/>
              <w:bidi w:val="0"/>
              <w:spacing w:before="0" w:after="283"/>
              <w:jc w:val="left"/>
              <w:rPr/>
            </w:pPr>
            <w:r>
              <w:rPr/>
              <w:t> </w:t>
            </w:r>
          </w:p>
        </w:tc>
      </w:tr>
      <w:tr>
        <w:trPr/>
        <w:tc>
          <w:tcPr>
            <w:tcW w:w="44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 </w:t>
            </w:r>
          </w:p>
        </w:tc>
      </w:tr>
      <w:tr>
        <w:trPr/>
        <w:tc>
          <w:tcPr>
            <w:tcW w:w="4424" w:type="dxa"/>
            <w:tcBorders/>
            <w:shd w:fill="CCEEFF" w:val="clear"/>
            <w:vAlign w:val="center"/>
          </w:tcPr>
          <w:p>
            <w:pPr>
              <w:pStyle w:val="TableContents"/>
              <w:bidi w:val="0"/>
              <w:spacing w:before="0" w:after="283"/>
              <w:jc w:val="left"/>
              <w:rPr/>
            </w:pPr>
            <w:r>
              <w:rPr/>
              <w:t>Gross realized losses, excluding credit impairment losses:</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ind w:left="0" w:right="0" w:firstLine="216"/>
              <w:jc w:val="left"/>
              <w:rPr/>
            </w:pPr>
            <w:r>
              <w:rPr/>
              <w:t> </w:t>
            </w:r>
          </w:p>
        </w:tc>
      </w:tr>
      <w:tr>
        <w:trPr/>
        <w:tc>
          <w:tcPr>
            <w:tcW w:w="4424" w:type="dxa"/>
            <w:tcBorders/>
            <w:vAlign w:val="center"/>
          </w:tcPr>
          <w:p>
            <w:pPr>
              <w:pStyle w:val="TableContents"/>
              <w:bidi w:val="0"/>
              <w:spacing w:before="0" w:after="283"/>
              <w:jc w:val="left"/>
              <w:rPr/>
            </w:pPr>
            <w:r>
              <w:rPr/>
              <w:t>Fixed income securities</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(139</w:t>
            </w:r>
          </w:p>
        </w:tc>
        <w:tc>
          <w:tcPr>
            <w:tcW w:w="21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(139</w:t>
            </w:r>
          </w:p>
        </w:tc>
        <w:tc>
          <w:tcPr>
            <w:tcW w:w="200"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(15</w:t>
            </w:r>
          </w:p>
        </w:tc>
        <w:tc>
          <w:tcPr>
            <w:tcW w:w="393" w:type="dxa"/>
            <w:tcBorders/>
            <w:vAlign w:val="center"/>
          </w:tcPr>
          <w:p>
            <w:pPr>
              <w:pStyle w:val="TableContents"/>
              <w:bidi w:val="0"/>
              <w:spacing w:before="0" w:after="283"/>
              <w:ind w:left="0" w:right="0" w:firstLine="216"/>
              <w:jc w:val="left"/>
              <w:rPr/>
            </w:pPr>
            <w:r>
              <w:rPr/>
              <w:t>)</w:t>
            </w:r>
          </w:p>
        </w:tc>
      </w:tr>
      <w:tr>
        <w:trPr/>
        <w:tc>
          <w:tcPr>
            <w:tcW w:w="4424" w:type="dxa"/>
            <w:tcBorders/>
            <w:shd w:fill="CCEEFF" w:val="clear"/>
            <w:vAlign w:val="center"/>
          </w:tcPr>
          <w:p>
            <w:pPr>
              <w:pStyle w:val="TableContents"/>
              <w:bidi w:val="0"/>
              <w:spacing w:before="0" w:after="283"/>
              <w:jc w:val="left"/>
              <w:rPr/>
            </w:pPr>
            <w:r>
              <w:rPr/>
              <w:t>Equity securities</w:t>
            </w:r>
          </w:p>
        </w:tc>
        <w:tc>
          <w:tcPr>
            <w:tcW w:w="9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21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(182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pPr>
            <w:r>
              <w:rPr/>
              <w:t>(177</w:t>
            </w:r>
          </w:p>
        </w:tc>
        <w:tc>
          <w:tcPr>
            <w:tcW w:w="200" w:type="dxa"/>
            <w:tcBorders/>
            <w:shd w:fill="CCEEFF" w:val="clear"/>
            <w:vAlign w:val="center"/>
          </w:tcPr>
          <w:p>
            <w:pPr>
              <w:pStyle w:val="TableContents"/>
              <w:bidi w:val="0"/>
              <w:spacing w:before="0" w:after="283"/>
              <w:jc w:val="left"/>
              <w:rPr/>
            </w:pPr>
            <w:r>
              <w:rPr/>
              <w:t>)</w:t>
            </w:r>
          </w:p>
        </w:tc>
        <w:tc>
          <w:tcPr>
            <w:tcW w:w="143"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pPr>
            <w:r>
              <w:rPr/>
              <w:t>(457</w:t>
            </w:r>
          </w:p>
        </w:tc>
        <w:tc>
          <w:tcPr>
            <w:tcW w:w="393" w:type="dxa"/>
            <w:tcBorders/>
            <w:shd w:fill="CCEEFF" w:val="clear"/>
            <w:vAlign w:val="center"/>
          </w:tcPr>
          <w:p>
            <w:pPr>
              <w:pStyle w:val="TableContents"/>
              <w:bidi w:val="0"/>
              <w:spacing w:before="0" w:after="283"/>
              <w:jc w:val="left"/>
              <w:rPr/>
            </w:pPr>
            <w:r>
              <w:rPr/>
              <w:t>)</w:t>
            </w:r>
          </w:p>
        </w:tc>
      </w:tr>
      <w:tr>
        <w:trPr/>
        <w:tc>
          <w:tcPr>
            <w:tcW w:w="4424" w:type="dxa"/>
            <w:tcBorders/>
            <w:vAlign w:val="center"/>
          </w:tcPr>
          <w:p>
            <w:pPr>
              <w:pStyle w:val="TableContents"/>
              <w:bidi w:val="0"/>
              <w:spacing w:before="0" w:after="283"/>
              <w:jc w:val="left"/>
              <w:rPr/>
            </w:pPr>
            <w:r>
              <w:rPr/>
              <w:t>Total gross realized losses, excluding credit impairment losses</w:t>
            </w:r>
          </w:p>
        </w:tc>
        <w:tc>
          <w:tcPr>
            <w:tcW w:w="90" w:type="dxa"/>
            <w:tcBorders/>
            <w:vAlign w:val="center"/>
          </w:tcPr>
          <w:p>
            <w:pPr>
              <w:pStyle w:val="TableContents"/>
              <w:bidi w:val="0"/>
              <w:spacing w:before="0" w:after="283"/>
              <w:jc w:val="left"/>
              <w:rPr/>
            </w:pPr>
            <w:r>
              <w:rPr/>
              <w:t> </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tcMar>
              <w:bottom w:w="28" w:type="dxa"/>
            </w:tcMar>
            <w:vAlign w:val="center"/>
          </w:tcPr>
          <w:p>
            <w:pPr>
              <w:pStyle w:val="TableContents"/>
              <w:bidi w:val="0"/>
              <w:spacing w:before="0" w:after="283"/>
              <w:jc w:val="right"/>
              <w:rPr/>
            </w:pPr>
            <w:r>
              <w:rPr/>
              <w:t>(139</w:t>
            </w:r>
          </w:p>
        </w:tc>
        <w:tc>
          <w:tcPr>
            <w:tcW w:w="21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tcMar>
              <w:bottom w:w="28" w:type="dxa"/>
            </w:tcMar>
            <w:vAlign w:val="center"/>
          </w:tcPr>
          <w:p>
            <w:pPr>
              <w:pStyle w:val="TableContents"/>
              <w:bidi w:val="0"/>
              <w:spacing w:before="0" w:after="283"/>
              <w:jc w:val="right"/>
              <w:rPr/>
            </w:pPr>
            <w:r>
              <w:rPr/>
              <w:t>(182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tcMar>
              <w:bottom w:w="28" w:type="dxa"/>
            </w:tcMar>
            <w:vAlign w:val="center"/>
          </w:tcPr>
          <w:p>
            <w:pPr>
              <w:pStyle w:val="TableContents"/>
              <w:bidi w:val="0"/>
              <w:spacing w:before="0" w:after="283"/>
              <w:jc w:val="right"/>
              <w:rPr/>
            </w:pPr>
            <w:r>
              <w:rPr/>
              <w:t>(316</w:t>
            </w:r>
          </w:p>
        </w:tc>
        <w:tc>
          <w:tcPr>
            <w:tcW w:w="200"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tcMar>
              <w:bottom w:w="28" w:type="dxa"/>
            </w:tcMar>
            <w:vAlign w:val="center"/>
          </w:tcPr>
          <w:p>
            <w:pPr>
              <w:pStyle w:val="TableContents"/>
              <w:bidi w:val="0"/>
              <w:spacing w:before="0" w:after="283"/>
              <w:jc w:val="right"/>
              <w:rPr/>
            </w:pPr>
            <w:r>
              <w:rPr/>
              <w:t>(472</w:t>
            </w:r>
          </w:p>
        </w:tc>
        <w:tc>
          <w:tcPr>
            <w:tcW w:w="393" w:type="dxa"/>
            <w:tcBorders/>
            <w:vAlign w:val="center"/>
          </w:tcPr>
          <w:p>
            <w:pPr>
              <w:pStyle w:val="TableContents"/>
              <w:bidi w:val="0"/>
              <w:spacing w:before="0" w:after="283"/>
              <w:jc w:val="left"/>
              <w:rPr/>
            </w:pPr>
            <w:r>
              <w:rPr/>
              <w:t>)</w:t>
            </w:r>
          </w:p>
        </w:tc>
      </w:tr>
      <w:tr>
        <w:trPr/>
        <w:tc>
          <w:tcPr>
            <w:tcW w:w="442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r>
      <w:tr>
        <w:trPr/>
        <w:tc>
          <w:tcPr>
            <w:tcW w:w="4424" w:type="dxa"/>
            <w:tcBorders/>
            <w:vAlign w:val="center"/>
          </w:tcPr>
          <w:p>
            <w:pPr>
              <w:pStyle w:val="TableContents"/>
              <w:bidi w:val="0"/>
              <w:spacing w:before="0" w:after="283"/>
              <w:jc w:val="left"/>
              <w:rPr/>
            </w:pPr>
            <w:r>
              <w:rPr/>
              <w:t>Net realized gains (losses)</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107</w:t>
            </w:r>
          </w:p>
        </w:tc>
        <w:tc>
          <w:tcPr>
            <w:tcW w:w="21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433</w:t>
            </w:r>
          </w:p>
        </w:tc>
        <w:tc>
          <w:tcPr>
            <w:tcW w:w="20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(82</w:t>
            </w:r>
          </w:p>
        </w:tc>
        <w:tc>
          <w:tcPr>
            <w:tcW w:w="393" w:type="dxa"/>
            <w:tcBorders/>
            <w:vAlign w:val="center"/>
          </w:tcPr>
          <w:p>
            <w:pPr>
              <w:pStyle w:val="TableContents"/>
              <w:bidi w:val="0"/>
              <w:spacing w:before="0" w:after="283"/>
              <w:jc w:val="left"/>
              <w:rPr/>
            </w:pPr>
            <w:r>
              <w:rPr/>
              <w:t>)</w:t>
            </w:r>
          </w:p>
        </w:tc>
      </w:tr>
      <w:tr>
        <w:trPr/>
        <w:tc>
          <w:tcPr>
            <w:tcW w:w="442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r>
      <w:tr>
        <w:trPr/>
        <w:tc>
          <w:tcPr>
            <w:tcW w:w="4424" w:type="dxa"/>
            <w:tcBorders/>
            <w:vAlign w:val="center"/>
          </w:tcPr>
          <w:p>
            <w:pPr>
              <w:pStyle w:val="TableContents"/>
              <w:bidi w:val="0"/>
              <w:spacing w:before="0" w:after="283"/>
              <w:jc w:val="left"/>
              <w:rPr/>
            </w:pPr>
            <w:r>
              <w:rPr/>
              <w:t>Change in net unrealized gains on equity securities</w:t>
            </w:r>
          </w:p>
        </w:tc>
        <w:tc>
          <w:tcPr>
            <w:tcW w:w="90" w:type="dxa"/>
            <w:tcBorders/>
            <w:vAlign w:val="center"/>
          </w:tcPr>
          <w:p>
            <w:pPr>
              <w:pStyle w:val="TableContents"/>
              <w:bidi w:val="0"/>
              <w:spacing w:before="0" w:after="283"/>
              <w:jc w:val="left"/>
              <w:rPr/>
            </w:pPr>
            <w:r>
              <w:rPr/>
              <w:t> </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tcMar>
              <w:bottom w:w="28" w:type="dxa"/>
            </w:tcMar>
            <w:vAlign w:val="center"/>
          </w:tcPr>
          <w:p>
            <w:pPr>
              <w:pStyle w:val="TableContents"/>
              <w:bidi w:val="0"/>
              <w:spacing w:before="0" w:after="283"/>
              <w:jc w:val="right"/>
              <w:rPr/>
            </w:pPr>
            <w:r>
              <w:rPr/>
              <w:t>(517</w:t>
            </w:r>
          </w:p>
        </w:tc>
        <w:tc>
          <w:tcPr>
            <w:tcW w:w="21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tcMar>
              <w:bottom w:w="28" w:type="dxa"/>
            </w:tcMar>
            <w:vAlign w:val="center"/>
          </w:tcPr>
          <w:p>
            <w:pPr>
              <w:pStyle w:val="TableContents"/>
              <w:bidi w:val="0"/>
              <w:spacing w:before="0" w:after="283"/>
              <w:jc w:val="right"/>
              <w:rPr/>
            </w:pPr>
            <w:r>
              <w:rPr/>
              <w:t>(589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tcMar>
              <w:bottom w:w="28" w:type="dxa"/>
            </w:tcMar>
            <w:vAlign w:val="center"/>
          </w:tcPr>
          <w:p>
            <w:pPr>
              <w:pStyle w:val="TableContents"/>
              <w:bidi w:val="0"/>
              <w:spacing w:before="0" w:after="283"/>
              <w:jc w:val="right"/>
              <w:rPr/>
            </w:pPr>
            <w:r>
              <w:rPr/>
              <w:t>26</w:t>
            </w:r>
          </w:p>
        </w:tc>
        <w:tc>
          <w:tcPr>
            <w:tcW w:w="20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tcMar>
              <w:bottom w:w="28" w:type="dxa"/>
            </w:tcMar>
            <w:vAlign w:val="center"/>
          </w:tcPr>
          <w:p>
            <w:pPr>
              <w:pStyle w:val="TableContents"/>
              <w:bidi w:val="0"/>
              <w:spacing w:before="0" w:after="283"/>
              <w:jc w:val="right"/>
              <w:rPr/>
            </w:pPr>
            <w:r>
              <w:rPr/>
              <w:t>958</w:t>
            </w:r>
          </w:p>
        </w:tc>
        <w:tc>
          <w:tcPr>
            <w:tcW w:w="393" w:type="dxa"/>
            <w:tcBorders/>
            <w:vAlign w:val="center"/>
          </w:tcPr>
          <w:p>
            <w:pPr>
              <w:pStyle w:val="TableContents"/>
              <w:bidi w:val="0"/>
              <w:spacing w:before="0" w:after="283"/>
              <w:jc w:val="left"/>
              <w:rPr/>
            </w:pPr>
            <w:r>
              <w:rPr/>
              <w:t> </w:t>
            </w:r>
          </w:p>
        </w:tc>
      </w:tr>
      <w:tr>
        <w:trPr/>
        <w:tc>
          <w:tcPr>
            <w:tcW w:w="4424" w:type="dxa"/>
            <w:tcBorders/>
            <w:shd w:fill="CCEEFF" w:val="clear"/>
            <w:vAlign w:val="center"/>
          </w:tcPr>
          <w:p>
            <w:pPr>
              <w:pStyle w:val="TableContents"/>
              <w:bidi w:val="0"/>
              <w:spacing w:before="0" w:after="283"/>
              <w:jc w:val="left"/>
              <w:rPr/>
            </w:pPr>
            <w:r>
              <w:rPr/>
              <w:t>Net investment gains (losses) – continuing operations</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(410</w:t>
            </w:r>
          </w:p>
        </w:tc>
        <w:tc>
          <w:tcPr>
            <w:tcW w:w="216"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(580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459</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876</w:t>
            </w:r>
          </w:p>
        </w:tc>
        <w:tc>
          <w:tcPr>
            <w:tcW w:w="393" w:type="dxa"/>
            <w:tcBorders/>
            <w:shd w:fill="CCEEFF" w:val="clear"/>
            <w:vAlign w:val="center"/>
          </w:tcPr>
          <w:p>
            <w:pPr>
              <w:pStyle w:val="TableContents"/>
              <w:bidi w:val="0"/>
              <w:spacing w:before="0" w:after="283"/>
              <w:jc w:val="left"/>
              <w:rPr/>
            </w:pPr>
            <w:r>
              <w:rPr/>
              <w:t> </w:t>
            </w:r>
          </w:p>
        </w:tc>
      </w:tr>
      <w:tr>
        <w:trPr/>
        <w:tc>
          <w:tcPr>
            <w:tcW w:w="4424" w:type="dxa"/>
            <w:tcBorders/>
            <w:vAlign w:val="center"/>
          </w:tcPr>
          <w:p>
            <w:pPr>
              <w:pStyle w:val="TableContents"/>
              <w:bidi w:val="0"/>
              <w:spacing w:before="0" w:after="283"/>
              <w:jc w:val="left"/>
              <w:rPr/>
            </w:pPr>
            <w:r>
              <w:rPr/>
              <w:t>Net investment gains (losses) – discontinued operations</w:t>
            </w:r>
          </w:p>
        </w:tc>
        <w:tc>
          <w:tcPr>
            <w:tcW w:w="90" w:type="dxa"/>
            <w:tcBorders/>
            <w:vAlign w:val="center"/>
          </w:tcPr>
          <w:p>
            <w:pPr>
              <w:pStyle w:val="TableContents"/>
              <w:bidi w:val="0"/>
              <w:spacing w:before="0" w:after="283"/>
              <w:jc w:val="left"/>
              <w:rPr/>
            </w:pPr>
            <w:r>
              <w:rPr/>
              <w:t> </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tcMar>
              <w:bottom w:w="28" w:type="dxa"/>
            </w:tcMar>
            <w:vAlign w:val="center"/>
          </w:tcPr>
          <w:p>
            <w:pPr>
              <w:pStyle w:val="TableContents"/>
              <w:bidi w:val="0"/>
              <w:spacing w:before="0" w:after="0"/>
              <w:jc w:val="right"/>
              <w:rPr/>
            </w:pPr>
            <w:r>
              <w:rPr/>
              <w:t>—</w:t>
            </w:r>
          </w:p>
        </w:tc>
        <w:tc>
          <w:tcPr>
            <w:tcW w:w="21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4" w:type="dxa"/>
            <w:tcBorders>
              <w:bottom w:val="single" w:sz="8" w:space="0" w:color="000000"/>
            </w:tcBorders>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tcMar>
              <w:bottom w:w="28" w:type="dxa"/>
            </w:tcMar>
            <w:vAlign w:val="center"/>
          </w:tcPr>
          <w:p>
            <w:pPr>
              <w:pStyle w:val="TableContents"/>
              <w:bidi w:val="0"/>
              <w:spacing w:before="0" w:after="283"/>
              <w:jc w:val="right"/>
              <w:rPr/>
            </w:pPr>
            <w:r>
              <w:rPr/>
              <w:t>(256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tcMar>
              <w:bottom w:w="28" w:type="dxa"/>
            </w:tcMar>
            <w:vAlign w:val="center"/>
          </w:tcPr>
          <w:p>
            <w:pPr>
              <w:pStyle w:val="TableContents"/>
              <w:bidi w:val="0"/>
              <w:spacing w:before="0" w:after="0"/>
              <w:jc w:val="right"/>
              <w:rPr/>
            </w:pPr>
            <w:r>
              <w:rPr/>
              <w:t>—</w:t>
            </w:r>
          </w:p>
        </w:tc>
        <w:tc>
          <w:tcPr>
            <w:tcW w:w="20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tcMar>
              <w:bottom w:w="28" w:type="dxa"/>
            </w:tcMar>
            <w:vAlign w:val="center"/>
          </w:tcPr>
          <w:p>
            <w:pPr>
              <w:pStyle w:val="TableContents"/>
              <w:bidi w:val="0"/>
              <w:spacing w:before="0" w:after="283"/>
              <w:jc w:val="right"/>
              <w:rPr/>
            </w:pPr>
            <w:r>
              <w:rPr/>
              <w:t>116</w:t>
            </w:r>
          </w:p>
        </w:tc>
        <w:tc>
          <w:tcPr>
            <w:tcW w:w="393" w:type="dxa"/>
            <w:tcBorders/>
            <w:vAlign w:val="center"/>
          </w:tcPr>
          <w:p>
            <w:pPr>
              <w:pStyle w:val="TableContents"/>
              <w:bidi w:val="0"/>
              <w:spacing w:before="0" w:after="283"/>
              <w:jc w:val="left"/>
              <w:rPr/>
            </w:pPr>
            <w:r>
              <w:rPr/>
              <w:t> </w:t>
            </w:r>
          </w:p>
        </w:tc>
      </w:tr>
      <w:tr>
        <w:trPr/>
        <w:tc>
          <w:tcPr>
            <w:tcW w:w="4424" w:type="dxa"/>
            <w:tcBorders/>
            <w:shd w:fill="CCEEFF" w:val="clear"/>
            <w:vAlign w:val="center"/>
          </w:tcPr>
          <w:p>
            <w:pPr>
              <w:pStyle w:val="TableContents"/>
              <w:bidi w:val="0"/>
              <w:spacing w:before="0" w:after="283"/>
              <w:jc w:val="left"/>
              <w:rPr/>
            </w:pPr>
            <w:r>
              <w:rPr/>
              <w:t>Net investment gains (losses)</w:t>
            </w:r>
          </w:p>
        </w:tc>
        <w:tc>
          <w:tcPr>
            <w:tcW w:w="9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pPr>
            <w:r>
              <w:rPr/>
              <w:t>(410</w:t>
            </w:r>
          </w:p>
        </w:tc>
        <w:tc>
          <w:tcPr>
            <w:tcW w:w="216"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pPr>
            <w:r>
              <w:rPr/>
              <w:t>(836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pPr>
            <w:r>
              <w:rPr/>
              <w:t>459</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pPr>
            <w:r>
              <w:rPr/>
              <w:t>992</w:t>
            </w:r>
          </w:p>
        </w:tc>
        <w:tc>
          <w:tcPr>
            <w:tcW w:w="39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investment transactions were $499 and $0 for the six months ended June 30, 2025 and 2024, respectively. The activity in the current year consisted of one non-cash exchange of a fixed income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30"/>
        <w:gridCol w:w="2720"/>
      </w:tblGrid>
      <w:tr>
        <w:trPr/>
        <w:tc>
          <w:tcPr>
            <w:tcW w:w="230" w:type="dxa"/>
            <w:tcBorders/>
            <w:vAlign w:val="center"/>
          </w:tcPr>
          <w:p>
            <w:pPr>
              <w:pStyle w:val="TableContents"/>
              <w:bidi w:val="0"/>
              <w:spacing w:before="0" w:after="283"/>
              <w:jc w:val="left"/>
              <w:rPr>
                <w:b/>
              </w:rPr>
            </w:pPr>
            <w:r>
              <w:rPr>
                <w:b/>
              </w:rPr>
              <w:t>4.</w:t>
            </w:r>
          </w:p>
        </w:tc>
        <w:tc>
          <w:tcPr>
            <w:tcW w:w="2720" w:type="dxa"/>
            <w:tcBorders/>
            <w:vAlign w:val="center"/>
          </w:tcPr>
          <w:p>
            <w:pPr>
              <w:pStyle w:val="TableContents"/>
              <w:bidi w:val="0"/>
              <w:spacing w:before="0" w:after="283"/>
              <w:jc w:val="left"/>
              <w:rPr>
                <w:b/>
              </w:rPr>
            </w:pPr>
            <w:r>
              <w:rPr>
                <w:b/>
              </w:rPr>
              <w:t>Fair Value Measurements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520"/>
        <w:gridCol w:w="9580"/>
      </w:tblGrid>
      <w:tr>
        <w:trPr/>
        <w:tc>
          <w:tcPr>
            <w:tcW w:w="10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i/>
                <w:sz w:val="20"/>
              </w:rPr>
            </w:pPr>
            <w:r>
              <w:rPr>
                <w:i/>
                <w:sz w:val="20"/>
              </w:rPr>
              <w:t>Level 1:</w:t>
            </w:r>
          </w:p>
        </w:tc>
        <w:tc>
          <w:tcPr>
            <w:tcW w:w="9580" w:type="dxa"/>
            <w:tcBorders/>
            <w:vAlign w:val="center"/>
          </w:tcPr>
          <w:p>
            <w:pPr>
              <w:pStyle w:val="TableContents"/>
              <w:bidi w:val="0"/>
              <w:spacing w:before="0" w:after="283"/>
              <w:jc w:val="left"/>
              <w:rPr>
                <w:sz w:val="20"/>
              </w:rPr>
            </w:pPr>
            <w:r>
              <w:rPr>
                <w:sz w:val="20"/>
              </w:rPr>
              <w:t>Unadjusted quoted prices in active markets that are accessible at the measurement date for identical, unrestricted assets or liabilities.</w:t>
            </w:r>
          </w:p>
        </w:tc>
      </w:tr>
      <w:tr>
        <w:trPr/>
        <w:tc>
          <w:tcPr>
            <w:tcW w:w="10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20"/>
              </w:rPr>
            </w:pPr>
            <w:r>
              <w:rPr>
                <w:i/>
                <w:sz w:val="20"/>
              </w:rPr>
              <w:t>Level 2</w:t>
            </w:r>
            <w:r>
              <w:rPr>
                <w:sz w:val="20"/>
              </w:rPr>
              <w:t>:</w:t>
            </w:r>
          </w:p>
        </w:tc>
        <w:tc>
          <w:tcPr>
            <w:tcW w:w="9580" w:type="dxa"/>
            <w:tcBorders/>
            <w:vAlign w:val="center"/>
          </w:tcPr>
          <w:p>
            <w:pPr>
              <w:pStyle w:val="TableContents"/>
              <w:bidi w:val="0"/>
              <w:spacing w:before="0" w:after="283"/>
              <w:jc w:val="left"/>
              <w:rPr>
                <w:sz w:val="20"/>
              </w:rPr>
            </w:pPr>
            <w:r>
              <w:rPr>
                <w:sz w:val="20"/>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tc>
      </w:tr>
      <w:tr>
        <w:trPr/>
        <w:tc>
          <w:tcPr>
            <w:tcW w:w="10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20"/>
              </w:rPr>
            </w:pPr>
            <w:r>
              <w:rPr>
                <w:i/>
                <w:sz w:val="20"/>
              </w:rPr>
              <w:t>Level 3</w:t>
            </w:r>
            <w:r>
              <w:rPr>
                <w:sz w:val="20"/>
              </w:rPr>
              <w:t>:</w:t>
            </w:r>
          </w:p>
        </w:tc>
        <w:tc>
          <w:tcPr>
            <w:tcW w:w="9580" w:type="dxa"/>
            <w:tcBorders/>
            <w:vAlign w:val="center"/>
          </w:tcPr>
          <w:p>
            <w:pPr>
              <w:pStyle w:val="TableContents"/>
              <w:bidi w:val="0"/>
              <w:spacing w:before="0" w:after="283"/>
              <w:jc w:val="left"/>
              <w:rPr>
                <w:sz w:val="20"/>
              </w:rPr>
            </w:pPr>
            <w:r>
              <w:rPr>
                <w:sz w:val="20"/>
              </w:rPr>
              <w:t>Prices or valuation techniques that require inputs that are both significant to the fair value measurement and unobservable (i.e., supported with little or no market activity).</w:t>
            </w:r>
          </w:p>
        </w:tc>
      </w:tr>
    </w:tbl>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independent pricing service be unable to provide a fair value estimate, we would first attempt to obtain a fair value estimate from a second independent pricing service.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estimates of our investments provided by the independent pricing service at each period-end were utilized, among other resources, in reaching a conclusion as to the fair value of our investments.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the reasonableness of the pricing provided by the independent pricing service by employing various analytical procedures. We also use information from a second independent pricing service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services. In its review, management did not identify any such discrepancies and no adjustments were made to the estimates provided by the independent pricing services for the six-month period ended June 30, 2025, or the year ended December 31, 2024. The classification within the fair value hierarchy is then confirmed based on the final conclusions from the pricing review.</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June 30, 2025, or December 31, 2024.</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assets which are measured on a recurring basis by the level within the fair value hierarchy in which fair value measurements fall:</w:t>
      </w:r>
    </w:p>
    <w:p>
      <w:pPr>
        <w:pStyle w:val="TextBody"/>
        <w:bidi w:val="0"/>
        <w:spacing w:before="0" w:after="0"/>
        <w:ind w:left="14" w:right="14" w:hanging="0"/>
        <w:jc w:val="left"/>
        <w:rPr>
          <w:caps w:val="false"/>
          <w:smallCaps w:val="false"/>
        </w:rPr>
      </w:pPr>
      <w:r>
        <w:rPr>
          <w:caps w:val="false"/>
          <w:smallCaps w:val="false"/>
        </w:rPr>
        <w:t> </w:t>
      </w:r>
    </w:p>
    <w:tbl>
      <w:tblPr>
        <w:tblW w:w="8859" w:type="dxa"/>
        <w:jc w:val="left"/>
        <w:tblInd w:w="0" w:type="dxa"/>
        <w:tblLayout w:type="fixed"/>
        <w:tblCellMar>
          <w:top w:w="0" w:type="dxa"/>
          <w:left w:w="0" w:type="dxa"/>
          <w:bottom w:w="0" w:type="dxa"/>
          <w:right w:w="0" w:type="dxa"/>
        </w:tblCellMar>
      </w:tblPr>
      <w:tblGrid>
        <w:gridCol w:w="4430"/>
        <w:gridCol w:w="90"/>
        <w:gridCol w:w="170"/>
        <w:gridCol w:w="830"/>
        <w:gridCol w:w="90"/>
        <w:gridCol w:w="90"/>
        <w:gridCol w:w="170"/>
        <w:gridCol w:w="710"/>
        <w:gridCol w:w="90"/>
        <w:gridCol w:w="90"/>
        <w:gridCol w:w="170"/>
        <w:gridCol w:w="830"/>
        <w:gridCol w:w="90"/>
        <w:gridCol w:w="90"/>
        <w:gridCol w:w="289"/>
        <w:gridCol w:w="495"/>
        <w:gridCol w:w="135"/>
      </w:tblGrid>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3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12,682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12,682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44,877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44,877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132,385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132,385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70,809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70,809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28,741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28,741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Redeemable preferred stock</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3,121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3,121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8" w:space="0" w:color="000000"/>
            </w:tcBorders>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322,113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322,113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Equity securities -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25,388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25,388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Money market accounts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16,404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16,404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Total assets at fair value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363,905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41,792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322,113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6" w:space="0" w:color="000000"/>
            </w:tcBorders>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15" w:right="15" w:firstLine="705"/>
        <w:jc w:val="left"/>
        <w:rPr>
          <w:caps w:val="false"/>
          <w:smallCaps w:val="false"/>
        </w:rPr>
      </w:pPr>
      <w:r>
        <w:rPr>
          <w:caps w:val="false"/>
          <w:smallCaps w:val="false"/>
        </w:rPr>
        <w:t> </w:t>
      </w:r>
    </w:p>
    <w:p>
      <w:pPr>
        <w:pStyle w:val="TextBody"/>
        <w:bidi w:val="0"/>
        <w:spacing w:before="0" w:after="0"/>
        <w:ind w:left="15" w:right="15" w:firstLine="705"/>
        <w:jc w:val="left"/>
        <w:rPr>
          <w:caps w:val="false"/>
          <w:smallCaps w:val="false"/>
        </w:rPr>
      </w:pPr>
      <w:r>
        <w:rPr>
          <w:caps w:val="false"/>
          <w:smallCaps w:val="false"/>
        </w:rPr>
        <w:t> </w:t>
      </w:r>
    </w:p>
    <w:tbl>
      <w:tblPr>
        <w:tblW w:w="8859" w:type="dxa"/>
        <w:jc w:val="left"/>
        <w:tblInd w:w="0" w:type="dxa"/>
        <w:tblLayout w:type="fixed"/>
        <w:tblCellMar>
          <w:top w:w="0" w:type="dxa"/>
          <w:left w:w="0" w:type="dxa"/>
          <w:bottom w:w="0" w:type="dxa"/>
          <w:right w:w="0" w:type="dxa"/>
        </w:tblCellMar>
      </w:tblPr>
      <w:tblGrid>
        <w:gridCol w:w="4430"/>
        <w:gridCol w:w="90"/>
        <w:gridCol w:w="170"/>
        <w:gridCol w:w="830"/>
        <w:gridCol w:w="90"/>
        <w:gridCol w:w="90"/>
        <w:gridCol w:w="170"/>
        <w:gridCol w:w="710"/>
        <w:gridCol w:w="90"/>
        <w:gridCol w:w="90"/>
        <w:gridCol w:w="170"/>
        <w:gridCol w:w="830"/>
        <w:gridCol w:w="90"/>
        <w:gridCol w:w="90"/>
        <w:gridCol w:w="289"/>
        <w:gridCol w:w="495"/>
        <w:gridCol w:w="135"/>
      </w:tblGrid>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43,823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43,823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116,274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116,274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Redeemable preferred stock</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8" w:space="0" w:color="000000"/>
            </w:tcBorders>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307,712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307,712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Equity Securities -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Money market accounts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10,950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10,950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Total assets at fair value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343,302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35,590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307,712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6" w:space="0" w:color="000000"/>
            </w:tcBorders>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liabilities measured at fair value on a recurring basis at June 30, 2025, or December 31, 2024.</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90"/>
        <w:gridCol w:w="1355"/>
      </w:tblGrid>
      <w:tr>
        <w:trPr/>
        <w:tc>
          <w:tcPr>
            <w:tcW w:w="290" w:type="dxa"/>
            <w:tcBorders/>
            <w:vAlign w:val="center"/>
          </w:tcPr>
          <w:p>
            <w:pPr>
              <w:pStyle w:val="TableContents"/>
              <w:bidi w:val="0"/>
              <w:spacing w:before="0" w:after="283"/>
              <w:jc w:val="left"/>
              <w:rPr>
                <w:b/>
              </w:rPr>
            </w:pPr>
            <w:r>
              <w:rPr>
                <w:b/>
              </w:rPr>
              <w:t>5. </w:t>
            </w:r>
          </w:p>
        </w:tc>
        <w:tc>
          <w:tcPr>
            <w:tcW w:w="1355" w:type="dxa"/>
            <w:tcBorders/>
            <w:vAlign w:val="center"/>
          </w:tcPr>
          <w:p>
            <w:pPr>
              <w:pStyle w:val="TableContents"/>
              <w:bidi w:val="0"/>
              <w:spacing w:before="0" w:after="283"/>
              <w:jc w:val="left"/>
              <w:rPr>
                <w:b/>
              </w:rPr>
            </w:pPr>
            <w:r>
              <w:rPr>
                <w:b/>
              </w:rPr>
              <w:t>Reinsurance</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External Reinsurance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 Treaty reinsurance contracts are typically effective from January 1 through December 31 each year.</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six-month period ended June 30, 2025, the Company maintained property catastrophe reinsurance protection covering $117,000 in excess of a $20,000 retention. Our per risk excess of loss treaty provides coverage of $4,000 in excess of $1,000 for property risks and $11,000 in excess of $1,000 for casualty risks.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Federal Crop Insurance Corporation (“FCIC”).</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maintained property catastrophe reinsurance protection covering $133,000 in excess of a $20,000 retention. With the exception of Westminster, a per risk excess of loss treaty provides coverage of $4,000 in excess of $1,000 for property risks and $11,000 in excess of $1,000 for casualty risks. For Westminster, a per risk excess of loss treaty provided coverage of $3,000 in excess of $2,000 for property risks and $10,000 in excess of $2,000 for casualty risks until July 1, 2024.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FCIC.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 2024, the Company’s reinsurance contracts were modified to exclude any Westminster losses occurring on or after that date, while maintaining all other existing limits, retentions, and attachment points.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monitors and evaluates the financial condition of the reinsurers and develops estimates of the uncollectible amounts due from reinsurers, which would be recognized as credit losses through an allowance account developed using the current expected credit losses (“CECL”) model. See the Part II, Item 8, Note 3 “Summary of Significant Accounting Policies and Basis of Presentation” section of the 2024 Annual Report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credit ratings and statutory surplus above certain levels. At June 30, 2025, and December 31, 2024, management has concluded that it is not necessary to record an allowance for expected credit losses related to reinsurance recoverables. All of our significant reinsurance partners are rated “A-” (Excellent) or better by AM Best or “A+” or better by Standard &amp; Poor’s, and there is no history of write-offs.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premiums on both a written and an earned basis, presented on a consolidated basis, including both continuing and discontinued operations, is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7"/>
        <w:gridCol w:w="90"/>
        <w:gridCol w:w="320"/>
        <w:gridCol w:w="1516"/>
        <w:gridCol w:w="201"/>
        <w:gridCol w:w="145"/>
        <w:gridCol w:w="333"/>
        <w:gridCol w:w="1477"/>
        <w:gridCol w:w="125"/>
        <w:gridCol w:w="90"/>
        <w:gridCol w:w="320"/>
        <w:gridCol w:w="1516"/>
        <w:gridCol w:w="198"/>
        <w:gridCol w:w="142"/>
        <w:gridCol w:w="315"/>
        <w:gridCol w:w="1494"/>
        <w:gridCol w:w="176"/>
      </w:tblGrid>
      <w:tr>
        <w:trPr/>
        <w:tc>
          <w:tcPr>
            <w:tcW w:w="17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2024</w:t>
            </w:r>
          </w:p>
        </w:tc>
        <w:tc>
          <w:tcPr>
            <w:tcW w:w="176" w:type="dxa"/>
            <w:tcBorders/>
            <w:vAlign w:val="center"/>
          </w:tcPr>
          <w:p>
            <w:pPr>
              <w:pStyle w:val="TableContents"/>
              <w:bidi w:val="0"/>
              <w:spacing w:before="0" w:after="283"/>
              <w:jc w:val="left"/>
              <w:rPr/>
            </w:pPr>
            <w:r>
              <w:rPr/>
              <w:t> </w:t>
            </w:r>
          </w:p>
        </w:tc>
      </w:tr>
      <w:tr>
        <w:trPr/>
        <w:tc>
          <w:tcPr>
            <w:tcW w:w="17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0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9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8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76" w:type="dxa"/>
            <w:tcBorders/>
            <w:vAlign w:val="center"/>
          </w:tcPr>
          <w:p>
            <w:pPr>
              <w:pStyle w:val="TableContents"/>
              <w:bidi w:val="0"/>
              <w:spacing w:before="0" w:after="283"/>
              <w:jc w:val="left"/>
              <w:rPr/>
            </w:pPr>
            <w:r>
              <w:rPr/>
              <w:t> </w:t>
            </w:r>
          </w:p>
        </w:tc>
      </w:tr>
      <w:tr>
        <w:trPr/>
        <w:tc>
          <w:tcPr>
            <w:tcW w:w="1747" w:type="dxa"/>
            <w:tcBorders/>
            <w:shd w:fill="CCEEFF" w:val="clear"/>
            <w:vAlign w:val="center"/>
          </w:tcPr>
          <w:p>
            <w:pPr>
              <w:pStyle w:val="TableContents"/>
              <w:bidi w:val="0"/>
              <w:spacing w:before="0" w:after="283"/>
              <w:jc w:val="left"/>
              <w:rPr/>
            </w:pPr>
            <w:r>
              <w:rPr/>
              <w:t>Direct premium</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109,519</w:t>
            </w:r>
          </w:p>
        </w:tc>
        <w:tc>
          <w:tcPr>
            <w:tcW w:w="20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477" w:type="dxa"/>
            <w:tcBorders/>
            <w:shd w:fill="CCEEFF" w:val="clear"/>
            <w:vAlign w:val="center"/>
          </w:tcPr>
          <w:p>
            <w:pPr>
              <w:pStyle w:val="TableContents"/>
              <w:bidi w:val="0"/>
              <w:spacing w:before="0" w:after="283"/>
              <w:jc w:val="right"/>
              <w:rPr/>
            </w:pPr>
            <w:r>
              <w:rPr/>
              <w:t>82,542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140,488</w:t>
            </w:r>
          </w:p>
        </w:tc>
        <w:tc>
          <w:tcPr>
            <w:tcW w:w="19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494" w:type="dxa"/>
            <w:tcBorders/>
            <w:shd w:fill="CCEEFF" w:val="clear"/>
            <w:vAlign w:val="center"/>
          </w:tcPr>
          <w:p>
            <w:pPr>
              <w:pStyle w:val="TableContents"/>
              <w:bidi w:val="0"/>
              <w:spacing w:before="0" w:after="283"/>
              <w:jc w:val="right"/>
              <w:rPr/>
            </w:pPr>
            <w:r>
              <w:rPr/>
              <w:t>111,082</w:t>
            </w:r>
          </w:p>
        </w:tc>
        <w:tc>
          <w:tcPr>
            <w:tcW w:w="176" w:type="dxa"/>
            <w:tcBorders/>
            <w:shd w:fill="CCEEFF" w:val="clear"/>
            <w:vAlign w:val="center"/>
          </w:tcPr>
          <w:p>
            <w:pPr>
              <w:pStyle w:val="TableContents"/>
              <w:bidi w:val="0"/>
              <w:spacing w:before="0" w:after="283"/>
              <w:jc w:val="left"/>
              <w:rPr/>
            </w:pPr>
            <w:r>
              <w:rPr/>
              <w:t> </w:t>
            </w:r>
          </w:p>
        </w:tc>
      </w:tr>
      <w:tr>
        <w:trPr/>
        <w:tc>
          <w:tcPr>
            <w:tcW w:w="1747" w:type="dxa"/>
            <w:tcBorders/>
            <w:vAlign w:val="center"/>
          </w:tcPr>
          <w:p>
            <w:pPr>
              <w:pStyle w:val="TableContents"/>
              <w:bidi w:val="0"/>
              <w:spacing w:before="0" w:after="283"/>
              <w:jc w:val="left"/>
              <w:rPr/>
            </w:pPr>
            <w:r>
              <w:rPr/>
              <w:t>Assumed premium</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right"/>
              <w:rPr/>
            </w:pPr>
            <w:r>
              <w:rPr/>
              <w:t>2,309</w:t>
            </w:r>
          </w:p>
        </w:tc>
        <w:tc>
          <w:tcPr>
            <w:tcW w:w="20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696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right"/>
              <w:rPr/>
            </w:pPr>
            <w:r>
              <w:rPr/>
              <w:t>2,340</w:t>
            </w:r>
          </w:p>
        </w:tc>
        <w:tc>
          <w:tcPr>
            <w:tcW w:w="19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494" w:type="dxa"/>
            <w:tcBorders/>
            <w:vAlign w:val="center"/>
          </w:tcPr>
          <w:p>
            <w:pPr>
              <w:pStyle w:val="TableContents"/>
              <w:bidi w:val="0"/>
              <w:spacing w:before="0" w:after="283"/>
              <w:jc w:val="right"/>
              <w:rPr/>
            </w:pPr>
            <w:r>
              <w:rPr/>
              <w:t>653</w:t>
            </w:r>
          </w:p>
        </w:tc>
        <w:tc>
          <w:tcPr>
            <w:tcW w:w="176" w:type="dxa"/>
            <w:tcBorders/>
            <w:vAlign w:val="center"/>
          </w:tcPr>
          <w:p>
            <w:pPr>
              <w:pStyle w:val="TableContents"/>
              <w:bidi w:val="0"/>
              <w:spacing w:before="0" w:after="283"/>
              <w:jc w:val="left"/>
              <w:rPr/>
            </w:pPr>
            <w:r>
              <w:rPr/>
              <w:t> </w:t>
            </w:r>
          </w:p>
        </w:tc>
      </w:tr>
      <w:tr>
        <w:trPr/>
        <w:tc>
          <w:tcPr>
            <w:tcW w:w="1747" w:type="dxa"/>
            <w:tcBorders/>
            <w:shd w:fill="CCEEFF" w:val="clear"/>
            <w:vAlign w:val="center"/>
          </w:tcPr>
          <w:p>
            <w:pPr>
              <w:pStyle w:val="TableContents"/>
              <w:bidi w:val="0"/>
              <w:spacing w:before="0" w:after="283"/>
              <w:jc w:val="left"/>
              <w:rPr/>
            </w:pPr>
            <w:r>
              <w:rPr/>
              <w:t>Ceded premium</w:t>
            </w:r>
          </w:p>
        </w:tc>
        <w:tc>
          <w:tcPr>
            <w:tcW w:w="90"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pPr>
            <w:r>
              <w:rPr/>
              <w:t>(18,518</w:t>
            </w:r>
          </w:p>
        </w:tc>
        <w:tc>
          <w:tcPr>
            <w:tcW w:w="201" w:type="dxa"/>
            <w:tcBorders/>
            <w:shd w:fill="CCEEFF" w:val="clear"/>
            <w:vAlign w:val="center"/>
          </w:tcPr>
          <w:p>
            <w:pPr>
              <w:pStyle w:val="TableContents"/>
              <w:bidi w:val="0"/>
              <w:spacing w:before="0" w:after="283"/>
              <w:jc w:val="left"/>
              <w:rPr/>
            </w:pPr>
            <w:r>
              <w:rPr/>
              <w:t>)</w:t>
            </w:r>
          </w:p>
        </w:tc>
        <w:tc>
          <w:tcPr>
            <w:tcW w:w="145"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7" w:type="dxa"/>
            <w:tcBorders>
              <w:bottom w:val="single" w:sz="8" w:space="0" w:color="000000"/>
            </w:tcBorders>
            <w:shd w:fill="CCEEFF" w:val="clear"/>
            <w:tcMar>
              <w:bottom w:w="28" w:type="dxa"/>
            </w:tcMar>
            <w:vAlign w:val="center"/>
          </w:tcPr>
          <w:p>
            <w:pPr>
              <w:pStyle w:val="TableContents"/>
              <w:bidi w:val="0"/>
              <w:spacing w:before="0" w:after="283"/>
              <w:jc w:val="right"/>
              <w:rPr/>
            </w:pPr>
            <w:r>
              <w:rPr/>
              <w:t>(10,233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pPr>
            <w:r>
              <w:rPr/>
              <w:t>(16,265</w:t>
            </w:r>
          </w:p>
        </w:tc>
        <w:tc>
          <w:tcPr>
            <w:tcW w:w="198" w:type="dxa"/>
            <w:tcBorders/>
            <w:shd w:fill="CCEEFF" w:val="clear"/>
            <w:vAlign w:val="center"/>
          </w:tcPr>
          <w:p>
            <w:pPr>
              <w:pStyle w:val="TableContents"/>
              <w:bidi w:val="0"/>
              <w:spacing w:before="0" w:after="283"/>
              <w:jc w:val="left"/>
              <w:rPr/>
            </w:pPr>
            <w:r>
              <w:rPr/>
              <w:t>)</w:t>
            </w:r>
          </w:p>
        </w:tc>
        <w:tc>
          <w:tcPr>
            <w:tcW w:w="142"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4" w:type="dxa"/>
            <w:tcBorders>
              <w:bottom w:val="single" w:sz="8" w:space="0" w:color="000000"/>
            </w:tcBorders>
            <w:shd w:fill="CCEEFF" w:val="clear"/>
            <w:tcMar>
              <w:bottom w:w="28" w:type="dxa"/>
            </w:tcMar>
            <w:vAlign w:val="center"/>
          </w:tcPr>
          <w:p>
            <w:pPr>
              <w:pStyle w:val="TableContents"/>
              <w:bidi w:val="0"/>
              <w:spacing w:before="0" w:after="283"/>
              <w:jc w:val="right"/>
              <w:rPr/>
            </w:pPr>
            <w:r>
              <w:rPr/>
              <w:t>(11,183</w:t>
            </w:r>
          </w:p>
        </w:tc>
        <w:tc>
          <w:tcPr>
            <w:tcW w:w="176" w:type="dxa"/>
            <w:tcBorders/>
            <w:shd w:fill="CCEEFF" w:val="clear"/>
            <w:vAlign w:val="center"/>
          </w:tcPr>
          <w:p>
            <w:pPr>
              <w:pStyle w:val="TableContents"/>
              <w:bidi w:val="0"/>
              <w:spacing w:before="0" w:after="283"/>
              <w:jc w:val="left"/>
              <w:rPr/>
            </w:pPr>
            <w:r>
              <w:rPr/>
              <w:t>)</w:t>
            </w:r>
          </w:p>
        </w:tc>
      </w:tr>
      <w:tr>
        <w:trPr/>
        <w:tc>
          <w:tcPr>
            <w:tcW w:w="1747" w:type="dxa"/>
            <w:tcBorders/>
            <w:vAlign w:val="center"/>
          </w:tcPr>
          <w:p>
            <w:pPr>
              <w:pStyle w:val="TableContents"/>
              <w:bidi w:val="0"/>
              <w:spacing w:before="0" w:after="283"/>
              <w:jc w:val="left"/>
              <w:rPr/>
            </w:pPr>
            <w:r>
              <w:rPr/>
              <w:t>Net premiums</w:t>
            </w:r>
          </w:p>
        </w:tc>
        <w:tc>
          <w:tcPr>
            <w:tcW w:w="90" w:type="dxa"/>
            <w:tcBorders/>
            <w:vAlign w:val="center"/>
          </w:tcPr>
          <w:p>
            <w:pPr>
              <w:pStyle w:val="TableContents"/>
              <w:bidi w:val="0"/>
              <w:spacing w:before="0" w:after="283"/>
              <w:jc w:val="left"/>
              <w:rPr/>
            </w:pPr>
            <w:r>
              <w:rPr/>
              <w:t> </w:t>
            </w:r>
          </w:p>
        </w:tc>
        <w:tc>
          <w:tcPr>
            <w:tcW w:w="320" w:type="dxa"/>
            <w:tcBorders>
              <w:bottom w:val="double" w:sz="6" w:space="0" w:color="000000"/>
            </w:tcBorders>
            <w:tcMar>
              <w:bottom w:w="28" w:type="dxa"/>
            </w:tcMar>
            <w:vAlign w:val="center"/>
          </w:tcPr>
          <w:p>
            <w:pPr>
              <w:pStyle w:val="TableContents"/>
              <w:bidi w:val="0"/>
              <w:spacing w:before="0" w:after="283"/>
              <w:jc w:val="left"/>
              <w:rPr/>
            </w:pPr>
            <w:r>
              <w:rPr/>
              <w:t>$</w:t>
            </w:r>
          </w:p>
        </w:tc>
        <w:tc>
          <w:tcPr>
            <w:tcW w:w="1516" w:type="dxa"/>
            <w:tcBorders>
              <w:bottom w:val="double" w:sz="6" w:space="0" w:color="000000"/>
            </w:tcBorders>
            <w:tcMar>
              <w:bottom w:w="28" w:type="dxa"/>
            </w:tcMar>
            <w:vAlign w:val="center"/>
          </w:tcPr>
          <w:p>
            <w:pPr>
              <w:pStyle w:val="TableContents"/>
              <w:bidi w:val="0"/>
              <w:spacing w:before="0" w:after="283"/>
              <w:jc w:val="right"/>
              <w:rPr/>
            </w:pPr>
            <w:r>
              <w:rPr/>
              <w:t>93,310</w:t>
            </w:r>
          </w:p>
        </w:tc>
        <w:tc>
          <w:tcPr>
            <w:tcW w:w="20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333" w:type="dxa"/>
            <w:tcBorders>
              <w:bottom w:val="double" w:sz="6" w:space="0" w:color="000000"/>
            </w:tcBorders>
            <w:tcMar>
              <w:bottom w:w="28" w:type="dxa"/>
            </w:tcMar>
            <w:vAlign w:val="center"/>
          </w:tcPr>
          <w:p>
            <w:pPr>
              <w:pStyle w:val="TableContents"/>
              <w:bidi w:val="0"/>
              <w:spacing w:before="0" w:after="283"/>
              <w:jc w:val="left"/>
              <w:rPr/>
            </w:pPr>
            <w:r>
              <w:rPr/>
              <w:t>$</w:t>
            </w:r>
          </w:p>
        </w:tc>
        <w:tc>
          <w:tcPr>
            <w:tcW w:w="1477" w:type="dxa"/>
            <w:tcBorders>
              <w:bottom w:val="double" w:sz="6" w:space="0" w:color="000000"/>
            </w:tcBorders>
            <w:tcMar>
              <w:bottom w:w="28" w:type="dxa"/>
            </w:tcMar>
            <w:vAlign w:val="center"/>
          </w:tcPr>
          <w:p>
            <w:pPr>
              <w:pStyle w:val="TableContents"/>
              <w:bidi w:val="0"/>
              <w:spacing w:before="0" w:after="283"/>
              <w:jc w:val="right"/>
              <w:rPr/>
            </w:pPr>
            <w:r>
              <w:rPr/>
              <w:t>73,005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0" w:type="dxa"/>
            <w:tcBorders>
              <w:bottom w:val="double" w:sz="6" w:space="0" w:color="000000"/>
            </w:tcBorders>
            <w:tcMar>
              <w:bottom w:w="28" w:type="dxa"/>
            </w:tcMar>
            <w:vAlign w:val="center"/>
          </w:tcPr>
          <w:p>
            <w:pPr>
              <w:pStyle w:val="TableContents"/>
              <w:bidi w:val="0"/>
              <w:spacing w:before="0" w:after="283"/>
              <w:jc w:val="left"/>
              <w:rPr/>
            </w:pPr>
            <w:r>
              <w:rPr/>
              <w:t>$</w:t>
            </w:r>
          </w:p>
        </w:tc>
        <w:tc>
          <w:tcPr>
            <w:tcW w:w="1516" w:type="dxa"/>
            <w:tcBorders>
              <w:bottom w:val="double" w:sz="6" w:space="0" w:color="000000"/>
            </w:tcBorders>
            <w:tcMar>
              <w:bottom w:w="28" w:type="dxa"/>
            </w:tcMar>
            <w:vAlign w:val="center"/>
          </w:tcPr>
          <w:p>
            <w:pPr>
              <w:pStyle w:val="TableContents"/>
              <w:bidi w:val="0"/>
              <w:spacing w:before="0" w:after="283"/>
              <w:jc w:val="right"/>
              <w:rPr/>
            </w:pPr>
            <w:r>
              <w:rPr/>
              <w:t>126,563</w:t>
            </w:r>
          </w:p>
        </w:tc>
        <w:tc>
          <w:tcPr>
            <w:tcW w:w="19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15" w:type="dxa"/>
            <w:tcBorders>
              <w:bottom w:val="double" w:sz="6" w:space="0" w:color="000000"/>
            </w:tcBorders>
            <w:tcMar>
              <w:bottom w:w="28" w:type="dxa"/>
            </w:tcMar>
            <w:vAlign w:val="center"/>
          </w:tcPr>
          <w:p>
            <w:pPr>
              <w:pStyle w:val="TableContents"/>
              <w:bidi w:val="0"/>
              <w:spacing w:before="0" w:after="283"/>
              <w:jc w:val="left"/>
              <w:rPr/>
            </w:pPr>
            <w:r>
              <w:rPr/>
              <w:t>$</w:t>
            </w:r>
          </w:p>
        </w:tc>
        <w:tc>
          <w:tcPr>
            <w:tcW w:w="1494" w:type="dxa"/>
            <w:tcBorders>
              <w:bottom w:val="double" w:sz="6" w:space="0" w:color="000000"/>
            </w:tcBorders>
            <w:tcMar>
              <w:bottom w:w="28" w:type="dxa"/>
            </w:tcMar>
            <w:vAlign w:val="center"/>
          </w:tcPr>
          <w:p>
            <w:pPr>
              <w:pStyle w:val="TableContents"/>
              <w:bidi w:val="0"/>
              <w:spacing w:before="0" w:after="283"/>
              <w:jc w:val="right"/>
              <w:rPr/>
            </w:pPr>
            <w:r>
              <w:rPr/>
              <w:t>100,552</w:t>
            </w:r>
          </w:p>
        </w:tc>
        <w:tc>
          <w:tcPr>
            <w:tcW w:w="176" w:type="dxa"/>
            <w:tcBorders/>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9"/>
        <w:gridCol w:w="90"/>
        <w:gridCol w:w="321"/>
        <w:gridCol w:w="1527"/>
        <w:gridCol w:w="183"/>
        <w:gridCol w:w="132"/>
        <w:gridCol w:w="316"/>
        <w:gridCol w:w="1504"/>
        <w:gridCol w:w="125"/>
        <w:gridCol w:w="90"/>
        <w:gridCol w:w="321"/>
        <w:gridCol w:w="1527"/>
        <w:gridCol w:w="183"/>
        <w:gridCol w:w="132"/>
        <w:gridCol w:w="316"/>
        <w:gridCol w:w="1504"/>
        <w:gridCol w:w="175"/>
      </w:tblGrid>
      <w:tr>
        <w:trPr/>
        <w:tc>
          <w:tcPr>
            <w:tcW w:w="17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2024</w:t>
            </w:r>
          </w:p>
        </w:tc>
        <w:tc>
          <w:tcPr>
            <w:tcW w:w="175"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8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8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75" w:type="dxa"/>
            <w:tcBorders/>
            <w:vAlign w:val="center"/>
          </w:tcPr>
          <w:p>
            <w:pPr>
              <w:pStyle w:val="TableContents"/>
              <w:bidi w:val="0"/>
              <w:spacing w:before="0" w:after="283"/>
              <w:jc w:val="left"/>
              <w:rPr/>
            </w:pPr>
            <w:r>
              <w:rPr/>
              <w:t> </w:t>
            </w:r>
          </w:p>
        </w:tc>
      </w:tr>
      <w:tr>
        <w:trPr/>
        <w:tc>
          <w:tcPr>
            <w:tcW w:w="1759" w:type="dxa"/>
            <w:tcBorders/>
            <w:shd w:fill="CCEEFF" w:val="clear"/>
            <w:vAlign w:val="center"/>
          </w:tcPr>
          <w:p>
            <w:pPr>
              <w:pStyle w:val="TableContents"/>
              <w:bidi w:val="0"/>
              <w:spacing w:before="0" w:after="283"/>
              <w:jc w:val="left"/>
              <w:rPr/>
            </w:pPr>
            <w:r>
              <w:rPr/>
              <w:t>Direct premium</w:t>
            </w:r>
          </w:p>
        </w:tc>
        <w:tc>
          <w:tcPr>
            <w:tcW w:w="9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27" w:type="dxa"/>
            <w:tcBorders/>
            <w:shd w:fill="CCEEFF" w:val="clear"/>
            <w:vAlign w:val="center"/>
          </w:tcPr>
          <w:p>
            <w:pPr>
              <w:pStyle w:val="TableContents"/>
              <w:bidi w:val="0"/>
              <w:spacing w:before="0" w:after="283"/>
              <w:jc w:val="right"/>
              <w:rPr/>
            </w:pPr>
            <w:r>
              <w:rPr/>
              <w:t>177,247</w:t>
            </w:r>
          </w:p>
        </w:tc>
        <w:tc>
          <w:tcPr>
            <w:tcW w:w="18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r>
              <w:rPr/>
              <w:t>154,704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27" w:type="dxa"/>
            <w:tcBorders/>
            <w:shd w:fill="CCEEFF" w:val="clear"/>
            <w:vAlign w:val="center"/>
          </w:tcPr>
          <w:p>
            <w:pPr>
              <w:pStyle w:val="TableContents"/>
              <w:bidi w:val="0"/>
              <w:spacing w:before="0" w:after="283"/>
              <w:jc w:val="right"/>
              <w:rPr/>
            </w:pPr>
            <w:r>
              <w:rPr/>
              <w:t>243,145</w:t>
            </w:r>
          </w:p>
        </w:tc>
        <w:tc>
          <w:tcPr>
            <w:tcW w:w="18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r>
              <w:rPr/>
              <w:t>205,982</w:t>
            </w:r>
          </w:p>
        </w:tc>
        <w:tc>
          <w:tcPr>
            <w:tcW w:w="175" w:type="dxa"/>
            <w:tcBorders/>
            <w:shd w:fill="CCEEFF" w:val="clear"/>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Assumed premium</w:t>
            </w:r>
          </w:p>
        </w:tc>
        <w:tc>
          <w:tcPr>
            <w:tcW w:w="9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527" w:type="dxa"/>
            <w:tcBorders/>
            <w:vAlign w:val="center"/>
          </w:tcPr>
          <w:p>
            <w:pPr>
              <w:pStyle w:val="TableContents"/>
              <w:bidi w:val="0"/>
              <w:spacing w:before="0" w:after="283"/>
              <w:jc w:val="right"/>
              <w:rPr/>
            </w:pPr>
            <w:r>
              <w:rPr/>
              <w:t>2,347</w:t>
            </w:r>
          </w:p>
        </w:tc>
        <w:tc>
          <w:tcPr>
            <w:tcW w:w="18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735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527" w:type="dxa"/>
            <w:tcBorders/>
            <w:vAlign w:val="center"/>
          </w:tcPr>
          <w:p>
            <w:pPr>
              <w:pStyle w:val="TableContents"/>
              <w:bidi w:val="0"/>
              <w:spacing w:before="0" w:after="283"/>
              <w:jc w:val="right"/>
              <w:rPr/>
            </w:pPr>
            <w:r>
              <w:rPr/>
              <w:t>2,477</w:t>
            </w:r>
          </w:p>
        </w:tc>
        <w:tc>
          <w:tcPr>
            <w:tcW w:w="18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804</w:t>
            </w:r>
          </w:p>
        </w:tc>
        <w:tc>
          <w:tcPr>
            <w:tcW w:w="175" w:type="dxa"/>
            <w:tcBorders/>
            <w:vAlign w:val="center"/>
          </w:tcPr>
          <w:p>
            <w:pPr>
              <w:pStyle w:val="TableContents"/>
              <w:bidi w:val="0"/>
              <w:spacing w:before="0" w:after="283"/>
              <w:jc w:val="left"/>
              <w:rPr/>
            </w:pPr>
            <w:r>
              <w:rPr/>
              <w:t> </w:t>
            </w:r>
          </w:p>
        </w:tc>
      </w:tr>
      <w:tr>
        <w:trPr/>
        <w:tc>
          <w:tcPr>
            <w:tcW w:w="1759" w:type="dxa"/>
            <w:tcBorders/>
            <w:shd w:fill="CCEEFF" w:val="clear"/>
            <w:vAlign w:val="center"/>
          </w:tcPr>
          <w:p>
            <w:pPr>
              <w:pStyle w:val="TableContents"/>
              <w:bidi w:val="0"/>
              <w:spacing w:before="0" w:after="283"/>
              <w:jc w:val="left"/>
              <w:rPr/>
            </w:pPr>
            <w:r>
              <w:rPr/>
              <w:t>Ceded premium</w:t>
            </w:r>
          </w:p>
        </w:tc>
        <w:tc>
          <w:tcPr>
            <w:tcW w:w="9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7" w:type="dxa"/>
            <w:tcBorders>
              <w:bottom w:val="single" w:sz="8" w:space="0" w:color="000000"/>
            </w:tcBorders>
            <w:shd w:fill="CCEEFF" w:val="clear"/>
            <w:tcMar>
              <w:bottom w:w="28" w:type="dxa"/>
            </w:tcMar>
            <w:vAlign w:val="center"/>
          </w:tcPr>
          <w:p>
            <w:pPr>
              <w:pStyle w:val="TableContents"/>
              <w:bidi w:val="0"/>
              <w:spacing w:before="0" w:after="283"/>
              <w:jc w:val="right"/>
              <w:rPr/>
            </w:pPr>
            <w:r>
              <w:rPr/>
              <w:t>(23,222</w:t>
            </w:r>
          </w:p>
        </w:tc>
        <w:tc>
          <w:tcPr>
            <w:tcW w:w="183" w:type="dxa"/>
            <w:tcBorders/>
            <w:shd w:fill="CCEEFF" w:val="clear"/>
            <w:vAlign w:val="center"/>
          </w:tcPr>
          <w:p>
            <w:pPr>
              <w:pStyle w:val="TableContents"/>
              <w:bidi w:val="0"/>
              <w:spacing w:before="0" w:after="283"/>
              <w:jc w:val="left"/>
              <w:rPr/>
            </w:pPr>
            <w:r>
              <w:rPr/>
              <w:t>)</w:t>
            </w:r>
          </w:p>
        </w:tc>
        <w:tc>
          <w:tcPr>
            <w:tcW w:w="132" w:type="dxa"/>
            <w:tcBorders/>
            <w:shd w:fill="CCEEFF" w:val="clear"/>
            <w:vAlign w:val="center"/>
          </w:tcPr>
          <w:p>
            <w:pPr>
              <w:pStyle w:val="TableContents"/>
              <w:bidi w:val="0"/>
              <w:spacing w:before="0" w:after="283"/>
              <w:jc w:val="left"/>
              <w:rPr/>
            </w:pPr>
            <w:r>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4" w:type="dxa"/>
            <w:tcBorders>
              <w:bottom w:val="single" w:sz="8" w:space="0" w:color="000000"/>
            </w:tcBorders>
            <w:shd w:fill="CCEEFF" w:val="clear"/>
            <w:tcMar>
              <w:bottom w:w="28" w:type="dxa"/>
            </w:tcMar>
            <w:vAlign w:val="center"/>
          </w:tcPr>
          <w:p>
            <w:pPr>
              <w:pStyle w:val="TableContents"/>
              <w:bidi w:val="0"/>
              <w:spacing w:before="0" w:after="283"/>
              <w:jc w:val="right"/>
              <w:rPr/>
            </w:pPr>
            <w:r>
              <w:rPr/>
              <w:t>(14,937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7" w:type="dxa"/>
            <w:tcBorders>
              <w:bottom w:val="single" w:sz="8" w:space="0" w:color="000000"/>
            </w:tcBorders>
            <w:shd w:fill="CCEEFF" w:val="clear"/>
            <w:tcMar>
              <w:bottom w:w="28" w:type="dxa"/>
            </w:tcMar>
            <w:vAlign w:val="center"/>
          </w:tcPr>
          <w:p>
            <w:pPr>
              <w:pStyle w:val="TableContents"/>
              <w:bidi w:val="0"/>
              <w:spacing w:before="0" w:after="283"/>
              <w:jc w:val="right"/>
              <w:rPr/>
            </w:pPr>
            <w:r>
              <w:rPr/>
              <w:t>(26,072</w:t>
            </w:r>
          </w:p>
        </w:tc>
        <w:tc>
          <w:tcPr>
            <w:tcW w:w="183" w:type="dxa"/>
            <w:tcBorders/>
            <w:shd w:fill="CCEEFF" w:val="clear"/>
            <w:vAlign w:val="center"/>
          </w:tcPr>
          <w:p>
            <w:pPr>
              <w:pStyle w:val="TableContents"/>
              <w:bidi w:val="0"/>
              <w:spacing w:before="0" w:after="283"/>
              <w:jc w:val="left"/>
              <w:rPr/>
            </w:pPr>
            <w:r>
              <w:rPr/>
              <w:t>)</w:t>
            </w:r>
          </w:p>
        </w:tc>
        <w:tc>
          <w:tcPr>
            <w:tcW w:w="132" w:type="dxa"/>
            <w:tcBorders/>
            <w:shd w:fill="CCEEFF" w:val="clear"/>
            <w:vAlign w:val="center"/>
          </w:tcPr>
          <w:p>
            <w:pPr>
              <w:pStyle w:val="TableContents"/>
              <w:bidi w:val="0"/>
              <w:spacing w:before="0" w:after="283"/>
              <w:jc w:val="left"/>
              <w:rPr/>
            </w:pPr>
            <w:r>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4" w:type="dxa"/>
            <w:tcBorders>
              <w:bottom w:val="single" w:sz="8" w:space="0" w:color="000000"/>
            </w:tcBorders>
            <w:shd w:fill="CCEEFF" w:val="clear"/>
            <w:tcMar>
              <w:bottom w:w="28" w:type="dxa"/>
            </w:tcMar>
            <w:vAlign w:val="center"/>
          </w:tcPr>
          <w:p>
            <w:pPr>
              <w:pStyle w:val="TableContents"/>
              <w:bidi w:val="0"/>
              <w:spacing w:before="0" w:after="283"/>
              <w:jc w:val="right"/>
              <w:rPr/>
            </w:pPr>
            <w:r>
              <w:rPr/>
              <w:t>(20,677</w:t>
            </w:r>
          </w:p>
        </w:tc>
        <w:tc>
          <w:tcPr>
            <w:tcW w:w="175" w:type="dxa"/>
            <w:tcBorders/>
            <w:shd w:fill="CCEEFF" w:val="clear"/>
            <w:vAlign w:val="center"/>
          </w:tcPr>
          <w:p>
            <w:pPr>
              <w:pStyle w:val="TableContents"/>
              <w:bidi w:val="0"/>
              <w:spacing w:before="0" w:after="283"/>
              <w:jc w:val="left"/>
              <w:rPr/>
            </w:pPr>
            <w:r>
              <w:rPr/>
              <w:t>)</w:t>
            </w:r>
          </w:p>
        </w:tc>
      </w:tr>
      <w:tr>
        <w:trPr/>
        <w:tc>
          <w:tcPr>
            <w:tcW w:w="1759" w:type="dxa"/>
            <w:tcBorders/>
            <w:vAlign w:val="center"/>
          </w:tcPr>
          <w:p>
            <w:pPr>
              <w:pStyle w:val="TableContents"/>
              <w:bidi w:val="0"/>
              <w:spacing w:before="0" w:after="283"/>
              <w:jc w:val="left"/>
              <w:rPr/>
            </w:pPr>
            <w:r>
              <w:rPr/>
              <w:t>Net premiums</w:t>
            </w:r>
          </w:p>
        </w:tc>
        <w:tc>
          <w:tcPr>
            <w:tcW w:w="90" w:type="dxa"/>
            <w:tcBorders/>
            <w:vAlign w:val="center"/>
          </w:tcPr>
          <w:p>
            <w:pPr>
              <w:pStyle w:val="TableContents"/>
              <w:bidi w:val="0"/>
              <w:spacing w:before="0" w:after="283"/>
              <w:jc w:val="left"/>
              <w:rPr/>
            </w:pPr>
            <w:r>
              <w:rPr/>
              <w:t> </w:t>
            </w:r>
          </w:p>
        </w:tc>
        <w:tc>
          <w:tcPr>
            <w:tcW w:w="321" w:type="dxa"/>
            <w:tcBorders>
              <w:bottom w:val="double" w:sz="6" w:space="0" w:color="000000"/>
            </w:tcBorders>
            <w:tcMar>
              <w:bottom w:w="28" w:type="dxa"/>
            </w:tcMar>
            <w:vAlign w:val="center"/>
          </w:tcPr>
          <w:p>
            <w:pPr>
              <w:pStyle w:val="TableContents"/>
              <w:bidi w:val="0"/>
              <w:spacing w:before="0" w:after="283"/>
              <w:jc w:val="left"/>
              <w:rPr/>
            </w:pPr>
            <w:r>
              <w:rPr/>
              <w:t>$</w:t>
            </w:r>
          </w:p>
        </w:tc>
        <w:tc>
          <w:tcPr>
            <w:tcW w:w="1527" w:type="dxa"/>
            <w:tcBorders>
              <w:bottom w:val="double" w:sz="6" w:space="0" w:color="000000"/>
            </w:tcBorders>
            <w:tcMar>
              <w:bottom w:w="28" w:type="dxa"/>
            </w:tcMar>
            <w:vAlign w:val="center"/>
          </w:tcPr>
          <w:p>
            <w:pPr>
              <w:pStyle w:val="TableContents"/>
              <w:bidi w:val="0"/>
              <w:spacing w:before="0" w:after="283"/>
              <w:jc w:val="right"/>
              <w:rPr/>
            </w:pPr>
            <w:r>
              <w:rPr/>
              <w:t>156,372</w:t>
            </w:r>
          </w:p>
        </w:tc>
        <w:tc>
          <w:tcPr>
            <w:tcW w:w="18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6" w:type="dxa"/>
            <w:tcBorders>
              <w:bottom w:val="double" w:sz="6" w:space="0" w:color="000000"/>
            </w:tcBorders>
            <w:tcMar>
              <w:bottom w:w="28" w:type="dxa"/>
            </w:tcMar>
            <w:vAlign w:val="center"/>
          </w:tcPr>
          <w:p>
            <w:pPr>
              <w:pStyle w:val="TableContents"/>
              <w:bidi w:val="0"/>
              <w:spacing w:before="0" w:after="283"/>
              <w:jc w:val="left"/>
              <w:rPr/>
            </w:pPr>
            <w:r>
              <w:rPr/>
              <w:t>$</w:t>
            </w:r>
          </w:p>
        </w:tc>
        <w:tc>
          <w:tcPr>
            <w:tcW w:w="1504" w:type="dxa"/>
            <w:tcBorders>
              <w:bottom w:val="double" w:sz="6" w:space="0" w:color="000000"/>
            </w:tcBorders>
            <w:tcMar>
              <w:bottom w:w="28" w:type="dxa"/>
            </w:tcMar>
            <w:vAlign w:val="center"/>
          </w:tcPr>
          <w:p>
            <w:pPr>
              <w:pStyle w:val="TableContents"/>
              <w:bidi w:val="0"/>
              <w:spacing w:before="0" w:after="283"/>
              <w:jc w:val="right"/>
              <w:rPr/>
            </w:pPr>
            <w:r>
              <w:rPr/>
              <w:t>140,502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1" w:type="dxa"/>
            <w:tcBorders>
              <w:bottom w:val="double" w:sz="6" w:space="0" w:color="000000"/>
            </w:tcBorders>
            <w:tcMar>
              <w:bottom w:w="28" w:type="dxa"/>
            </w:tcMar>
            <w:vAlign w:val="center"/>
          </w:tcPr>
          <w:p>
            <w:pPr>
              <w:pStyle w:val="TableContents"/>
              <w:bidi w:val="0"/>
              <w:spacing w:before="0" w:after="283"/>
              <w:jc w:val="left"/>
              <w:rPr/>
            </w:pPr>
            <w:r>
              <w:rPr/>
              <w:t>$</w:t>
            </w:r>
          </w:p>
        </w:tc>
        <w:tc>
          <w:tcPr>
            <w:tcW w:w="1527" w:type="dxa"/>
            <w:tcBorders>
              <w:bottom w:val="double" w:sz="6" w:space="0" w:color="000000"/>
            </w:tcBorders>
            <w:tcMar>
              <w:bottom w:w="28" w:type="dxa"/>
            </w:tcMar>
            <w:vAlign w:val="center"/>
          </w:tcPr>
          <w:p>
            <w:pPr>
              <w:pStyle w:val="TableContents"/>
              <w:bidi w:val="0"/>
              <w:spacing w:before="0" w:after="283"/>
              <w:jc w:val="right"/>
              <w:rPr/>
            </w:pPr>
            <w:r>
              <w:rPr/>
              <w:t>219,550</w:t>
            </w:r>
          </w:p>
        </w:tc>
        <w:tc>
          <w:tcPr>
            <w:tcW w:w="18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6" w:type="dxa"/>
            <w:tcBorders>
              <w:bottom w:val="double" w:sz="6" w:space="0" w:color="000000"/>
            </w:tcBorders>
            <w:tcMar>
              <w:bottom w:w="28" w:type="dxa"/>
            </w:tcMar>
            <w:vAlign w:val="center"/>
          </w:tcPr>
          <w:p>
            <w:pPr>
              <w:pStyle w:val="TableContents"/>
              <w:bidi w:val="0"/>
              <w:spacing w:before="0" w:after="283"/>
              <w:jc w:val="left"/>
              <w:rPr/>
            </w:pPr>
            <w:r>
              <w:rPr/>
              <w:t>$</w:t>
            </w:r>
          </w:p>
        </w:tc>
        <w:tc>
          <w:tcPr>
            <w:tcW w:w="1504" w:type="dxa"/>
            <w:tcBorders>
              <w:bottom w:val="double" w:sz="6" w:space="0" w:color="000000"/>
            </w:tcBorders>
            <w:tcMar>
              <w:bottom w:w="28" w:type="dxa"/>
            </w:tcMar>
            <w:vAlign w:val="center"/>
          </w:tcPr>
          <w:p>
            <w:pPr>
              <w:pStyle w:val="TableContents"/>
              <w:bidi w:val="0"/>
              <w:spacing w:before="0" w:after="283"/>
              <w:jc w:val="right"/>
              <w:rPr/>
            </w:pPr>
            <w:r>
              <w:rPr/>
              <w:t>186,109</w:t>
            </w:r>
          </w:p>
        </w:tc>
        <w:tc>
          <w:tcPr>
            <w:tcW w:w="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reconciliations of the Company’s direct to net premiums on both a written and an earned basis for the current and comparable prior year quarter, segregated between continuing and discontinued operations, are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7"/>
        <w:gridCol w:w="90"/>
        <w:gridCol w:w="313"/>
        <w:gridCol w:w="1448"/>
        <w:gridCol w:w="193"/>
        <w:gridCol w:w="139"/>
        <w:gridCol w:w="328"/>
        <w:gridCol w:w="1409"/>
        <w:gridCol w:w="125"/>
        <w:gridCol w:w="90"/>
        <w:gridCol w:w="313"/>
        <w:gridCol w:w="1448"/>
        <w:gridCol w:w="200"/>
        <w:gridCol w:w="143"/>
        <w:gridCol w:w="353"/>
        <w:gridCol w:w="1384"/>
        <w:gridCol w:w="232"/>
      </w:tblGrid>
      <w:tr>
        <w:trPr/>
        <w:tc>
          <w:tcPr>
            <w:tcW w:w="1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2024</w:t>
            </w:r>
          </w:p>
        </w:tc>
        <w:tc>
          <w:tcPr>
            <w:tcW w:w="232" w:type="dxa"/>
            <w:tcBorders/>
            <w:vAlign w:val="center"/>
          </w:tcPr>
          <w:p>
            <w:pPr>
              <w:pStyle w:val="TableContents"/>
              <w:bidi w:val="0"/>
              <w:spacing w:before="0" w:after="283"/>
              <w:jc w:val="left"/>
              <w:rPr/>
            </w:pPr>
            <w:r>
              <w:rPr/>
              <w:t> </w:t>
            </w:r>
          </w:p>
        </w:tc>
      </w:tr>
      <w:tr>
        <w:trPr/>
        <w:tc>
          <w:tcPr>
            <w:tcW w:w="1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9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7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0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7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232" w:type="dxa"/>
            <w:tcBorders/>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19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ind w:left="0" w:right="0" w:firstLine="90"/>
              <w:jc w:val="left"/>
              <w:rPr/>
            </w:pPr>
            <w:r>
              <w:rPr/>
              <w:t> </w:t>
            </w:r>
          </w:p>
        </w:tc>
      </w:tr>
      <w:tr>
        <w:trPr/>
        <w:tc>
          <w:tcPr>
            <w:tcW w:w="1997"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448" w:type="dxa"/>
            <w:tcBorders/>
            <w:vAlign w:val="center"/>
          </w:tcPr>
          <w:p>
            <w:pPr>
              <w:pStyle w:val="TableContents"/>
              <w:bidi w:val="0"/>
              <w:spacing w:before="0" w:after="283"/>
              <w:jc w:val="right"/>
              <w:rPr/>
            </w:pPr>
            <w:r>
              <w:rPr/>
              <w:t>109,519</w:t>
            </w:r>
          </w:p>
        </w:tc>
        <w:tc>
          <w:tcPr>
            <w:tcW w:w="19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82,542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448" w:type="dxa"/>
            <w:tcBorders/>
            <w:vAlign w:val="center"/>
          </w:tcPr>
          <w:p>
            <w:pPr>
              <w:pStyle w:val="TableContents"/>
              <w:bidi w:val="0"/>
              <w:spacing w:before="0" w:after="283"/>
              <w:jc w:val="right"/>
              <w:rPr/>
            </w:pPr>
            <w:r>
              <w:rPr/>
              <w:t>118,472</w:t>
            </w:r>
          </w:p>
        </w:tc>
        <w:tc>
          <w:tcPr>
            <w:tcW w:w="20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w:t>
            </w:r>
          </w:p>
        </w:tc>
        <w:tc>
          <w:tcPr>
            <w:tcW w:w="1384" w:type="dxa"/>
            <w:tcBorders/>
            <w:vAlign w:val="center"/>
          </w:tcPr>
          <w:p>
            <w:pPr>
              <w:pStyle w:val="TableContents"/>
              <w:bidi w:val="0"/>
              <w:spacing w:before="0" w:after="283"/>
              <w:jc w:val="right"/>
              <w:rPr/>
            </w:pPr>
            <w:r>
              <w:rPr/>
              <w:t>91,500</w:t>
            </w:r>
          </w:p>
        </w:tc>
        <w:tc>
          <w:tcPr>
            <w:tcW w:w="232" w:type="dxa"/>
            <w:tcBorders/>
            <w:vAlign w:val="center"/>
          </w:tcPr>
          <w:p>
            <w:pPr>
              <w:pStyle w:val="TableContents"/>
              <w:bidi w:val="0"/>
              <w:spacing w:before="0" w:after="283"/>
              <w:ind w:left="0" w:right="0" w:firstLine="90"/>
              <w:jc w:val="left"/>
              <w:rPr/>
            </w:pPr>
            <w:r>
              <w:rPr/>
              <w:t> </w:t>
            </w:r>
          </w:p>
        </w:tc>
      </w:tr>
      <w:tr>
        <w:trPr/>
        <w:tc>
          <w:tcPr>
            <w:tcW w:w="1997"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2,309</w:t>
            </w:r>
          </w:p>
        </w:tc>
        <w:tc>
          <w:tcPr>
            <w:tcW w:w="19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696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2,340</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653</w:t>
            </w:r>
          </w:p>
        </w:tc>
        <w:tc>
          <w:tcPr>
            <w:tcW w:w="232" w:type="dxa"/>
            <w:tcBorders/>
            <w:shd w:fill="CCEEFF" w:val="clear"/>
            <w:vAlign w:val="center"/>
          </w:tcPr>
          <w:p>
            <w:pPr>
              <w:pStyle w:val="TableContents"/>
              <w:bidi w:val="0"/>
              <w:spacing w:before="0" w:after="283"/>
              <w:ind w:left="0" w:right="0" w:firstLine="90"/>
              <w:jc w:val="left"/>
              <w:rPr/>
            </w:pPr>
            <w:r>
              <w:rPr/>
              <w:t> </w:t>
            </w:r>
          </w:p>
        </w:tc>
      </w:tr>
      <w:tr>
        <w:trPr/>
        <w:tc>
          <w:tcPr>
            <w:tcW w:w="1997"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313" w:type="dxa"/>
            <w:tcBorders>
              <w:bottom w:val="single" w:sz="8" w:space="0" w:color="000000"/>
            </w:tcBorders>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tcMar>
              <w:bottom w:w="28" w:type="dxa"/>
            </w:tcMar>
            <w:vAlign w:val="center"/>
          </w:tcPr>
          <w:p>
            <w:pPr>
              <w:pStyle w:val="TableContents"/>
              <w:bidi w:val="0"/>
              <w:spacing w:before="0" w:after="283"/>
              <w:jc w:val="right"/>
              <w:rPr/>
            </w:pPr>
            <w:r>
              <w:rPr/>
              <w:t>(18,518</w:t>
            </w:r>
          </w:p>
        </w:tc>
        <w:tc>
          <w:tcPr>
            <w:tcW w:w="193"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 </w:t>
            </w:r>
          </w:p>
        </w:tc>
        <w:tc>
          <w:tcPr>
            <w:tcW w:w="328" w:type="dxa"/>
            <w:tcBorders>
              <w:bottom w:val="single" w:sz="8" w:space="0" w:color="000000"/>
            </w:tcBorders>
            <w:tcMar>
              <w:bottom w:w="28" w:type="dxa"/>
            </w:tcMar>
            <w:vAlign w:val="center"/>
          </w:tcPr>
          <w:p>
            <w:pPr>
              <w:pStyle w:val="TableContents"/>
              <w:bidi w:val="0"/>
              <w:spacing w:before="0" w:after="283"/>
              <w:jc w:val="left"/>
              <w:rPr/>
            </w:pPr>
            <w:r>
              <w:rPr/>
              <w:t> </w:t>
            </w:r>
          </w:p>
        </w:tc>
        <w:tc>
          <w:tcPr>
            <w:tcW w:w="1409" w:type="dxa"/>
            <w:tcBorders>
              <w:bottom w:val="single" w:sz="8" w:space="0" w:color="000000"/>
            </w:tcBorders>
            <w:tcMar>
              <w:bottom w:w="28" w:type="dxa"/>
            </w:tcMar>
            <w:vAlign w:val="center"/>
          </w:tcPr>
          <w:p>
            <w:pPr>
              <w:pStyle w:val="TableContents"/>
              <w:bidi w:val="0"/>
              <w:spacing w:before="0" w:after="283"/>
              <w:jc w:val="right"/>
              <w:rPr/>
            </w:pPr>
            <w:r>
              <w:rPr/>
              <w:t>(10,233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13" w:type="dxa"/>
            <w:tcBorders>
              <w:bottom w:val="single" w:sz="8" w:space="0" w:color="000000"/>
            </w:tcBorders>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tcMar>
              <w:bottom w:w="28" w:type="dxa"/>
            </w:tcMar>
            <w:vAlign w:val="center"/>
          </w:tcPr>
          <w:p>
            <w:pPr>
              <w:pStyle w:val="TableContents"/>
              <w:bidi w:val="0"/>
              <w:spacing w:before="0" w:after="283"/>
              <w:jc w:val="right"/>
              <w:rPr/>
            </w:pPr>
            <w:r>
              <w:rPr/>
              <w:t>(11,663</w:t>
            </w:r>
          </w:p>
        </w:tc>
        <w:tc>
          <w:tcPr>
            <w:tcW w:w="200"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 </w:t>
            </w:r>
          </w:p>
        </w:tc>
        <w:tc>
          <w:tcPr>
            <w:tcW w:w="353" w:type="dxa"/>
            <w:tcBorders>
              <w:bottom w:val="single" w:sz="8" w:space="0" w:color="000000"/>
            </w:tcBorders>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tcMar>
              <w:bottom w:w="28" w:type="dxa"/>
            </w:tcMar>
            <w:vAlign w:val="center"/>
          </w:tcPr>
          <w:p>
            <w:pPr>
              <w:pStyle w:val="TableContents"/>
              <w:bidi w:val="0"/>
              <w:spacing w:before="0" w:after="283"/>
              <w:jc w:val="right"/>
              <w:rPr/>
            </w:pPr>
            <w:r>
              <w:rPr/>
              <w:t>(6,984</w:t>
            </w:r>
          </w:p>
        </w:tc>
        <w:tc>
          <w:tcPr>
            <w:tcW w:w="232" w:type="dxa"/>
            <w:tcBorders/>
            <w:vAlign w:val="center"/>
          </w:tcPr>
          <w:p>
            <w:pPr>
              <w:pStyle w:val="TableContents"/>
              <w:bidi w:val="0"/>
              <w:spacing w:before="0" w:after="283"/>
              <w:jc w:val="left"/>
              <w:rPr/>
            </w:pPr>
            <w:r>
              <w:rPr/>
              <w:t>)</w:t>
            </w:r>
          </w:p>
        </w:tc>
      </w:tr>
      <w:tr>
        <w:trPr/>
        <w:tc>
          <w:tcPr>
            <w:tcW w:w="1997" w:type="dxa"/>
            <w:tcBorders/>
            <w:shd w:fill="CCEEFF" w:val="clear"/>
            <w:vAlign w:val="center"/>
          </w:tcPr>
          <w:p>
            <w:pPr>
              <w:pStyle w:val="TableContents"/>
              <w:bidi w:val="0"/>
              <w:spacing w:before="0" w:after="283"/>
              <w:jc w:val="left"/>
              <w:rPr/>
            </w:pPr>
            <w:r>
              <w:rPr/>
              <w:t>Net premiums</w:t>
            </w:r>
          </w:p>
        </w:tc>
        <w:tc>
          <w:tcPr>
            <w:tcW w:w="90" w:type="dxa"/>
            <w:tcBorders/>
            <w:shd w:fill="CCEEFF" w:val="clear"/>
            <w:vAlign w:val="center"/>
          </w:tcPr>
          <w:p>
            <w:pPr>
              <w:pStyle w:val="TableContents"/>
              <w:bidi w:val="0"/>
              <w:spacing w:before="0" w:after="283"/>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pPr>
            <w:r>
              <w:rPr/>
              <w:t>93,310</w:t>
            </w:r>
          </w:p>
        </w:tc>
        <w:tc>
          <w:tcPr>
            <w:tcW w:w="19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9" w:type="dxa"/>
            <w:tcBorders>
              <w:bottom w:val="double" w:sz="6" w:space="0" w:color="000000"/>
            </w:tcBorders>
            <w:shd w:fill="CCEEFF" w:val="clear"/>
            <w:tcMar>
              <w:bottom w:w="28" w:type="dxa"/>
            </w:tcMar>
            <w:vAlign w:val="center"/>
          </w:tcPr>
          <w:p>
            <w:pPr>
              <w:pStyle w:val="TableContents"/>
              <w:bidi w:val="0"/>
              <w:spacing w:before="0" w:after="283"/>
              <w:jc w:val="right"/>
              <w:rPr/>
            </w:pPr>
            <w:r>
              <w:rPr/>
              <w:t>73,005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pPr>
            <w:r>
              <w:rPr/>
              <w:t>109,149</w:t>
            </w:r>
          </w:p>
        </w:tc>
        <w:tc>
          <w:tcPr>
            <w:tcW w:w="20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4" w:type="dxa"/>
            <w:tcBorders>
              <w:bottom w:val="double" w:sz="6" w:space="0" w:color="000000"/>
            </w:tcBorders>
            <w:shd w:fill="CCEEFF" w:val="clear"/>
            <w:tcMar>
              <w:bottom w:w="28" w:type="dxa"/>
            </w:tcMar>
            <w:vAlign w:val="center"/>
          </w:tcPr>
          <w:p>
            <w:pPr>
              <w:pStyle w:val="TableContents"/>
              <w:bidi w:val="0"/>
              <w:spacing w:before="0" w:after="283"/>
              <w:jc w:val="right"/>
              <w:rPr/>
            </w:pPr>
            <w:r>
              <w:rPr/>
              <w:t>85,169</w:t>
            </w:r>
          </w:p>
        </w:tc>
        <w:tc>
          <w:tcPr>
            <w:tcW w:w="23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4"/>
        <w:gridCol w:w="90"/>
        <w:gridCol w:w="675"/>
        <w:gridCol w:w="1025"/>
        <w:gridCol w:w="242"/>
        <w:gridCol w:w="242"/>
        <w:gridCol w:w="667"/>
        <w:gridCol w:w="1011"/>
        <w:gridCol w:w="90"/>
        <w:gridCol w:w="90"/>
        <w:gridCol w:w="358"/>
        <w:gridCol w:w="1342"/>
        <w:gridCol w:w="202"/>
        <w:gridCol w:w="146"/>
        <w:gridCol w:w="354"/>
        <w:gridCol w:w="1324"/>
        <w:gridCol w:w="233"/>
      </w:tblGrid>
      <w:tr>
        <w:trPr/>
        <w:tc>
          <w:tcPr>
            <w:tcW w:w="21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2024</w:t>
            </w:r>
          </w:p>
        </w:tc>
        <w:tc>
          <w:tcPr>
            <w:tcW w:w="233" w:type="dxa"/>
            <w:tcBorders/>
            <w:vAlign w:val="center"/>
          </w:tcPr>
          <w:p>
            <w:pPr>
              <w:pStyle w:val="TableContents"/>
              <w:bidi w:val="0"/>
              <w:spacing w:before="0" w:after="283"/>
              <w:jc w:val="left"/>
              <w:rPr/>
            </w:pPr>
            <w:r>
              <w:rPr/>
              <w:t> </w:t>
            </w:r>
          </w:p>
        </w:tc>
      </w:tr>
      <w:tr>
        <w:trPr/>
        <w:tc>
          <w:tcPr>
            <w:tcW w:w="21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4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6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233" w:type="dxa"/>
            <w:tcBorders/>
            <w:vAlign w:val="center"/>
          </w:tcPr>
          <w:p>
            <w:pPr>
              <w:pStyle w:val="TableContents"/>
              <w:bidi w:val="0"/>
              <w:spacing w:before="0" w:after="283"/>
              <w:jc w:val="left"/>
              <w:rPr/>
            </w:pPr>
            <w:r>
              <w:rPr/>
              <w:t> </w:t>
            </w:r>
          </w:p>
        </w:tc>
      </w:tr>
      <w:tr>
        <w:trPr/>
        <w:tc>
          <w:tcPr>
            <w:tcW w:w="2114"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ind w:left="0" w:right="0" w:firstLine="90"/>
              <w:jc w:val="left"/>
              <w:rPr/>
            </w:pPr>
            <w:r>
              <w:rPr/>
              <w:t> </w:t>
            </w:r>
          </w:p>
        </w:tc>
      </w:tr>
      <w:tr>
        <w:trPr/>
        <w:tc>
          <w:tcPr>
            <w:tcW w:w="2114"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0"/>
              <w:jc w:val="right"/>
              <w:rPr/>
            </w:pPr>
            <w:r>
              <w:rPr/>
              <w:t>—</w:t>
            </w:r>
          </w:p>
        </w:tc>
        <w:tc>
          <w:tcPr>
            <w:tcW w:w="24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w:t>
            </w:r>
          </w:p>
        </w:tc>
        <w:tc>
          <w:tcPr>
            <w:tcW w:w="101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22,016</w:t>
            </w:r>
          </w:p>
        </w:tc>
        <w:tc>
          <w:tcPr>
            <w:tcW w:w="2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19,582</w:t>
            </w:r>
          </w:p>
        </w:tc>
        <w:tc>
          <w:tcPr>
            <w:tcW w:w="233" w:type="dxa"/>
            <w:tcBorders/>
            <w:vAlign w:val="center"/>
          </w:tcPr>
          <w:p>
            <w:pPr>
              <w:pStyle w:val="TableContents"/>
              <w:bidi w:val="0"/>
              <w:spacing w:before="0" w:after="283"/>
              <w:ind w:left="0" w:right="0" w:firstLine="90"/>
              <w:jc w:val="left"/>
              <w:rPr/>
            </w:pPr>
            <w:r>
              <w:rPr/>
              <w:t> </w:t>
            </w:r>
          </w:p>
        </w:tc>
      </w:tr>
      <w:tr>
        <w:trPr/>
        <w:tc>
          <w:tcPr>
            <w:tcW w:w="2114"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jc w:val="right"/>
              <w:rPr/>
            </w:pPr>
            <w:r>
              <w:rPr/>
              <w:t>—</w:t>
            </w:r>
          </w:p>
        </w:tc>
        <w:tc>
          <w:tcPr>
            <w:tcW w:w="242"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0"/>
              <w:jc w:val="right"/>
              <w:rPr/>
            </w:pPr>
            <w:r>
              <w:rPr/>
              <w:t>—</w:t>
            </w:r>
          </w:p>
        </w:tc>
        <w:tc>
          <w:tcPr>
            <w:tcW w:w="20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right"/>
              <w:rPr/>
            </w:pPr>
            <w:r>
              <w:rPr/>
              <w:t>—</w:t>
            </w:r>
          </w:p>
        </w:tc>
        <w:tc>
          <w:tcPr>
            <w:tcW w:w="233" w:type="dxa"/>
            <w:tcBorders/>
            <w:shd w:fill="CCEEFF" w:val="clear"/>
            <w:vAlign w:val="center"/>
          </w:tcPr>
          <w:p>
            <w:pPr>
              <w:pStyle w:val="TableContents"/>
              <w:bidi w:val="0"/>
              <w:spacing w:before="0" w:after="283"/>
              <w:ind w:left="0" w:right="0" w:firstLine="90"/>
              <w:jc w:val="left"/>
              <w:rPr/>
            </w:pPr>
            <w:r>
              <w:rPr/>
              <w:t> </w:t>
            </w:r>
          </w:p>
        </w:tc>
      </w:tr>
      <w:tr>
        <w:trPr/>
        <w:tc>
          <w:tcPr>
            <w:tcW w:w="2114"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675" w:type="dxa"/>
            <w:tcBorders>
              <w:bottom w:val="single" w:sz="8" w:space="0" w:color="000000"/>
            </w:tcBorders>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0"/>
              <w:jc w:val="right"/>
              <w:rPr/>
            </w:pPr>
            <w:r>
              <w:rPr/>
              <w:t>—</w:t>
            </w:r>
          </w:p>
        </w:tc>
        <w:tc>
          <w:tcPr>
            <w:tcW w:w="24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667" w:type="dxa"/>
            <w:tcBorders>
              <w:bottom w:val="single" w:sz="8" w:space="0" w:color="000000"/>
            </w:tcBorders>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8" w:type="dxa"/>
            <w:tcBorders>
              <w:bottom w:val="single" w:sz="8" w:space="0" w:color="000000"/>
            </w:tcBorders>
            <w:tcMar>
              <w:bottom w:w="28" w:type="dxa"/>
            </w:tcMar>
            <w:vAlign w:val="center"/>
          </w:tcPr>
          <w:p>
            <w:pPr>
              <w:pStyle w:val="TableContents"/>
              <w:bidi w:val="0"/>
              <w:spacing w:before="0" w:after="283"/>
              <w:jc w:val="left"/>
              <w:rPr/>
            </w:pPr>
            <w:r>
              <w:rPr/>
              <w:t> </w:t>
            </w:r>
          </w:p>
        </w:tc>
        <w:tc>
          <w:tcPr>
            <w:tcW w:w="1342" w:type="dxa"/>
            <w:tcBorders>
              <w:bottom w:val="single" w:sz="8" w:space="0" w:color="000000"/>
            </w:tcBorders>
            <w:tcMar>
              <w:bottom w:w="28" w:type="dxa"/>
            </w:tcMar>
            <w:vAlign w:val="center"/>
          </w:tcPr>
          <w:p>
            <w:pPr>
              <w:pStyle w:val="TableContents"/>
              <w:bidi w:val="0"/>
              <w:spacing w:before="0" w:after="283"/>
              <w:jc w:val="right"/>
              <w:rPr/>
            </w:pPr>
            <w:r>
              <w:rPr/>
              <w:t>(4,602</w:t>
            </w:r>
          </w:p>
        </w:tc>
        <w:tc>
          <w:tcPr>
            <w:tcW w:w="202"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5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tcMar>
              <w:bottom w:w="28" w:type="dxa"/>
            </w:tcMar>
            <w:vAlign w:val="center"/>
          </w:tcPr>
          <w:p>
            <w:pPr>
              <w:pStyle w:val="TableContents"/>
              <w:bidi w:val="0"/>
              <w:spacing w:before="0" w:after="283"/>
              <w:jc w:val="right"/>
              <w:rPr/>
            </w:pPr>
            <w:r>
              <w:rPr/>
              <w:t>(4,199</w:t>
            </w:r>
          </w:p>
        </w:tc>
        <w:tc>
          <w:tcPr>
            <w:tcW w:w="233" w:type="dxa"/>
            <w:tcBorders/>
            <w:vAlign w:val="center"/>
          </w:tcPr>
          <w:p>
            <w:pPr>
              <w:pStyle w:val="TableContents"/>
              <w:bidi w:val="0"/>
              <w:spacing w:before="0" w:after="283"/>
              <w:jc w:val="left"/>
              <w:rPr/>
            </w:pPr>
            <w:r>
              <w:rPr/>
              <w:t>)</w:t>
            </w:r>
          </w:p>
        </w:tc>
      </w:tr>
      <w:tr>
        <w:trPr/>
        <w:tc>
          <w:tcPr>
            <w:tcW w:w="2114" w:type="dxa"/>
            <w:tcBorders/>
            <w:shd w:fill="CCEEFF" w:val="clear"/>
            <w:vAlign w:val="center"/>
          </w:tcPr>
          <w:p>
            <w:pPr>
              <w:pStyle w:val="TableContents"/>
              <w:bidi w:val="0"/>
              <w:spacing w:before="0" w:after="283"/>
              <w:jc w:val="left"/>
              <w:rPr/>
            </w:pPr>
            <w:r>
              <w:rPr/>
              <w:t>Net premiums</w:t>
            </w:r>
          </w:p>
        </w:tc>
        <w:tc>
          <w:tcPr>
            <w:tcW w:w="90" w:type="dxa"/>
            <w:tcBorders/>
            <w:shd w:fill="CCEEFF" w:val="clear"/>
            <w:vAlign w:val="center"/>
          </w:tcPr>
          <w:p>
            <w:pPr>
              <w:pStyle w:val="TableContents"/>
              <w:bidi w:val="0"/>
              <w:spacing w:before="0" w:after="283"/>
              <w:jc w:val="left"/>
              <w:rPr/>
            </w:pPr>
            <w:r>
              <w:rPr/>
              <w:t> </w:t>
            </w:r>
          </w:p>
        </w:tc>
        <w:tc>
          <w:tcPr>
            <w:tcW w:w="6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242"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6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2" w:type="dxa"/>
            <w:tcBorders>
              <w:bottom w:val="double" w:sz="6" w:space="0" w:color="000000"/>
            </w:tcBorders>
            <w:shd w:fill="CCEEFF" w:val="clear"/>
            <w:tcMar>
              <w:bottom w:w="28" w:type="dxa"/>
            </w:tcMar>
            <w:vAlign w:val="center"/>
          </w:tcPr>
          <w:p>
            <w:pPr>
              <w:pStyle w:val="TableContents"/>
              <w:bidi w:val="0"/>
              <w:spacing w:before="0" w:after="283"/>
              <w:jc w:val="right"/>
              <w:rPr/>
            </w:pPr>
            <w:r>
              <w:rPr/>
              <w:t>17,414</w:t>
            </w:r>
          </w:p>
        </w:tc>
        <w:tc>
          <w:tcPr>
            <w:tcW w:w="20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4" w:type="dxa"/>
            <w:tcBorders>
              <w:bottom w:val="double" w:sz="6" w:space="0" w:color="000000"/>
            </w:tcBorders>
            <w:shd w:fill="CCEEFF" w:val="clear"/>
            <w:tcMar>
              <w:bottom w:w="28" w:type="dxa"/>
            </w:tcMar>
            <w:vAlign w:val="center"/>
          </w:tcPr>
          <w:p>
            <w:pPr>
              <w:pStyle w:val="TableContents"/>
              <w:bidi w:val="0"/>
              <w:spacing w:before="0" w:after="283"/>
              <w:jc w:val="right"/>
              <w:rPr/>
            </w:pPr>
            <w:r>
              <w:rPr/>
              <w:t>15,383</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reconciliations of the Company’s direct to net premiums on both a written and an earned basis for the current year-to-date and comparable prior year-to-date amounts, segregated between continuing and discontinued operations, are shown below:</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3"/>
        <w:gridCol w:w="90"/>
        <w:gridCol w:w="314"/>
        <w:gridCol w:w="1459"/>
        <w:gridCol w:w="178"/>
        <w:gridCol w:w="127"/>
        <w:gridCol w:w="310"/>
        <w:gridCol w:w="1439"/>
        <w:gridCol w:w="125"/>
        <w:gridCol w:w="90"/>
        <w:gridCol w:w="314"/>
        <w:gridCol w:w="1459"/>
        <w:gridCol w:w="178"/>
        <w:gridCol w:w="127"/>
        <w:gridCol w:w="310"/>
        <w:gridCol w:w="1439"/>
        <w:gridCol w:w="233"/>
      </w:tblGrid>
      <w:tr>
        <w:trPr/>
        <w:tc>
          <w:tcPr>
            <w:tcW w:w="2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2024</w:t>
            </w:r>
          </w:p>
        </w:tc>
        <w:tc>
          <w:tcPr>
            <w:tcW w:w="233"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78"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78"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233" w:type="dxa"/>
            <w:tcBorders/>
            <w:vAlign w:val="center"/>
          </w:tcPr>
          <w:p>
            <w:pPr>
              <w:pStyle w:val="TableContents"/>
              <w:bidi w:val="0"/>
              <w:spacing w:before="0" w:after="283"/>
              <w:jc w:val="left"/>
              <w:rPr/>
            </w:pPr>
            <w:r>
              <w:rPr/>
              <w:t> </w:t>
            </w:r>
          </w:p>
        </w:tc>
      </w:tr>
      <w:tr>
        <w:trPr/>
        <w:tc>
          <w:tcPr>
            <w:tcW w:w="2013"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ind w:left="0" w:right="0" w:firstLine="90"/>
              <w:jc w:val="left"/>
              <w:rPr/>
            </w:pPr>
            <w:r>
              <w:rPr/>
              <w:t> </w:t>
            </w:r>
          </w:p>
        </w:tc>
      </w:tr>
      <w:tr>
        <w:trPr/>
        <w:tc>
          <w:tcPr>
            <w:tcW w:w="2013"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283"/>
              <w:jc w:val="right"/>
              <w:rPr/>
            </w:pPr>
            <w:r>
              <w:rPr/>
              <w:t>177,247</w:t>
            </w:r>
          </w:p>
        </w:tc>
        <w:tc>
          <w:tcPr>
            <w:tcW w:w="178"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439" w:type="dxa"/>
            <w:tcBorders/>
            <w:vAlign w:val="center"/>
          </w:tcPr>
          <w:p>
            <w:pPr>
              <w:pStyle w:val="TableContents"/>
              <w:bidi w:val="0"/>
              <w:spacing w:before="0" w:after="283"/>
              <w:jc w:val="right"/>
              <w:rPr/>
            </w:pPr>
            <w:r>
              <w:rPr/>
              <w:t>154,704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283"/>
              <w:jc w:val="right"/>
              <w:rPr/>
            </w:pPr>
            <w:r>
              <w:rPr/>
              <w:t>201,513</w:t>
            </w:r>
          </w:p>
        </w:tc>
        <w:tc>
          <w:tcPr>
            <w:tcW w:w="178"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439" w:type="dxa"/>
            <w:tcBorders/>
            <w:vAlign w:val="center"/>
          </w:tcPr>
          <w:p>
            <w:pPr>
              <w:pStyle w:val="TableContents"/>
              <w:bidi w:val="0"/>
              <w:spacing w:before="0" w:after="283"/>
              <w:jc w:val="right"/>
              <w:rPr/>
            </w:pPr>
            <w:r>
              <w:rPr/>
              <w:t>166,899</w:t>
            </w:r>
          </w:p>
        </w:tc>
        <w:tc>
          <w:tcPr>
            <w:tcW w:w="233" w:type="dxa"/>
            <w:tcBorders/>
            <w:vAlign w:val="center"/>
          </w:tcPr>
          <w:p>
            <w:pPr>
              <w:pStyle w:val="TableContents"/>
              <w:bidi w:val="0"/>
              <w:spacing w:before="0" w:after="283"/>
              <w:ind w:left="0" w:right="0" w:firstLine="90"/>
              <w:jc w:val="left"/>
              <w:rPr/>
            </w:pPr>
            <w:r>
              <w:rPr/>
              <w:t> </w:t>
            </w:r>
          </w:p>
        </w:tc>
      </w:tr>
      <w:tr>
        <w:trPr/>
        <w:tc>
          <w:tcPr>
            <w:tcW w:w="2013"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2,347</w:t>
            </w:r>
          </w:p>
        </w:tc>
        <w:tc>
          <w:tcPr>
            <w:tcW w:w="178"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735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2,477</w:t>
            </w:r>
          </w:p>
        </w:tc>
        <w:tc>
          <w:tcPr>
            <w:tcW w:w="178"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804</w:t>
            </w:r>
          </w:p>
        </w:tc>
        <w:tc>
          <w:tcPr>
            <w:tcW w:w="233" w:type="dxa"/>
            <w:tcBorders/>
            <w:shd w:fill="CCEEFF" w:val="clear"/>
            <w:vAlign w:val="center"/>
          </w:tcPr>
          <w:p>
            <w:pPr>
              <w:pStyle w:val="TableContents"/>
              <w:bidi w:val="0"/>
              <w:spacing w:before="0" w:after="283"/>
              <w:ind w:left="0" w:right="0" w:firstLine="90"/>
              <w:jc w:val="left"/>
              <w:rPr/>
            </w:pPr>
            <w:r>
              <w:rPr/>
              <w:t> </w:t>
            </w:r>
          </w:p>
        </w:tc>
      </w:tr>
      <w:tr>
        <w:trPr/>
        <w:tc>
          <w:tcPr>
            <w:tcW w:w="2013"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314" w:type="dxa"/>
            <w:tcBorders>
              <w:bottom w:val="single" w:sz="8" w:space="0" w:color="000000"/>
            </w:tcBorders>
            <w:tcMar>
              <w:bottom w:w="28" w:type="dxa"/>
            </w:tcMar>
            <w:vAlign w:val="center"/>
          </w:tcPr>
          <w:p>
            <w:pPr>
              <w:pStyle w:val="TableContents"/>
              <w:bidi w:val="0"/>
              <w:spacing w:before="0" w:after="283"/>
              <w:jc w:val="left"/>
              <w:rPr/>
            </w:pPr>
            <w:r>
              <w:rPr/>
              <w:t> </w:t>
            </w:r>
          </w:p>
        </w:tc>
        <w:tc>
          <w:tcPr>
            <w:tcW w:w="1459" w:type="dxa"/>
            <w:tcBorders>
              <w:bottom w:val="single" w:sz="8" w:space="0" w:color="000000"/>
            </w:tcBorders>
            <w:tcMar>
              <w:bottom w:w="28" w:type="dxa"/>
            </w:tcMar>
            <w:vAlign w:val="center"/>
          </w:tcPr>
          <w:p>
            <w:pPr>
              <w:pStyle w:val="TableContents"/>
              <w:bidi w:val="0"/>
              <w:spacing w:before="0" w:after="283"/>
              <w:jc w:val="right"/>
              <w:rPr/>
            </w:pPr>
            <w:r>
              <w:rPr/>
              <w:t>(23,222</w:t>
            </w:r>
          </w:p>
        </w:tc>
        <w:tc>
          <w:tcPr>
            <w:tcW w:w="178"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 </w:t>
            </w:r>
          </w:p>
        </w:tc>
        <w:tc>
          <w:tcPr>
            <w:tcW w:w="31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9" w:type="dxa"/>
            <w:tcBorders>
              <w:bottom w:val="single" w:sz="8" w:space="0" w:color="000000"/>
            </w:tcBorders>
            <w:tcMar>
              <w:bottom w:w="28" w:type="dxa"/>
            </w:tcMar>
            <w:vAlign w:val="center"/>
          </w:tcPr>
          <w:p>
            <w:pPr>
              <w:pStyle w:val="TableContents"/>
              <w:bidi w:val="0"/>
              <w:spacing w:before="0" w:after="283"/>
              <w:jc w:val="right"/>
              <w:rPr/>
            </w:pPr>
            <w:r>
              <w:rPr/>
              <w:t>(14,937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14" w:type="dxa"/>
            <w:tcBorders>
              <w:bottom w:val="single" w:sz="8" w:space="0" w:color="000000"/>
            </w:tcBorders>
            <w:tcMar>
              <w:bottom w:w="28" w:type="dxa"/>
            </w:tcMar>
            <w:vAlign w:val="center"/>
          </w:tcPr>
          <w:p>
            <w:pPr>
              <w:pStyle w:val="TableContents"/>
              <w:bidi w:val="0"/>
              <w:spacing w:before="0" w:after="283"/>
              <w:jc w:val="left"/>
              <w:rPr/>
            </w:pPr>
            <w:r>
              <w:rPr/>
              <w:t> </w:t>
            </w:r>
          </w:p>
        </w:tc>
        <w:tc>
          <w:tcPr>
            <w:tcW w:w="1459" w:type="dxa"/>
            <w:tcBorders>
              <w:bottom w:val="single" w:sz="8" w:space="0" w:color="000000"/>
            </w:tcBorders>
            <w:tcMar>
              <w:bottom w:w="28" w:type="dxa"/>
            </w:tcMar>
            <w:vAlign w:val="center"/>
          </w:tcPr>
          <w:p>
            <w:pPr>
              <w:pStyle w:val="TableContents"/>
              <w:bidi w:val="0"/>
              <w:spacing w:before="0" w:after="283"/>
              <w:jc w:val="right"/>
              <w:rPr/>
            </w:pPr>
            <w:r>
              <w:rPr/>
              <w:t>(17,329</w:t>
            </w:r>
          </w:p>
        </w:tc>
        <w:tc>
          <w:tcPr>
            <w:tcW w:w="178"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 </w:t>
            </w:r>
          </w:p>
        </w:tc>
        <w:tc>
          <w:tcPr>
            <w:tcW w:w="31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9" w:type="dxa"/>
            <w:tcBorders>
              <w:bottom w:val="single" w:sz="8" w:space="0" w:color="000000"/>
            </w:tcBorders>
            <w:tcMar>
              <w:bottom w:w="28" w:type="dxa"/>
            </w:tcMar>
            <w:vAlign w:val="center"/>
          </w:tcPr>
          <w:p>
            <w:pPr>
              <w:pStyle w:val="TableContents"/>
              <w:bidi w:val="0"/>
              <w:spacing w:before="0" w:after="283"/>
              <w:jc w:val="right"/>
              <w:rPr/>
            </w:pPr>
            <w:r>
              <w:rPr/>
              <w:t>(12,650</w:t>
            </w:r>
          </w:p>
        </w:tc>
        <w:tc>
          <w:tcPr>
            <w:tcW w:w="233" w:type="dxa"/>
            <w:tcBorders/>
            <w:vAlign w:val="center"/>
          </w:tcPr>
          <w:p>
            <w:pPr>
              <w:pStyle w:val="TableContents"/>
              <w:bidi w:val="0"/>
              <w:spacing w:before="0" w:after="283"/>
              <w:jc w:val="left"/>
              <w:rPr/>
            </w:pPr>
            <w:r>
              <w:rPr/>
              <w:t>)</w:t>
            </w:r>
          </w:p>
        </w:tc>
      </w:tr>
      <w:tr>
        <w:trPr/>
        <w:tc>
          <w:tcPr>
            <w:tcW w:w="2013" w:type="dxa"/>
            <w:tcBorders/>
            <w:shd w:fill="CCEEFF" w:val="clear"/>
            <w:vAlign w:val="center"/>
          </w:tcPr>
          <w:p>
            <w:pPr>
              <w:pStyle w:val="TableContents"/>
              <w:bidi w:val="0"/>
              <w:spacing w:before="0" w:after="283"/>
              <w:jc w:val="left"/>
              <w:rPr/>
            </w:pPr>
            <w:r>
              <w:rPr/>
              <w:t>Net premiums</w:t>
            </w:r>
          </w:p>
        </w:tc>
        <w:tc>
          <w:tcPr>
            <w:tcW w:w="90" w:type="dxa"/>
            <w:tcBorders/>
            <w:shd w:fill="CCEEFF" w:val="clear"/>
            <w:vAlign w:val="center"/>
          </w:tcPr>
          <w:p>
            <w:pPr>
              <w:pStyle w:val="TableContents"/>
              <w:bidi w:val="0"/>
              <w:spacing w:before="0" w:after="283"/>
              <w:jc w:val="left"/>
              <w:rPr/>
            </w:pPr>
            <w:r>
              <w:rPr/>
              <w:t> </w:t>
            </w:r>
          </w:p>
        </w:tc>
        <w:tc>
          <w:tcPr>
            <w:tcW w:w="3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9" w:type="dxa"/>
            <w:tcBorders>
              <w:bottom w:val="double" w:sz="6" w:space="0" w:color="000000"/>
            </w:tcBorders>
            <w:shd w:fill="CCEEFF" w:val="clear"/>
            <w:tcMar>
              <w:bottom w:w="28" w:type="dxa"/>
            </w:tcMar>
            <w:vAlign w:val="center"/>
          </w:tcPr>
          <w:p>
            <w:pPr>
              <w:pStyle w:val="TableContents"/>
              <w:bidi w:val="0"/>
              <w:spacing w:before="0" w:after="283"/>
              <w:jc w:val="right"/>
              <w:rPr/>
            </w:pPr>
            <w:r>
              <w:rPr/>
              <w:t>156,372</w:t>
            </w:r>
          </w:p>
        </w:tc>
        <w:tc>
          <w:tcPr>
            <w:tcW w:w="178"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9" w:type="dxa"/>
            <w:tcBorders>
              <w:bottom w:val="double" w:sz="6" w:space="0" w:color="000000"/>
            </w:tcBorders>
            <w:shd w:fill="CCEEFF" w:val="clear"/>
            <w:tcMar>
              <w:bottom w:w="28" w:type="dxa"/>
            </w:tcMar>
            <w:vAlign w:val="center"/>
          </w:tcPr>
          <w:p>
            <w:pPr>
              <w:pStyle w:val="TableContents"/>
              <w:bidi w:val="0"/>
              <w:spacing w:before="0" w:after="283"/>
              <w:jc w:val="right"/>
              <w:rPr/>
            </w:pPr>
            <w:r>
              <w:rPr/>
              <w:t>140,502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9" w:type="dxa"/>
            <w:tcBorders>
              <w:bottom w:val="double" w:sz="6" w:space="0" w:color="000000"/>
            </w:tcBorders>
            <w:shd w:fill="CCEEFF" w:val="clear"/>
            <w:tcMar>
              <w:bottom w:w="28" w:type="dxa"/>
            </w:tcMar>
            <w:vAlign w:val="center"/>
          </w:tcPr>
          <w:p>
            <w:pPr>
              <w:pStyle w:val="TableContents"/>
              <w:bidi w:val="0"/>
              <w:spacing w:before="0" w:after="283"/>
              <w:jc w:val="right"/>
              <w:rPr/>
            </w:pPr>
            <w:r>
              <w:rPr/>
              <w:t>186,661</w:t>
            </w:r>
          </w:p>
        </w:tc>
        <w:tc>
          <w:tcPr>
            <w:tcW w:w="178"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9" w:type="dxa"/>
            <w:tcBorders>
              <w:bottom w:val="double" w:sz="6" w:space="0" w:color="000000"/>
            </w:tcBorders>
            <w:shd w:fill="CCEEFF" w:val="clear"/>
            <w:tcMar>
              <w:bottom w:w="28" w:type="dxa"/>
            </w:tcMar>
            <w:vAlign w:val="center"/>
          </w:tcPr>
          <w:p>
            <w:pPr>
              <w:pStyle w:val="TableContents"/>
              <w:bidi w:val="0"/>
              <w:spacing w:before="0" w:after="283"/>
              <w:jc w:val="right"/>
              <w:rPr/>
            </w:pPr>
            <w:r>
              <w:rPr/>
              <w:t>155,053</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7"/>
        <w:gridCol w:w="90"/>
        <w:gridCol w:w="664"/>
        <w:gridCol w:w="1046"/>
        <w:gridCol w:w="227"/>
        <w:gridCol w:w="227"/>
        <w:gridCol w:w="656"/>
        <w:gridCol w:w="1032"/>
        <w:gridCol w:w="90"/>
        <w:gridCol w:w="90"/>
        <w:gridCol w:w="352"/>
        <w:gridCol w:w="1359"/>
        <w:gridCol w:w="190"/>
        <w:gridCol w:w="136"/>
        <w:gridCol w:w="347"/>
        <w:gridCol w:w="1341"/>
        <w:gridCol w:w="231"/>
      </w:tblGrid>
      <w:tr>
        <w:trPr/>
        <w:tc>
          <w:tcPr>
            <w:tcW w:w="21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2024</w:t>
            </w:r>
          </w:p>
        </w:tc>
        <w:tc>
          <w:tcPr>
            <w:tcW w:w="231" w:type="dxa"/>
            <w:tcBorders/>
            <w:vAlign w:val="center"/>
          </w:tcPr>
          <w:p>
            <w:pPr>
              <w:pStyle w:val="TableContents"/>
              <w:bidi w:val="0"/>
              <w:spacing w:before="0" w:after="283"/>
              <w:jc w:val="left"/>
              <w:rPr/>
            </w:pPr>
            <w:r>
              <w:rPr/>
              <w:t> </w:t>
            </w:r>
          </w:p>
        </w:tc>
      </w:tr>
      <w:tr>
        <w:trPr/>
        <w:tc>
          <w:tcPr>
            <w:tcW w:w="21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2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6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6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231" w:type="dxa"/>
            <w:tcBorders/>
            <w:vAlign w:val="center"/>
          </w:tcPr>
          <w:p>
            <w:pPr>
              <w:pStyle w:val="TableContents"/>
              <w:bidi w:val="0"/>
              <w:spacing w:before="0" w:after="283"/>
              <w:jc w:val="left"/>
              <w:rPr/>
            </w:pPr>
            <w:r>
              <w:rPr/>
              <w:t> </w:t>
            </w:r>
          </w:p>
        </w:tc>
      </w:tr>
      <w:tr>
        <w:trPr/>
        <w:tc>
          <w:tcPr>
            <w:tcW w:w="2127"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firstLine="90"/>
              <w:jc w:val="left"/>
              <w:rPr/>
            </w:pPr>
            <w:r>
              <w:rPr/>
              <w:t> </w:t>
            </w:r>
          </w:p>
        </w:tc>
      </w:tr>
      <w:tr>
        <w:trPr/>
        <w:tc>
          <w:tcPr>
            <w:tcW w:w="2127"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right"/>
              <w:rPr/>
            </w:pPr>
            <w:r>
              <w:rPr/>
              <w:t>—</w:t>
            </w:r>
          </w:p>
        </w:tc>
        <w:tc>
          <w:tcPr>
            <w:tcW w:w="22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w:t>
            </w:r>
          </w:p>
        </w:tc>
        <w:tc>
          <w:tcPr>
            <w:tcW w:w="103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41,632</w:t>
            </w:r>
          </w:p>
        </w:tc>
        <w:tc>
          <w:tcPr>
            <w:tcW w:w="1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right"/>
              <w:rPr/>
            </w:pPr>
            <w:r>
              <w:rPr/>
              <w:t>39,083</w:t>
            </w:r>
          </w:p>
        </w:tc>
        <w:tc>
          <w:tcPr>
            <w:tcW w:w="231" w:type="dxa"/>
            <w:tcBorders/>
            <w:vAlign w:val="center"/>
          </w:tcPr>
          <w:p>
            <w:pPr>
              <w:pStyle w:val="TableContents"/>
              <w:bidi w:val="0"/>
              <w:spacing w:before="0" w:after="283"/>
              <w:ind w:left="0" w:right="0" w:firstLine="90"/>
              <w:jc w:val="left"/>
              <w:rPr/>
            </w:pPr>
            <w:r>
              <w:rPr/>
              <w:t> </w:t>
            </w:r>
          </w:p>
        </w:tc>
      </w:tr>
      <w:tr>
        <w:trPr/>
        <w:tc>
          <w:tcPr>
            <w:tcW w:w="2127"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0"/>
              <w:jc w:val="right"/>
              <w:rPr/>
            </w:pPr>
            <w:r>
              <w:rPr/>
              <w:t>—</w:t>
            </w:r>
          </w:p>
        </w:tc>
        <w:tc>
          <w:tcPr>
            <w:tcW w:w="22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0"/>
              <w:jc w:val="right"/>
              <w:rPr/>
            </w:pPr>
            <w:r>
              <w:rPr/>
              <w:t>—</w:t>
            </w:r>
          </w:p>
        </w:tc>
        <w:tc>
          <w:tcPr>
            <w:tcW w:w="1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0"/>
              <w:jc w:val="right"/>
              <w:rPr/>
            </w:pPr>
            <w:r>
              <w:rPr/>
              <w:t>—</w:t>
            </w:r>
          </w:p>
        </w:tc>
        <w:tc>
          <w:tcPr>
            <w:tcW w:w="231" w:type="dxa"/>
            <w:tcBorders/>
            <w:shd w:fill="CCEEFF" w:val="clear"/>
            <w:vAlign w:val="center"/>
          </w:tcPr>
          <w:p>
            <w:pPr>
              <w:pStyle w:val="TableContents"/>
              <w:bidi w:val="0"/>
              <w:spacing w:before="0" w:after="283"/>
              <w:ind w:left="0" w:right="0" w:firstLine="90"/>
              <w:jc w:val="left"/>
              <w:rPr/>
            </w:pPr>
            <w:r>
              <w:rPr/>
              <w:t> </w:t>
            </w:r>
          </w:p>
        </w:tc>
      </w:tr>
      <w:tr>
        <w:trPr/>
        <w:tc>
          <w:tcPr>
            <w:tcW w:w="2127"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664" w:type="dxa"/>
            <w:tcBorders>
              <w:bottom w:val="single" w:sz="8" w:space="0" w:color="000000"/>
            </w:tcBorders>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tcMar>
              <w:bottom w:w="28" w:type="dxa"/>
            </w:tcMar>
            <w:vAlign w:val="center"/>
          </w:tcPr>
          <w:p>
            <w:pPr>
              <w:pStyle w:val="TableContents"/>
              <w:bidi w:val="0"/>
              <w:spacing w:before="0" w:after="0"/>
              <w:jc w:val="right"/>
              <w:rPr/>
            </w:pPr>
            <w:r>
              <w:rPr/>
              <w:t>—</w:t>
            </w:r>
          </w:p>
        </w:tc>
        <w:tc>
          <w:tcPr>
            <w:tcW w:w="22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6"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 w:type="dxa"/>
            <w:tcBorders>
              <w:bottom w:val="single" w:sz="8" w:space="0" w:color="000000"/>
            </w:tcBorders>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tcMar>
              <w:bottom w:w="28" w:type="dxa"/>
            </w:tcMar>
            <w:vAlign w:val="center"/>
          </w:tcPr>
          <w:p>
            <w:pPr>
              <w:pStyle w:val="TableContents"/>
              <w:bidi w:val="0"/>
              <w:spacing w:before="0" w:after="283"/>
              <w:jc w:val="right"/>
              <w:rPr/>
            </w:pPr>
            <w:r>
              <w:rPr/>
              <w:t>(8,743</w:t>
            </w:r>
          </w:p>
        </w:tc>
        <w:tc>
          <w:tcPr>
            <w:tcW w:w="190"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 </w:t>
            </w:r>
          </w:p>
        </w:tc>
        <w:tc>
          <w:tcPr>
            <w:tcW w:w="347" w:type="dxa"/>
            <w:tcBorders>
              <w:bottom w:val="single" w:sz="8" w:space="0" w:color="000000"/>
            </w:tcBorders>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tcMar>
              <w:bottom w:w="28" w:type="dxa"/>
            </w:tcMar>
            <w:vAlign w:val="center"/>
          </w:tcPr>
          <w:p>
            <w:pPr>
              <w:pStyle w:val="TableContents"/>
              <w:bidi w:val="0"/>
              <w:spacing w:before="0" w:after="283"/>
              <w:jc w:val="right"/>
              <w:rPr/>
            </w:pPr>
            <w:r>
              <w:rPr/>
              <w:t>(8,027</w:t>
            </w:r>
          </w:p>
        </w:tc>
        <w:tc>
          <w:tcPr>
            <w:tcW w:w="231" w:type="dxa"/>
            <w:tcBorders/>
            <w:vAlign w:val="center"/>
          </w:tcPr>
          <w:p>
            <w:pPr>
              <w:pStyle w:val="TableContents"/>
              <w:bidi w:val="0"/>
              <w:spacing w:before="0" w:after="283"/>
              <w:jc w:val="left"/>
              <w:rPr/>
            </w:pPr>
            <w:r>
              <w:rPr/>
              <w:t>)</w:t>
            </w:r>
          </w:p>
        </w:tc>
      </w:tr>
      <w:tr>
        <w:trPr/>
        <w:tc>
          <w:tcPr>
            <w:tcW w:w="2127" w:type="dxa"/>
            <w:tcBorders/>
            <w:shd w:fill="CCEEFF" w:val="clear"/>
            <w:vAlign w:val="center"/>
          </w:tcPr>
          <w:p>
            <w:pPr>
              <w:pStyle w:val="TableContents"/>
              <w:bidi w:val="0"/>
              <w:spacing w:before="0" w:after="283"/>
              <w:jc w:val="left"/>
              <w:rPr/>
            </w:pPr>
            <w:r>
              <w:rPr/>
              <w:t>Net premiums</w:t>
            </w:r>
          </w:p>
        </w:tc>
        <w:tc>
          <w:tcPr>
            <w:tcW w:w="90" w:type="dxa"/>
            <w:tcBorders/>
            <w:shd w:fill="CCEEFF" w:val="clear"/>
            <w:vAlign w:val="center"/>
          </w:tcPr>
          <w:p>
            <w:pPr>
              <w:pStyle w:val="TableContents"/>
              <w:bidi w:val="0"/>
              <w:spacing w:before="0" w:after="283"/>
              <w:jc w:val="left"/>
              <w:rPr/>
            </w:pPr>
            <w:r>
              <w:rPr/>
              <w:t> </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22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2"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pPr>
            <w:r>
              <w:rPr/>
              <w:t>32,889</w:t>
            </w:r>
          </w:p>
        </w:tc>
        <w:tc>
          <w:tcPr>
            <w:tcW w:w="1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pPr>
            <w:r>
              <w:rPr/>
              <w:t>31,056</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losses and loss adjustment expenses, presented on a consolidated basis, including both continuing and discontinued operations, is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8"/>
        <w:gridCol w:w="90"/>
        <w:gridCol w:w="244"/>
        <w:gridCol w:w="1193"/>
        <w:gridCol w:w="179"/>
        <w:gridCol w:w="129"/>
        <w:gridCol w:w="244"/>
        <w:gridCol w:w="1021"/>
        <w:gridCol w:w="125"/>
        <w:gridCol w:w="90"/>
        <w:gridCol w:w="212"/>
        <w:gridCol w:w="1037"/>
        <w:gridCol w:w="156"/>
        <w:gridCol w:w="112"/>
        <w:gridCol w:w="212"/>
        <w:gridCol w:w="1037"/>
        <w:gridCol w:w="176"/>
      </w:tblGrid>
      <w:tr>
        <w:trPr/>
        <w:tc>
          <w:tcPr>
            <w:tcW w:w="39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6" w:type="dxa"/>
            <w:tcBorders/>
            <w:vAlign w:val="center"/>
          </w:tcPr>
          <w:p>
            <w:pPr>
              <w:pStyle w:val="TableContents"/>
              <w:bidi w:val="0"/>
              <w:spacing w:before="0" w:after="283"/>
              <w:jc w:val="left"/>
              <w:rPr/>
            </w:pPr>
            <w:r>
              <w:rPr/>
              <w:t> </w:t>
            </w:r>
          </w:p>
        </w:tc>
      </w:tr>
      <w:tr>
        <w:trPr/>
        <w:tc>
          <w:tcPr>
            <w:tcW w:w="39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6" w:type="dxa"/>
            <w:tcBorders/>
            <w:vAlign w:val="center"/>
          </w:tcPr>
          <w:p>
            <w:pPr>
              <w:pStyle w:val="TableContents"/>
              <w:bidi w:val="0"/>
              <w:spacing w:before="0" w:after="283"/>
              <w:jc w:val="left"/>
              <w:rPr/>
            </w:pPr>
            <w:r>
              <w:rPr/>
              <w:t> </w:t>
            </w:r>
          </w:p>
        </w:tc>
      </w:tr>
      <w:tr>
        <w:trPr/>
        <w:tc>
          <w:tcPr>
            <w:tcW w:w="3948" w:type="dxa"/>
            <w:tcBorders/>
            <w:shd w:fill="CCEEFF" w:val="clear"/>
            <w:vAlign w:val="center"/>
          </w:tcPr>
          <w:p>
            <w:pPr>
              <w:pStyle w:val="TableContents"/>
              <w:bidi w:val="0"/>
              <w:spacing w:before="0" w:after="283"/>
              <w:jc w:val="left"/>
              <w:rPr/>
            </w:pPr>
            <w:r>
              <w:rPr/>
              <w:t>Direct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109,382</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88,568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149,761</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143,222</w:t>
            </w:r>
          </w:p>
        </w:tc>
        <w:tc>
          <w:tcPr>
            <w:tcW w:w="176" w:type="dxa"/>
            <w:tcBorders/>
            <w:shd w:fill="CCEEFF" w:val="clear"/>
            <w:vAlign w:val="center"/>
          </w:tcPr>
          <w:p>
            <w:pPr>
              <w:pStyle w:val="TableContents"/>
              <w:bidi w:val="0"/>
              <w:spacing w:before="0" w:after="283"/>
              <w:jc w:val="left"/>
              <w:rPr/>
            </w:pPr>
            <w:r>
              <w:rPr/>
              <w:t> </w:t>
            </w:r>
          </w:p>
        </w:tc>
      </w:tr>
      <w:tr>
        <w:trPr/>
        <w:tc>
          <w:tcPr>
            <w:tcW w:w="3948" w:type="dxa"/>
            <w:tcBorders/>
            <w:vAlign w:val="center"/>
          </w:tcPr>
          <w:p>
            <w:pPr>
              <w:pStyle w:val="TableContents"/>
              <w:bidi w:val="0"/>
              <w:spacing w:before="0" w:after="283"/>
              <w:jc w:val="left"/>
              <w:rPr/>
            </w:pPr>
            <w:r>
              <w:rPr/>
              <w:t>Assumed losses and loss adjustment expenses</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284</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51</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269</w:t>
            </w:r>
          </w:p>
        </w:tc>
        <w:tc>
          <w:tcPr>
            <w:tcW w:w="176" w:type="dxa"/>
            <w:tcBorders/>
            <w:vAlign w:val="center"/>
          </w:tcPr>
          <w:p>
            <w:pPr>
              <w:pStyle w:val="TableContents"/>
              <w:bidi w:val="0"/>
              <w:spacing w:before="0" w:after="283"/>
              <w:jc w:val="left"/>
              <w:rPr/>
            </w:pPr>
            <w:r>
              <w:rPr/>
              <w:t> </w:t>
            </w:r>
          </w:p>
        </w:tc>
      </w:tr>
      <w:tr>
        <w:trPr/>
        <w:tc>
          <w:tcPr>
            <w:tcW w:w="3948" w:type="dxa"/>
            <w:tcBorders/>
            <w:shd w:fill="CCEEFF" w:val="clear"/>
            <w:vAlign w:val="center"/>
          </w:tcPr>
          <w:p>
            <w:pPr>
              <w:pStyle w:val="TableContents"/>
              <w:bidi w:val="0"/>
              <w:spacing w:before="0" w:after="283"/>
              <w:jc w:val="left"/>
              <w:rPr/>
            </w:pPr>
            <w:r>
              <w:rPr/>
              <w:t>Ceded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(43,059</w:t>
            </w:r>
          </w:p>
        </w:tc>
        <w:tc>
          <w:tcPr>
            <w:tcW w:w="17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(7,993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(44,680</w:t>
            </w:r>
          </w:p>
        </w:tc>
        <w:tc>
          <w:tcPr>
            <w:tcW w:w="156"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(10,483</w:t>
            </w:r>
          </w:p>
        </w:tc>
        <w:tc>
          <w:tcPr>
            <w:tcW w:w="176" w:type="dxa"/>
            <w:tcBorders/>
            <w:shd w:fill="CCEEFF" w:val="clear"/>
            <w:vAlign w:val="center"/>
          </w:tcPr>
          <w:p>
            <w:pPr>
              <w:pStyle w:val="TableContents"/>
              <w:bidi w:val="0"/>
              <w:spacing w:before="0" w:after="283"/>
              <w:jc w:val="left"/>
              <w:rPr/>
            </w:pPr>
            <w:r>
              <w:rPr/>
              <w:t>)</w:t>
            </w:r>
          </w:p>
        </w:tc>
      </w:tr>
      <w:tr>
        <w:trPr/>
        <w:tc>
          <w:tcPr>
            <w:tcW w:w="3948" w:type="dxa"/>
            <w:tcBorders/>
            <w:vAlign w:val="center"/>
          </w:tcPr>
          <w:p>
            <w:pPr>
              <w:pStyle w:val="TableContents"/>
              <w:bidi w:val="0"/>
              <w:spacing w:before="0" w:after="283"/>
              <w:jc w:val="left"/>
              <w:rPr/>
            </w:pPr>
            <w:r>
              <w:rPr/>
              <w:t>Net losses and loss adjustment expenses</w:t>
            </w:r>
          </w:p>
        </w:tc>
        <w:tc>
          <w:tcPr>
            <w:tcW w:w="90" w:type="dxa"/>
            <w:tcBorders/>
            <w:vAlign w:val="center"/>
          </w:tcPr>
          <w:p>
            <w:pPr>
              <w:pStyle w:val="TableContents"/>
              <w:bidi w:val="0"/>
              <w:spacing w:before="0" w:after="283"/>
              <w:jc w:val="left"/>
              <w:rPr/>
            </w:pPr>
            <w:r>
              <w:rPr/>
              <w:t> </w:t>
            </w:r>
          </w:p>
        </w:tc>
        <w:tc>
          <w:tcPr>
            <w:tcW w:w="244" w:type="dxa"/>
            <w:tcBorders>
              <w:bottom w:val="double" w:sz="6" w:space="0" w:color="000000"/>
            </w:tcBorders>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tcMar>
              <w:bottom w:w="28" w:type="dxa"/>
            </w:tcMar>
            <w:vAlign w:val="center"/>
          </w:tcPr>
          <w:p>
            <w:pPr>
              <w:pStyle w:val="TableContents"/>
              <w:bidi w:val="0"/>
              <w:spacing w:before="0" w:after="283"/>
              <w:jc w:val="right"/>
              <w:rPr/>
            </w:pPr>
            <w:r>
              <w:rPr/>
              <w:t>66,607</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bottom w:val="double" w:sz="6" w:space="0" w:color="000000"/>
            </w:tcBorders>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tcMar>
              <w:bottom w:w="28" w:type="dxa"/>
            </w:tcMar>
            <w:vAlign w:val="center"/>
          </w:tcPr>
          <w:p>
            <w:pPr>
              <w:pStyle w:val="TableContents"/>
              <w:bidi w:val="0"/>
              <w:spacing w:before="0" w:after="283"/>
              <w:jc w:val="right"/>
              <w:rPr/>
            </w:pPr>
            <w:r>
              <w:rPr/>
              <w:t>80,799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6" w:space="0" w:color="000000"/>
            </w:tcBorders>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tcMar>
              <w:bottom w:w="28" w:type="dxa"/>
            </w:tcMar>
            <w:vAlign w:val="center"/>
          </w:tcPr>
          <w:p>
            <w:pPr>
              <w:pStyle w:val="TableContents"/>
              <w:bidi w:val="0"/>
              <w:spacing w:before="0" w:after="283"/>
              <w:jc w:val="right"/>
              <w:rPr/>
            </w:pPr>
            <w:r>
              <w:rPr/>
              <w:t>105,132</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bottom w:val="double" w:sz="6" w:space="0" w:color="000000"/>
            </w:tcBorders>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tcMar>
              <w:bottom w:w="28" w:type="dxa"/>
            </w:tcMar>
            <w:vAlign w:val="center"/>
          </w:tcPr>
          <w:p>
            <w:pPr>
              <w:pStyle w:val="TableContents"/>
              <w:bidi w:val="0"/>
              <w:spacing w:before="0" w:after="283"/>
              <w:jc w:val="right"/>
              <w:rPr/>
            </w:pPr>
            <w:r>
              <w:rPr/>
              <w:t>133,008</w:t>
            </w:r>
          </w:p>
        </w:tc>
        <w:tc>
          <w:tcPr>
            <w:tcW w:w="1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reconciliations for current and prior year continuing and discontinued operations of direct to net losses and loss adjustment expenses is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4"/>
        <w:gridCol w:w="90"/>
        <w:gridCol w:w="243"/>
        <w:gridCol w:w="1188"/>
        <w:gridCol w:w="178"/>
        <w:gridCol w:w="128"/>
        <w:gridCol w:w="243"/>
        <w:gridCol w:w="1017"/>
        <w:gridCol w:w="125"/>
        <w:gridCol w:w="90"/>
        <w:gridCol w:w="211"/>
        <w:gridCol w:w="1034"/>
        <w:gridCol w:w="155"/>
        <w:gridCol w:w="112"/>
        <w:gridCol w:w="211"/>
        <w:gridCol w:w="1034"/>
        <w:gridCol w:w="232"/>
      </w:tblGrid>
      <w:tr>
        <w:trPr/>
        <w:tc>
          <w:tcPr>
            <w:tcW w:w="39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2" w:type="dxa"/>
            <w:tcBorders/>
            <w:vAlign w:val="center"/>
          </w:tcPr>
          <w:p>
            <w:pPr>
              <w:pStyle w:val="TableContents"/>
              <w:bidi w:val="0"/>
              <w:spacing w:before="0" w:after="283"/>
              <w:jc w:val="left"/>
              <w:rPr/>
            </w:pPr>
            <w:r>
              <w:rPr/>
              <w:t> </w:t>
            </w:r>
          </w:p>
        </w:tc>
      </w:tr>
      <w:tr>
        <w:trPr/>
        <w:tc>
          <w:tcPr>
            <w:tcW w:w="39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2" w:type="dxa"/>
            <w:tcBorders/>
            <w:vAlign w:val="center"/>
          </w:tcPr>
          <w:p>
            <w:pPr>
              <w:pStyle w:val="TableContents"/>
              <w:bidi w:val="0"/>
              <w:spacing w:before="0" w:after="283"/>
              <w:jc w:val="left"/>
              <w:rPr/>
            </w:pPr>
            <w:r>
              <w:rPr/>
              <w:t> </w:t>
            </w:r>
          </w:p>
        </w:tc>
      </w:tr>
      <w:tr>
        <w:trPr/>
        <w:tc>
          <w:tcPr>
            <w:tcW w:w="3914"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ind w:left="0" w:right="0" w:firstLine="90"/>
              <w:jc w:val="left"/>
              <w:rPr/>
            </w:pPr>
            <w:r>
              <w:rPr/>
              <w:t> </w:t>
            </w:r>
          </w:p>
        </w:tc>
      </w:tr>
      <w:tr>
        <w:trPr/>
        <w:tc>
          <w:tcPr>
            <w:tcW w:w="3914"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88" w:type="dxa"/>
            <w:tcBorders/>
            <w:vAlign w:val="center"/>
          </w:tcPr>
          <w:p>
            <w:pPr>
              <w:pStyle w:val="TableContents"/>
              <w:bidi w:val="0"/>
              <w:spacing w:before="0" w:after="283"/>
              <w:jc w:val="right"/>
              <w:rPr/>
            </w:pPr>
            <w:r>
              <w:rPr/>
              <w:t>109,382</w:t>
            </w:r>
          </w:p>
        </w:tc>
        <w:tc>
          <w:tcPr>
            <w:tcW w:w="17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017" w:type="dxa"/>
            <w:tcBorders/>
            <w:vAlign w:val="center"/>
          </w:tcPr>
          <w:p>
            <w:pPr>
              <w:pStyle w:val="TableContents"/>
              <w:bidi w:val="0"/>
              <w:spacing w:before="0" w:after="283"/>
              <w:jc w:val="right"/>
              <w:rPr/>
            </w:pPr>
            <w:r>
              <w:rPr/>
              <w:t>73,350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149,761</w:t>
            </w:r>
          </w:p>
        </w:tc>
        <w:tc>
          <w:tcPr>
            <w:tcW w:w="15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114,869</w:t>
            </w:r>
          </w:p>
        </w:tc>
        <w:tc>
          <w:tcPr>
            <w:tcW w:w="232" w:type="dxa"/>
            <w:tcBorders/>
            <w:vAlign w:val="center"/>
          </w:tcPr>
          <w:p>
            <w:pPr>
              <w:pStyle w:val="TableContents"/>
              <w:bidi w:val="0"/>
              <w:spacing w:before="0" w:after="283"/>
              <w:ind w:left="0" w:right="0" w:firstLine="90"/>
              <w:jc w:val="left"/>
              <w:rPr/>
            </w:pPr>
            <w:r>
              <w:rPr/>
              <w:t> </w:t>
            </w:r>
          </w:p>
        </w:tc>
      </w:tr>
      <w:tr>
        <w:trPr/>
        <w:tc>
          <w:tcPr>
            <w:tcW w:w="3914"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284</w:t>
            </w:r>
          </w:p>
        </w:tc>
        <w:tc>
          <w:tcPr>
            <w:tcW w:w="17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51</w:t>
            </w:r>
          </w:p>
        </w:tc>
        <w:tc>
          <w:tcPr>
            <w:tcW w:w="15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269</w:t>
            </w:r>
          </w:p>
        </w:tc>
        <w:tc>
          <w:tcPr>
            <w:tcW w:w="232" w:type="dxa"/>
            <w:tcBorders/>
            <w:shd w:fill="CCEEFF" w:val="clear"/>
            <w:vAlign w:val="center"/>
          </w:tcPr>
          <w:p>
            <w:pPr>
              <w:pStyle w:val="TableContents"/>
              <w:bidi w:val="0"/>
              <w:spacing w:before="0" w:after="283"/>
              <w:ind w:left="0" w:right="0" w:firstLine="90"/>
              <w:jc w:val="left"/>
              <w:rPr/>
            </w:pPr>
            <w:r>
              <w:rPr/>
              <w:t> </w:t>
            </w:r>
          </w:p>
        </w:tc>
      </w:tr>
      <w:tr>
        <w:trPr/>
        <w:tc>
          <w:tcPr>
            <w:tcW w:w="3914"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tcMar>
              <w:bottom w:w="28" w:type="dxa"/>
            </w:tcMar>
            <w:vAlign w:val="center"/>
          </w:tcPr>
          <w:p>
            <w:pPr>
              <w:pStyle w:val="TableContents"/>
              <w:bidi w:val="0"/>
              <w:spacing w:before="0" w:after="283"/>
              <w:jc w:val="right"/>
              <w:rPr/>
            </w:pPr>
            <w:r>
              <w:rPr/>
              <w:t>(43,059</w:t>
            </w:r>
          </w:p>
        </w:tc>
        <w:tc>
          <w:tcPr>
            <w:tcW w:w="178"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tcMar>
              <w:bottom w:w="28" w:type="dxa"/>
            </w:tcMar>
            <w:vAlign w:val="center"/>
          </w:tcPr>
          <w:p>
            <w:pPr>
              <w:pStyle w:val="TableContents"/>
              <w:bidi w:val="0"/>
              <w:spacing w:before="0" w:after="283"/>
              <w:jc w:val="right"/>
              <w:rPr/>
            </w:pPr>
            <w:r>
              <w:rPr/>
              <w:t>(4,216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tcMar>
              <w:bottom w:w="28" w:type="dxa"/>
            </w:tcMar>
            <w:vAlign w:val="center"/>
          </w:tcPr>
          <w:p>
            <w:pPr>
              <w:pStyle w:val="TableContents"/>
              <w:bidi w:val="0"/>
              <w:spacing w:before="0" w:after="283"/>
              <w:jc w:val="right"/>
              <w:rPr/>
            </w:pPr>
            <w:r>
              <w:rPr/>
              <w:t>(44,680</w:t>
            </w:r>
          </w:p>
        </w:tc>
        <w:tc>
          <w:tcPr>
            <w:tcW w:w="155"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tcMar>
              <w:bottom w:w="28" w:type="dxa"/>
            </w:tcMar>
            <w:vAlign w:val="center"/>
          </w:tcPr>
          <w:p>
            <w:pPr>
              <w:pStyle w:val="TableContents"/>
              <w:bidi w:val="0"/>
              <w:spacing w:before="0" w:after="283"/>
              <w:jc w:val="right"/>
              <w:rPr/>
            </w:pPr>
            <w:r>
              <w:rPr/>
              <w:t>(5,636</w:t>
            </w:r>
          </w:p>
        </w:tc>
        <w:tc>
          <w:tcPr>
            <w:tcW w:w="232" w:type="dxa"/>
            <w:tcBorders/>
            <w:vAlign w:val="center"/>
          </w:tcPr>
          <w:p>
            <w:pPr>
              <w:pStyle w:val="TableContents"/>
              <w:bidi w:val="0"/>
              <w:spacing w:before="0" w:after="283"/>
              <w:jc w:val="left"/>
              <w:rPr/>
            </w:pPr>
            <w:r>
              <w:rPr/>
              <w:t>)</w:t>
            </w:r>
          </w:p>
        </w:tc>
      </w:tr>
      <w:tr>
        <w:trPr/>
        <w:tc>
          <w:tcPr>
            <w:tcW w:w="3914"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pPr>
            <w:r>
              <w:rPr/>
              <w:t>66,607</w:t>
            </w:r>
          </w:p>
        </w:tc>
        <w:tc>
          <w:tcPr>
            <w:tcW w:w="17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pPr>
            <w:r>
              <w:rPr/>
              <w:t>69,358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105,132</w:t>
            </w:r>
          </w:p>
        </w:tc>
        <w:tc>
          <w:tcPr>
            <w:tcW w:w="15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109,502</w:t>
            </w:r>
          </w:p>
        </w:tc>
        <w:tc>
          <w:tcPr>
            <w:tcW w:w="23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14"/>
        <w:gridCol w:w="90"/>
        <w:gridCol w:w="338"/>
        <w:gridCol w:w="563"/>
        <w:gridCol w:w="174"/>
        <w:gridCol w:w="174"/>
        <w:gridCol w:w="329"/>
        <w:gridCol w:w="1380"/>
        <w:gridCol w:w="125"/>
        <w:gridCol w:w="90"/>
        <w:gridCol w:w="309"/>
        <w:gridCol w:w="513"/>
        <w:gridCol w:w="159"/>
        <w:gridCol w:w="159"/>
        <w:gridCol w:w="300"/>
        <w:gridCol w:w="1257"/>
        <w:gridCol w:w="231"/>
      </w:tblGrid>
      <w:tr>
        <w:trPr/>
        <w:tc>
          <w:tcPr>
            <w:tcW w:w="40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1" w:type="dxa"/>
            <w:tcBorders/>
            <w:vAlign w:val="center"/>
          </w:tcPr>
          <w:p>
            <w:pPr>
              <w:pStyle w:val="TableContents"/>
              <w:bidi w:val="0"/>
              <w:spacing w:before="0" w:after="283"/>
              <w:jc w:val="left"/>
              <w:rPr/>
            </w:pPr>
            <w:r>
              <w:rPr/>
              <w:t> </w:t>
            </w:r>
          </w:p>
        </w:tc>
      </w:tr>
      <w:tr>
        <w:trPr/>
        <w:tc>
          <w:tcPr>
            <w:tcW w:w="40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1" w:type="dxa"/>
            <w:tcBorders/>
            <w:vAlign w:val="center"/>
          </w:tcPr>
          <w:p>
            <w:pPr>
              <w:pStyle w:val="TableContents"/>
              <w:bidi w:val="0"/>
              <w:spacing w:before="0" w:after="283"/>
              <w:jc w:val="left"/>
              <w:rPr/>
            </w:pPr>
            <w:r>
              <w:rPr/>
              <w:t> </w:t>
            </w:r>
          </w:p>
        </w:tc>
      </w:tr>
      <w:tr>
        <w:trPr/>
        <w:tc>
          <w:tcPr>
            <w:tcW w:w="4014"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firstLine="90"/>
              <w:jc w:val="left"/>
              <w:rPr/>
            </w:pPr>
            <w:r>
              <w:rPr/>
              <w:t> </w:t>
            </w:r>
          </w:p>
        </w:tc>
      </w:tr>
      <w:tr>
        <w:trPr/>
        <w:tc>
          <w:tcPr>
            <w:tcW w:w="4014"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283"/>
              <w:jc w:val="right"/>
              <w:rPr/>
            </w:pPr>
            <w:r>
              <w:rPr/>
              <w:t>15,218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w:t>
            </w:r>
          </w:p>
        </w:tc>
        <w:tc>
          <w:tcPr>
            <w:tcW w:w="1257" w:type="dxa"/>
            <w:tcBorders/>
            <w:vAlign w:val="center"/>
          </w:tcPr>
          <w:p>
            <w:pPr>
              <w:pStyle w:val="TableContents"/>
              <w:bidi w:val="0"/>
              <w:spacing w:before="0" w:after="283"/>
              <w:jc w:val="right"/>
              <w:rPr/>
            </w:pPr>
            <w:r>
              <w:rPr/>
              <w:t>28,353</w:t>
            </w:r>
          </w:p>
        </w:tc>
        <w:tc>
          <w:tcPr>
            <w:tcW w:w="231" w:type="dxa"/>
            <w:tcBorders/>
            <w:vAlign w:val="center"/>
          </w:tcPr>
          <w:p>
            <w:pPr>
              <w:pStyle w:val="TableContents"/>
              <w:bidi w:val="0"/>
              <w:spacing w:before="0" w:after="283"/>
              <w:ind w:left="0" w:right="0" w:firstLine="90"/>
              <w:jc w:val="left"/>
              <w:rPr/>
            </w:pPr>
            <w:r>
              <w:rPr/>
              <w:t> </w:t>
            </w:r>
          </w:p>
        </w:tc>
      </w:tr>
      <w:tr>
        <w:trPr/>
        <w:tc>
          <w:tcPr>
            <w:tcW w:w="4014"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0"/>
              <w:jc w:val="right"/>
              <w:rPr/>
            </w:pPr>
            <w:r>
              <w:rPr/>
              <w:t>—</w:t>
            </w:r>
          </w:p>
        </w:tc>
        <w:tc>
          <w:tcPr>
            <w:tcW w:w="231" w:type="dxa"/>
            <w:tcBorders/>
            <w:shd w:fill="CCEEFF" w:val="clear"/>
            <w:vAlign w:val="center"/>
          </w:tcPr>
          <w:p>
            <w:pPr>
              <w:pStyle w:val="TableContents"/>
              <w:bidi w:val="0"/>
              <w:spacing w:before="0" w:after="283"/>
              <w:ind w:left="0" w:right="0" w:firstLine="90"/>
              <w:jc w:val="left"/>
              <w:rPr/>
            </w:pPr>
            <w:r>
              <w:rPr/>
              <w:t> </w:t>
            </w:r>
          </w:p>
        </w:tc>
      </w:tr>
      <w:tr>
        <w:trPr/>
        <w:tc>
          <w:tcPr>
            <w:tcW w:w="4014"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338" w:type="dxa"/>
            <w:tcBorders>
              <w:bottom w:val="single" w:sz="8" w:space="0" w:color="000000"/>
            </w:tcBorders>
            <w:tcMar>
              <w:bottom w:w="28" w:type="dxa"/>
            </w:tcMar>
            <w:vAlign w:val="center"/>
          </w:tcPr>
          <w:p>
            <w:pPr>
              <w:pStyle w:val="TableContents"/>
              <w:bidi w:val="0"/>
              <w:spacing w:before="0" w:after="283"/>
              <w:jc w:val="left"/>
              <w:rPr/>
            </w:pPr>
            <w:r>
              <w:rPr/>
              <w:t> </w:t>
            </w:r>
          </w:p>
        </w:tc>
        <w:tc>
          <w:tcPr>
            <w:tcW w:w="563" w:type="dxa"/>
            <w:tcBorders>
              <w:bottom w:val="single" w:sz="8" w:space="0" w:color="000000"/>
            </w:tcBorders>
            <w:tcMar>
              <w:bottom w:w="28" w:type="dxa"/>
            </w:tcMar>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329" w:type="dxa"/>
            <w:tcBorders>
              <w:bottom w:val="single" w:sz="8" w:space="0" w:color="000000"/>
            </w:tcBorders>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tcMar>
              <w:bottom w:w="28" w:type="dxa"/>
            </w:tcMar>
            <w:vAlign w:val="center"/>
          </w:tcPr>
          <w:p>
            <w:pPr>
              <w:pStyle w:val="TableContents"/>
              <w:bidi w:val="0"/>
              <w:spacing w:before="0" w:after="283"/>
              <w:jc w:val="right"/>
              <w:rPr/>
            </w:pPr>
            <w:r>
              <w:rPr/>
              <w:t>(3,777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09" w:type="dxa"/>
            <w:tcBorders>
              <w:bottom w:val="single" w:sz="8" w:space="0" w:color="000000"/>
            </w:tcBorders>
            <w:tcMar>
              <w:bottom w:w="28" w:type="dxa"/>
            </w:tcMar>
            <w:vAlign w:val="center"/>
          </w:tcPr>
          <w:p>
            <w:pPr>
              <w:pStyle w:val="TableContents"/>
              <w:bidi w:val="0"/>
              <w:spacing w:before="0" w:after="283"/>
              <w:jc w:val="left"/>
              <w:rPr/>
            </w:pPr>
            <w:r>
              <w:rPr/>
              <w:t> </w:t>
            </w:r>
          </w:p>
        </w:tc>
        <w:tc>
          <w:tcPr>
            <w:tcW w:w="513" w:type="dxa"/>
            <w:tcBorders>
              <w:bottom w:val="single" w:sz="8" w:space="0" w:color="000000"/>
            </w:tcBorders>
            <w:tcMar>
              <w:bottom w:w="28" w:type="dxa"/>
            </w:tcMar>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30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tcMar>
              <w:bottom w:w="28" w:type="dxa"/>
            </w:tcMar>
            <w:vAlign w:val="center"/>
          </w:tcPr>
          <w:p>
            <w:pPr>
              <w:pStyle w:val="TableContents"/>
              <w:bidi w:val="0"/>
              <w:spacing w:before="0" w:after="283"/>
              <w:jc w:val="right"/>
              <w:rPr/>
            </w:pPr>
            <w:r>
              <w:rPr/>
              <w:t>(4,847</w:t>
            </w:r>
          </w:p>
        </w:tc>
        <w:tc>
          <w:tcPr>
            <w:tcW w:w="231" w:type="dxa"/>
            <w:tcBorders/>
            <w:vAlign w:val="center"/>
          </w:tcPr>
          <w:p>
            <w:pPr>
              <w:pStyle w:val="TableContents"/>
              <w:bidi w:val="0"/>
              <w:spacing w:before="0" w:after="283"/>
              <w:jc w:val="left"/>
              <w:rPr/>
            </w:pPr>
            <w:r>
              <w:rPr/>
              <w:t>)</w:t>
            </w:r>
          </w:p>
        </w:tc>
      </w:tr>
      <w:tr>
        <w:trPr/>
        <w:tc>
          <w:tcPr>
            <w:tcW w:w="4014"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3"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CCEEFF" w:val="clear"/>
            <w:tcMar>
              <w:bottom w:w="28" w:type="dxa"/>
            </w:tcMar>
            <w:vAlign w:val="center"/>
          </w:tcPr>
          <w:p>
            <w:pPr>
              <w:pStyle w:val="TableContents"/>
              <w:bidi w:val="0"/>
              <w:spacing w:before="0" w:after="283"/>
              <w:jc w:val="right"/>
              <w:rPr/>
            </w:pPr>
            <w:r>
              <w:rPr/>
              <w:t>11,441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3"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23,506</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Intercompany Reinsurance Pooling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 Subsequent to the June 30, 2024, date of sale, Westminster is no longer a member of the pool, and the pooling percentages for the remaining insurance subsidiaries were updated based on their respective surplus as a percentage of the pool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3"/>
        <w:gridCol w:w="539"/>
        <w:gridCol w:w="9483"/>
      </w:tblGrid>
      <w:tr>
        <w:trPr/>
        <w:tc>
          <w:tcPr>
            <w:tcW w:w="1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b/>
                <w:sz w:val="20"/>
              </w:rPr>
            </w:pPr>
            <w:r>
              <w:rPr>
                <w:b/>
                <w:sz w:val="20"/>
              </w:rPr>
              <w:t>6.</w:t>
            </w:r>
          </w:p>
        </w:tc>
        <w:tc>
          <w:tcPr>
            <w:tcW w:w="9483" w:type="dxa"/>
            <w:tcBorders/>
            <w:vAlign w:val="center"/>
          </w:tcPr>
          <w:p>
            <w:pPr>
              <w:pStyle w:val="TableContents"/>
              <w:bidi w:val="0"/>
              <w:spacing w:before="0" w:after="283"/>
              <w:jc w:val="left"/>
              <w:rPr>
                <w:b/>
              </w:rPr>
            </w:pPr>
            <w:r>
              <w:rPr>
                <w:b/>
              </w:rPr>
              <w:t>Deferred Policy Acquisition 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presented on a consolidated basis, including both continuing and discontinued operations, shows the deferred policy acquisition costs and asset reconciliation:</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46"/>
        <w:gridCol w:w="90"/>
        <w:gridCol w:w="237"/>
        <w:gridCol w:w="1095"/>
        <w:gridCol w:w="174"/>
        <w:gridCol w:w="125"/>
        <w:gridCol w:w="237"/>
        <w:gridCol w:w="1095"/>
        <w:gridCol w:w="125"/>
        <w:gridCol w:w="90"/>
        <w:gridCol w:w="217"/>
        <w:gridCol w:w="1005"/>
        <w:gridCol w:w="159"/>
        <w:gridCol w:w="114"/>
        <w:gridCol w:w="217"/>
        <w:gridCol w:w="1005"/>
        <w:gridCol w:w="174"/>
      </w:tblGrid>
      <w:tr>
        <w:trPr/>
        <w:tc>
          <w:tcPr>
            <w:tcW w:w="40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4" w:type="dxa"/>
            <w:tcBorders/>
            <w:vAlign w:val="center"/>
          </w:tcPr>
          <w:p>
            <w:pPr>
              <w:pStyle w:val="TableContents"/>
              <w:bidi w:val="0"/>
              <w:spacing w:before="0" w:after="283"/>
              <w:jc w:val="left"/>
              <w:rPr/>
            </w:pPr>
            <w:r>
              <w:rPr/>
              <w:t> </w:t>
            </w:r>
          </w:p>
        </w:tc>
      </w:tr>
      <w:tr>
        <w:trPr/>
        <w:tc>
          <w:tcPr>
            <w:tcW w:w="40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4" w:type="dxa"/>
            <w:tcBorders/>
            <w:vAlign w:val="center"/>
          </w:tcPr>
          <w:p>
            <w:pPr>
              <w:pStyle w:val="TableContents"/>
              <w:bidi w:val="0"/>
              <w:spacing w:before="0" w:after="283"/>
              <w:jc w:val="left"/>
              <w:rPr/>
            </w:pPr>
            <w:r>
              <w:rPr/>
              <w:t> </w:t>
            </w:r>
          </w:p>
        </w:tc>
      </w:tr>
      <w:tr>
        <w:trPr/>
        <w:tc>
          <w:tcPr>
            <w:tcW w:w="4046" w:type="dxa"/>
            <w:tcBorders/>
            <w:shd w:fill="CCEEFF" w:val="clear"/>
            <w:vAlign w:val="center"/>
          </w:tcPr>
          <w:p>
            <w:pPr>
              <w:pStyle w:val="TableContents"/>
              <w:bidi w:val="0"/>
              <w:spacing w:before="0" w:after="283"/>
              <w:jc w:val="left"/>
              <w:rPr/>
            </w:pPr>
            <w:r>
              <w:rPr/>
              <w:t>Balance, beginning of period</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23,813</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36,565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26,300</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34,120</w:t>
            </w:r>
          </w:p>
        </w:tc>
        <w:tc>
          <w:tcPr>
            <w:tcW w:w="174" w:type="dxa"/>
            <w:tcBorders/>
            <w:shd w:fill="CCEEFF" w:val="clear"/>
            <w:vAlign w:val="center"/>
          </w:tcPr>
          <w:p>
            <w:pPr>
              <w:pStyle w:val="TableContents"/>
              <w:bidi w:val="0"/>
              <w:spacing w:before="0" w:after="283"/>
              <w:jc w:val="left"/>
              <w:rPr/>
            </w:pPr>
            <w:r>
              <w:rPr/>
              <w:t> </w:t>
            </w:r>
          </w:p>
        </w:tc>
      </w:tr>
      <w:tr>
        <w:trPr/>
        <w:tc>
          <w:tcPr>
            <w:tcW w:w="4046" w:type="dxa"/>
            <w:tcBorders/>
            <w:vAlign w:val="center"/>
          </w:tcPr>
          <w:p>
            <w:pPr>
              <w:pStyle w:val="TableContents"/>
              <w:bidi w:val="0"/>
              <w:spacing w:before="0" w:after="283"/>
              <w:jc w:val="left"/>
              <w:rPr/>
            </w:pPr>
            <w:r>
              <w:rPr/>
              <w:t>Deferral of policy acquisition costs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18,881</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25,962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32,922</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49,070</w:t>
            </w:r>
          </w:p>
        </w:tc>
        <w:tc>
          <w:tcPr>
            <w:tcW w:w="174" w:type="dxa"/>
            <w:tcBorders/>
            <w:vAlign w:val="center"/>
          </w:tcPr>
          <w:p>
            <w:pPr>
              <w:pStyle w:val="TableContents"/>
              <w:bidi w:val="0"/>
              <w:spacing w:before="0" w:after="283"/>
              <w:jc w:val="left"/>
              <w:rPr/>
            </w:pPr>
            <w:r>
              <w:rPr/>
              <w:t> </w:t>
            </w:r>
          </w:p>
        </w:tc>
      </w:tr>
      <w:tr>
        <w:trPr/>
        <w:tc>
          <w:tcPr>
            <w:tcW w:w="4046"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(16,374</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(23,372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(32,902</w:t>
            </w:r>
          </w:p>
        </w:tc>
        <w:tc>
          <w:tcPr>
            <w:tcW w:w="159"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(44,035</w:t>
            </w:r>
          </w:p>
        </w:tc>
        <w:tc>
          <w:tcPr>
            <w:tcW w:w="174" w:type="dxa"/>
            <w:tcBorders/>
            <w:shd w:fill="CCEEFF" w:val="clear"/>
            <w:vAlign w:val="center"/>
          </w:tcPr>
          <w:p>
            <w:pPr>
              <w:pStyle w:val="TableContents"/>
              <w:bidi w:val="0"/>
              <w:spacing w:before="0" w:after="283"/>
              <w:jc w:val="left"/>
              <w:rPr/>
            </w:pPr>
            <w:r>
              <w:rPr/>
              <w:t>)</w:t>
            </w:r>
          </w:p>
        </w:tc>
      </w:tr>
      <w:tr>
        <w:trPr/>
        <w:tc>
          <w:tcPr>
            <w:tcW w:w="4046" w:type="dxa"/>
            <w:tcBorders/>
            <w:vAlign w:val="center"/>
          </w:tcPr>
          <w:p>
            <w:pPr>
              <w:pStyle w:val="TableContents"/>
              <w:bidi w:val="0"/>
              <w:spacing w:before="0" w:after="283"/>
              <w:jc w:val="left"/>
              <w:rPr/>
            </w:pPr>
            <w:r>
              <w:rPr/>
              <w:t>Westminster balance disposed in sale</w:t>
            </w:r>
          </w:p>
        </w:tc>
        <w:tc>
          <w:tcPr>
            <w:tcW w:w="90" w:type="dxa"/>
            <w:tcBorders/>
            <w:vAlign w:val="center"/>
          </w:tcPr>
          <w:p>
            <w:pPr>
              <w:pStyle w:val="TableContents"/>
              <w:bidi w:val="0"/>
              <w:spacing w:before="0" w:after="283"/>
              <w:jc w:val="left"/>
              <w:rPr/>
            </w:pPr>
            <w:r>
              <w:rPr/>
              <w:t> </w:t>
            </w:r>
          </w:p>
        </w:tc>
        <w:tc>
          <w:tcPr>
            <w:tcW w:w="237" w:type="dxa"/>
            <w:tcBorders>
              <w:bottom w:val="single" w:sz="8" w:space="0" w:color="000000"/>
            </w:tcBorders>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tcMar>
              <w:bottom w:w="28" w:type="dxa"/>
            </w:tcMar>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single" w:sz="8" w:space="0" w:color="000000"/>
            </w:tcBorders>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tcMar>
              <w:bottom w:w="28" w:type="dxa"/>
            </w:tcMar>
            <w:vAlign w:val="center"/>
          </w:tcPr>
          <w:p>
            <w:pPr>
              <w:pStyle w:val="TableContents"/>
              <w:bidi w:val="0"/>
              <w:spacing w:before="0" w:after="283"/>
              <w:jc w:val="right"/>
              <w:rPr/>
            </w:pPr>
            <w:r>
              <w:rPr/>
              <w:t>(7,998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tcMar>
              <w:bottom w:w="28" w:type="dxa"/>
            </w:tcMar>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tcMar>
              <w:bottom w:w="28" w:type="dxa"/>
            </w:tcMar>
            <w:vAlign w:val="center"/>
          </w:tcPr>
          <w:p>
            <w:pPr>
              <w:pStyle w:val="TableContents"/>
              <w:bidi w:val="0"/>
              <w:spacing w:before="0" w:after="283"/>
              <w:jc w:val="right"/>
              <w:rPr/>
            </w:pPr>
            <w:r>
              <w:rPr/>
              <w:t>(7,998</w:t>
            </w:r>
          </w:p>
        </w:tc>
        <w:tc>
          <w:tcPr>
            <w:tcW w:w="174" w:type="dxa"/>
            <w:tcBorders/>
            <w:vAlign w:val="center"/>
          </w:tcPr>
          <w:p>
            <w:pPr>
              <w:pStyle w:val="TableContents"/>
              <w:bidi w:val="0"/>
              <w:spacing w:before="0" w:after="283"/>
              <w:jc w:val="left"/>
              <w:rPr/>
            </w:pPr>
            <w:r>
              <w:rPr/>
              <w:t>)</w:t>
            </w:r>
          </w:p>
        </w:tc>
      </w:tr>
      <w:tr>
        <w:trPr/>
        <w:tc>
          <w:tcPr>
            <w:tcW w:w="4046"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pPr>
            <w:r>
              <w:rPr/>
              <w:t>26,320</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pPr>
            <w:r>
              <w:rPr/>
              <w:t>31,157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jc w:val="right"/>
              <w:rPr/>
            </w:pPr>
            <w:r>
              <w:rPr/>
              <w:t>26,320</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jc w:val="right"/>
              <w:rPr/>
            </w:pPr>
            <w:r>
              <w:rPr/>
              <w:t>31,157</w:t>
            </w:r>
          </w:p>
        </w:tc>
        <w:tc>
          <w:tcPr>
            <w:tcW w:w="17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for the current and comparable prior year quarter continuing and discontinued operations showing the deferred policy acquisition costs and assets reconciliation are shown below:</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46"/>
        <w:gridCol w:w="90"/>
        <w:gridCol w:w="237"/>
        <w:gridCol w:w="1095"/>
        <w:gridCol w:w="174"/>
        <w:gridCol w:w="125"/>
        <w:gridCol w:w="237"/>
        <w:gridCol w:w="1095"/>
        <w:gridCol w:w="125"/>
        <w:gridCol w:w="90"/>
        <w:gridCol w:w="217"/>
        <w:gridCol w:w="1005"/>
        <w:gridCol w:w="159"/>
        <w:gridCol w:w="114"/>
        <w:gridCol w:w="217"/>
        <w:gridCol w:w="1005"/>
        <w:gridCol w:w="174"/>
      </w:tblGrid>
      <w:tr>
        <w:trPr/>
        <w:tc>
          <w:tcPr>
            <w:tcW w:w="40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4" w:type="dxa"/>
            <w:tcBorders/>
            <w:vAlign w:val="center"/>
          </w:tcPr>
          <w:p>
            <w:pPr>
              <w:pStyle w:val="TableContents"/>
              <w:bidi w:val="0"/>
              <w:spacing w:before="0" w:after="283"/>
              <w:jc w:val="left"/>
              <w:rPr/>
            </w:pPr>
            <w:r>
              <w:rPr/>
              <w:t> </w:t>
            </w:r>
          </w:p>
        </w:tc>
      </w:tr>
      <w:tr>
        <w:trPr/>
        <w:tc>
          <w:tcPr>
            <w:tcW w:w="40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4" w:type="dxa"/>
            <w:tcBorders/>
            <w:vAlign w:val="center"/>
          </w:tcPr>
          <w:p>
            <w:pPr>
              <w:pStyle w:val="TableContents"/>
              <w:bidi w:val="0"/>
              <w:spacing w:before="0" w:after="283"/>
              <w:jc w:val="left"/>
              <w:rPr/>
            </w:pPr>
            <w:r>
              <w:rPr/>
              <w:t> </w:t>
            </w:r>
          </w:p>
        </w:tc>
      </w:tr>
      <w:tr>
        <w:trPr/>
        <w:tc>
          <w:tcPr>
            <w:tcW w:w="4046"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4046"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23,813</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28,948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005" w:type="dxa"/>
            <w:tcBorders/>
            <w:vAlign w:val="center"/>
          </w:tcPr>
          <w:p>
            <w:pPr>
              <w:pStyle w:val="TableContents"/>
              <w:bidi w:val="0"/>
              <w:spacing w:before="0" w:after="283"/>
              <w:jc w:val="right"/>
              <w:rPr/>
            </w:pPr>
            <w:r>
              <w:rPr/>
              <w:t>26,300</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005" w:type="dxa"/>
            <w:tcBorders/>
            <w:vAlign w:val="center"/>
          </w:tcPr>
          <w:p>
            <w:pPr>
              <w:pStyle w:val="TableContents"/>
              <w:bidi w:val="0"/>
              <w:spacing w:before="0" w:after="283"/>
              <w:jc w:val="right"/>
              <w:rPr/>
            </w:pPr>
            <w:r>
              <w:rPr/>
              <w:t>26,790</w:t>
            </w:r>
          </w:p>
        </w:tc>
        <w:tc>
          <w:tcPr>
            <w:tcW w:w="174" w:type="dxa"/>
            <w:tcBorders/>
            <w:vAlign w:val="center"/>
          </w:tcPr>
          <w:p>
            <w:pPr>
              <w:pStyle w:val="TableContents"/>
              <w:bidi w:val="0"/>
              <w:spacing w:before="0" w:after="283"/>
              <w:jc w:val="left"/>
              <w:rPr/>
            </w:pPr>
            <w:r>
              <w:rPr/>
              <w:t> </w:t>
            </w:r>
          </w:p>
        </w:tc>
      </w:tr>
      <w:tr>
        <w:trPr/>
        <w:tc>
          <w:tcPr>
            <w:tcW w:w="4046" w:type="dxa"/>
            <w:tcBorders/>
            <w:shd w:fill="CCEEFF" w:val="clear"/>
            <w:vAlign w:val="center"/>
          </w:tcPr>
          <w:p>
            <w:pPr>
              <w:pStyle w:val="TableContents"/>
              <w:bidi w:val="0"/>
              <w:spacing w:before="0" w:after="283"/>
              <w:jc w:val="left"/>
              <w:rPr/>
            </w:pPr>
            <w:r>
              <w:rPr/>
              <w:t>Deferral of policy acquisition costs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18,881</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21,499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32,922</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40,474</w:t>
            </w:r>
          </w:p>
        </w:tc>
        <w:tc>
          <w:tcPr>
            <w:tcW w:w="174" w:type="dxa"/>
            <w:tcBorders/>
            <w:shd w:fill="CCEEFF" w:val="clear"/>
            <w:vAlign w:val="center"/>
          </w:tcPr>
          <w:p>
            <w:pPr>
              <w:pStyle w:val="TableContents"/>
              <w:bidi w:val="0"/>
              <w:spacing w:before="0" w:after="283"/>
              <w:jc w:val="left"/>
              <w:rPr/>
            </w:pPr>
            <w:r>
              <w:rPr/>
              <w:t> </w:t>
            </w:r>
          </w:p>
        </w:tc>
      </w:tr>
      <w:tr>
        <w:trPr/>
        <w:tc>
          <w:tcPr>
            <w:tcW w:w="4046" w:type="dxa"/>
            <w:tcBorders/>
            <w:vAlign w:val="center"/>
          </w:tcPr>
          <w:p>
            <w:pPr>
              <w:pStyle w:val="TableContents"/>
              <w:bidi w:val="0"/>
              <w:spacing w:before="0" w:after="283"/>
              <w:jc w:val="left"/>
              <w:rPr/>
            </w:pPr>
            <w:r>
              <w:rPr/>
              <w:t>Amortization of deferred policy acquisition costs</w:t>
            </w:r>
          </w:p>
        </w:tc>
        <w:tc>
          <w:tcPr>
            <w:tcW w:w="90" w:type="dxa"/>
            <w:tcBorders/>
            <w:vAlign w:val="center"/>
          </w:tcPr>
          <w:p>
            <w:pPr>
              <w:pStyle w:val="TableContents"/>
              <w:bidi w:val="0"/>
              <w:spacing w:before="0" w:after="283"/>
              <w:jc w:val="left"/>
              <w:rPr/>
            </w:pPr>
            <w:r>
              <w:rPr/>
              <w:t> </w:t>
            </w:r>
          </w:p>
        </w:tc>
        <w:tc>
          <w:tcPr>
            <w:tcW w:w="237" w:type="dxa"/>
            <w:tcBorders>
              <w:bottom w:val="single" w:sz="8" w:space="0" w:color="000000"/>
            </w:tcBorders>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tcMar>
              <w:bottom w:w="28" w:type="dxa"/>
            </w:tcMar>
            <w:vAlign w:val="center"/>
          </w:tcPr>
          <w:p>
            <w:pPr>
              <w:pStyle w:val="TableContents"/>
              <w:bidi w:val="0"/>
              <w:spacing w:before="0" w:after="283"/>
              <w:jc w:val="right"/>
              <w:rPr/>
            </w:pPr>
            <w:r>
              <w:rPr/>
              <w:t>(16,374</w:t>
            </w:r>
          </w:p>
        </w:tc>
        <w:tc>
          <w:tcPr>
            <w:tcW w:w="174"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237" w:type="dxa"/>
            <w:tcBorders>
              <w:bottom w:val="single" w:sz="8" w:space="0" w:color="000000"/>
            </w:tcBorders>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tcMar>
              <w:bottom w:w="28" w:type="dxa"/>
            </w:tcMar>
            <w:vAlign w:val="center"/>
          </w:tcPr>
          <w:p>
            <w:pPr>
              <w:pStyle w:val="TableContents"/>
              <w:bidi w:val="0"/>
              <w:spacing w:before="0" w:after="283"/>
              <w:jc w:val="right"/>
              <w:rPr/>
            </w:pPr>
            <w:r>
              <w:rPr/>
              <w:t>(19,290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tcMar>
              <w:bottom w:w="28" w:type="dxa"/>
            </w:tcMar>
            <w:vAlign w:val="center"/>
          </w:tcPr>
          <w:p>
            <w:pPr>
              <w:pStyle w:val="TableContents"/>
              <w:bidi w:val="0"/>
              <w:spacing w:before="0" w:after="283"/>
              <w:jc w:val="right"/>
              <w:rPr/>
            </w:pPr>
            <w:r>
              <w:rPr/>
              <w:t>(32,902</w:t>
            </w:r>
          </w:p>
        </w:tc>
        <w:tc>
          <w:tcPr>
            <w:tcW w:w="15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tcMar>
              <w:bottom w:w="28" w:type="dxa"/>
            </w:tcMar>
            <w:vAlign w:val="center"/>
          </w:tcPr>
          <w:p>
            <w:pPr>
              <w:pStyle w:val="TableContents"/>
              <w:bidi w:val="0"/>
              <w:spacing w:before="0" w:after="283"/>
              <w:jc w:val="right"/>
              <w:rPr/>
            </w:pPr>
            <w:r>
              <w:rPr/>
              <w:t>(36,107</w:t>
            </w:r>
          </w:p>
        </w:tc>
        <w:tc>
          <w:tcPr>
            <w:tcW w:w="174" w:type="dxa"/>
            <w:tcBorders/>
            <w:vAlign w:val="center"/>
          </w:tcPr>
          <w:p>
            <w:pPr>
              <w:pStyle w:val="TableContents"/>
              <w:bidi w:val="0"/>
              <w:spacing w:before="0" w:after="283"/>
              <w:jc w:val="left"/>
              <w:rPr/>
            </w:pPr>
            <w:r>
              <w:rPr/>
              <w:t>)</w:t>
            </w:r>
          </w:p>
        </w:tc>
      </w:tr>
      <w:tr>
        <w:trPr/>
        <w:tc>
          <w:tcPr>
            <w:tcW w:w="4046"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pPr>
            <w:r>
              <w:rPr/>
              <w:t>26,320</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pPr>
            <w:r>
              <w:rPr/>
              <w:t>31,157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jc w:val="right"/>
              <w:rPr/>
            </w:pPr>
            <w:r>
              <w:rPr/>
              <w:t>26,320</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jc w:val="right"/>
              <w:rPr/>
            </w:pPr>
            <w:r>
              <w:rPr/>
              <w:t>31,157</w:t>
            </w:r>
          </w:p>
        </w:tc>
        <w:tc>
          <w:tcPr>
            <w:tcW w:w="17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58"/>
        <w:gridCol w:w="90"/>
        <w:gridCol w:w="344"/>
        <w:gridCol w:w="570"/>
        <w:gridCol w:w="176"/>
        <w:gridCol w:w="176"/>
        <w:gridCol w:w="334"/>
        <w:gridCol w:w="1309"/>
        <w:gridCol w:w="125"/>
        <w:gridCol w:w="90"/>
        <w:gridCol w:w="315"/>
        <w:gridCol w:w="520"/>
        <w:gridCol w:w="161"/>
        <w:gridCol w:w="161"/>
        <w:gridCol w:w="305"/>
        <w:gridCol w:w="1194"/>
        <w:gridCol w:w="177"/>
      </w:tblGrid>
      <w:tr>
        <w:trPr/>
        <w:tc>
          <w:tcPr>
            <w:tcW w:w="41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7" w:type="dxa"/>
            <w:tcBorders/>
            <w:vAlign w:val="center"/>
          </w:tcPr>
          <w:p>
            <w:pPr>
              <w:pStyle w:val="TableContents"/>
              <w:bidi w:val="0"/>
              <w:spacing w:before="0" w:after="283"/>
              <w:jc w:val="left"/>
              <w:rPr/>
            </w:pPr>
            <w:r>
              <w:rPr/>
              <w:t> </w:t>
            </w:r>
          </w:p>
        </w:tc>
      </w:tr>
      <w:tr>
        <w:trPr/>
        <w:tc>
          <w:tcPr>
            <w:tcW w:w="41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6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7" w:type="dxa"/>
            <w:tcBorders/>
            <w:vAlign w:val="center"/>
          </w:tcPr>
          <w:p>
            <w:pPr>
              <w:pStyle w:val="TableContents"/>
              <w:bidi w:val="0"/>
              <w:spacing w:before="0" w:after="283"/>
              <w:jc w:val="left"/>
              <w:rPr/>
            </w:pPr>
            <w:r>
              <w:rPr/>
              <w:t> </w:t>
            </w:r>
          </w:p>
        </w:tc>
      </w:tr>
      <w:tr>
        <w:trPr/>
        <w:tc>
          <w:tcPr>
            <w:tcW w:w="4158"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4158"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w:t>
            </w:r>
          </w:p>
        </w:tc>
        <w:tc>
          <w:tcPr>
            <w:tcW w:w="570" w:type="dxa"/>
            <w:tcBorders/>
            <w:vAlign w:val="center"/>
          </w:tcPr>
          <w:p>
            <w:pPr>
              <w:pStyle w:val="TableContents"/>
              <w:bidi w:val="0"/>
              <w:spacing w:before="0" w:after="0"/>
              <w:jc w:val="right"/>
              <w:rPr/>
            </w:pPr>
            <w:r>
              <w:rPr/>
              <w:t>—</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7,617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520"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7,330</w:t>
            </w:r>
          </w:p>
        </w:tc>
        <w:tc>
          <w:tcPr>
            <w:tcW w:w="177" w:type="dxa"/>
            <w:tcBorders/>
            <w:vAlign w:val="center"/>
          </w:tcPr>
          <w:p>
            <w:pPr>
              <w:pStyle w:val="TableContents"/>
              <w:bidi w:val="0"/>
              <w:spacing w:before="0" w:after="283"/>
              <w:jc w:val="left"/>
              <w:rPr/>
            </w:pPr>
            <w:r>
              <w:rPr/>
              <w:t> </w:t>
            </w:r>
          </w:p>
        </w:tc>
      </w:tr>
      <w:tr>
        <w:trPr/>
        <w:tc>
          <w:tcPr>
            <w:tcW w:w="4158" w:type="dxa"/>
            <w:tcBorders/>
            <w:shd w:fill="CCEEFF" w:val="clear"/>
            <w:vAlign w:val="center"/>
          </w:tcPr>
          <w:p>
            <w:pPr>
              <w:pStyle w:val="TableContents"/>
              <w:bidi w:val="0"/>
              <w:spacing w:before="0" w:after="283"/>
              <w:jc w:val="left"/>
              <w:rPr/>
            </w:pPr>
            <w:r>
              <w:rPr/>
              <w:t>Deferral of policy acquisition costs</w:t>
            </w:r>
          </w:p>
        </w:tc>
        <w:tc>
          <w:tcPr>
            <w:tcW w:w="9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0"/>
              <w:jc w:val="right"/>
              <w:rPr/>
            </w:pPr>
            <w:r>
              <w:rPr/>
              <w:t>—</w:t>
            </w:r>
          </w:p>
        </w:tc>
        <w:tc>
          <w:tcPr>
            <w:tcW w:w="17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4,464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8,596</w:t>
            </w:r>
          </w:p>
        </w:tc>
        <w:tc>
          <w:tcPr>
            <w:tcW w:w="177" w:type="dxa"/>
            <w:tcBorders/>
            <w:shd w:fill="CCEEFF" w:val="clear"/>
            <w:vAlign w:val="center"/>
          </w:tcPr>
          <w:p>
            <w:pPr>
              <w:pStyle w:val="TableContents"/>
              <w:bidi w:val="0"/>
              <w:spacing w:before="0" w:after="283"/>
              <w:jc w:val="left"/>
              <w:rPr/>
            </w:pPr>
            <w:r>
              <w:rPr/>
              <w:t> </w:t>
            </w:r>
          </w:p>
        </w:tc>
      </w:tr>
      <w:tr>
        <w:trPr/>
        <w:tc>
          <w:tcPr>
            <w:tcW w:w="4158" w:type="dxa"/>
            <w:tcBorders/>
            <w:vAlign w:val="center"/>
          </w:tcPr>
          <w:p>
            <w:pPr>
              <w:pStyle w:val="TableContents"/>
              <w:bidi w:val="0"/>
              <w:spacing w:before="0" w:after="283"/>
              <w:jc w:val="left"/>
              <w:rPr/>
            </w:pPr>
            <w:r>
              <w:rPr/>
              <w:t>Amortization of deferred policy acquisition costs</w:t>
            </w:r>
          </w:p>
        </w:tc>
        <w:tc>
          <w:tcPr>
            <w:tcW w:w="90" w:type="dxa"/>
            <w:tcBorders/>
            <w:vAlign w:val="center"/>
          </w:tcPr>
          <w:p>
            <w:pPr>
              <w:pStyle w:val="TableContents"/>
              <w:bidi w:val="0"/>
              <w:spacing w:before="0" w:after="283"/>
              <w:jc w:val="left"/>
              <w:rPr/>
            </w:pPr>
            <w:r>
              <w:rPr/>
              <w:t> </w:t>
            </w:r>
          </w:p>
        </w:tc>
        <w:tc>
          <w:tcPr>
            <w:tcW w:w="344" w:type="dxa"/>
            <w:tcBorders>
              <w:bottom w:val="single" w:sz="8" w:space="0" w:color="000000"/>
            </w:tcBorders>
            <w:tcMar>
              <w:bottom w:w="28" w:type="dxa"/>
            </w:tcMar>
            <w:vAlign w:val="center"/>
          </w:tcPr>
          <w:p>
            <w:pPr>
              <w:pStyle w:val="TableContents"/>
              <w:bidi w:val="0"/>
              <w:spacing w:before="0" w:after="283"/>
              <w:jc w:val="left"/>
              <w:rPr/>
            </w:pPr>
            <w:r>
              <w:rPr/>
              <w:t> </w:t>
            </w:r>
          </w:p>
        </w:tc>
        <w:tc>
          <w:tcPr>
            <w:tcW w:w="570" w:type="dxa"/>
            <w:tcBorders>
              <w:bottom w:val="single" w:sz="8" w:space="0" w:color="000000"/>
            </w:tcBorders>
            <w:tcMar>
              <w:bottom w:w="28" w:type="dxa"/>
            </w:tcMar>
            <w:vAlign w:val="center"/>
          </w:tcPr>
          <w:p>
            <w:pPr>
              <w:pStyle w:val="TableContents"/>
              <w:bidi w:val="0"/>
              <w:spacing w:before="0" w:after="0"/>
              <w:jc w:val="right"/>
              <w:rPr/>
            </w:pPr>
            <w:r>
              <w:rPr/>
              <w:t>—</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3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tcMar>
              <w:bottom w:w="28" w:type="dxa"/>
            </w:tcMar>
            <w:vAlign w:val="center"/>
          </w:tcPr>
          <w:p>
            <w:pPr>
              <w:pStyle w:val="TableContents"/>
              <w:bidi w:val="0"/>
              <w:spacing w:before="0" w:after="283"/>
              <w:jc w:val="right"/>
              <w:rPr/>
            </w:pPr>
            <w:r>
              <w:rPr/>
              <w:t>(4,083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15" w:type="dxa"/>
            <w:tcBorders>
              <w:bottom w:val="single" w:sz="8" w:space="0" w:color="000000"/>
            </w:tcBorders>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tcMar>
              <w:bottom w:w="28" w:type="dxa"/>
            </w:tcMar>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tcMar>
              <w:bottom w:w="28" w:type="dxa"/>
            </w:tcMar>
            <w:vAlign w:val="center"/>
          </w:tcPr>
          <w:p>
            <w:pPr>
              <w:pStyle w:val="TableContents"/>
              <w:bidi w:val="0"/>
              <w:spacing w:before="0" w:after="283"/>
              <w:jc w:val="right"/>
              <w:rPr/>
            </w:pPr>
            <w:r>
              <w:rPr/>
              <w:t>(7,928</w:t>
            </w:r>
          </w:p>
        </w:tc>
        <w:tc>
          <w:tcPr>
            <w:tcW w:w="177" w:type="dxa"/>
            <w:tcBorders/>
            <w:vAlign w:val="center"/>
          </w:tcPr>
          <w:p>
            <w:pPr>
              <w:pStyle w:val="TableContents"/>
              <w:bidi w:val="0"/>
              <w:spacing w:before="0" w:after="283"/>
              <w:jc w:val="left"/>
              <w:rPr/>
            </w:pPr>
            <w:r>
              <w:rPr/>
              <w:t>)</w:t>
            </w:r>
          </w:p>
        </w:tc>
      </w:tr>
      <w:tr>
        <w:trPr/>
        <w:tc>
          <w:tcPr>
            <w:tcW w:w="4158"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0"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7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7,998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6" w:space="0" w:color="000000"/>
            </w:tcBorders>
            <w:shd w:fill="CCEEFF" w:val="clear"/>
            <w:tcMar>
              <w:bottom w:w="28" w:type="dxa"/>
            </w:tcMar>
            <w:vAlign w:val="center"/>
          </w:tcPr>
          <w:p>
            <w:pPr>
              <w:pStyle w:val="TableContents"/>
              <w:bidi w:val="0"/>
              <w:spacing w:before="0" w:after="283"/>
              <w:jc w:val="right"/>
              <w:rPr/>
            </w:pPr>
            <w:r>
              <w:rPr/>
              <w:t>7,998</w:t>
            </w:r>
          </w:p>
        </w:tc>
        <w:tc>
          <w:tcPr>
            <w:tcW w:w="1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50"/>
        <w:gridCol w:w="4805"/>
      </w:tblGrid>
      <w:tr>
        <w:trPr/>
        <w:tc>
          <w:tcPr>
            <w:tcW w:w="350" w:type="dxa"/>
            <w:tcBorders/>
            <w:vAlign w:val="center"/>
          </w:tcPr>
          <w:p>
            <w:pPr>
              <w:pStyle w:val="TableContents"/>
              <w:bidi w:val="0"/>
              <w:spacing w:before="0" w:after="283"/>
              <w:jc w:val="left"/>
              <w:rPr>
                <w:b/>
              </w:rPr>
            </w:pPr>
            <w:r>
              <w:rPr>
                <w:b/>
              </w:rPr>
              <w:t>7.  </w:t>
            </w:r>
          </w:p>
        </w:tc>
        <w:tc>
          <w:tcPr>
            <w:tcW w:w="4805" w:type="dxa"/>
            <w:tcBorders/>
            <w:vAlign w:val="center"/>
          </w:tcPr>
          <w:p>
            <w:pPr>
              <w:pStyle w:val="TableContents"/>
              <w:bidi w:val="0"/>
              <w:spacing w:before="0" w:after="283"/>
              <w:jc w:val="left"/>
              <w:rPr>
                <w:b/>
              </w:rPr>
            </w:pPr>
            <w:r>
              <w:rPr>
                <w:b/>
              </w:rPr>
              <w:t>Unpaid Losses and Loss Adjustment Expenses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in the liability for unpaid losses and loss adjustment expenses is summarized as follows for both continuing and discontinued operations:</w:t>
      </w:r>
    </w:p>
    <w:p>
      <w:pPr>
        <w:pStyle w:val="TextBody"/>
        <w:bidi w:val="0"/>
        <w:spacing w:before="0" w:after="0"/>
        <w:ind w:left="15" w:right="15" w:hanging="0"/>
        <w:jc w:val="left"/>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5330"/>
        <w:gridCol w:w="90"/>
        <w:gridCol w:w="222"/>
        <w:gridCol w:w="1086"/>
        <w:gridCol w:w="117"/>
        <w:gridCol w:w="117"/>
        <w:gridCol w:w="222"/>
        <w:gridCol w:w="1086"/>
        <w:gridCol w:w="135"/>
      </w:tblGrid>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3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1308" w:type="dxa"/>
            <w:gridSpan w:val="2"/>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08"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Liability for 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6" w:type="dxa"/>
            <w:tcBorders/>
            <w:shd w:fill="CCEEFF" w:val="clear"/>
            <w:vAlign w:val="center"/>
          </w:tcPr>
          <w:p>
            <w:pPr>
              <w:pStyle w:val="TableContents"/>
              <w:bidi w:val="0"/>
              <w:spacing w:before="0" w:after="283"/>
              <w:jc w:val="right"/>
              <w:rPr/>
            </w:pPr>
            <w:r>
              <w:rPr/>
              <w:t>137,288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6" w:type="dxa"/>
            <w:tcBorders/>
            <w:shd w:fill="CCEEFF" w:val="clear"/>
            <w:vAlign w:val="center"/>
          </w:tcPr>
          <w:p>
            <w:pPr>
              <w:pStyle w:val="TableContents"/>
              <w:bidi w:val="0"/>
              <w:spacing w:before="0" w:after="283"/>
              <w:jc w:val="right"/>
              <w:rPr/>
            </w:pPr>
            <w:r>
              <w:rPr/>
              <w:t>217,119</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12,561</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48,969</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balance, beginning of period</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124,727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168,150</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Incurred related to:</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Current year</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93,894</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125,235</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Prior years</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11,238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7,773</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Total incurred</w:t>
            </w:r>
          </w:p>
        </w:tc>
        <w:tc>
          <w:tcPr>
            <w:tcW w:w="9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105,132</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133,008</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Paid related to:</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Current year</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30,151</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45,494</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Prior years</w:t>
            </w:r>
          </w:p>
        </w:tc>
        <w:tc>
          <w:tcPr>
            <w:tcW w:w="9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47,456</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54,372</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Total paid</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77,607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99,866</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Westminster balances disposed in sale:</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Liability for unpaid losses and loss adjustment expenses</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0"/>
              <w:jc w:val="right"/>
              <w:rPr/>
            </w:pPr>
            <w:r>
              <w:rPr/>
              <w:t>—</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107,508</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Reinsurance recoverables on losses</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45,320</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Net balance, date of sale</w:t>
            </w:r>
          </w:p>
        </w:tc>
        <w:tc>
          <w:tcPr>
            <w:tcW w:w="9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0"/>
              <w:jc w:val="right"/>
              <w:rPr/>
            </w:pPr>
            <w:r>
              <w:rPr/>
              <w:t>—</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62,188</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Balance, end of period:</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Liability for 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203,530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148,527</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51,278</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9,423</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balance, end of period</w:t>
            </w:r>
          </w:p>
        </w:tc>
        <w:tc>
          <w:tcPr>
            <w:tcW w:w="9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6" w:type="dxa"/>
            <w:tcBorders>
              <w:bottom w:val="double" w:sz="6" w:space="0" w:color="000000"/>
            </w:tcBorders>
            <w:shd w:fill="CCEEFF" w:val="clear"/>
            <w:tcMar>
              <w:bottom w:w="28" w:type="dxa"/>
            </w:tcMar>
            <w:vAlign w:val="center"/>
          </w:tcPr>
          <w:p>
            <w:pPr>
              <w:pStyle w:val="TableContents"/>
              <w:bidi w:val="0"/>
              <w:spacing w:before="0" w:after="283"/>
              <w:jc w:val="right"/>
              <w:rPr/>
            </w:pPr>
            <w:r>
              <w:rPr/>
              <w:t>152,252</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6" w:type="dxa"/>
            <w:tcBorders>
              <w:bottom w:val="double" w:sz="6" w:space="0" w:color="000000"/>
            </w:tcBorders>
            <w:shd w:fill="CCEEFF" w:val="clear"/>
            <w:tcMar>
              <w:bottom w:w="28" w:type="dxa"/>
            </w:tcMar>
            <w:vAlign w:val="center"/>
          </w:tcPr>
          <w:p>
            <w:pPr>
              <w:pStyle w:val="TableContents"/>
              <w:bidi w:val="0"/>
              <w:spacing w:before="0" w:after="283"/>
              <w:jc w:val="right"/>
              <w:rPr/>
            </w:pPr>
            <w:r>
              <w:rPr/>
              <w:t>139,104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the Company’s incurred reported losses and loss adjustment expense included $11,238 of net unfavorable development on prior accident years. This was primarily attributable to unfavorable development for the Non-Standard Auto segment. During the six months ended June 30, 2024, the Company’s incurred reported losses and loss adjustment expenses included $7,773 of net unfavorable development on prior accident years, primarily attributable to unfavorable development for the Non-Standard Auto segment. During 2024, Westminster was sold and all associated liabilities were included in the sale.</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for the current and comparable prior year continuing and discontinued operations showing the liability for unpaid losses and loss adjustment expense are shown below:</w:t>
      </w:r>
    </w:p>
    <w:p>
      <w:pPr>
        <w:pStyle w:val="TextBody"/>
        <w:bidi w:val="0"/>
        <w:spacing w:before="0" w:after="0"/>
        <w:ind w:left="15" w:right="15" w:hanging="0"/>
        <w:jc w:val="left"/>
        <w:rPr>
          <w:caps w:val="false"/>
          <w:smallCaps w:val="false"/>
        </w:rPr>
      </w:pPr>
      <w:r>
        <w:rPr>
          <w:caps w:val="false"/>
          <w:smallCaps w:val="false"/>
        </w:rPr>
        <w:t> </w:t>
      </w:r>
    </w:p>
    <w:tbl>
      <w:tblPr>
        <w:tblW w:w="8567" w:type="dxa"/>
        <w:jc w:val="left"/>
        <w:tblInd w:w="0" w:type="dxa"/>
        <w:tblLayout w:type="fixed"/>
        <w:tblCellMar>
          <w:top w:w="0" w:type="dxa"/>
          <w:left w:w="0" w:type="dxa"/>
          <w:bottom w:w="0" w:type="dxa"/>
          <w:right w:w="0" w:type="dxa"/>
        </w:tblCellMar>
      </w:tblPr>
      <w:tblGrid>
        <w:gridCol w:w="5330"/>
        <w:gridCol w:w="90"/>
        <w:gridCol w:w="222"/>
        <w:gridCol w:w="1086"/>
        <w:gridCol w:w="117"/>
        <w:gridCol w:w="117"/>
        <w:gridCol w:w="222"/>
        <w:gridCol w:w="1086"/>
        <w:gridCol w:w="297"/>
      </w:tblGrid>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97"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97"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297" w:type="dxa"/>
            <w:tcBorders/>
            <w:shd w:fill="CCEEFF" w:val="clear"/>
            <w:vAlign w:val="center"/>
          </w:tcPr>
          <w:p>
            <w:pPr>
              <w:pStyle w:val="TableContents"/>
              <w:bidi w:val="0"/>
              <w:spacing w:before="0" w:after="283"/>
              <w:ind w:left="0" w:right="0" w:firstLine="90"/>
              <w:jc w:val="left"/>
              <w:rPr/>
            </w:pPr>
            <w:r>
              <w:rPr/>
              <w:t> </w:t>
            </w:r>
          </w:p>
        </w:tc>
      </w:tr>
      <w:tr>
        <w:trPr/>
        <w:tc>
          <w:tcPr>
            <w:tcW w:w="5330"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297" w:type="dxa"/>
            <w:tcBorders/>
            <w:vAlign w:val="center"/>
          </w:tcPr>
          <w:p>
            <w:pPr>
              <w:pStyle w:val="TableContents"/>
              <w:bidi w:val="0"/>
              <w:spacing w:before="0" w:after="283"/>
              <w:ind w:left="0" w:right="0" w:firstLine="126"/>
              <w:jc w:val="left"/>
              <w:rPr/>
            </w:pPr>
            <w:r>
              <w:rPr/>
              <w:t> </w:t>
            </w:r>
          </w:p>
        </w:tc>
      </w:tr>
      <w:tr>
        <w:trPr/>
        <w:tc>
          <w:tcPr>
            <w:tcW w:w="5330" w:type="dxa"/>
            <w:tcBorders/>
            <w:shd w:fill="CCEEFF" w:val="clear"/>
            <w:vAlign w:val="center"/>
          </w:tcPr>
          <w:p>
            <w:pPr>
              <w:pStyle w:val="TableContents"/>
              <w:bidi w:val="0"/>
              <w:spacing w:before="0" w:after="283"/>
              <w:jc w:val="left"/>
              <w:rPr/>
            </w:pPr>
            <w:r>
              <w:rPr/>
              <w:t>Liability for 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6" w:type="dxa"/>
            <w:tcBorders/>
            <w:shd w:fill="CCEEFF" w:val="clear"/>
            <w:vAlign w:val="center"/>
          </w:tcPr>
          <w:p>
            <w:pPr>
              <w:pStyle w:val="TableContents"/>
              <w:bidi w:val="0"/>
              <w:spacing w:before="0" w:after="283"/>
              <w:jc w:val="right"/>
              <w:rPr/>
            </w:pPr>
            <w:r>
              <w:rPr/>
              <w:t>137,288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6" w:type="dxa"/>
            <w:tcBorders/>
            <w:shd w:fill="CCEEFF" w:val="clear"/>
            <w:vAlign w:val="center"/>
          </w:tcPr>
          <w:p>
            <w:pPr>
              <w:pStyle w:val="TableContents"/>
              <w:bidi w:val="0"/>
              <w:spacing w:before="0" w:after="283"/>
              <w:jc w:val="right"/>
              <w:rPr/>
            </w:pPr>
            <w:r>
              <w:rPr/>
              <w:t>119,185</w:t>
            </w:r>
          </w:p>
        </w:tc>
        <w:tc>
          <w:tcPr>
            <w:tcW w:w="297" w:type="dxa"/>
            <w:tcBorders/>
            <w:shd w:fill="CCEEFF" w:val="clear"/>
            <w:vAlign w:val="center"/>
          </w:tcPr>
          <w:p>
            <w:pPr>
              <w:pStyle w:val="TableContents"/>
              <w:bidi w:val="0"/>
              <w:spacing w:before="0" w:after="283"/>
              <w:ind w:left="0" w:right="0" w:firstLine="126"/>
              <w:jc w:val="left"/>
              <w:rPr/>
            </w:pPr>
            <w:r>
              <w:rPr/>
              <w:t> </w:t>
            </w:r>
          </w:p>
        </w:tc>
      </w:tr>
      <w:tr>
        <w:trPr/>
        <w:tc>
          <w:tcPr>
            <w:tcW w:w="5330"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12,561</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6,460</w:t>
            </w:r>
          </w:p>
        </w:tc>
        <w:tc>
          <w:tcPr>
            <w:tcW w:w="297" w:type="dxa"/>
            <w:tcBorders/>
            <w:vAlign w:val="center"/>
          </w:tcPr>
          <w:p>
            <w:pPr>
              <w:pStyle w:val="TableContents"/>
              <w:bidi w:val="0"/>
              <w:spacing w:before="0" w:after="283"/>
              <w:ind w:left="0" w:right="0" w:firstLine="162"/>
              <w:jc w:val="left"/>
              <w:rPr/>
            </w:pPr>
            <w:r>
              <w:rPr/>
              <w:t> </w:t>
            </w:r>
          </w:p>
        </w:tc>
      </w:tr>
      <w:tr>
        <w:trPr/>
        <w:tc>
          <w:tcPr>
            <w:tcW w:w="5330" w:type="dxa"/>
            <w:tcBorders/>
            <w:shd w:fill="CCEEFF" w:val="clear"/>
            <w:vAlign w:val="center"/>
          </w:tcPr>
          <w:p>
            <w:pPr>
              <w:pStyle w:val="TableContents"/>
              <w:bidi w:val="0"/>
              <w:spacing w:before="0" w:after="283"/>
              <w:jc w:val="left"/>
              <w:rPr/>
            </w:pPr>
            <w:r>
              <w:rPr/>
              <w:t>Net balance, beginning of period</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124,727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112,725</w:t>
            </w:r>
          </w:p>
        </w:tc>
        <w:tc>
          <w:tcPr>
            <w:tcW w:w="297"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297" w:type="dxa"/>
            <w:tcBorders/>
            <w:vAlign w:val="center"/>
          </w:tcPr>
          <w:p>
            <w:pPr>
              <w:pStyle w:val="TableContents"/>
              <w:bidi w:val="0"/>
              <w:spacing w:before="0" w:after="283"/>
              <w:ind w:left="0" w:right="0" w:firstLine="90"/>
              <w:jc w:val="left"/>
              <w:rPr/>
            </w:pPr>
            <w:r>
              <w:rPr/>
              <w:t> </w:t>
            </w:r>
          </w:p>
        </w:tc>
      </w:tr>
      <w:tr>
        <w:trPr/>
        <w:tc>
          <w:tcPr>
            <w:tcW w:w="5330" w:type="dxa"/>
            <w:tcBorders/>
            <w:shd w:fill="CCEEFF" w:val="clear"/>
            <w:vAlign w:val="center"/>
          </w:tcPr>
          <w:p>
            <w:pPr>
              <w:pStyle w:val="TableContents"/>
              <w:bidi w:val="0"/>
              <w:spacing w:before="0" w:after="283"/>
              <w:jc w:val="left"/>
              <w:rPr/>
            </w:pPr>
            <w:r>
              <w:rPr/>
              <w:t>Incurred related to:</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297" w:type="dxa"/>
            <w:tcBorders/>
            <w:shd w:fill="CCEEFF" w:val="clear"/>
            <w:vAlign w:val="center"/>
          </w:tcPr>
          <w:p>
            <w:pPr>
              <w:pStyle w:val="TableContents"/>
              <w:bidi w:val="0"/>
              <w:spacing w:before="0" w:after="283"/>
              <w:ind w:left="0" w:right="0" w:firstLine="126"/>
              <w:jc w:val="left"/>
              <w:rPr/>
            </w:pPr>
            <w:r>
              <w:rPr/>
              <w:t> </w:t>
            </w:r>
          </w:p>
        </w:tc>
      </w:tr>
      <w:tr>
        <w:trPr/>
        <w:tc>
          <w:tcPr>
            <w:tcW w:w="5330" w:type="dxa"/>
            <w:tcBorders/>
            <w:vAlign w:val="center"/>
          </w:tcPr>
          <w:p>
            <w:pPr>
              <w:pStyle w:val="TableContents"/>
              <w:bidi w:val="0"/>
              <w:spacing w:before="0" w:after="283"/>
              <w:jc w:val="left"/>
              <w:rPr/>
            </w:pPr>
            <w:r>
              <w:rPr/>
              <w:t>Current year</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93,894</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101,120</w:t>
            </w:r>
          </w:p>
        </w:tc>
        <w:tc>
          <w:tcPr>
            <w:tcW w:w="297" w:type="dxa"/>
            <w:tcBorders/>
            <w:vAlign w:val="center"/>
          </w:tcPr>
          <w:p>
            <w:pPr>
              <w:pStyle w:val="TableContents"/>
              <w:bidi w:val="0"/>
              <w:spacing w:before="0" w:after="283"/>
              <w:ind w:left="0" w:right="0" w:firstLine="126"/>
              <w:jc w:val="left"/>
              <w:rPr/>
            </w:pPr>
            <w:r>
              <w:rPr/>
              <w:t> </w:t>
            </w:r>
          </w:p>
        </w:tc>
      </w:tr>
      <w:tr>
        <w:trPr/>
        <w:tc>
          <w:tcPr>
            <w:tcW w:w="5330" w:type="dxa"/>
            <w:tcBorders/>
            <w:shd w:fill="CCEEFF" w:val="clear"/>
            <w:vAlign w:val="center"/>
          </w:tcPr>
          <w:p>
            <w:pPr>
              <w:pStyle w:val="TableContents"/>
              <w:bidi w:val="0"/>
              <w:spacing w:before="0" w:after="283"/>
              <w:jc w:val="left"/>
              <w:rPr/>
            </w:pPr>
            <w:r>
              <w:rPr/>
              <w:t>Prior years</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11,238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8,382</w:t>
            </w:r>
          </w:p>
        </w:tc>
        <w:tc>
          <w:tcPr>
            <w:tcW w:w="297" w:type="dxa"/>
            <w:tcBorders/>
            <w:shd w:fill="CCEEFF" w:val="clear"/>
            <w:vAlign w:val="center"/>
          </w:tcPr>
          <w:p>
            <w:pPr>
              <w:pStyle w:val="TableContents"/>
              <w:bidi w:val="0"/>
              <w:spacing w:before="0" w:after="283"/>
              <w:ind w:left="0" w:right="0" w:firstLine="162"/>
              <w:jc w:val="left"/>
              <w:rPr/>
            </w:pPr>
            <w:r>
              <w:rPr/>
              <w:t> </w:t>
            </w:r>
          </w:p>
        </w:tc>
      </w:tr>
      <w:tr>
        <w:trPr/>
        <w:tc>
          <w:tcPr>
            <w:tcW w:w="5330" w:type="dxa"/>
            <w:tcBorders/>
            <w:vAlign w:val="center"/>
          </w:tcPr>
          <w:p>
            <w:pPr>
              <w:pStyle w:val="TableContents"/>
              <w:bidi w:val="0"/>
              <w:spacing w:before="0" w:after="283"/>
              <w:jc w:val="left"/>
              <w:rPr/>
            </w:pPr>
            <w:r>
              <w:rPr/>
              <w:t>Total incurred</w:t>
            </w:r>
          </w:p>
        </w:tc>
        <w:tc>
          <w:tcPr>
            <w:tcW w:w="9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105,132</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109,502</w:t>
            </w:r>
          </w:p>
        </w:tc>
        <w:tc>
          <w:tcPr>
            <w:tcW w:w="297"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297" w:type="dxa"/>
            <w:tcBorders/>
            <w:shd w:fill="CCEEFF" w:val="clear"/>
            <w:vAlign w:val="center"/>
          </w:tcPr>
          <w:p>
            <w:pPr>
              <w:pStyle w:val="TableContents"/>
              <w:bidi w:val="0"/>
              <w:spacing w:before="0" w:after="283"/>
              <w:ind w:left="0" w:right="0" w:firstLine="90"/>
              <w:jc w:val="left"/>
              <w:rPr/>
            </w:pPr>
            <w:r>
              <w:rPr/>
              <w:t> </w:t>
            </w:r>
          </w:p>
        </w:tc>
      </w:tr>
      <w:tr>
        <w:trPr/>
        <w:tc>
          <w:tcPr>
            <w:tcW w:w="5330" w:type="dxa"/>
            <w:tcBorders/>
            <w:vAlign w:val="center"/>
          </w:tcPr>
          <w:p>
            <w:pPr>
              <w:pStyle w:val="TableContents"/>
              <w:bidi w:val="0"/>
              <w:spacing w:before="0" w:after="283"/>
              <w:jc w:val="left"/>
              <w:rPr/>
            </w:pPr>
            <w:r>
              <w:rPr/>
              <w:t>Paid related to:</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297" w:type="dxa"/>
            <w:tcBorders/>
            <w:vAlign w:val="center"/>
          </w:tcPr>
          <w:p>
            <w:pPr>
              <w:pStyle w:val="TableContents"/>
              <w:bidi w:val="0"/>
              <w:spacing w:before="0" w:after="283"/>
              <w:ind w:left="0" w:right="0" w:firstLine="126"/>
              <w:jc w:val="left"/>
              <w:rPr/>
            </w:pPr>
            <w:r>
              <w:rPr/>
              <w:t> </w:t>
            </w:r>
          </w:p>
        </w:tc>
      </w:tr>
      <w:tr>
        <w:trPr/>
        <w:tc>
          <w:tcPr>
            <w:tcW w:w="5330" w:type="dxa"/>
            <w:tcBorders/>
            <w:shd w:fill="CCEEFF" w:val="clear"/>
            <w:vAlign w:val="center"/>
          </w:tcPr>
          <w:p>
            <w:pPr>
              <w:pStyle w:val="TableContents"/>
              <w:bidi w:val="0"/>
              <w:spacing w:before="0" w:after="283"/>
              <w:jc w:val="left"/>
              <w:rPr/>
            </w:pPr>
            <w:r>
              <w:rPr/>
              <w:t>Current year</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30,151</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39,930</w:t>
            </w:r>
          </w:p>
        </w:tc>
        <w:tc>
          <w:tcPr>
            <w:tcW w:w="297" w:type="dxa"/>
            <w:tcBorders/>
            <w:shd w:fill="CCEEFF" w:val="clear"/>
            <w:vAlign w:val="center"/>
          </w:tcPr>
          <w:p>
            <w:pPr>
              <w:pStyle w:val="TableContents"/>
              <w:bidi w:val="0"/>
              <w:spacing w:before="0" w:after="283"/>
              <w:ind w:left="0" w:right="0" w:firstLine="126"/>
              <w:jc w:val="left"/>
              <w:rPr/>
            </w:pPr>
            <w:r>
              <w:rPr/>
              <w:t> </w:t>
            </w:r>
          </w:p>
        </w:tc>
      </w:tr>
      <w:tr>
        <w:trPr/>
        <w:tc>
          <w:tcPr>
            <w:tcW w:w="5330" w:type="dxa"/>
            <w:tcBorders/>
            <w:vAlign w:val="center"/>
          </w:tcPr>
          <w:p>
            <w:pPr>
              <w:pStyle w:val="TableContents"/>
              <w:bidi w:val="0"/>
              <w:spacing w:before="0" w:after="283"/>
              <w:jc w:val="left"/>
              <w:rPr/>
            </w:pPr>
            <w:r>
              <w:rPr/>
              <w:t>Prior years</w:t>
            </w:r>
          </w:p>
        </w:tc>
        <w:tc>
          <w:tcPr>
            <w:tcW w:w="9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47,456</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43,193</w:t>
            </w:r>
          </w:p>
        </w:tc>
        <w:tc>
          <w:tcPr>
            <w:tcW w:w="297" w:type="dxa"/>
            <w:tcBorders/>
            <w:vAlign w:val="center"/>
          </w:tcPr>
          <w:p>
            <w:pPr>
              <w:pStyle w:val="TableContents"/>
              <w:bidi w:val="0"/>
              <w:spacing w:before="0" w:after="283"/>
              <w:ind w:left="0" w:right="0" w:firstLine="162"/>
              <w:jc w:val="left"/>
              <w:rPr/>
            </w:pPr>
            <w:r>
              <w:rPr/>
              <w:t> </w:t>
            </w:r>
          </w:p>
        </w:tc>
      </w:tr>
      <w:tr>
        <w:trPr/>
        <w:tc>
          <w:tcPr>
            <w:tcW w:w="5330" w:type="dxa"/>
            <w:tcBorders/>
            <w:shd w:fill="CCEEFF" w:val="clear"/>
            <w:vAlign w:val="center"/>
          </w:tcPr>
          <w:p>
            <w:pPr>
              <w:pStyle w:val="TableContents"/>
              <w:bidi w:val="0"/>
              <w:spacing w:before="0" w:after="283"/>
              <w:jc w:val="left"/>
              <w:rPr/>
            </w:pPr>
            <w:r>
              <w:rPr/>
              <w:t>Total paid</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77,607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83,123</w:t>
            </w:r>
          </w:p>
        </w:tc>
        <w:tc>
          <w:tcPr>
            <w:tcW w:w="297"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297" w:type="dxa"/>
            <w:tcBorders/>
            <w:vAlign w:val="center"/>
          </w:tcPr>
          <w:p>
            <w:pPr>
              <w:pStyle w:val="TableContents"/>
              <w:bidi w:val="0"/>
              <w:spacing w:before="0" w:after="283"/>
              <w:ind w:left="0" w:right="0" w:firstLine="90"/>
              <w:jc w:val="left"/>
              <w:rPr/>
            </w:pPr>
            <w:r>
              <w:rPr/>
              <w:t> </w:t>
            </w:r>
          </w:p>
        </w:tc>
      </w:tr>
      <w:tr>
        <w:trPr/>
        <w:tc>
          <w:tcPr>
            <w:tcW w:w="5330"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297" w:type="dxa"/>
            <w:tcBorders/>
            <w:shd w:fill="CCEEFF" w:val="clear"/>
            <w:vAlign w:val="center"/>
          </w:tcPr>
          <w:p>
            <w:pPr>
              <w:pStyle w:val="TableContents"/>
              <w:bidi w:val="0"/>
              <w:spacing w:before="0" w:after="283"/>
              <w:ind w:left="0" w:right="0" w:firstLine="126"/>
              <w:jc w:val="left"/>
              <w:rPr/>
            </w:pPr>
            <w:r>
              <w:rPr/>
              <w:t> </w:t>
            </w:r>
          </w:p>
        </w:tc>
      </w:tr>
      <w:tr>
        <w:trPr/>
        <w:tc>
          <w:tcPr>
            <w:tcW w:w="5330" w:type="dxa"/>
            <w:tcBorders/>
            <w:vAlign w:val="center"/>
          </w:tcPr>
          <w:p>
            <w:pPr>
              <w:pStyle w:val="TableContents"/>
              <w:bidi w:val="0"/>
              <w:spacing w:before="0" w:after="283"/>
              <w:jc w:val="left"/>
              <w:rPr/>
            </w:pPr>
            <w:r>
              <w:rPr/>
              <w:t>Liability for unpaid losses and loss adjustment expenses</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203,530</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148,527</w:t>
            </w:r>
          </w:p>
        </w:tc>
        <w:tc>
          <w:tcPr>
            <w:tcW w:w="297" w:type="dxa"/>
            <w:tcBorders/>
            <w:vAlign w:val="center"/>
          </w:tcPr>
          <w:p>
            <w:pPr>
              <w:pStyle w:val="TableContents"/>
              <w:bidi w:val="0"/>
              <w:spacing w:before="0" w:after="283"/>
              <w:ind w:left="0" w:right="0" w:firstLine="126"/>
              <w:jc w:val="left"/>
              <w:rPr/>
            </w:pPr>
            <w:r>
              <w:rPr/>
              <w:t> </w:t>
            </w:r>
          </w:p>
        </w:tc>
      </w:tr>
      <w:tr>
        <w:trPr/>
        <w:tc>
          <w:tcPr>
            <w:tcW w:w="5330" w:type="dxa"/>
            <w:tcBorders/>
            <w:shd w:fill="CCEEFF" w:val="clear"/>
            <w:vAlign w:val="center"/>
          </w:tcPr>
          <w:p>
            <w:pPr>
              <w:pStyle w:val="TableContents"/>
              <w:bidi w:val="0"/>
              <w:spacing w:before="0" w:after="283"/>
              <w:jc w:val="left"/>
              <w:rPr/>
            </w:pPr>
            <w:r>
              <w:rPr/>
              <w:t>Reinsurance recoverables on losses</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51,278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CCEEFF" w:val="clear"/>
            <w:tcMar>
              <w:bottom w:w="28" w:type="dxa"/>
            </w:tcMar>
            <w:vAlign w:val="center"/>
          </w:tcPr>
          <w:p>
            <w:pPr>
              <w:pStyle w:val="TableContents"/>
              <w:bidi w:val="0"/>
              <w:spacing w:before="0" w:after="283"/>
              <w:jc w:val="right"/>
              <w:rPr/>
            </w:pPr>
            <w:r>
              <w:rPr/>
              <w:t>9,423</w:t>
            </w:r>
          </w:p>
        </w:tc>
        <w:tc>
          <w:tcPr>
            <w:tcW w:w="297" w:type="dxa"/>
            <w:tcBorders/>
            <w:shd w:fill="CCEEFF" w:val="clear"/>
            <w:vAlign w:val="center"/>
          </w:tcPr>
          <w:p>
            <w:pPr>
              <w:pStyle w:val="TableContents"/>
              <w:bidi w:val="0"/>
              <w:spacing w:before="0" w:after="283"/>
              <w:ind w:left="0" w:right="0" w:firstLine="162"/>
              <w:jc w:val="left"/>
              <w:rPr/>
            </w:pPr>
            <w:r>
              <w:rPr/>
              <w:t> </w:t>
            </w:r>
          </w:p>
        </w:tc>
      </w:tr>
      <w:tr>
        <w:trPr/>
        <w:tc>
          <w:tcPr>
            <w:tcW w:w="5330" w:type="dxa"/>
            <w:tcBorders/>
            <w:vAlign w:val="center"/>
          </w:tcPr>
          <w:p>
            <w:pPr>
              <w:pStyle w:val="TableContents"/>
              <w:bidi w:val="0"/>
              <w:spacing w:before="0" w:after="283"/>
              <w:jc w:val="left"/>
              <w:rPr/>
            </w:pPr>
            <w:r>
              <w:rPr/>
              <w:t>Net balance, end of period</w:t>
            </w:r>
          </w:p>
        </w:tc>
        <w:tc>
          <w:tcPr>
            <w:tcW w:w="90" w:type="dxa"/>
            <w:tcBorders/>
            <w:vAlign w:val="center"/>
          </w:tcPr>
          <w:p>
            <w:pPr>
              <w:pStyle w:val="TableContents"/>
              <w:bidi w:val="0"/>
              <w:spacing w:before="0" w:after="283"/>
              <w:jc w:val="left"/>
              <w:rPr/>
            </w:pPr>
            <w:r>
              <w:rPr/>
              <w:t> </w:t>
            </w:r>
          </w:p>
        </w:tc>
        <w:tc>
          <w:tcPr>
            <w:tcW w:w="222" w:type="dxa"/>
            <w:tcBorders>
              <w:bottom w:val="double" w:sz="6" w:space="0" w:color="000000"/>
            </w:tcBorders>
            <w:tcMar>
              <w:bottom w:w="28" w:type="dxa"/>
            </w:tcMar>
            <w:vAlign w:val="center"/>
          </w:tcPr>
          <w:p>
            <w:pPr>
              <w:pStyle w:val="TableContents"/>
              <w:bidi w:val="0"/>
              <w:spacing w:before="0" w:after="283"/>
              <w:jc w:val="left"/>
              <w:rPr/>
            </w:pPr>
            <w:r>
              <w:rPr/>
              <w:t>$</w:t>
            </w:r>
          </w:p>
        </w:tc>
        <w:tc>
          <w:tcPr>
            <w:tcW w:w="1086" w:type="dxa"/>
            <w:tcBorders>
              <w:bottom w:val="double" w:sz="6" w:space="0" w:color="000000"/>
            </w:tcBorders>
            <w:tcMar>
              <w:bottom w:w="28" w:type="dxa"/>
            </w:tcMar>
            <w:vAlign w:val="center"/>
          </w:tcPr>
          <w:p>
            <w:pPr>
              <w:pStyle w:val="TableContents"/>
              <w:bidi w:val="0"/>
              <w:spacing w:before="0" w:after="283"/>
              <w:jc w:val="right"/>
              <w:rPr/>
            </w:pPr>
            <w:r>
              <w:rPr/>
              <w:t>152,252</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double" w:sz="6" w:space="0" w:color="000000"/>
            </w:tcBorders>
            <w:tcMar>
              <w:bottom w:w="28" w:type="dxa"/>
            </w:tcMar>
            <w:vAlign w:val="center"/>
          </w:tcPr>
          <w:p>
            <w:pPr>
              <w:pStyle w:val="TableContents"/>
              <w:bidi w:val="0"/>
              <w:spacing w:before="0" w:after="283"/>
              <w:jc w:val="left"/>
              <w:rPr/>
            </w:pPr>
            <w:r>
              <w:rPr/>
              <w:t>$</w:t>
            </w:r>
          </w:p>
        </w:tc>
        <w:tc>
          <w:tcPr>
            <w:tcW w:w="1086" w:type="dxa"/>
            <w:tcBorders>
              <w:bottom w:val="double" w:sz="6" w:space="0" w:color="000000"/>
            </w:tcBorders>
            <w:tcMar>
              <w:bottom w:w="28" w:type="dxa"/>
            </w:tcMar>
            <w:vAlign w:val="center"/>
          </w:tcPr>
          <w:p>
            <w:pPr>
              <w:pStyle w:val="TableContents"/>
              <w:bidi w:val="0"/>
              <w:spacing w:before="0" w:after="283"/>
              <w:jc w:val="right"/>
              <w:rPr/>
            </w:pPr>
            <w:r>
              <w:rPr/>
              <w:t>139,104</w:t>
            </w:r>
          </w:p>
        </w:tc>
        <w:tc>
          <w:tcPr>
            <w:tcW w:w="29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2" w:type="dxa"/>
        <w:jc w:val="left"/>
        <w:tblInd w:w="0" w:type="dxa"/>
        <w:tblLayout w:type="fixed"/>
        <w:tblCellMar>
          <w:top w:w="0" w:type="dxa"/>
          <w:left w:w="0" w:type="dxa"/>
          <w:bottom w:w="0" w:type="dxa"/>
          <w:right w:w="0" w:type="dxa"/>
        </w:tblCellMar>
      </w:tblPr>
      <w:tblGrid>
        <w:gridCol w:w="5330"/>
        <w:gridCol w:w="90"/>
        <w:gridCol w:w="295"/>
        <w:gridCol w:w="504"/>
        <w:gridCol w:w="156"/>
        <w:gridCol w:w="156"/>
        <w:gridCol w:w="295"/>
        <w:gridCol w:w="1444"/>
        <w:gridCol w:w="332"/>
      </w:tblGrid>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332"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7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32"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ind w:left="0" w:right="0" w:firstLine="90"/>
              <w:jc w:val="left"/>
              <w:rPr/>
            </w:pPr>
            <w:r>
              <w:rPr/>
              <w:t> </w:t>
            </w:r>
          </w:p>
        </w:tc>
      </w:tr>
      <w:tr>
        <w:trPr/>
        <w:tc>
          <w:tcPr>
            <w:tcW w:w="5330"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ind w:left="0" w:right="0" w:firstLine="126"/>
              <w:jc w:val="left"/>
              <w:rPr/>
            </w:pPr>
            <w:r>
              <w:rPr/>
              <w:t> </w:t>
            </w:r>
          </w:p>
        </w:tc>
      </w:tr>
      <w:tr>
        <w:trPr/>
        <w:tc>
          <w:tcPr>
            <w:tcW w:w="5330" w:type="dxa"/>
            <w:tcBorders/>
            <w:shd w:fill="CCEEFF" w:val="clear"/>
            <w:vAlign w:val="center"/>
          </w:tcPr>
          <w:p>
            <w:pPr>
              <w:pStyle w:val="TableContents"/>
              <w:bidi w:val="0"/>
              <w:spacing w:before="0" w:after="283"/>
              <w:jc w:val="left"/>
              <w:rPr/>
            </w:pPr>
            <w:r>
              <w:rPr/>
              <w:t>Liability for 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504" w:type="dxa"/>
            <w:tcBorders/>
            <w:shd w:fill="CCEEFF" w:val="clear"/>
            <w:vAlign w:val="center"/>
          </w:tcPr>
          <w:p>
            <w:pPr>
              <w:pStyle w:val="TableContents"/>
              <w:bidi w:val="0"/>
              <w:spacing w:before="0" w:after="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97,934</w:t>
            </w:r>
          </w:p>
        </w:tc>
        <w:tc>
          <w:tcPr>
            <w:tcW w:w="332" w:type="dxa"/>
            <w:tcBorders/>
            <w:shd w:fill="CCEEFF" w:val="clear"/>
            <w:vAlign w:val="center"/>
          </w:tcPr>
          <w:p>
            <w:pPr>
              <w:pStyle w:val="TableContents"/>
              <w:bidi w:val="0"/>
              <w:spacing w:before="0" w:after="283"/>
              <w:ind w:left="0" w:right="0" w:firstLine="126"/>
              <w:jc w:val="left"/>
              <w:rPr/>
            </w:pPr>
            <w:r>
              <w:rPr/>
              <w:t> </w:t>
            </w:r>
          </w:p>
        </w:tc>
      </w:tr>
      <w:tr>
        <w:trPr/>
        <w:tc>
          <w:tcPr>
            <w:tcW w:w="5330"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tcMar>
              <w:bottom w:w="28" w:type="dxa"/>
            </w:tcMar>
            <w:vAlign w:val="center"/>
          </w:tcPr>
          <w:p>
            <w:pPr>
              <w:pStyle w:val="TableContents"/>
              <w:bidi w:val="0"/>
              <w:spacing w:before="0" w:after="0"/>
              <w:jc w:val="right"/>
              <w:rPr/>
            </w:pPr>
            <w:r>
              <w:rPr/>
              <w:t>—</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tcMar>
              <w:bottom w:w="28" w:type="dxa"/>
            </w:tcMar>
            <w:vAlign w:val="center"/>
          </w:tcPr>
          <w:p>
            <w:pPr>
              <w:pStyle w:val="TableContents"/>
              <w:bidi w:val="0"/>
              <w:spacing w:before="0" w:after="283"/>
              <w:jc w:val="right"/>
              <w:rPr/>
            </w:pPr>
            <w:r>
              <w:rPr/>
              <w:t>42,509</w:t>
            </w:r>
          </w:p>
        </w:tc>
        <w:tc>
          <w:tcPr>
            <w:tcW w:w="332" w:type="dxa"/>
            <w:tcBorders/>
            <w:vAlign w:val="center"/>
          </w:tcPr>
          <w:p>
            <w:pPr>
              <w:pStyle w:val="TableContents"/>
              <w:bidi w:val="0"/>
              <w:spacing w:before="0" w:after="283"/>
              <w:ind w:left="0" w:right="0" w:firstLine="162"/>
              <w:jc w:val="left"/>
              <w:rPr/>
            </w:pPr>
            <w:r>
              <w:rPr/>
              <w:t> </w:t>
            </w:r>
          </w:p>
        </w:tc>
      </w:tr>
      <w:tr>
        <w:trPr/>
        <w:tc>
          <w:tcPr>
            <w:tcW w:w="5330" w:type="dxa"/>
            <w:tcBorders/>
            <w:shd w:fill="CCEEFF" w:val="clear"/>
            <w:vAlign w:val="center"/>
          </w:tcPr>
          <w:p>
            <w:pPr>
              <w:pStyle w:val="TableContents"/>
              <w:bidi w:val="0"/>
              <w:spacing w:before="0" w:after="283"/>
              <w:jc w:val="left"/>
              <w:rPr/>
            </w:pPr>
            <w:r>
              <w:rPr/>
              <w:t>Net balance, beginning of period</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55,425</w:t>
            </w:r>
          </w:p>
        </w:tc>
        <w:tc>
          <w:tcPr>
            <w:tcW w:w="332"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ind w:left="0" w:right="0" w:firstLine="90"/>
              <w:jc w:val="left"/>
              <w:rPr/>
            </w:pPr>
            <w:r>
              <w:rPr/>
              <w:t> </w:t>
            </w:r>
          </w:p>
        </w:tc>
      </w:tr>
      <w:tr>
        <w:trPr/>
        <w:tc>
          <w:tcPr>
            <w:tcW w:w="5330" w:type="dxa"/>
            <w:tcBorders/>
            <w:shd w:fill="CCEEFF" w:val="clear"/>
            <w:vAlign w:val="center"/>
          </w:tcPr>
          <w:p>
            <w:pPr>
              <w:pStyle w:val="TableContents"/>
              <w:bidi w:val="0"/>
              <w:spacing w:before="0" w:after="283"/>
              <w:jc w:val="left"/>
              <w:rPr/>
            </w:pPr>
            <w:r>
              <w:rPr/>
              <w:t>Incurred related to:</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ind w:left="0" w:right="0" w:firstLine="126"/>
              <w:jc w:val="left"/>
              <w:rPr/>
            </w:pPr>
            <w:r>
              <w:rPr/>
              <w:t> </w:t>
            </w:r>
          </w:p>
        </w:tc>
      </w:tr>
      <w:tr>
        <w:trPr/>
        <w:tc>
          <w:tcPr>
            <w:tcW w:w="5330" w:type="dxa"/>
            <w:tcBorders/>
            <w:vAlign w:val="center"/>
          </w:tcPr>
          <w:p>
            <w:pPr>
              <w:pStyle w:val="TableContents"/>
              <w:bidi w:val="0"/>
              <w:spacing w:before="0" w:after="283"/>
              <w:jc w:val="left"/>
              <w:rPr/>
            </w:pPr>
            <w:r>
              <w:rPr/>
              <w:t>Current year</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0"/>
              <w:jc w:val="right"/>
              <w:rPr/>
            </w:pPr>
            <w:r>
              <w:rPr/>
              <w:t>—</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24,115</w:t>
            </w:r>
          </w:p>
        </w:tc>
        <w:tc>
          <w:tcPr>
            <w:tcW w:w="332" w:type="dxa"/>
            <w:tcBorders/>
            <w:vAlign w:val="center"/>
          </w:tcPr>
          <w:p>
            <w:pPr>
              <w:pStyle w:val="TableContents"/>
              <w:bidi w:val="0"/>
              <w:spacing w:before="0" w:after="283"/>
              <w:ind w:left="0" w:right="0" w:firstLine="126"/>
              <w:jc w:val="left"/>
              <w:rPr/>
            </w:pPr>
            <w:r>
              <w:rPr/>
              <w:t> </w:t>
            </w:r>
          </w:p>
        </w:tc>
      </w:tr>
      <w:tr>
        <w:trPr/>
        <w:tc>
          <w:tcPr>
            <w:tcW w:w="5330" w:type="dxa"/>
            <w:tcBorders/>
            <w:shd w:fill="CCEEFF" w:val="clear"/>
            <w:vAlign w:val="center"/>
          </w:tcPr>
          <w:p>
            <w:pPr>
              <w:pStyle w:val="TableContents"/>
              <w:bidi w:val="0"/>
              <w:spacing w:before="0" w:after="283"/>
              <w:jc w:val="left"/>
              <w:rPr/>
            </w:pPr>
            <w:r>
              <w:rPr/>
              <w:t>Prior years</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(609</w:t>
            </w:r>
          </w:p>
        </w:tc>
        <w:tc>
          <w:tcPr>
            <w:tcW w:w="332" w:type="dxa"/>
            <w:tcBorders/>
            <w:shd w:fill="CCEEFF" w:val="clear"/>
            <w:vAlign w:val="center"/>
          </w:tcPr>
          <w:p>
            <w:pPr>
              <w:pStyle w:val="TableContents"/>
              <w:bidi w:val="0"/>
              <w:spacing w:before="0" w:after="283"/>
              <w:ind w:left="0" w:right="0" w:firstLine="162"/>
              <w:jc w:val="left"/>
              <w:rPr/>
            </w:pPr>
            <w:r>
              <w:rPr/>
              <w:t>)</w:t>
            </w:r>
          </w:p>
        </w:tc>
      </w:tr>
      <w:tr>
        <w:trPr/>
        <w:tc>
          <w:tcPr>
            <w:tcW w:w="5330" w:type="dxa"/>
            <w:tcBorders/>
            <w:vAlign w:val="center"/>
          </w:tcPr>
          <w:p>
            <w:pPr>
              <w:pStyle w:val="TableContents"/>
              <w:bidi w:val="0"/>
              <w:spacing w:before="0" w:after="283"/>
              <w:jc w:val="left"/>
              <w:rPr/>
            </w:pPr>
            <w:r>
              <w:rPr/>
              <w:t>Total incurred</w:t>
            </w:r>
          </w:p>
        </w:tc>
        <w:tc>
          <w:tcPr>
            <w:tcW w:w="90"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tcMar>
              <w:bottom w:w="28" w:type="dxa"/>
            </w:tcMar>
            <w:vAlign w:val="center"/>
          </w:tcPr>
          <w:p>
            <w:pPr>
              <w:pStyle w:val="TableContents"/>
              <w:bidi w:val="0"/>
              <w:spacing w:before="0" w:after="0"/>
              <w:jc w:val="right"/>
              <w:rPr/>
            </w:pPr>
            <w:r>
              <w:rPr/>
              <w:t>—</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tcMar>
              <w:bottom w:w="28" w:type="dxa"/>
            </w:tcMar>
            <w:vAlign w:val="center"/>
          </w:tcPr>
          <w:p>
            <w:pPr>
              <w:pStyle w:val="TableContents"/>
              <w:bidi w:val="0"/>
              <w:spacing w:before="0" w:after="283"/>
              <w:jc w:val="right"/>
              <w:rPr/>
            </w:pPr>
            <w:r>
              <w:rPr/>
              <w:t>23,506</w:t>
            </w:r>
          </w:p>
        </w:tc>
        <w:tc>
          <w:tcPr>
            <w:tcW w:w="332"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ind w:left="0" w:right="0" w:firstLine="90"/>
              <w:jc w:val="left"/>
              <w:rPr/>
            </w:pPr>
            <w:r>
              <w:rPr/>
              <w:t> </w:t>
            </w:r>
          </w:p>
        </w:tc>
      </w:tr>
      <w:tr>
        <w:trPr/>
        <w:tc>
          <w:tcPr>
            <w:tcW w:w="5330" w:type="dxa"/>
            <w:tcBorders/>
            <w:vAlign w:val="center"/>
          </w:tcPr>
          <w:p>
            <w:pPr>
              <w:pStyle w:val="TableContents"/>
              <w:bidi w:val="0"/>
              <w:spacing w:before="0" w:after="283"/>
              <w:jc w:val="left"/>
              <w:rPr/>
            </w:pPr>
            <w:r>
              <w:rPr/>
              <w:t>Paid related to:</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ind w:left="0" w:right="0" w:firstLine="126"/>
              <w:jc w:val="left"/>
              <w:rPr/>
            </w:pPr>
            <w:r>
              <w:rPr/>
              <w:t> </w:t>
            </w:r>
          </w:p>
        </w:tc>
      </w:tr>
      <w:tr>
        <w:trPr/>
        <w:tc>
          <w:tcPr>
            <w:tcW w:w="5330" w:type="dxa"/>
            <w:tcBorders/>
            <w:shd w:fill="CCEEFF" w:val="clear"/>
            <w:vAlign w:val="center"/>
          </w:tcPr>
          <w:p>
            <w:pPr>
              <w:pStyle w:val="TableContents"/>
              <w:bidi w:val="0"/>
              <w:spacing w:before="0" w:after="283"/>
              <w:jc w:val="left"/>
              <w:rPr/>
            </w:pPr>
            <w:r>
              <w:rPr/>
              <w:t>Current year</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5,564</w:t>
            </w:r>
          </w:p>
        </w:tc>
        <w:tc>
          <w:tcPr>
            <w:tcW w:w="332" w:type="dxa"/>
            <w:tcBorders/>
            <w:shd w:fill="CCEEFF" w:val="clear"/>
            <w:vAlign w:val="center"/>
          </w:tcPr>
          <w:p>
            <w:pPr>
              <w:pStyle w:val="TableContents"/>
              <w:bidi w:val="0"/>
              <w:spacing w:before="0" w:after="283"/>
              <w:ind w:left="0" w:right="0" w:firstLine="126"/>
              <w:jc w:val="left"/>
              <w:rPr/>
            </w:pPr>
            <w:r>
              <w:rPr/>
              <w:t> </w:t>
            </w:r>
          </w:p>
        </w:tc>
      </w:tr>
      <w:tr>
        <w:trPr/>
        <w:tc>
          <w:tcPr>
            <w:tcW w:w="5330" w:type="dxa"/>
            <w:tcBorders/>
            <w:vAlign w:val="center"/>
          </w:tcPr>
          <w:p>
            <w:pPr>
              <w:pStyle w:val="TableContents"/>
              <w:bidi w:val="0"/>
              <w:spacing w:before="0" w:after="283"/>
              <w:jc w:val="left"/>
              <w:rPr/>
            </w:pPr>
            <w:r>
              <w:rPr/>
              <w:t>Prior years</w:t>
            </w:r>
          </w:p>
        </w:tc>
        <w:tc>
          <w:tcPr>
            <w:tcW w:w="90"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tcMar>
              <w:bottom w:w="28" w:type="dxa"/>
            </w:tcMar>
            <w:vAlign w:val="center"/>
          </w:tcPr>
          <w:p>
            <w:pPr>
              <w:pStyle w:val="TableContents"/>
              <w:bidi w:val="0"/>
              <w:spacing w:before="0" w:after="0"/>
              <w:jc w:val="right"/>
              <w:rPr/>
            </w:pPr>
            <w:r>
              <w:rPr/>
              <w:t>—</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tcMar>
              <w:bottom w:w="28" w:type="dxa"/>
            </w:tcMar>
            <w:vAlign w:val="center"/>
          </w:tcPr>
          <w:p>
            <w:pPr>
              <w:pStyle w:val="TableContents"/>
              <w:bidi w:val="0"/>
              <w:spacing w:before="0" w:after="283"/>
              <w:jc w:val="right"/>
              <w:rPr/>
            </w:pPr>
            <w:r>
              <w:rPr/>
              <w:t>11,179</w:t>
            </w:r>
          </w:p>
        </w:tc>
        <w:tc>
          <w:tcPr>
            <w:tcW w:w="332" w:type="dxa"/>
            <w:tcBorders/>
            <w:vAlign w:val="center"/>
          </w:tcPr>
          <w:p>
            <w:pPr>
              <w:pStyle w:val="TableContents"/>
              <w:bidi w:val="0"/>
              <w:spacing w:before="0" w:after="283"/>
              <w:ind w:left="0" w:right="0" w:firstLine="162"/>
              <w:jc w:val="left"/>
              <w:rPr/>
            </w:pPr>
            <w:r>
              <w:rPr/>
              <w:t> </w:t>
            </w:r>
          </w:p>
        </w:tc>
      </w:tr>
      <w:tr>
        <w:trPr/>
        <w:tc>
          <w:tcPr>
            <w:tcW w:w="5330" w:type="dxa"/>
            <w:tcBorders/>
            <w:shd w:fill="CCEEFF" w:val="clear"/>
            <w:vAlign w:val="center"/>
          </w:tcPr>
          <w:p>
            <w:pPr>
              <w:pStyle w:val="TableContents"/>
              <w:bidi w:val="0"/>
              <w:spacing w:before="0" w:after="283"/>
              <w:jc w:val="left"/>
              <w:rPr/>
            </w:pPr>
            <w:r>
              <w:rPr/>
              <w:t>Total paid</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16,743</w:t>
            </w:r>
          </w:p>
        </w:tc>
        <w:tc>
          <w:tcPr>
            <w:tcW w:w="332"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ind w:left="0" w:right="0" w:firstLine="90"/>
              <w:jc w:val="left"/>
              <w:rPr/>
            </w:pPr>
            <w:r>
              <w:rPr/>
              <w:t> </w:t>
            </w:r>
          </w:p>
        </w:tc>
      </w:tr>
      <w:tr>
        <w:trPr/>
        <w:tc>
          <w:tcPr>
            <w:tcW w:w="5330"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ind w:left="0" w:right="0" w:firstLine="126"/>
              <w:jc w:val="left"/>
              <w:rPr/>
            </w:pPr>
            <w:r>
              <w:rPr/>
              <w:t> </w:t>
            </w:r>
          </w:p>
        </w:tc>
      </w:tr>
      <w:tr>
        <w:trPr/>
        <w:tc>
          <w:tcPr>
            <w:tcW w:w="5330" w:type="dxa"/>
            <w:tcBorders/>
            <w:vAlign w:val="center"/>
          </w:tcPr>
          <w:p>
            <w:pPr>
              <w:pStyle w:val="TableContents"/>
              <w:bidi w:val="0"/>
              <w:spacing w:before="0" w:after="283"/>
              <w:jc w:val="left"/>
              <w:rPr/>
            </w:pPr>
            <w:r>
              <w:rPr/>
              <w:t>Liability for unpaid losses and loss adjustment expenses</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0"/>
              <w:jc w:val="right"/>
              <w:rPr/>
            </w:pPr>
            <w:r>
              <w:rPr/>
              <w:t>—</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107,508</w:t>
            </w:r>
          </w:p>
        </w:tc>
        <w:tc>
          <w:tcPr>
            <w:tcW w:w="332" w:type="dxa"/>
            <w:tcBorders/>
            <w:vAlign w:val="center"/>
          </w:tcPr>
          <w:p>
            <w:pPr>
              <w:pStyle w:val="TableContents"/>
              <w:bidi w:val="0"/>
              <w:spacing w:before="0" w:after="283"/>
              <w:ind w:left="0" w:right="0" w:firstLine="126"/>
              <w:jc w:val="left"/>
              <w:rPr/>
            </w:pPr>
            <w:r>
              <w:rPr/>
              <w:t> </w:t>
            </w:r>
          </w:p>
        </w:tc>
      </w:tr>
      <w:tr>
        <w:trPr/>
        <w:tc>
          <w:tcPr>
            <w:tcW w:w="5330" w:type="dxa"/>
            <w:tcBorders/>
            <w:shd w:fill="CCEEFF" w:val="clear"/>
            <w:vAlign w:val="center"/>
          </w:tcPr>
          <w:p>
            <w:pPr>
              <w:pStyle w:val="TableContents"/>
              <w:bidi w:val="0"/>
              <w:spacing w:before="0" w:after="283"/>
              <w:jc w:val="left"/>
              <w:rPr/>
            </w:pPr>
            <w:r>
              <w:rPr/>
              <w:t>Reinsurance recoverables on losses</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45,320</w:t>
            </w:r>
          </w:p>
        </w:tc>
        <w:tc>
          <w:tcPr>
            <w:tcW w:w="332" w:type="dxa"/>
            <w:tcBorders/>
            <w:shd w:fill="CCEEFF" w:val="clear"/>
            <w:vAlign w:val="center"/>
          </w:tcPr>
          <w:p>
            <w:pPr>
              <w:pStyle w:val="TableContents"/>
              <w:bidi w:val="0"/>
              <w:spacing w:before="0" w:after="283"/>
              <w:ind w:left="0" w:right="0" w:firstLine="162"/>
              <w:jc w:val="left"/>
              <w:rPr/>
            </w:pPr>
            <w:r>
              <w:rPr/>
              <w:t> </w:t>
            </w:r>
          </w:p>
        </w:tc>
      </w:tr>
      <w:tr>
        <w:trPr/>
        <w:tc>
          <w:tcPr>
            <w:tcW w:w="5330" w:type="dxa"/>
            <w:tcBorders/>
            <w:vAlign w:val="center"/>
          </w:tcPr>
          <w:p>
            <w:pPr>
              <w:pStyle w:val="TableContents"/>
              <w:bidi w:val="0"/>
              <w:spacing w:before="0" w:after="283"/>
              <w:jc w:val="left"/>
              <w:rPr/>
            </w:pPr>
            <w:r>
              <w:rPr/>
              <w:t>Net balance, end of period</w:t>
            </w:r>
          </w:p>
        </w:tc>
        <w:tc>
          <w:tcPr>
            <w:tcW w:w="90" w:type="dxa"/>
            <w:tcBorders/>
            <w:vAlign w:val="center"/>
          </w:tcPr>
          <w:p>
            <w:pPr>
              <w:pStyle w:val="TableContents"/>
              <w:bidi w:val="0"/>
              <w:spacing w:before="0" w:after="283"/>
              <w:jc w:val="left"/>
              <w:rPr/>
            </w:pPr>
            <w:r>
              <w:rPr/>
              <w:t> </w:t>
            </w:r>
          </w:p>
        </w:tc>
        <w:tc>
          <w:tcPr>
            <w:tcW w:w="295" w:type="dxa"/>
            <w:tcBorders>
              <w:bottom w:val="double" w:sz="6" w:space="0" w:color="000000"/>
            </w:tcBorders>
            <w:tcMar>
              <w:bottom w:w="28" w:type="dxa"/>
            </w:tcMar>
            <w:vAlign w:val="center"/>
          </w:tcPr>
          <w:p>
            <w:pPr>
              <w:pStyle w:val="TableContents"/>
              <w:bidi w:val="0"/>
              <w:spacing w:before="0" w:after="283"/>
              <w:jc w:val="left"/>
              <w:rPr/>
            </w:pPr>
            <w:r>
              <w:rPr/>
              <w:t>$</w:t>
            </w:r>
          </w:p>
        </w:tc>
        <w:tc>
          <w:tcPr>
            <w:tcW w:w="504" w:type="dxa"/>
            <w:tcBorders>
              <w:bottom w:val="double" w:sz="6" w:space="0" w:color="000000"/>
            </w:tcBorders>
            <w:tcMar>
              <w:bottom w:w="28" w:type="dxa"/>
            </w:tcMar>
            <w:vAlign w:val="center"/>
          </w:tcPr>
          <w:p>
            <w:pPr>
              <w:pStyle w:val="TableContents"/>
              <w:bidi w:val="0"/>
              <w:spacing w:before="0" w:after="0"/>
              <w:jc w:val="right"/>
              <w:rPr/>
            </w:pPr>
            <w:r>
              <w:rPr/>
              <w:t>—</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95" w:type="dxa"/>
            <w:tcBorders>
              <w:bottom w:val="double" w:sz="6" w:space="0" w:color="000000"/>
            </w:tcBorders>
            <w:tcMar>
              <w:bottom w:w="28" w:type="dxa"/>
            </w:tcMar>
            <w:vAlign w:val="center"/>
          </w:tcPr>
          <w:p>
            <w:pPr>
              <w:pStyle w:val="TableContents"/>
              <w:bidi w:val="0"/>
              <w:spacing w:before="0" w:after="283"/>
              <w:jc w:val="left"/>
              <w:rPr/>
            </w:pPr>
            <w:r>
              <w:rPr/>
              <w:t>$</w:t>
            </w:r>
          </w:p>
        </w:tc>
        <w:tc>
          <w:tcPr>
            <w:tcW w:w="1444" w:type="dxa"/>
            <w:tcBorders>
              <w:bottom w:val="double" w:sz="6" w:space="0" w:color="000000"/>
            </w:tcBorders>
            <w:tcMar>
              <w:bottom w:w="28" w:type="dxa"/>
            </w:tcMar>
            <w:vAlign w:val="center"/>
          </w:tcPr>
          <w:p>
            <w:pPr>
              <w:pStyle w:val="TableContents"/>
              <w:bidi w:val="0"/>
              <w:spacing w:before="0" w:after="283"/>
              <w:jc w:val="right"/>
              <w:rPr/>
            </w:pPr>
            <w:r>
              <w:rPr/>
              <w:t>62,188</w:t>
            </w:r>
          </w:p>
        </w:tc>
        <w:tc>
          <w:tcPr>
            <w:tcW w:w="332" w:type="dxa"/>
            <w:tcBorders/>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30"/>
        <w:gridCol w:w="2645"/>
      </w:tblGrid>
      <w:tr>
        <w:trPr/>
        <w:tc>
          <w:tcPr>
            <w:tcW w:w="230" w:type="dxa"/>
            <w:tcBorders/>
            <w:vAlign w:val="center"/>
          </w:tcPr>
          <w:p>
            <w:pPr>
              <w:pStyle w:val="TableContents"/>
              <w:bidi w:val="0"/>
              <w:spacing w:before="0" w:after="283"/>
              <w:jc w:val="left"/>
              <w:rPr>
                <w:b/>
              </w:rPr>
            </w:pPr>
            <w:r>
              <w:rPr>
                <w:b/>
              </w:rPr>
              <w:t>8.</w:t>
            </w:r>
          </w:p>
        </w:tc>
        <w:tc>
          <w:tcPr>
            <w:tcW w:w="2645" w:type="dxa"/>
            <w:tcBorders/>
            <w:vAlign w:val="center"/>
          </w:tcPr>
          <w:p>
            <w:pPr>
              <w:pStyle w:val="TableContents"/>
              <w:bidi w:val="0"/>
              <w:spacing w:before="0" w:after="283"/>
              <w:jc w:val="left"/>
              <w:rPr>
                <w:b/>
              </w:rPr>
            </w:pPr>
            <w:r>
              <w:rPr>
                <w:b/>
              </w:rPr>
              <w:t>Property and Equipment</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15" w:right="15" w:hanging="0"/>
        <w:jc w:val="left"/>
        <w:rPr>
          <w:caps w:val="false"/>
          <w:smallCaps w:val="false"/>
        </w:rPr>
      </w:pPr>
      <w:r>
        <w:rPr>
          <w:caps w:val="false"/>
          <w:smallCaps w:val="false"/>
        </w:rPr>
        <w:t> </w:t>
      </w:r>
    </w:p>
    <w:tbl>
      <w:tblPr>
        <w:tblW w:w="9823" w:type="dxa"/>
        <w:jc w:val="left"/>
        <w:tblInd w:w="0" w:type="dxa"/>
        <w:tblLayout w:type="fixed"/>
        <w:tblCellMar>
          <w:top w:w="0" w:type="dxa"/>
          <w:left w:w="0" w:type="dxa"/>
          <w:bottom w:w="0" w:type="dxa"/>
          <w:right w:w="0" w:type="dxa"/>
        </w:tblCellMar>
      </w:tblPr>
      <w:tblGrid>
        <w:gridCol w:w="3590"/>
        <w:gridCol w:w="90"/>
        <w:gridCol w:w="257"/>
        <w:gridCol w:w="1187"/>
        <w:gridCol w:w="125"/>
        <w:gridCol w:w="90"/>
        <w:gridCol w:w="353"/>
        <w:gridCol w:w="1631"/>
        <w:gridCol w:w="125"/>
        <w:gridCol w:w="90"/>
        <w:gridCol w:w="2285"/>
      </w:tblGrid>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83"/>
              <w:jc w:val="center"/>
              <w:rPr>
                <w:b/>
              </w:rPr>
            </w:pPr>
            <w:r>
              <w:rPr>
                <w:b/>
              </w:rPr>
              <w:t>Estimated Useful Life</w:t>
            </w:r>
          </w:p>
        </w:tc>
      </w:tr>
      <w:tr>
        <w:trPr/>
        <w:tc>
          <w:tcPr>
            <w:tcW w:w="3590" w:type="dxa"/>
            <w:tcBorders/>
            <w:shd w:fill="CCEEFF" w:val="clear"/>
            <w:vAlign w:val="center"/>
          </w:tcPr>
          <w:p>
            <w:pPr>
              <w:pStyle w:val="TableContents"/>
              <w:bidi w:val="0"/>
              <w:spacing w:before="0" w:after="283"/>
              <w:jc w:val="left"/>
              <w:rPr/>
            </w:pPr>
            <w:r>
              <w:rPr/>
              <w:t>Cost: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right"/>
              <w:rPr/>
            </w:pPr>
            <w:r>
              <w:rPr/>
              <w:t> </w:t>
            </w:r>
          </w:p>
        </w:tc>
      </w:tr>
      <w:tr>
        <w:trPr/>
        <w:tc>
          <w:tcPr>
            <w:tcW w:w="3590" w:type="dxa"/>
            <w:tcBorders/>
            <w:vAlign w:val="center"/>
          </w:tcPr>
          <w:p>
            <w:pPr>
              <w:pStyle w:val="TableContents"/>
              <w:bidi w:val="0"/>
              <w:spacing w:before="0" w:after="283"/>
              <w:jc w:val="left"/>
              <w:rPr/>
            </w:pPr>
            <w:r>
              <w:rPr/>
              <w:t>Land</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right"/>
              <w:rPr/>
            </w:pPr>
            <w:r>
              <w:rPr/>
              <w:t>1,249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283"/>
              <w:jc w:val="right"/>
              <w:rPr/>
            </w:pPr>
            <w:r>
              <w:rPr/>
              <w:t>1,249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indefinite</w:t>
            </w:r>
          </w:p>
        </w:tc>
      </w:tr>
      <w:tr>
        <w:trPr/>
        <w:tc>
          <w:tcPr>
            <w:tcW w:w="3590" w:type="dxa"/>
            <w:tcBorders/>
            <w:shd w:fill="CCEEFF" w:val="clear"/>
            <w:vAlign w:val="center"/>
          </w:tcPr>
          <w:p>
            <w:pPr>
              <w:pStyle w:val="TableContents"/>
              <w:bidi w:val="0"/>
              <w:spacing w:before="0" w:after="283"/>
              <w:jc w:val="left"/>
              <w:rPr/>
            </w:pPr>
            <w:r>
              <w:rPr/>
              <w:t>Building and improvements</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12,507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12,497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center"/>
              <w:rPr/>
            </w:pPr>
            <w:r>
              <w:rPr/>
              <w:t>10 – 43 years</w:t>
            </w:r>
          </w:p>
        </w:tc>
      </w:tr>
      <w:tr>
        <w:trPr/>
        <w:tc>
          <w:tcPr>
            <w:tcW w:w="3590" w:type="dxa"/>
            <w:tcBorders/>
            <w:vAlign w:val="center"/>
          </w:tcPr>
          <w:p>
            <w:pPr>
              <w:pStyle w:val="TableContents"/>
              <w:bidi w:val="0"/>
              <w:spacing w:before="0" w:after="283"/>
              <w:jc w:val="left"/>
              <w:rPr/>
            </w:pPr>
            <w:r>
              <w:rPr/>
              <w:t>Electronic data processing equipment</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1,491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1,444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5 – 7 years</w:t>
            </w:r>
          </w:p>
        </w:tc>
      </w:tr>
      <w:tr>
        <w:trPr/>
        <w:tc>
          <w:tcPr>
            <w:tcW w:w="3590" w:type="dxa"/>
            <w:tcBorders/>
            <w:shd w:fill="CCEEFF" w:val="clear"/>
            <w:vAlign w:val="center"/>
          </w:tcPr>
          <w:p>
            <w:pPr>
              <w:pStyle w:val="TableContents"/>
              <w:bidi w:val="0"/>
              <w:spacing w:before="0" w:after="283"/>
              <w:jc w:val="left"/>
              <w:rPr/>
            </w:pPr>
            <w:r>
              <w:rPr/>
              <w:t>Furniture and fixtures</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2,762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center"/>
              <w:rPr/>
            </w:pPr>
            <w:r>
              <w:rPr/>
              <w:t>5 – 7 years</w:t>
            </w:r>
          </w:p>
        </w:tc>
      </w:tr>
      <w:tr>
        <w:trPr/>
        <w:tc>
          <w:tcPr>
            <w:tcW w:w="3590" w:type="dxa"/>
            <w:tcBorders/>
            <w:vAlign w:val="center"/>
          </w:tcPr>
          <w:p>
            <w:pPr>
              <w:pStyle w:val="TableContents"/>
              <w:bidi w:val="0"/>
              <w:spacing w:before="0" w:after="283"/>
              <w:jc w:val="left"/>
              <w:rPr/>
            </w:pPr>
            <w:r>
              <w:rPr/>
              <w:t>Automobiles</w:t>
            </w:r>
          </w:p>
        </w:tc>
        <w:tc>
          <w:tcPr>
            <w:tcW w:w="90" w:type="dxa"/>
            <w:tcBorders/>
            <w:vAlign w:val="center"/>
          </w:tcPr>
          <w:p>
            <w:pPr>
              <w:pStyle w:val="TableContents"/>
              <w:bidi w:val="0"/>
              <w:spacing w:before="0" w:after="283"/>
              <w:jc w:val="left"/>
              <w:rPr/>
            </w:pPr>
            <w:r>
              <w:rPr/>
              <w:t> </w:t>
            </w:r>
          </w:p>
        </w:tc>
        <w:tc>
          <w:tcPr>
            <w:tcW w:w="257"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pPr>
            <w:r>
              <w:rPr/>
              <w:t>1,314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bottom w:val="single" w:sz="8" w:space="0" w:color="000000"/>
            </w:tcBorders>
            <w:tcMar>
              <w:bottom w:w="28" w:type="dxa"/>
            </w:tcMar>
            <w:vAlign w:val="center"/>
          </w:tcPr>
          <w:p>
            <w:pPr>
              <w:pStyle w:val="TableContents"/>
              <w:bidi w:val="0"/>
              <w:spacing w:before="0" w:after="283"/>
              <w:jc w:val="left"/>
              <w:rPr/>
            </w:pPr>
            <w:r>
              <w:rPr/>
              <w:t> </w:t>
            </w:r>
          </w:p>
        </w:tc>
        <w:tc>
          <w:tcPr>
            <w:tcW w:w="1631" w:type="dxa"/>
            <w:tcBorders>
              <w:bottom w:val="single" w:sz="8" w:space="0" w:color="000000"/>
            </w:tcBorders>
            <w:tcMar>
              <w:bottom w:w="28" w:type="dxa"/>
            </w:tcMar>
            <w:vAlign w:val="center"/>
          </w:tcPr>
          <w:p>
            <w:pPr>
              <w:pStyle w:val="TableContents"/>
              <w:bidi w:val="0"/>
              <w:spacing w:before="0" w:after="283"/>
              <w:jc w:val="right"/>
              <w:rPr/>
            </w:pPr>
            <w:r>
              <w:rPr/>
              <w:t>1,280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2 – 3 years</w:t>
            </w:r>
          </w:p>
        </w:tc>
      </w:tr>
      <w:tr>
        <w:trPr/>
        <w:tc>
          <w:tcPr>
            <w:tcW w:w="3590" w:type="dxa"/>
            <w:tcBorders/>
            <w:shd w:fill="CCEEFF" w:val="clear"/>
            <w:vAlign w:val="center"/>
          </w:tcPr>
          <w:p>
            <w:pPr>
              <w:pStyle w:val="TableContents"/>
              <w:bidi w:val="0"/>
              <w:spacing w:before="0" w:after="283"/>
              <w:jc w:val="left"/>
              <w:rPr/>
            </w:pPr>
            <w:r>
              <w:rPr/>
              <w:t>Gross cost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19,245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19,232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right"/>
              <w:rPr/>
            </w:pPr>
            <w:r>
              <w:rPr/>
              <w:t> </w:t>
            </w:r>
          </w:p>
        </w:tc>
      </w:tr>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right"/>
              <w:rPr/>
            </w:pPr>
            <w:r>
              <w:rPr/>
              <w:t> </w:t>
            </w:r>
          </w:p>
        </w:tc>
      </w:tr>
      <w:tr>
        <w:trPr/>
        <w:tc>
          <w:tcPr>
            <w:tcW w:w="3590" w:type="dxa"/>
            <w:tcBorders/>
            <w:shd w:fill="CCEEFF" w:val="clear"/>
            <w:vAlign w:val="center"/>
          </w:tcPr>
          <w:p>
            <w:pPr>
              <w:pStyle w:val="TableContents"/>
              <w:bidi w:val="0"/>
              <w:spacing w:before="0" w:after="283"/>
              <w:jc w:val="left"/>
              <w:rPr/>
            </w:pPr>
            <w:r>
              <w:rPr/>
              <w:t>Accumulated depreciation</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(11,870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1" w:type="dxa"/>
            <w:tcBorders>
              <w:bottom w:val="single" w:sz="8" w:space="0" w:color="000000"/>
            </w:tcBorders>
            <w:shd w:fill="CCEEFF" w:val="clear"/>
            <w:tcMar>
              <w:bottom w:w="28" w:type="dxa"/>
            </w:tcMar>
            <w:vAlign w:val="center"/>
          </w:tcPr>
          <w:p>
            <w:pPr>
              <w:pStyle w:val="TableContents"/>
              <w:bidi w:val="0"/>
              <w:spacing w:before="0" w:after="283"/>
              <w:jc w:val="right"/>
              <w:rPr/>
            </w:pPr>
            <w:r>
              <w:rPr/>
              <w:t>(11,685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right"/>
              <w:rPr/>
            </w:pPr>
            <w:r>
              <w:rPr/>
              <w:t> </w:t>
            </w:r>
          </w:p>
        </w:tc>
      </w:tr>
      <w:tr>
        <w:trPr/>
        <w:tc>
          <w:tcPr>
            <w:tcW w:w="3590" w:type="dxa"/>
            <w:tcBorders/>
            <w:vAlign w:val="center"/>
          </w:tcPr>
          <w:p>
            <w:pPr>
              <w:pStyle w:val="TableContents"/>
              <w:bidi w:val="0"/>
              <w:spacing w:before="0" w:after="283"/>
              <w:jc w:val="left"/>
              <w:rPr/>
            </w:pPr>
            <w:r>
              <w:rPr/>
              <w:t>Total property and equipment, net</w:t>
            </w:r>
          </w:p>
        </w:tc>
        <w:tc>
          <w:tcPr>
            <w:tcW w:w="90" w:type="dxa"/>
            <w:tcBorders/>
            <w:vAlign w:val="center"/>
          </w:tcPr>
          <w:p>
            <w:pPr>
              <w:pStyle w:val="TableContents"/>
              <w:bidi w:val="0"/>
              <w:spacing w:before="0" w:after="283"/>
              <w:jc w:val="left"/>
              <w:rPr/>
            </w:pPr>
            <w:r>
              <w:rPr/>
              <w:t> </w:t>
            </w:r>
          </w:p>
        </w:tc>
        <w:tc>
          <w:tcPr>
            <w:tcW w:w="257" w:type="dxa"/>
            <w:tcBorders>
              <w:bottom w:val="double" w:sz="6" w:space="0" w:color="000000"/>
            </w:tcBorders>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tcMar>
              <w:bottom w:w="28" w:type="dxa"/>
            </w:tcMar>
            <w:vAlign w:val="center"/>
          </w:tcPr>
          <w:p>
            <w:pPr>
              <w:pStyle w:val="TableContents"/>
              <w:bidi w:val="0"/>
              <w:spacing w:before="0" w:after="283"/>
              <w:jc w:val="right"/>
              <w:rPr/>
            </w:pPr>
            <w:r>
              <w:rPr/>
              <w:t>7,375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bottom w:val="double" w:sz="6" w:space="0" w:color="000000"/>
            </w:tcBorders>
            <w:tcMar>
              <w:bottom w:w="28" w:type="dxa"/>
            </w:tcMar>
            <w:vAlign w:val="center"/>
          </w:tcPr>
          <w:p>
            <w:pPr>
              <w:pStyle w:val="TableContents"/>
              <w:bidi w:val="0"/>
              <w:spacing w:before="0" w:after="283"/>
              <w:jc w:val="left"/>
              <w:rPr/>
            </w:pPr>
            <w:r>
              <w:rPr/>
              <w:t>$</w:t>
            </w:r>
          </w:p>
        </w:tc>
        <w:tc>
          <w:tcPr>
            <w:tcW w:w="1631" w:type="dxa"/>
            <w:tcBorders>
              <w:bottom w:val="double" w:sz="6" w:space="0" w:color="000000"/>
            </w:tcBorders>
            <w:tcMar>
              <w:bottom w:w="28" w:type="dxa"/>
            </w:tcMar>
            <w:vAlign w:val="center"/>
          </w:tcPr>
          <w:p>
            <w:pPr>
              <w:pStyle w:val="TableContents"/>
              <w:bidi w:val="0"/>
              <w:spacing w:before="0" w:after="283"/>
              <w:jc w:val="right"/>
              <w:rPr/>
            </w:pPr>
            <w:r>
              <w:rPr/>
              <w:t>7,547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righ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$171 and $187 for the three months ended June 30, 2025 and 2024, respectively, and $344 and $430 for the six months ended June 30, 2025 and 2024, respectively. Depreciation expense for continuing operations was $171 and $187 for the three months ended June 30, 2025 and 2024, respectively, and $344 and $341 for the six months ended June 30, 2025 and 2024, respectively.</w:t>
      </w:r>
    </w:p>
    <w:p>
      <w:pPr>
        <w:pStyle w:val="TextBody"/>
        <w:bidi w:val="0"/>
        <w:spacing w:before="0" w:after="0"/>
        <w:ind w:left="15" w:right="15"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290"/>
        <w:gridCol w:w="3290"/>
      </w:tblGrid>
      <w:tr>
        <w:trPr/>
        <w:tc>
          <w:tcPr>
            <w:tcW w:w="290" w:type="dxa"/>
            <w:tcBorders/>
            <w:vAlign w:val="center"/>
          </w:tcPr>
          <w:p>
            <w:pPr>
              <w:pStyle w:val="TableContents"/>
              <w:bidi w:val="0"/>
              <w:spacing w:before="0" w:after="283"/>
              <w:jc w:val="left"/>
              <w:rPr>
                <w:b/>
              </w:rPr>
            </w:pPr>
            <w:r>
              <w:rPr>
                <w:b/>
              </w:rPr>
              <w:t>9. </w:t>
            </w:r>
          </w:p>
        </w:tc>
        <w:tc>
          <w:tcPr>
            <w:tcW w:w="3290" w:type="dxa"/>
            <w:tcBorders/>
            <w:vAlign w:val="center"/>
          </w:tcPr>
          <w:p>
            <w:pPr>
              <w:pStyle w:val="TableContents"/>
              <w:bidi w:val="0"/>
              <w:spacing w:before="0" w:after="283"/>
              <w:jc w:val="left"/>
              <w:rPr>
                <w:b/>
              </w:rPr>
            </w:pPr>
            <w:r>
              <w:rPr>
                <w:b/>
              </w:rPr>
              <w:t>Goodwill and Other Intangibles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amount of the Company’s goodwill and related impairment by segment:</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7"/>
        <w:gridCol w:w="90"/>
        <w:gridCol w:w="561"/>
        <w:gridCol w:w="959"/>
        <w:gridCol w:w="108"/>
        <w:gridCol w:w="108"/>
        <w:gridCol w:w="478"/>
        <w:gridCol w:w="817"/>
        <w:gridCol w:w="108"/>
        <w:gridCol w:w="108"/>
        <w:gridCol w:w="306"/>
        <w:gridCol w:w="348"/>
        <w:gridCol w:w="90"/>
        <w:gridCol w:w="90"/>
        <w:gridCol w:w="309"/>
        <w:gridCol w:w="1211"/>
        <w:gridCol w:w="132"/>
        <w:gridCol w:w="95"/>
        <w:gridCol w:w="478"/>
        <w:gridCol w:w="817"/>
        <w:gridCol w:w="95"/>
        <w:gridCol w:w="95"/>
        <w:gridCol w:w="180"/>
        <w:gridCol w:w="707"/>
        <w:gridCol w:w="178"/>
      </w:tblGrid>
      <w:tr>
        <w:trPr/>
        <w:tc>
          <w:tcPr>
            <w:tcW w:w="17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01"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1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2024</w:t>
            </w:r>
          </w:p>
        </w:tc>
        <w:tc>
          <w:tcPr>
            <w:tcW w:w="178" w:type="dxa"/>
            <w:tcBorders/>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Commercial</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Commercial</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8"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283"/>
              <w:jc w:val="left"/>
              <w:rPr/>
            </w:pPr>
            <w:r>
              <w:rPr/>
              <w:t>Goodwill, beginning of period</w:t>
            </w:r>
          </w:p>
        </w:tc>
        <w:tc>
          <w:tcPr>
            <w:tcW w:w="9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2,628</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07" w:type="dxa"/>
            <w:tcBorders/>
            <w:shd w:fill="CCEEFF" w:val="clear"/>
            <w:vAlign w:val="center"/>
          </w:tcPr>
          <w:p>
            <w:pPr>
              <w:pStyle w:val="TableContents"/>
              <w:bidi w:val="0"/>
              <w:spacing w:before="0" w:after="283"/>
              <w:jc w:val="right"/>
              <w:rPr/>
            </w:pPr>
            <w:r>
              <w:rPr/>
              <w:t>2,628</w:t>
            </w:r>
          </w:p>
        </w:tc>
        <w:tc>
          <w:tcPr>
            <w:tcW w:w="178"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Impairment recognized during the period</w:t>
            </w:r>
          </w:p>
        </w:tc>
        <w:tc>
          <w:tcPr>
            <w:tcW w:w="90" w:type="dxa"/>
            <w:tcBorders/>
            <w:vAlign w:val="center"/>
          </w:tcPr>
          <w:p>
            <w:pPr>
              <w:pStyle w:val="TableContents"/>
              <w:bidi w:val="0"/>
              <w:spacing w:before="0" w:after="283"/>
              <w:jc w:val="left"/>
              <w:rPr/>
            </w:pPr>
            <w:r>
              <w:rPr/>
              <w:t> </w:t>
            </w:r>
          </w:p>
        </w:tc>
        <w:tc>
          <w:tcPr>
            <w:tcW w:w="561" w:type="dxa"/>
            <w:tcBorders>
              <w:bottom w:val="single" w:sz="8" w:space="0" w:color="000000"/>
            </w:tcBorders>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tcMar>
              <w:bottom w:w="28" w:type="dxa"/>
            </w:tcMar>
            <w:vAlign w:val="center"/>
          </w:tcPr>
          <w:p>
            <w:pPr>
              <w:pStyle w:val="TableContents"/>
              <w:bidi w:val="0"/>
              <w:spacing w:before="0" w:after="0"/>
              <w:jc w:val="right"/>
              <w:rPr/>
            </w:pPr>
            <w:r>
              <w:rPr/>
              <w:t>—</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78" w:type="dxa"/>
            <w:tcBorders>
              <w:bottom w:val="single" w:sz="8" w:space="0" w:color="000000"/>
            </w:tcBorders>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tcMar>
              <w:bottom w:w="28" w:type="dxa"/>
            </w:tcMar>
            <w:vAlign w:val="center"/>
          </w:tcPr>
          <w:p>
            <w:pPr>
              <w:pStyle w:val="TableContents"/>
              <w:bidi w:val="0"/>
              <w:spacing w:before="0" w:after="0"/>
              <w:jc w:val="right"/>
              <w:rPr/>
            </w:pPr>
            <w:r>
              <w:rPr/>
              <w:t>—</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06" w:type="dxa"/>
            <w:tcBorders>
              <w:bottom w:val="single" w:sz="8" w:space="0" w:color="000000"/>
            </w:tcBorders>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9" w:type="dxa"/>
            <w:tcBorders>
              <w:bottom w:val="single" w:sz="8" w:space="0" w:color="000000"/>
            </w:tcBorders>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tcMar>
              <w:bottom w:w="28" w:type="dxa"/>
            </w:tcMar>
            <w:vAlign w:val="center"/>
          </w:tcPr>
          <w:p>
            <w:pPr>
              <w:pStyle w:val="TableContents"/>
              <w:bidi w:val="0"/>
              <w:spacing w:before="0" w:after="283"/>
              <w:jc w:val="right"/>
              <w:rPr/>
            </w:pPr>
            <w:r>
              <w:rPr/>
              <w:t>(2,628</w:t>
            </w:r>
          </w:p>
        </w:tc>
        <w:tc>
          <w:tcPr>
            <w:tcW w:w="132"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478" w:type="dxa"/>
            <w:tcBorders>
              <w:bottom w:val="single" w:sz="8" w:space="0" w:color="000000"/>
            </w:tcBorders>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tcMar>
              <w:bottom w:w="28" w:type="dxa"/>
            </w:tcMar>
            <w:vAlign w:val="center"/>
          </w:tcPr>
          <w:p>
            <w:pPr>
              <w:pStyle w:val="TableContents"/>
              <w:bidi w:val="0"/>
              <w:spacing w:before="0" w:after="283"/>
              <w:jc w:val="right"/>
              <w:rPr/>
            </w:pPr>
            <w:r>
              <w:rPr/>
              <w:t>(2,628</w:t>
            </w:r>
          </w:p>
        </w:tc>
        <w:tc>
          <w:tcPr>
            <w:tcW w:w="178" w:type="dxa"/>
            <w:tcBorders/>
            <w:vAlign w:val="center"/>
          </w:tcPr>
          <w:p>
            <w:pPr>
              <w:pStyle w:val="TableContents"/>
              <w:bidi w:val="0"/>
              <w:spacing w:before="0" w:after="283"/>
              <w:jc w:val="left"/>
              <w:rPr/>
            </w:pPr>
            <w:r>
              <w:rPr/>
              <w:t>)</w:t>
            </w:r>
          </w:p>
        </w:tc>
      </w:tr>
      <w:tr>
        <w:trPr/>
        <w:tc>
          <w:tcPr>
            <w:tcW w:w="1737" w:type="dxa"/>
            <w:tcBorders/>
            <w:shd w:fill="CCEEFF" w:val="clear"/>
            <w:vAlign w:val="center"/>
          </w:tcPr>
          <w:p>
            <w:pPr>
              <w:pStyle w:val="TableContents"/>
              <w:bidi w:val="0"/>
              <w:spacing w:before="0" w:after="283"/>
              <w:jc w:val="left"/>
              <w:rPr/>
            </w:pPr>
            <w:r>
              <w:rPr/>
              <w:t>Goodwill, end of period</w:t>
            </w:r>
          </w:p>
        </w:tc>
        <w:tc>
          <w:tcPr>
            <w:tcW w:w="90" w:type="dxa"/>
            <w:tcBorders/>
            <w:shd w:fill="CCEEFF" w:val="clear"/>
            <w:vAlign w:val="center"/>
          </w:tcPr>
          <w:p>
            <w:pPr>
              <w:pStyle w:val="TableContents"/>
              <w:bidi w:val="0"/>
              <w:spacing w:before="0" w:after="283"/>
              <w:jc w:val="left"/>
              <w:rPr/>
            </w:pPr>
            <w:r>
              <w:rPr/>
              <w:t> </w:t>
            </w:r>
          </w:p>
        </w:tc>
        <w:tc>
          <w:tcPr>
            <w:tcW w:w="5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4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7"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 w:right="14" w:hanging="14"/>
        <w:jc w:val="left"/>
        <w:rPr>
          <w:caps w:val="false"/>
          <w:smallCaps w:val="false"/>
        </w:rPr>
      </w:pPr>
      <w:r>
        <w:rPr>
          <w:caps w:val="false"/>
          <w:smallCaps w:val="false"/>
        </w:rPr>
        <w:t> </w:t>
      </w:r>
    </w:p>
    <w:p>
      <w:pPr>
        <w:pStyle w:val="TextBody"/>
        <w:bidi w:val="0"/>
        <w:spacing w:before="0" w:after="0"/>
        <w:ind w:left="14" w:right="14" w:hanging="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a quantitative assessment of the goodwill related to the Primero acquisition during the fourth quarter of 2024, which is allocated to our Non-Standard Auto segment, and concluded that the goodwill was fully impaired as of December 31, 2024, resulting in a non-cash impairment charge of $2,628. See the Part II, Item 8, Note 10 “Goodwill and Other Intangibles” section of the 2024 Annual Report for additional information.</w:t>
      </w:r>
    </w:p>
    <w:p>
      <w:pPr>
        <w:pStyle w:val="TextBody"/>
        <w:bidi w:val="0"/>
        <w:spacing w:before="0" w:after="0"/>
        <w:ind w:left="14" w:right="14" w:hanging="14"/>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Intangible Assets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and net carrying value of the Company’s other intangible assets were $100 at June 30, 2025, and December 31, 2024, and consist of the state insurance license for Direct Auto, which has an indefinite life.</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during our reviews that the other indefinite-lived intangible assets were not impaired as of June 30, 2025, or December 31, 2024.</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$0 and $105 for the three months ended June 30, 2025 and 2024, respectively, and $0 and $211 for the six months ended June 30, 2025 and 2024, respectively. Amortization expense for continuing operations was $0 for the three months ended June 30, 2025 and 2024, and $0 for the six months ended June 30, 2025 and 2024.</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470"/>
        <w:gridCol w:w="3830"/>
      </w:tblGrid>
      <w:tr>
        <w:trPr/>
        <w:tc>
          <w:tcPr>
            <w:tcW w:w="470" w:type="dxa"/>
            <w:tcBorders/>
            <w:vAlign w:val="center"/>
          </w:tcPr>
          <w:p>
            <w:pPr>
              <w:pStyle w:val="TableContents"/>
              <w:bidi w:val="0"/>
              <w:spacing w:before="0" w:after="283"/>
              <w:jc w:val="left"/>
              <w:rPr>
                <w:b/>
              </w:rPr>
            </w:pPr>
            <w:r>
              <w:rPr>
                <w:b/>
              </w:rPr>
              <w:t>10.  </w:t>
            </w:r>
          </w:p>
        </w:tc>
        <w:tc>
          <w:tcPr>
            <w:tcW w:w="3830" w:type="dxa"/>
            <w:tcBorders/>
            <w:vAlign w:val="center"/>
          </w:tcPr>
          <w:p>
            <w:pPr>
              <w:pStyle w:val="TableContents"/>
              <w:bidi w:val="0"/>
              <w:spacing w:before="0" w:after="283"/>
              <w:jc w:val="left"/>
              <w:rPr>
                <w:b/>
              </w:rPr>
            </w:pPr>
            <w:r>
              <w:rPr>
                <w:b/>
              </w:rPr>
              <w:t>Royalties, Dividends, and Affiliations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North Dakota Farm Bureau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$522 and $480 during the three months ended June 30, 2025 and 2024, respectively, and $962 and $883 for the six months ended June 30, 2025 and 2024, respectively. Royalty amounts payable of $191 and $146 were accrued as a liability to the NDFB at June 30, 2025, and December 31, 2024, respectively.</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2024, exceeded the amount of statutory capital and surplus necessary to satisfy risk-based capital requirements by a significant margin. For information regarding the availability of subsidiaries to pay dividends to NI Holdings during 2025, see Part II, Item 8, Note 11 “Royalties, Dividends, and Affiliations” section of the 2024 Annual Report.</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Battle Creek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2, 2024, we consolidated the financial statements of Battle Creek, and Battle Creek’s policyholders’ interest in Battle Creek was reflected as a non-controlling interest in shareholders’ equity in our Consolidated Balance Sheets. Subsequent to January 2, 2024, Battle Creek is fully consolidated in our Consolidated Balance Sheets. See the Part I, Item 1, Note 1 “Organization” section of this Form 10-Q for additional information.</w:t>
      </w:r>
    </w:p>
    <w:p>
      <w:pPr>
        <w:pStyle w:val="TextBody"/>
        <w:bidi w:val="0"/>
        <w:spacing w:before="0" w:after="0"/>
        <w:ind w:left="14" w:right="14"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410"/>
        <w:gridCol w:w="1415"/>
      </w:tblGrid>
      <w:tr>
        <w:trPr/>
        <w:tc>
          <w:tcPr>
            <w:tcW w:w="410" w:type="dxa"/>
            <w:tcBorders/>
            <w:vAlign w:val="center"/>
          </w:tcPr>
          <w:p>
            <w:pPr>
              <w:pStyle w:val="TableContents"/>
              <w:bidi w:val="0"/>
              <w:spacing w:before="0" w:after="283"/>
              <w:jc w:val="left"/>
              <w:rPr>
                <w:b/>
              </w:rPr>
            </w:pPr>
            <w:r>
              <w:rPr>
                <w:b/>
              </w:rPr>
              <w:t>11. </w:t>
            </w:r>
          </w:p>
        </w:tc>
        <w:tc>
          <w:tcPr>
            <w:tcW w:w="1415" w:type="dxa"/>
            <w:tcBorders/>
            <w:vAlign w:val="center"/>
          </w:tcPr>
          <w:p>
            <w:pPr>
              <w:pStyle w:val="TableContents"/>
              <w:bidi w:val="0"/>
              <w:spacing w:before="0" w:after="283"/>
              <w:jc w:val="left"/>
              <w:rPr>
                <w:b/>
              </w:rPr>
            </w:pPr>
            <w:r>
              <w:rPr>
                <w:b/>
              </w:rPr>
              <w:t>Benefit Plans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Westminster also sponsored a separate 401(k) plan until the company was sold on June 30, 2024. American West and Battle Creek have no employees. The Company reported expenses related to these plans totaling $482 and $459 during the three months ended June 30, 2025 and 2024, respectively, and $802 and $805 during the six months ended June 30, 2025 and 2024, respectively.</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associated with the plans are deducted from the eligible employee accounts.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$24 and $33 during the three months ended June 30, 2025 and 2024, respectively, and $158 and $231 during the six months ended June 30, 2025 and 2024, respectively.</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initial public offering (“IPO”) in March 2017, the Company established its Employee Stock Ownership Plan (the “ESOP”) within the meaning of Internal Revenue Code Section 4975(e)(7) and invests solely in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compensation expense related to the ESOP of $78 and $92 during the three months ended June 30, 2025 and 2024, respectively, and $167 and $176 during the six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June 30, 2025, and December 31, 2024, the Company had released and allocated 194,520 ESOP shares to participants, with a remainder of 45,480 ESOP shares in suspense at June 30, 2025, and December 31, 2024. Using the Company’s quarter-end market price of $12.74 per share, the fair value of the unearned ESOP shares was $579 at June 30, 2025.</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410"/>
        <w:gridCol w:w="1520"/>
      </w:tblGrid>
      <w:tr>
        <w:trPr/>
        <w:tc>
          <w:tcPr>
            <w:tcW w:w="410" w:type="dxa"/>
            <w:tcBorders/>
            <w:vAlign w:val="center"/>
          </w:tcPr>
          <w:p>
            <w:pPr>
              <w:pStyle w:val="TableContents"/>
              <w:bidi w:val="0"/>
              <w:spacing w:before="0" w:after="283"/>
              <w:jc w:val="left"/>
              <w:rPr>
                <w:b/>
              </w:rPr>
            </w:pPr>
            <w:r>
              <w:rPr>
                <w:b/>
              </w:rPr>
              <w:t>12. </w:t>
            </w:r>
          </w:p>
        </w:tc>
        <w:tc>
          <w:tcPr>
            <w:tcW w:w="1520" w:type="dxa"/>
            <w:tcBorders/>
            <w:vAlign w:val="center"/>
          </w:tcPr>
          <w:p>
            <w:pPr>
              <w:pStyle w:val="TableContents"/>
              <w:bidi w:val="0"/>
              <w:spacing w:before="0" w:after="283"/>
              <w:jc w:val="left"/>
              <w:rPr>
                <w:b/>
              </w:rPr>
            </w:pPr>
            <w:r>
              <w:rPr>
                <w:b/>
              </w:rPr>
              <w:t>Line of Credit</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has a $3,000 line of credit with Wells Fargo Bank, N.A. The terms of the line of credit include a floating interest rate of 2.50% above the daily simple secured overnight financing rate. There were no outstanding amounts during the six months ended June 30, 2025, or the year ended December 31, 2024. This line of credit is scheduled to expire on December 13, 2025.</w:t>
      </w:r>
    </w:p>
    <w:p>
      <w:pPr>
        <w:pStyle w:val="TextBody"/>
        <w:bidi w:val="0"/>
        <w:spacing w:before="0" w:after="0"/>
        <w:ind w:left="15" w:right="15"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410"/>
        <w:gridCol w:w="1490"/>
      </w:tblGrid>
      <w:tr>
        <w:trPr/>
        <w:tc>
          <w:tcPr>
            <w:tcW w:w="410" w:type="dxa"/>
            <w:tcBorders/>
            <w:vAlign w:val="center"/>
          </w:tcPr>
          <w:p>
            <w:pPr>
              <w:pStyle w:val="TableContents"/>
              <w:bidi w:val="0"/>
              <w:spacing w:before="0" w:after="283"/>
              <w:jc w:val="left"/>
              <w:rPr>
                <w:b/>
              </w:rPr>
            </w:pPr>
            <w:r>
              <w:rPr>
                <w:b/>
              </w:rPr>
              <w:t>13. </w:t>
            </w:r>
          </w:p>
        </w:tc>
        <w:tc>
          <w:tcPr>
            <w:tcW w:w="1490" w:type="dxa"/>
            <w:tcBorders/>
            <w:vAlign w:val="center"/>
          </w:tcPr>
          <w:p>
            <w:pPr>
              <w:pStyle w:val="TableContents"/>
              <w:bidi w:val="0"/>
              <w:spacing w:before="0" w:after="283"/>
              <w:jc w:val="left"/>
              <w:rPr>
                <w:b/>
              </w:rPr>
            </w:pPr>
            <w:r>
              <w:rPr>
                <w:b/>
              </w:rPr>
              <w:t>Income Taxes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any change to a previously recorded valuation allowance as a result of re-measuring existing temporary differences and loss carryforwards as a component of income tax expense (benefit) from continuing operations. The valuation allowance against certain deferred income tax assets was $2,093 and $2,506 at June 30, 2025 and December 31, 2024, respectively.</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and December 31, 2024, we had no unrecognized tax benefits, no accrued interest and penalties, and no significant uncertain tax positions. No interest and penalties were recognized during the six-month period ended June 30, 2025, or the year ended December 31, 2024.</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for the six months ended June 30, 2025, was 26.2%, which was impacted by the $413 change in the recorded valuation allowance noted above. The effective tax rate for continuing operations was 34.0% for the six months ended June 30, 2024. Federal income taxes were allocated to discontinued operations at a 21.1% effective tax rate for the six months ended June 30, 2024.</w:t>
      </w:r>
    </w:p>
    <w:p>
      <w:pPr>
        <w:pStyle w:val="TextBody"/>
        <w:bidi w:val="0"/>
        <w:spacing w:before="0" w:after="0"/>
        <w:ind w:left="15" w:right="15"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410"/>
        <w:gridCol w:w="755"/>
      </w:tblGrid>
      <w:tr>
        <w:trPr/>
        <w:tc>
          <w:tcPr>
            <w:tcW w:w="410" w:type="dxa"/>
            <w:tcBorders/>
            <w:vAlign w:val="center"/>
          </w:tcPr>
          <w:p>
            <w:pPr>
              <w:pStyle w:val="TableContents"/>
              <w:bidi w:val="0"/>
              <w:spacing w:before="0" w:after="283"/>
              <w:jc w:val="left"/>
              <w:rPr>
                <w:b/>
              </w:rPr>
            </w:pPr>
            <w:r>
              <w:rPr>
                <w:b/>
              </w:rPr>
              <w:t>14. </w:t>
            </w:r>
          </w:p>
        </w:tc>
        <w:tc>
          <w:tcPr>
            <w:tcW w:w="755" w:type="dxa"/>
            <w:tcBorders/>
            <w:vAlign w:val="center"/>
          </w:tcPr>
          <w:p>
            <w:pPr>
              <w:pStyle w:val="TableContents"/>
              <w:bidi w:val="0"/>
              <w:spacing w:before="0" w:after="283"/>
              <w:jc w:val="left"/>
              <w:rPr>
                <w:b/>
              </w:rPr>
            </w:pPr>
            <w:r>
              <w:rPr>
                <w:b/>
              </w:rPr>
              <w:t>Leases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Primero leases a facility in Spearfish, South Dakota under a non-cancellable operating lease expiring in 2028. Direct Auto leases a facility in Chicago, Illinois under a non-cancellable operating lease expiring in 2029. Nodak Insurance leases a facility in Fargo, North Dakota under a non-cancellable operating lease expiring in 2029. In addition, Nodak Insurance leases server equipment under a non-cancellable finance lease expiring in 2026.</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expenses of $114 and $122 related to these leases during the three months ended June 30, 2025 and 2024, respectively, and $230 and $244 during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Company’s leases are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29"/>
        <w:gridCol w:w="90"/>
        <w:gridCol w:w="224"/>
        <w:gridCol w:w="862"/>
        <w:gridCol w:w="118"/>
        <w:gridCol w:w="118"/>
        <w:gridCol w:w="224"/>
        <w:gridCol w:w="862"/>
        <w:gridCol w:w="90"/>
        <w:gridCol w:w="90"/>
        <w:gridCol w:w="241"/>
        <w:gridCol w:w="942"/>
        <w:gridCol w:w="127"/>
        <w:gridCol w:w="127"/>
        <w:gridCol w:w="241"/>
        <w:gridCol w:w="942"/>
        <w:gridCol w:w="778"/>
      </w:tblGrid>
      <w:tr>
        <w:trPr/>
        <w:tc>
          <w:tcPr>
            <w:tcW w:w="41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w:t>
              <w:br/>
              <w:t>Ended 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Six Months Ended </w:t>
              <w:br/>
              <w:t>June 30,</w:t>
            </w:r>
          </w:p>
        </w:tc>
        <w:tc>
          <w:tcPr>
            <w:tcW w:w="778" w:type="dxa"/>
            <w:tcBorders/>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78"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Operating lease expense</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283"/>
              <w:jc w:val="right"/>
              <w:rPr/>
            </w:pPr>
            <w:r>
              <w:rPr/>
              <w:t>91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283"/>
              <w:jc w:val="right"/>
              <w:rPr/>
            </w:pPr>
            <w:r>
              <w:rPr/>
              <w:t>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183</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192</w:t>
            </w:r>
          </w:p>
        </w:tc>
        <w:tc>
          <w:tcPr>
            <w:tcW w:w="778" w:type="dxa"/>
            <w:tcBorders/>
            <w:shd w:fill="CCEEFF" w:val="clear"/>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Finance lease cost</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778" w:type="dxa"/>
            <w:tcBorders/>
            <w:vAlign w:val="center"/>
          </w:tcPr>
          <w:p>
            <w:pPr>
              <w:pStyle w:val="TableContents"/>
              <w:bidi w:val="0"/>
              <w:spacing w:before="0" w:after="283"/>
              <w:ind w:left="0" w:right="0" w:firstLine="187"/>
              <w:jc w:val="left"/>
              <w:rPr/>
            </w:pPr>
            <w:r>
              <w:rPr/>
              <w:t> </w:t>
            </w:r>
          </w:p>
        </w:tc>
      </w:tr>
      <w:tr>
        <w:trPr/>
        <w:tc>
          <w:tcPr>
            <w:tcW w:w="4129" w:type="dxa"/>
            <w:tcBorders/>
            <w:shd w:fill="CCEEFF" w:val="clear"/>
            <w:vAlign w:val="center"/>
          </w:tcPr>
          <w:p>
            <w:pPr>
              <w:pStyle w:val="TableContents"/>
              <w:bidi w:val="0"/>
              <w:spacing w:before="0" w:after="283"/>
              <w:jc w:val="left"/>
              <w:rPr/>
            </w:pPr>
            <w:r>
              <w:rPr/>
              <w:t>Amortization of right-of-use assets</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40</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40</w:t>
            </w:r>
          </w:p>
        </w:tc>
        <w:tc>
          <w:tcPr>
            <w:tcW w:w="778" w:type="dxa"/>
            <w:tcBorders/>
            <w:shd w:fill="CCEEFF" w:val="clear"/>
            <w:vAlign w:val="center"/>
          </w:tcPr>
          <w:p>
            <w:pPr>
              <w:pStyle w:val="TableContents"/>
              <w:bidi w:val="0"/>
              <w:spacing w:before="0" w:after="283"/>
              <w:ind w:left="0" w:right="0" w:firstLine="187"/>
              <w:jc w:val="left"/>
              <w:rPr/>
            </w:pPr>
            <w:r>
              <w:rPr/>
              <w:t> </w:t>
            </w:r>
          </w:p>
        </w:tc>
      </w:tr>
      <w:tr>
        <w:trPr/>
        <w:tc>
          <w:tcPr>
            <w:tcW w:w="4129" w:type="dxa"/>
            <w:tcBorders/>
            <w:vAlign w:val="center"/>
          </w:tcPr>
          <w:p>
            <w:pPr>
              <w:pStyle w:val="TableContents"/>
              <w:bidi w:val="0"/>
              <w:spacing w:before="0" w:after="283"/>
              <w:jc w:val="left"/>
              <w:rPr/>
            </w:pPr>
            <w:r>
              <w:rPr/>
              <w:t>Interest on lease liabilities</w:t>
            </w:r>
          </w:p>
        </w:tc>
        <w:tc>
          <w:tcPr>
            <w:tcW w:w="90" w:type="dxa"/>
            <w:tcBorders/>
            <w:vAlign w:val="center"/>
          </w:tcPr>
          <w:p>
            <w:pPr>
              <w:pStyle w:val="TableContents"/>
              <w:bidi w:val="0"/>
              <w:spacing w:before="0" w:after="283"/>
              <w:jc w:val="left"/>
              <w:rPr/>
            </w:pPr>
            <w:r>
              <w:rPr/>
              <w:t> </w:t>
            </w:r>
          </w:p>
        </w:tc>
        <w:tc>
          <w:tcPr>
            <w:tcW w:w="22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pPr>
            <w:r>
              <w:rPr/>
              <w:t>3</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283"/>
              <w:jc w:val="right"/>
              <w:rPr/>
            </w:pPr>
            <w:r>
              <w:rPr/>
              <w:t>7</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283"/>
              <w:jc w:val="right"/>
              <w:rPr/>
            </w:pPr>
            <w:r>
              <w:rPr/>
              <w:t>12</w:t>
            </w:r>
          </w:p>
        </w:tc>
        <w:tc>
          <w:tcPr>
            <w:tcW w:w="778" w:type="dxa"/>
            <w:tcBorders/>
            <w:vAlign w:val="center"/>
          </w:tcPr>
          <w:p>
            <w:pPr>
              <w:pStyle w:val="TableContents"/>
              <w:bidi w:val="0"/>
              <w:spacing w:before="0" w:after="283"/>
              <w:ind w:left="0" w:right="0" w:firstLine="367"/>
              <w:jc w:val="left"/>
              <w:rPr/>
            </w:pPr>
            <w:r>
              <w:rPr/>
              <w:t> </w:t>
            </w:r>
          </w:p>
        </w:tc>
      </w:tr>
      <w:tr>
        <w:trPr/>
        <w:tc>
          <w:tcPr>
            <w:tcW w:w="4129" w:type="dxa"/>
            <w:tcBorders/>
            <w:shd w:fill="CCEEFF" w:val="clear"/>
            <w:vAlign w:val="center"/>
          </w:tcPr>
          <w:p>
            <w:pPr>
              <w:pStyle w:val="TableContents"/>
              <w:bidi w:val="0"/>
              <w:spacing w:before="0" w:after="283"/>
              <w:jc w:val="left"/>
              <w:rPr/>
            </w:pPr>
            <w:r>
              <w:rPr/>
              <w:t>Finance lease cost</w:t>
            </w:r>
          </w:p>
        </w:tc>
        <w:tc>
          <w:tcPr>
            <w:tcW w:w="9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47</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778" w:type="dxa"/>
            <w:tcBorders/>
            <w:shd w:fill="CCEEFF" w:val="clear"/>
            <w:vAlign w:val="center"/>
          </w:tcPr>
          <w:p>
            <w:pPr>
              <w:pStyle w:val="TableContents"/>
              <w:bidi w:val="0"/>
              <w:spacing w:before="0" w:after="283"/>
              <w:ind w:left="0" w:right="0" w:firstLine="637"/>
              <w:jc w:val="left"/>
              <w:rPr/>
            </w:pPr>
            <w:r>
              <w:rPr/>
              <w:t> </w:t>
            </w:r>
          </w:p>
        </w:tc>
      </w:tr>
      <w:tr>
        <w:trPr/>
        <w:tc>
          <w:tcPr>
            <w:tcW w:w="4129" w:type="dxa"/>
            <w:tcBorders/>
            <w:vAlign w:val="center"/>
          </w:tcPr>
          <w:p>
            <w:pPr>
              <w:pStyle w:val="TableContents"/>
              <w:bidi w:val="0"/>
              <w:spacing w:before="0" w:after="283"/>
              <w:jc w:val="left"/>
              <w:rPr/>
            </w:pPr>
            <w:r>
              <w:rPr/>
              <w:t>Total lease cost</w:t>
            </w:r>
          </w:p>
        </w:tc>
        <w:tc>
          <w:tcPr>
            <w:tcW w:w="90" w:type="dxa"/>
            <w:tcBorders/>
            <w:vAlign w:val="center"/>
          </w:tcPr>
          <w:p>
            <w:pPr>
              <w:pStyle w:val="TableContents"/>
              <w:bidi w:val="0"/>
              <w:spacing w:before="0" w:after="283"/>
              <w:jc w:val="left"/>
              <w:rPr/>
            </w:pPr>
            <w:r>
              <w:rPr/>
              <w:t> </w:t>
            </w:r>
          </w:p>
        </w:tc>
        <w:tc>
          <w:tcPr>
            <w:tcW w:w="224" w:type="dxa"/>
            <w:tcBorders>
              <w:bottom w:val="double" w:sz="6" w:space="0" w:color="000000"/>
            </w:tcBorders>
            <w:tcMar>
              <w:bottom w:w="28" w:type="dxa"/>
            </w:tcMar>
            <w:vAlign w:val="center"/>
          </w:tcPr>
          <w:p>
            <w:pPr>
              <w:pStyle w:val="TableContents"/>
              <w:bidi w:val="0"/>
              <w:spacing w:before="0" w:after="283"/>
              <w:jc w:val="left"/>
              <w:rPr/>
            </w:pPr>
            <w:r>
              <w:rPr/>
              <w:t>$</w:t>
            </w:r>
          </w:p>
        </w:tc>
        <w:tc>
          <w:tcPr>
            <w:tcW w:w="862" w:type="dxa"/>
            <w:tcBorders>
              <w:bottom w:val="double" w:sz="6" w:space="0" w:color="000000"/>
            </w:tcBorders>
            <w:tcMar>
              <w:bottom w:w="28" w:type="dxa"/>
            </w:tcMar>
            <w:vAlign w:val="center"/>
          </w:tcPr>
          <w:p>
            <w:pPr>
              <w:pStyle w:val="TableContents"/>
              <w:bidi w:val="0"/>
              <w:spacing w:before="0" w:after="283"/>
              <w:jc w:val="right"/>
              <w:rPr/>
            </w:pPr>
            <w:r>
              <w:rPr/>
              <w:t>114</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double" w:sz="6" w:space="0" w:color="000000"/>
            </w:tcBorders>
            <w:tcMar>
              <w:bottom w:w="28" w:type="dxa"/>
            </w:tcMar>
            <w:vAlign w:val="center"/>
          </w:tcPr>
          <w:p>
            <w:pPr>
              <w:pStyle w:val="TableContents"/>
              <w:bidi w:val="0"/>
              <w:spacing w:before="0" w:after="283"/>
              <w:jc w:val="left"/>
              <w:rPr/>
            </w:pPr>
            <w:r>
              <w:rPr/>
              <w:t>$</w:t>
            </w:r>
          </w:p>
        </w:tc>
        <w:tc>
          <w:tcPr>
            <w:tcW w:w="862" w:type="dxa"/>
            <w:tcBorders>
              <w:bottom w:val="double" w:sz="6" w:space="0" w:color="000000"/>
            </w:tcBorders>
            <w:tcMar>
              <w:bottom w:w="28" w:type="dxa"/>
            </w:tcMar>
            <w:vAlign w:val="center"/>
          </w:tcPr>
          <w:p>
            <w:pPr>
              <w:pStyle w:val="TableContents"/>
              <w:bidi w:val="0"/>
              <w:spacing w:before="0" w:after="283"/>
              <w:jc w:val="right"/>
              <w:rPr/>
            </w:pPr>
            <w:r>
              <w:rPr/>
              <w:t>122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double" w:sz="6" w:space="0" w:color="000000"/>
            </w:tcBorders>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tcMar>
              <w:bottom w:w="28" w:type="dxa"/>
            </w:tcMar>
            <w:vAlign w:val="center"/>
          </w:tcPr>
          <w:p>
            <w:pPr>
              <w:pStyle w:val="TableContents"/>
              <w:bidi w:val="0"/>
              <w:spacing w:before="0" w:after="283"/>
              <w:jc w:val="right"/>
              <w:rPr/>
            </w:pPr>
            <w:r>
              <w:rPr/>
              <w:t>230</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bottom w:val="double" w:sz="6" w:space="0" w:color="000000"/>
            </w:tcBorders>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tcMar>
              <w:bottom w:w="28" w:type="dxa"/>
            </w:tcMar>
            <w:vAlign w:val="center"/>
          </w:tcPr>
          <w:p>
            <w:pPr>
              <w:pStyle w:val="TableContents"/>
              <w:bidi w:val="0"/>
              <w:spacing w:before="0" w:after="283"/>
              <w:jc w:val="right"/>
              <w:rPr/>
            </w:pPr>
            <w:r>
              <w:rPr/>
              <w:t>244</w:t>
            </w:r>
          </w:p>
        </w:tc>
        <w:tc>
          <w:tcPr>
            <w:tcW w:w="778"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778" w:type="dxa"/>
            <w:tcBorders/>
            <w:shd w:fill="CCEEFF" w:val="clear"/>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Other information on leases:</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778" w:type="dxa"/>
            <w:tcBorders/>
            <w:vAlign w:val="center"/>
          </w:tcPr>
          <w:p>
            <w:pPr>
              <w:pStyle w:val="TableContents"/>
              <w:bidi w:val="0"/>
              <w:spacing w:before="0" w:after="283"/>
              <w:ind w:left="0" w:right="0" w:hanging="0"/>
              <w:jc w:val="left"/>
              <w:rPr/>
            </w:pPr>
            <w:r>
              <w:rPr/>
              <w:t> </w:t>
            </w:r>
          </w:p>
        </w:tc>
      </w:tr>
      <w:tr>
        <w:trPr/>
        <w:tc>
          <w:tcPr>
            <w:tcW w:w="4129" w:type="dxa"/>
            <w:tcBorders/>
            <w:shd w:fill="CCEEFF" w:val="clear"/>
            <w:vAlign w:val="center"/>
          </w:tcPr>
          <w:p>
            <w:pPr>
              <w:pStyle w:val="TableContents"/>
              <w:bidi w:val="0"/>
              <w:spacing w:before="0" w:after="283"/>
              <w:jc w:val="left"/>
              <w:rPr/>
            </w:pPr>
            <w:r>
              <w:rPr/>
              <w:t>Cash payments included in operating cash flows from operating leases</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283"/>
              <w:jc w:val="right"/>
              <w:rPr/>
            </w:pPr>
            <w:r>
              <w:rPr/>
              <w:t>98</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283"/>
              <w:jc w:val="right"/>
              <w:rPr/>
            </w:pPr>
            <w:r>
              <w:rPr/>
              <w:t>102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195</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203</w:t>
            </w:r>
          </w:p>
        </w:tc>
        <w:tc>
          <w:tcPr>
            <w:tcW w:w="778" w:type="dxa"/>
            <w:tcBorders/>
            <w:shd w:fill="CCEEFF" w:val="clear"/>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Cash payments included in operating cash flows from finance leases</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3</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7</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12</w:t>
            </w:r>
          </w:p>
        </w:tc>
        <w:tc>
          <w:tcPr>
            <w:tcW w:w="778"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Cash payments included in financing cash flows from finance leases</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27</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53</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48</w:t>
            </w:r>
          </w:p>
        </w:tc>
        <w:tc>
          <w:tcPr>
            <w:tcW w:w="778" w:type="dxa"/>
            <w:tcBorders/>
            <w:shd w:fill="CCEEFF" w:val="clear"/>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Right-of-use assets obtained in exchange for new operating lease liabilities</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0"/>
              <w:jc w:val="righ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0"/>
              <w:jc w:val="right"/>
              <w:rPr/>
            </w:pPr>
            <w:r>
              <w:rPr/>
              <w:t>—</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185</w:t>
            </w:r>
          </w:p>
        </w:tc>
        <w:tc>
          <w:tcPr>
            <w:tcW w:w="778"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Right-of-use assets obtained in exchange for new finance lease liabilities</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0"/>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0"/>
              <w:jc w:val="right"/>
              <w:rPr/>
            </w:pPr>
            <w:r>
              <w:rPr/>
              <w:t>—</w:t>
            </w:r>
          </w:p>
        </w:tc>
        <w:tc>
          <w:tcPr>
            <w:tcW w:w="778" w:type="dxa"/>
            <w:tcBorders/>
            <w:shd w:fill="CCEEFF" w:val="clear"/>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Weighted average discount rate – operating leases</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4.46%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4.46%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4.46%</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4.46%</w:t>
            </w:r>
          </w:p>
        </w:tc>
        <w:tc>
          <w:tcPr>
            <w:tcW w:w="778"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Weighted average discount rate – finance leases</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8.50%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8.50%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8.50%</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8.50%</w:t>
            </w:r>
          </w:p>
        </w:tc>
        <w:tc>
          <w:tcPr>
            <w:tcW w:w="778" w:type="dxa"/>
            <w:tcBorders/>
            <w:shd w:fill="CCEEFF" w:val="clear"/>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Weighted average remaining lease term in years – operating leases</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4.0 years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4.9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sz w:val="20"/>
              </w:rPr>
            </w:pPr>
            <w:r>
              <w:rPr>
                <w:sz w:val="20"/>
              </w:rPr>
              <w:t>4.0 years</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sz w:val="20"/>
              </w:rPr>
            </w:pPr>
            <w:r>
              <w:rPr>
                <w:sz w:val="20"/>
              </w:rPr>
              <w:t>4.9 years</w:t>
            </w:r>
          </w:p>
        </w:tc>
        <w:tc>
          <w:tcPr>
            <w:tcW w:w="778"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Weighted average remaining lease term in years – finance leases</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20"/>
              </w:rPr>
            </w:pPr>
            <w:r>
              <w:rPr>
                <w:sz w:val="20"/>
              </w:rPr>
              <w:t>1.3 years</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20"/>
              </w:rPr>
            </w:pPr>
            <w:r>
              <w:rPr>
                <w:sz w:val="20"/>
              </w:rPr>
              <w:t>2.3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sz w:val="20"/>
              </w:rPr>
            </w:pPr>
            <w:r>
              <w:rPr>
                <w:sz w:val="20"/>
              </w:rPr>
              <w:t>1.3 years</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sz w:val="20"/>
              </w:rPr>
            </w:pPr>
            <w:r>
              <w:rPr>
                <w:sz w:val="20"/>
              </w:rPr>
              <w:t>2.3 years</w:t>
            </w:r>
          </w:p>
        </w:tc>
        <w:tc>
          <w:tcPr>
            <w:tcW w:w="77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contractual maturities of the Company’s lease liabilities for each of the five years in the period ending December 31, 2029, and thereafter, reconciled to our lease liability at June 30, 2025:</w:t>
      </w:r>
    </w:p>
    <w:p>
      <w:pPr>
        <w:pStyle w:val="TextBody"/>
        <w:bidi w:val="0"/>
        <w:spacing w:before="0" w:after="0"/>
        <w:ind w:left="0" w:right="0" w:hanging="0"/>
        <w:jc w:val="left"/>
        <w:rPr>
          <w:caps w:val="false"/>
          <w:smallCaps w:val="false"/>
        </w:rPr>
      </w:pPr>
      <w:r>
        <w:rPr>
          <w:caps w:val="false"/>
          <w:smallCaps w:val="false"/>
        </w:rPr>
        <w:t> </w:t>
      </w:r>
    </w:p>
    <w:tbl>
      <w:tblPr>
        <w:tblW w:w="8123" w:type="dxa"/>
        <w:jc w:val="left"/>
        <w:tblInd w:w="0" w:type="dxa"/>
        <w:tblLayout w:type="fixed"/>
        <w:tblCellMar>
          <w:top w:w="0" w:type="dxa"/>
          <w:left w:w="0" w:type="dxa"/>
          <w:bottom w:w="28" w:type="dxa"/>
          <w:right w:w="0" w:type="dxa"/>
        </w:tblCellMar>
      </w:tblPr>
      <w:tblGrid>
        <w:gridCol w:w="3365"/>
        <w:gridCol w:w="90"/>
        <w:gridCol w:w="405"/>
        <w:gridCol w:w="1414"/>
        <w:gridCol w:w="90"/>
        <w:gridCol w:w="90"/>
        <w:gridCol w:w="467"/>
        <w:gridCol w:w="1127"/>
        <w:gridCol w:w="90"/>
        <w:gridCol w:w="90"/>
        <w:gridCol w:w="170"/>
        <w:gridCol w:w="590"/>
        <w:gridCol w:w="135"/>
      </w:tblGrid>
      <w:tr>
        <w:trPr/>
        <w:tc>
          <w:tcPr>
            <w:tcW w:w="3365" w:type="dxa"/>
            <w:tcBorders>
              <w:bottom w:val="single" w:sz="8" w:space="0" w:color="000000"/>
            </w:tcBorders>
            <w:vAlign w:val="center"/>
          </w:tcPr>
          <w:p>
            <w:pPr>
              <w:pStyle w:val="TableContents"/>
              <w:bidi w:val="0"/>
              <w:spacing w:before="0" w:after="283"/>
              <w:jc w:val="left"/>
              <w:rPr>
                <w:b/>
              </w:rPr>
            </w:pPr>
            <w:r>
              <w:rPr>
                <w:b/>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8" w:space="0" w:color="000000"/>
            </w:tcBorders>
            <w:vAlign w:val="center"/>
          </w:tcPr>
          <w:p>
            <w:pPr>
              <w:pStyle w:val="TableContents"/>
              <w:bidi w:val="0"/>
              <w:spacing w:before="0" w:after="283"/>
              <w:jc w:val="center"/>
              <w:rPr>
                <w:b/>
              </w:rPr>
            </w:pPr>
            <w:r>
              <w:rPr>
                <w:b/>
              </w:rPr>
              <w:t>Operating Leases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8" w:space="0" w:color="000000"/>
            </w:tcBorders>
            <w:vAlign w:val="center"/>
          </w:tcPr>
          <w:p>
            <w:pPr>
              <w:pStyle w:val="TableContents"/>
              <w:bidi w:val="0"/>
              <w:spacing w:before="0" w:after="283"/>
              <w:jc w:val="center"/>
              <w:rPr>
                <w:b/>
              </w:rPr>
            </w:pPr>
            <w:r>
              <w:rPr>
                <w:b/>
              </w:rPr>
              <w:t>Finance Leases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135"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2025 (six months remaining)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w:t>
            </w:r>
          </w:p>
        </w:tc>
        <w:tc>
          <w:tcPr>
            <w:tcW w:w="1414" w:type="dxa"/>
            <w:tcBorders/>
            <w:shd w:fill="CCEEFF" w:val="clear"/>
            <w:tcMar>
              <w:bottom w:w="0" w:type="dxa"/>
            </w:tcMar>
            <w:vAlign w:val="center"/>
          </w:tcPr>
          <w:p>
            <w:pPr>
              <w:pStyle w:val="TableContents"/>
              <w:bidi w:val="0"/>
              <w:spacing w:before="0" w:after="283"/>
              <w:jc w:val="right"/>
              <w:rPr/>
            </w:pPr>
            <w:r>
              <w:rPr/>
              <w:t>198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left"/>
              <w:rPr/>
            </w:pPr>
            <w:r>
              <w:rPr/>
              <w:t>$</w:t>
            </w:r>
          </w:p>
        </w:tc>
        <w:tc>
          <w:tcPr>
            <w:tcW w:w="1127" w:type="dxa"/>
            <w:tcBorders/>
            <w:shd w:fill="CCEEFF" w:val="clear"/>
            <w:tcMar>
              <w:bottom w:w="0" w:type="dxa"/>
            </w:tcMar>
            <w:vAlign w:val="center"/>
          </w:tcPr>
          <w:p>
            <w:pPr>
              <w:pStyle w:val="TableContents"/>
              <w:bidi w:val="0"/>
              <w:spacing w:before="0" w:after="283"/>
              <w:jc w:val="right"/>
              <w:rPr/>
            </w:pPr>
            <w:r>
              <w:rPr/>
              <w:t>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258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left"/>
              <w:rPr/>
            </w:pPr>
            <w:r>
              <w:rPr/>
              <w:t> </w:t>
            </w:r>
          </w:p>
        </w:tc>
        <w:tc>
          <w:tcPr>
            <w:tcW w:w="1414" w:type="dxa"/>
            <w:tcBorders/>
            <w:tcMar>
              <w:bottom w:w="0" w:type="dxa"/>
            </w:tcMar>
            <w:vAlign w:val="center"/>
          </w:tcPr>
          <w:p>
            <w:pPr>
              <w:pStyle w:val="TableContents"/>
              <w:bidi w:val="0"/>
              <w:spacing w:before="0" w:after="283"/>
              <w:jc w:val="right"/>
              <w:rPr/>
            </w:pPr>
            <w:r>
              <w:rPr/>
              <w:t>396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7" w:type="dxa"/>
            <w:tcBorders/>
            <w:tcMar>
              <w:bottom w:w="0" w:type="dxa"/>
            </w:tcMar>
            <w:vAlign w:val="center"/>
          </w:tcPr>
          <w:p>
            <w:pPr>
              <w:pStyle w:val="TableContents"/>
              <w:bidi w:val="0"/>
              <w:spacing w:before="0" w:after="283"/>
              <w:jc w:val="left"/>
              <w:rPr/>
            </w:pPr>
            <w:r>
              <w:rPr/>
              <w:t> </w:t>
            </w:r>
          </w:p>
        </w:tc>
        <w:tc>
          <w:tcPr>
            <w:tcW w:w="1127" w:type="dxa"/>
            <w:tcBorders/>
            <w:tcMar>
              <w:bottom w:w="0" w:type="dxa"/>
            </w:tcMar>
            <w:vAlign w:val="center"/>
          </w:tcPr>
          <w:p>
            <w:pPr>
              <w:pStyle w:val="TableContents"/>
              <w:bidi w:val="0"/>
              <w:spacing w:before="0" w:after="283"/>
              <w:jc w:val="right"/>
              <w:rPr/>
            </w:pPr>
            <w:r>
              <w:rPr/>
              <w:t>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496</w:t>
            </w:r>
          </w:p>
        </w:tc>
        <w:tc>
          <w:tcPr>
            <w:tcW w:w="135"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1414" w:type="dxa"/>
            <w:tcBorders/>
            <w:shd w:fill="CCEEFF" w:val="clear"/>
            <w:tcMar>
              <w:bottom w:w="0" w:type="dxa"/>
            </w:tcMar>
            <w:vAlign w:val="center"/>
          </w:tcPr>
          <w:p>
            <w:pPr>
              <w:pStyle w:val="TableContents"/>
              <w:bidi w:val="0"/>
              <w:spacing w:before="0" w:after="283"/>
              <w:jc w:val="right"/>
              <w:rPr/>
            </w:pPr>
            <w:r>
              <w:rPr/>
              <w:t>401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401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left"/>
              <w:rPr/>
            </w:pPr>
            <w:r>
              <w:rPr/>
              <w:t> </w:t>
            </w:r>
          </w:p>
        </w:tc>
        <w:tc>
          <w:tcPr>
            <w:tcW w:w="1414" w:type="dxa"/>
            <w:tcBorders/>
            <w:tcMar>
              <w:bottom w:w="0" w:type="dxa"/>
            </w:tcMar>
            <w:vAlign w:val="center"/>
          </w:tcPr>
          <w:p>
            <w:pPr>
              <w:pStyle w:val="TableContents"/>
              <w:bidi w:val="0"/>
              <w:spacing w:before="0" w:after="283"/>
              <w:jc w:val="right"/>
              <w:rPr/>
            </w:pPr>
            <w:r>
              <w:rPr/>
              <w:t>376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7" w:type="dxa"/>
            <w:tcBorders/>
            <w:tcMar>
              <w:bottom w:w="0" w:type="dxa"/>
            </w:tcMar>
            <w:vAlign w:val="center"/>
          </w:tcPr>
          <w:p>
            <w:pPr>
              <w:pStyle w:val="TableContents"/>
              <w:bidi w:val="0"/>
              <w:spacing w:before="0" w:after="283"/>
              <w:jc w:val="left"/>
              <w:rPr/>
            </w:pPr>
            <w:r>
              <w:rPr/>
              <w:t> </w:t>
            </w:r>
          </w:p>
        </w:tc>
        <w:tc>
          <w:tcPr>
            <w:tcW w:w="112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376</w:t>
            </w:r>
          </w:p>
        </w:tc>
        <w:tc>
          <w:tcPr>
            <w:tcW w:w="135"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1414" w:type="dxa"/>
            <w:tcBorders/>
            <w:shd w:fill="CCEEFF" w:val="clear"/>
            <w:tcMar>
              <w:bottom w:w="0" w:type="dxa"/>
            </w:tcMar>
            <w:vAlign w:val="center"/>
          </w:tcPr>
          <w:p>
            <w:pPr>
              <w:pStyle w:val="TableContents"/>
              <w:bidi w:val="0"/>
              <w:spacing w:before="0" w:after="283"/>
              <w:jc w:val="right"/>
              <w:rPr/>
            </w:pPr>
            <w:r>
              <w:rPr/>
              <w:t>212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212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405" w:type="dxa"/>
            <w:tcBorders>
              <w:bottom w:val="single" w:sz="8" w:space="0" w:color="000000"/>
            </w:tcBorders>
            <w:vAlign w:val="center"/>
          </w:tcPr>
          <w:p>
            <w:pPr>
              <w:pStyle w:val="TableContents"/>
              <w:bidi w:val="0"/>
              <w:spacing w:before="0" w:after="283"/>
              <w:jc w:val="left"/>
              <w:rPr/>
            </w:pPr>
            <w:r>
              <w:rPr/>
              <w:t> </w:t>
            </w:r>
          </w:p>
        </w:tc>
        <w:tc>
          <w:tcPr>
            <w:tcW w:w="1414"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7" w:type="dxa"/>
            <w:tcBorders>
              <w:bottom w:val="single" w:sz="8" w:space="0" w:color="000000"/>
            </w:tcBorders>
            <w:vAlign w:val="center"/>
          </w:tcPr>
          <w:p>
            <w:pPr>
              <w:pStyle w:val="TableContents"/>
              <w:bidi w:val="0"/>
              <w:spacing w:before="0" w:after="283"/>
              <w:jc w:val="left"/>
              <w:rPr/>
            </w:pPr>
            <w:r>
              <w:rPr/>
              <w:t> </w:t>
            </w:r>
          </w:p>
        </w:tc>
        <w:tc>
          <w:tcPr>
            <w:tcW w:w="1127"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Total undiscounted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1414" w:type="dxa"/>
            <w:tcBorders/>
            <w:shd w:fill="CCEEFF" w:val="clear"/>
            <w:tcMar>
              <w:bottom w:w="0" w:type="dxa"/>
            </w:tcMar>
            <w:vAlign w:val="center"/>
          </w:tcPr>
          <w:p>
            <w:pPr>
              <w:pStyle w:val="TableContents"/>
              <w:bidi w:val="0"/>
              <w:spacing w:before="0" w:after="283"/>
              <w:jc w:val="right"/>
              <w:rPr/>
            </w:pPr>
            <w:r>
              <w:rPr/>
              <w:t>1,583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160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1,743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Less: present value adjustment</w:t>
            </w:r>
          </w:p>
        </w:tc>
        <w:tc>
          <w:tcPr>
            <w:tcW w:w="90" w:type="dxa"/>
            <w:tcBorders/>
            <w:tcMar>
              <w:bottom w:w="0" w:type="dxa"/>
            </w:tcMar>
            <w:vAlign w:val="center"/>
          </w:tcPr>
          <w:p>
            <w:pPr>
              <w:pStyle w:val="TableContents"/>
              <w:bidi w:val="0"/>
              <w:spacing w:before="0" w:after="283"/>
              <w:jc w:val="left"/>
              <w:rPr/>
            </w:pPr>
            <w:r>
              <w:rPr/>
              <w:t> </w:t>
            </w:r>
          </w:p>
        </w:tc>
        <w:tc>
          <w:tcPr>
            <w:tcW w:w="405" w:type="dxa"/>
            <w:tcBorders>
              <w:bottom w:val="single" w:sz="8" w:space="0" w:color="000000"/>
            </w:tcBorders>
            <w:vAlign w:val="center"/>
          </w:tcPr>
          <w:p>
            <w:pPr>
              <w:pStyle w:val="TableContents"/>
              <w:bidi w:val="0"/>
              <w:spacing w:before="0" w:after="283"/>
              <w:jc w:val="left"/>
              <w:rPr/>
            </w:pPr>
            <w:r>
              <w:rPr/>
              <w:t> </w:t>
            </w:r>
          </w:p>
        </w:tc>
        <w:tc>
          <w:tcPr>
            <w:tcW w:w="1414" w:type="dxa"/>
            <w:tcBorders>
              <w:bottom w:val="single" w:sz="8" w:space="0" w:color="000000"/>
            </w:tcBorders>
            <w:vAlign w:val="center"/>
          </w:tcPr>
          <w:p>
            <w:pPr>
              <w:pStyle w:val="TableContents"/>
              <w:bidi w:val="0"/>
              <w:spacing w:before="0" w:after="283"/>
              <w:jc w:val="right"/>
              <w:rPr/>
            </w:pPr>
            <w:r>
              <w:rPr/>
              <w:t>127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7" w:type="dxa"/>
            <w:tcBorders>
              <w:bottom w:val="single" w:sz="8" w:space="0" w:color="000000"/>
            </w:tcBorders>
            <w:vAlign w:val="center"/>
          </w:tcPr>
          <w:p>
            <w:pPr>
              <w:pStyle w:val="TableContents"/>
              <w:bidi w:val="0"/>
              <w:spacing w:before="0" w:after="283"/>
              <w:jc w:val="left"/>
              <w:rPr/>
            </w:pPr>
            <w:r>
              <w:rPr/>
              <w:t> </w:t>
            </w:r>
          </w:p>
        </w:tc>
        <w:tc>
          <w:tcPr>
            <w:tcW w:w="1127" w:type="dxa"/>
            <w:tcBorders>
              <w:bottom w:val="single" w:sz="8" w:space="0" w:color="000000"/>
            </w:tcBorders>
            <w:vAlign w:val="center"/>
          </w:tcPr>
          <w:p>
            <w:pPr>
              <w:pStyle w:val="TableContents"/>
              <w:bidi w:val="0"/>
              <w:spacing w:before="0" w:after="283"/>
              <w:jc w:val="right"/>
              <w:rPr/>
            </w:pPr>
            <w:r>
              <w:rPr/>
              <w:t>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135</w:t>
            </w:r>
          </w:p>
        </w:tc>
        <w:tc>
          <w:tcPr>
            <w:tcW w:w="135"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Lease liability at June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bottom w:val="double" w:sz="6" w:space="0" w:color="000000"/>
            </w:tcBorders>
            <w:shd w:fill="CCEEFF" w:val="clear"/>
            <w:vAlign w:val="center"/>
          </w:tcPr>
          <w:p>
            <w:pPr>
              <w:pStyle w:val="TableContents"/>
              <w:bidi w:val="0"/>
              <w:spacing w:before="0" w:after="283"/>
              <w:jc w:val="left"/>
              <w:rPr/>
            </w:pPr>
            <w:r>
              <w:rPr/>
              <w:t>$</w:t>
            </w:r>
          </w:p>
        </w:tc>
        <w:tc>
          <w:tcPr>
            <w:tcW w:w="1414" w:type="dxa"/>
            <w:tcBorders>
              <w:bottom w:val="double" w:sz="6" w:space="0" w:color="000000"/>
            </w:tcBorders>
            <w:shd w:fill="CCEEFF" w:val="clear"/>
            <w:vAlign w:val="center"/>
          </w:tcPr>
          <w:p>
            <w:pPr>
              <w:pStyle w:val="TableContents"/>
              <w:bidi w:val="0"/>
              <w:spacing w:before="0" w:after="283"/>
              <w:jc w:val="right"/>
              <w:rPr/>
            </w:pPr>
            <w:r>
              <w:rPr/>
              <w:t>1,456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bottom w:val="double" w:sz="6" w:space="0" w:color="000000"/>
            </w:tcBorders>
            <w:shd w:fill="CCEEFF" w:val="clear"/>
            <w:vAlign w:val="center"/>
          </w:tcPr>
          <w:p>
            <w:pPr>
              <w:pStyle w:val="TableContents"/>
              <w:bidi w:val="0"/>
              <w:spacing w:before="0" w:after="283"/>
              <w:jc w:val="left"/>
              <w:rPr/>
            </w:pPr>
            <w:r>
              <w:rPr/>
              <w:t>$</w:t>
            </w:r>
          </w:p>
        </w:tc>
        <w:tc>
          <w:tcPr>
            <w:tcW w:w="1127" w:type="dxa"/>
            <w:tcBorders>
              <w:bottom w:val="double" w:sz="6" w:space="0" w:color="000000"/>
            </w:tcBorders>
            <w:shd w:fill="CCEEFF" w:val="clear"/>
            <w:vAlign w:val="center"/>
          </w:tcPr>
          <w:p>
            <w:pPr>
              <w:pStyle w:val="TableContents"/>
              <w:bidi w:val="0"/>
              <w:spacing w:before="0" w:after="283"/>
              <w:jc w:val="right"/>
              <w:rPr/>
            </w:pPr>
            <w:r>
              <w:rPr/>
              <w:t>152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590" w:type="dxa"/>
            <w:tcBorders>
              <w:bottom w:val="double" w:sz="6" w:space="0" w:color="000000"/>
            </w:tcBorders>
            <w:shd w:fill="CCEEFF" w:val="clear"/>
            <w:vAlign w:val="center"/>
          </w:tcPr>
          <w:p>
            <w:pPr>
              <w:pStyle w:val="TableContents"/>
              <w:bidi w:val="0"/>
              <w:spacing w:before="0" w:after="283"/>
              <w:jc w:val="right"/>
              <w:rPr/>
            </w:pPr>
            <w:r>
              <w:rPr/>
              <w:t>1,608</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350"/>
        <w:gridCol w:w="1505"/>
      </w:tblGrid>
      <w:tr>
        <w:trPr/>
        <w:tc>
          <w:tcPr>
            <w:tcW w:w="350" w:type="dxa"/>
            <w:tcBorders/>
            <w:vAlign w:val="center"/>
          </w:tcPr>
          <w:p>
            <w:pPr>
              <w:pStyle w:val="TableContents"/>
              <w:bidi w:val="0"/>
              <w:spacing w:before="0" w:after="283"/>
              <w:jc w:val="left"/>
              <w:rPr>
                <w:b/>
              </w:rPr>
            </w:pPr>
            <w:r>
              <w:rPr>
                <w:b/>
              </w:rPr>
              <w:t>15.</w:t>
            </w:r>
          </w:p>
        </w:tc>
        <w:tc>
          <w:tcPr>
            <w:tcW w:w="1505" w:type="dxa"/>
            <w:tcBorders/>
            <w:vAlign w:val="center"/>
          </w:tcPr>
          <w:p>
            <w:pPr>
              <w:pStyle w:val="TableContents"/>
              <w:bidi w:val="0"/>
              <w:spacing w:before="0" w:after="283"/>
              <w:jc w:val="left"/>
              <w:rPr>
                <w:b/>
              </w:rPr>
            </w:pPr>
            <w:r>
              <w:rPr>
                <w:b/>
              </w:rPr>
              <w:t>Contingencies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 Contingent liabilities arising from litigation, income taxes, and other matters are not considered to be material to our financial position.</w:t>
      </w:r>
    </w:p>
    <w:p>
      <w:pPr>
        <w:pStyle w:val="TextBody"/>
        <w:bidi w:val="0"/>
        <w:spacing w:before="0" w:after="0"/>
        <w:ind w:left="15" w:right="15"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3"/>
        <w:gridCol w:w="995"/>
        <w:gridCol w:w="9017"/>
      </w:tblGrid>
      <w:tr>
        <w:trPr/>
        <w:tc>
          <w:tcPr>
            <w:tcW w:w="19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16.</w:t>
            </w:r>
          </w:p>
        </w:tc>
        <w:tc>
          <w:tcPr>
            <w:tcW w:w="9017" w:type="dxa"/>
            <w:tcBorders/>
            <w:vAlign w:val="center"/>
          </w:tcPr>
          <w:p>
            <w:pPr>
              <w:pStyle w:val="TableContents"/>
              <w:bidi w:val="0"/>
              <w:spacing w:before="0" w:after="283"/>
              <w:jc w:val="left"/>
              <w:rPr>
                <w:b/>
              </w:rPr>
            </w:pPr>
            <w:r>
              <w:rPr>
                <w:b/>
              </w:rPr>
              <w:t>Common and Preferred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number of common stock shares outstanding were as follows:</w:t>
      </w:r>
    </w:p>
    <w:p>
      <w:pPr>
        <w:pStyle w:val="TextBody"/>
        <w:bidi w:val="0"/>
        <w:spacing w:before="0" w:after="0"/>
        <w:ind w:left="0" w:right="0" w:hanging="0"/>
        <w:jc w:val="left"/>
        <w:rPr>
          <w:caps w:val="false"/>
          <w:smallCaps w:val="false"/>
        </w:rPr>
      </w:pPr>
      <w:r>
        <w:rPr>
          <w:caps w:val="false"/>
          <w:smallCaps w:val="false"/>
        </w:rPr>
        <w:t> </w:t>
      </w:r>
    </w:p>
    <w:tbl>
      <w:tblPr>
        <w:tblW w:w="9549" w:type="dxa"/>
        <w:jc w:val="left"/>
        <w:tblInd w:w="0" w:type="dxa"/>
        <w:tblLayout w:type="fixed"/>
        <w:tblCellMar>
          <w:top w:w="0" w:type="dxa"/>
          <w:left w:w="0" w:type="dxa"/>
          <w:bottom w:w="0" w:type="dxa"/>
          <w:right w:w="0" w:type="dxa"/>
        </w:tblCellMar>
      </w:tblPr>
      <w:tblGrid>
        <w:gridCol w:w="6470"/>
        <w:gridCol w:w="90"/>
        <w:gridCol w:w="98"/>
        <w:gridCol w:w="1231"/>
        <w:gridCol w:w="98"/>
        <w:gridCol w:w="98"/>
        <w:gridCol w:w="98"/>
        <w:gridCol w:w="1231"/>
        <w:gridCol w:w="135"/>
      </w:tblGrid>
      <w:tr>
        <w:trPr/>
        <w:tc>
          <w:tcPr>
            <w:tcW w:w="6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3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216"/>
              <w:jc w:val="left"/>
              <w:rPr/>
            </w:pPr>
            <w:r>
              <w:rPr/>
              <w:t> </w:t>
            </w:r>
          </w:p>
        </w:tc>
      </w:tr>
      <w:tr>
        <w:trPr/>
        <w:tc>
          <w:tcPr>
            <w:tcW w:w="6470" w:type="dxa"/>
            <w:tcBorders/>
            <w:shd w:fill="CCEEFF" w:val="clear"/>
            <w:vAlign w:val="center"/>
          </w:tcPr>
          <w:p>
            <w:pPr>
              <w:pStyle w:val="TableContents"/>
              <w:bidi w:val="0"/>
              <w:spacing w:before="0" w:after="283"/>
              <w:jc w:val="left"/>
              <w:rPr/>
            </w:pPr>
            <w:r>
              <w:rPr/>
              <w:t>Shares outstanding, beginning of period</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20,673,268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20,599,908</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6470" w:type="dxa"/>
            <w:tcBorders/>
            <w:vAlign w:val="center"/>
          </w:tcPr>
          <w:p>
            <w:pPr>
              <w:pStyle w:val="TableContents"/>
              <w:bidi w:val="0"/>
              <w:spacing w:before="0" w:after="283"/>
              <w:jc w:val="left"/>
              <w:rPr/>
            </w:pPr>
            <w:r>
              <w:rPr/>
              <w:t>Treasury shares repurchased through stock repurchase authorization</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0"/>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16"/>
              <w:jc w:val="left"/>
              <w:rPr/>
            </w:pPr>
            <w:r>
              <w:rPr/>
              <w:t> </w:t>
            </w:r>
          </w:p>
        </w:tc>
      </w:tr>
      <w:tr>
        <w:trPr/>
        <w:tc>
          <w:tcPr>
            <w:tcW w:w="6470" w:type="dxa"/>
            <w:tcBorders/>
            <w:shd w:fill="CCEEFF" w:val="clear"/>
            <w:vAlign w:val="center"/>
          </w:tcPr>
          <w:p>
            <w:pPr>
              <w:pStyle w:val="TableContents"/>
              <w:bidi w:val="0"/>
              <w:spacing w:before="0" w:after="283"/>
              <w:jc w:val="left"/>
              <w:rPr/>
            </w:pPr>
            <w:r>
              <w:rPr/>
              <w:t>Issuance of treasury shares for vesting of restricted stock units</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40,090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48,734</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6470" w:type="dxa"/>
            <w:tcBorders/>
            <w:vAlign w:val="center"/>
          </w:tcPr>
          <w:p>
            <w:pPr>
              <w:pStyle w:val="TableContents"/>
              <w:bidi w:val="0"/>
              <w:spacing w:before="0" w:after="283"/>
              <w:jc w:val="left"/>
              <w:rPr/>
            </w:pPr>
            <w:r>
              <w:rPr/>
              <w:t>Shares outstanding, end of period</w:t>
            </w:r>
          </w:p>
        </w:tc>
        <w:tc>
          <w:tcPr>
            <w:tcW w:w="90" w:type="dxa"/>
            <w:tcBorders/>
            <w:vAlign w:val="center"/>
          </w:tcPr>
          <w:p>
            <w:pPr>
              <w:pStyle w:val="TableContents"/>
              <w:bidi w:val="0"/>
              <w:spacing w:before="0" w:after="283"/>
              <w:jc w:val="left"/>
              <w:rPr/>
            </w:pPr>
            <w:r>
              <w:rPr/>
              <w:t> </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1231" w:type="dxa"/>
            <w:tcBorders>
              <w:bottom w:val="double" w:sz="6" w:space="0" w:color="000000"/>
            </w:tcBorders>
            <w:tcMar>
              <w:bottom w:w="28" w:type="dxa"/>
            </w:tcMar>
            <w:vAlign w:val="center"/>
          </w:tcPr>
          <w:p>
            <w:pPr>
              <w:pStyle w:val="TableContents"/>
              <w:bidi w:val="0"/>
              <w:spacing w:before="0" w:after="283"/>
              <w:jc w:val="right"/>
              <w:rPr/>
            </w:pPr>
            <w:r>
              <w:rPr/>
              <w:t>20,713,358</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1231" w:type="dxa"/>
            <w:tcBorders>
              <w:bottom w:val="double" w:sz="6" w:space="0" w:color="000000"/>
            </w:tcBorders>
            <w:tcMar>
              <w:bottom w:w="28" w:type="dxa"/>
            </w:tcMar>
            <w:vAlign w:val="center"/>
          </w:tcPr>
          <w:p>
            <w:pPr>
              <w:pStyle w:val="TableContents"/>
              <w:bidi w:val="0"/>
              <w:spacing w:before="0" w:after="283"/>
              <w:jc w:val="right"/>
              <w:rPr/>
            </w:pPr>
            <w:r>
              <w:rPr/>
              <w:t>20,648,642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number of common shares outstanding excludes certain non-forfeitable stock award shares that are included in the weighted average common shares outstanding used in basic earnings per common share calculations. The net loss per diluted common share for the three- and six-month periods ended June 30, 2025, excluded the weighted average effects of 54,926 and 67,994 shares, respectively, of stock awards since the impacts of these potential shares of common stock were anti-dilutive. The net loss per diluted common share for the three- and six-month period ended June 30, 2024, excluded the weighted average effects of 127,108 and 120,206 shares of stock awards since the impacts of these potential shares of common stock were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our Board of Directors approved an authorization for the repurchase of up to approximately $10,000 of the Company’s outstanding common stock. During the six months ended June 30, 2025, we did not repurchase any shares of our common stock. During the six months ended June 30, 2024, we did not repurchase any shares of our common stock. At June 30, 2025, $2,052 remains available under this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this treasury stock is a reduction of shareholders’ equity within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Articles of Incorporation provide authority to issue up to five million shares of preferred stock. No preferred shares are issued or outstanding.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946"/>
        <w:gridCol w:w="9048"/>
      </w:tblGrid>
      <w:tr>
        <w:trPr/>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b/>
                <w:sz w:val="20"/>
              </w:rPr>
            </w:pPr>
            <w:r>
              <w:rPr>
                <w:b/>
                <w:sz w:val="20"/>
              </w:rPr>
              <w:t>17.</w:t>
            </w:r>
          </w:p>
        </w:tc>
        <w:tc>
          <w:tcPr>
            <w:tcW w:w="9048" w:type="dxa"/>
            <w:tcBorders/>
            <w:vAlign w:val="center"/>
          </w:tcPr>
          <w:p>
            <w:pPr>
              <w:pStyle w:val="TableContents"/>
              <w:bidi w:val="0"/>
              <w:spacing w:before="0" w:after="283"/>
              <w:jc w:val="left"/>
              <w:rPr>
                <w:b/>
              </w:rPr>
            </w:pPr>
            <w:r>
              <w:rPr>
                <w:b/>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beginning in 2024, the RSUs vest equally over a three-year period. As approved by the Compensation Committee, all executive share-based compensation granted in 2025 was awarded as RSUs. The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and unearned RSUs is presented below:</w:t>
      </w:r>
    </w:p>
    <w:p>
      <w:pPr>
        <w:pStyle w:val="TextBody"/>
        <w:bidi w:val="0"/>
        <w:spacing w:before="0" w:after="0"/>
        <w:ind w:left="0" w:right="0" w:hanging="0"/>
        <w:jc w:val="left"/>
        <w:rPr>
          <w:caps w:val="false"/>
          <w:smallCaps w:val="false"/>
        </w:rPr>
      </w:pPr>
      <w:r>
        <w:rPr>
          <w:caps w:val="false"/>
          <w:smallCaps w:val="false"/>
        </w:rPr>
        <w:t> </w:t>
      </w:r>
    </w:p>
    <w:tbl>
      <w:tblPr>
        <w:tblW w:w="8435" w:type="dxa"/>
        <w:jc w:val="left"/>
        <w:tblInd w:w="0" w:type="dxa"/>
        <w:tblLayout w:type="fixed"/>
        <w:tblCellMar>
          <w:top w:w="0" w:type="dxa"/>
          <w:left w:w="0" w:type="dxa"/>
          <w:bottom w:w="0" w:type="dxa"/>
          <w:right w:w="0" w:type="dxa"/>
        </w:tblCellMar>
      </w:tblPr>
      <w:tblGrid>
        <w:gridCol w:w="5225"/>
        <w:gridCol w:w="90"/>
        <w:gridCol w:w="90"/>
        <w:gridCol w:w="830"/>
        <w:gridCol w:w="125"/>
        <w:gridCol w:w="90"/>
        <w:gridCol w:w="413"/>
        <w:gridCol w:w="1437"/>
        <w:gridCol w:w="135"/>
      </w:tblGrid>
      <w:tr>
        <w:trPr/>
        <w:tc>
          <w:tcPr>
            <w:tcW w:w="5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pPr>
            <w:r>
              <w:rPr/>
              <w:t>RSUs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283"/>
              <w:jc w:val="center"/>
              <w:rPr/>
            </w:pPr>
            <w:r>
              <w:rPr/>
              <w:t>Weighted-Average</w:t>
              <w:br/>
              <w:t xml:space="preserve">Grant-Date </w:t>
              <w:br/>
              <w:t xml:space="preserve">Fair Value </w:t>
              <w:br/>
              <w:t>Per Share</w:t>
            </w:r>
          </w:p>
        </w:tc>
        <w:tc>
          <w:tcPr>
            <w:tcW w:w="135" w:type="dxa"/>
            <w:tcBorders/>
            <w:vAlign w:val="center"/>
          </w:tcPr>
          <w:p>
            <w:pPr>
              <w:pStyle w:val="TableContents"/>
              <w:bidi w:val="0"/>
              <w:spacing w:before="0" w:after="283"/>
              <w:ind w:left="0" w:right="0" w:hanging="216"/>
              <w:jc w:val="left"/>
              <w:rPr/>
            </w:pPr>
            <w:r>
              <w:rPr/>
              <w:t> </w:t>
            </w:r>
          </w:p>
        </w:tc>
      </w:tr>
      <w:tr>
        <w:trPr/>
        <w:tc>
          <w:tcPr>
            <w:tcW w:w="5225" w:type="dxa"/>
            <w:tcBorders/>
            <w:shd w:fill="CCEEFF" w:val="clear"/>
            <w:vAlign w:val="center"/>
          </w:tcPr>
          <w:p>
            <w:pPr>
              <w:pStyle w:val="TableContents"/>
              <w:bidi w:val="0"/>
              <w:spacing w:before="0" w:after="283"/>
              <w:jc w:val="left"/>
              <w:rPr/>
            </w:pPr>
            <w:r>
              <w:rPr/>
              <w:t>Units outstanding and unearned at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146,580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437" w:type="dxa"/>
            <w:tcBorders/>
            <w:shd w:fill="CCEEFF" w:val="clear"/>
            <w:vAlign w:val="center"/>
          </w:tcPr>
          <w:p>
            <w:pPr>
              <w:pStyle w:val="TableContents"/>
              <w:bidi w:val="0"/>
              <w:spacing w:before="0" w:after="283"/>
              <w:jc w:val="right"/>
              <w:rPr/>
            </w:pPr>
            <w:r>
              <w:rPr/>
              <w:t>15.37</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5225" w:type="dxa"/>
            <w:tcBorders/>
            <w:vAlign w:val="center"/>
          </w:tcPr>
          <w:p>
            <w:pPr>
              <w:pStyle w:val="TableContents"/>
              <w:bidi w:val="0"/>
              <w:spacing w:before="0" w:after="283"/>
              <w:jc w:val="left"/>
              <w:rPr/>
            </w:pPr>
            <w:r>
              <w:rPr/>
              <w:t>RSUs granted during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119,398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14.67</w:t>
            </w:r>
          </w:p>
        </w:tc>
        <w:tc>
          <w:tcPr>
            <w:tcW w:w="13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RSUs earned during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(69,420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14.82</w:t>
            </w:r>
          </w:p>
        </w:tc>
        <w:tc>
          <w:tcPr>
            <w:tcW w:w="135"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20"/>
              </w:rPr>
            </w:pPr>
            <w:r>
              <w:rPr>
                <w:sz w:val="20"/>
              </w:rPr>
              <w:t xml:space="preserve">Forfeitures </w:t>
            </w:r>
            <w:r>
              <w:rPr>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(92,160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15.18</w:t>
            </w:r>
          </w:p>
        </w:tc>
        <w:tc>
          <w:tcPr>
            <w:tcW w:w="135" w:type="dxa"/>
            <w:tcBorders/>
            <w:vAlign w:val="center"/>
          </w:tcPr>
          <w:p>
            <w:pPr>
              <w:pStyle w:val="TableContents"/>
              <w:bidi w:val="0"/>
              <w:spacing w:before="0" w:after="283"/>
              <w:ind w:left="0" w:right="0" w:hanging="216"/>
              <w:jc w:val="left"/>
              <w:rPr/>
            </w:pPr>
            <w:r>
              <w:rPr/>
              <w:t> </w:t>
            </w:r>
          </w:p>
        </w:tc>
      </w:tr>
      <w:tr>
        <w:trPr/>
        <w:tc>
          <w:tcPr>
            <w:tcW w:w="5225" w:type="dxa"/>
            <w:tcBorders/>
            <w:shd w:fill="CCEEFF" w:val="clear"/>
            <w:vAlign w:val="center"/>
          </w:tcPr>
          <w:p>
            <w:pPr>
              <w:pStyle w:val="TableContents"/>
              <w:bidi w:val="0"/>
              <w:spacing w:before="0" w:after="283"/>
              <w:jc w:val="left"/>
              <w:rPr/>
            </w:pPr>
            <w:r>
              <w:rPr/>
              <w:t>Units outstanding and unearned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104,398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15.11</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5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216"/>
              <w:jc w:val="left"/>
              <w:rPr/>
            </w:pPr>
            <w:r>
              <w:rPr/>
              <w:t> </w:t>
            </w:r>
          </w:p>
        </w:tc>
      </w:tr>
      <w:tr>
        <w:trPr/>
        <w:tc>
          <w:tcPr>
            <w:tcW w:w="5225" w:type="dxa"/>
            <w:tcBorders/>
            <w:shd w:fill="CCEEFF" w:val="clear"/>
            <w:vAlign w:val="center"/>
          </w:tcPr>
          <w:p>
            <w:pPr>
              <w:pStyle w:val="TableContents"/>
              <w:bidi w:val="0"/>
              <w:spacing w:before="0" w:after="283"/>
              <w:jc w:val="left"/>
              <w:rPr/>
            </w:pPr>
            <w:r>
              <w:rPr/>
              <w:t>RSUs granted during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154,722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14.06</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5225" w:type="dxa"/>
            <w:tcBorders/>
            <w:vAlign w:val="center"/>
          </w:tcPr>
          <w:p>
            <w:pPr>
              <w:pStyle w:val="TableContents"/>
              <w:bidi w:val="0"/>
              <w:spacing w:before="0" w:after="283"/>
              <w:jc w:val="left"/>
              <w:rPr/>
            </w:pPr>
            <w:r>
              <w:rPr/>
              <w:t>RSUs earned during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(51,313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15.01</w:t>
            </w:r>
          </w:p>
        </w:tc>
        <w:tc>
          <w:tcPr>
            <w:tcW w:w="135" w:type="dxa"/>
            <w:tcBorders/>
            <w:vAlign w:val="center"/>
          </w:tcPr>
          <w:p>
            <w:pPr>
              <w:pStyle w:val="TableContents"/>
              <w:bidi w:val="0"/>
              <w:spacing w:before="0" w:after="283"/>
              <w:ind w:left="0" w:right="0" w:hanging="216"/>
              <w:jc w:val="left"/>
              <w:rPr/>
            </w:pPr>
            <w:r>
              <w:rPr/>
              <w:t> </w:t>
            </w:r>
          </w:p>
        </w:tc>
      </w:tr>
      <w:tr>
        <w:trPr/>
        <w:tc>
          <w:tcPr>
            <w:tcW w:w="5225" w:type="dxa"/>
            <w:tcBorders/>
            <w:shd w:fill="CCEEFF" w:val="clear"/>
            <w:vAlign w:val="center"/>
          </w:tcPr>
          <w:p>
            <w:pPr>
              <w:pStyle w:val="TableContents"/>
              <w:bidi w:val="0"/>
              <w:spacing w:before="0" w:after="283"/>
              <w:jc w:val="left"/>
              <w:rPr/>
            </w:pPr>
            <w:r>
              <w:rPr/>
              <w:t>Forfeitures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(12,294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14.43</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5225" w:type="dxa"/>
            <w:tcBorders/>
            <w:vAlign w:val="center"/>
          </w:tcPr>
          <w:p>
            <w:pPr>
              <w:pStyle w:val="TableContents"/>
              <w:bidi w:val="0"/>
              <w:spacing w:before="0" w:after="283"/>
              <w:jc w:val="left"/>
              <w:rPr/>
            </w:pPr>
            <w:r>
              <w:rPr/>
              <w:t>Units outstanding and unearned at June 30, 2025</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195,513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14.35</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Represents RSU forfeitures primarily related to the execution of the separation agreement with the former Chief Executive Officer and former Senior Vice President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RSU activity to the Company’s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2"/>
        <w:gridCol w:w="90"/>
        <w:gridCol w:w="357"/>
        <w:gridCol w:w="861"/>
        <w:gridCol w:w="262"/>
        <w:gridCol w:w="188"/>
        <w:gridCol w:w="357"/>
        <w:gridCol w:w="861"/>
        <w:gridCol w:w="125"/>
        <w:gridCol w:w="90"/>
        <w:gridCol w:w="296"/>
        <w:gridCol w:w="844"/>
        <w:gridCol w:w="217"/>
        <w:gridCol w:w="156"/>
        <w:gridCol w:w="296"/>
        <w:gridCol w:w="844"/>
        <w:gridCol w:w="169"/>
      </w:tblGrid>
      <w:tr>
        <w:trPr/>
        <w:tc>
          <w:tcPr>
            <w:tcW w:w="4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69" w:type="dxa"/>
            <w:tcBorders/>
            <w:vAlign w:val="center"/>
          </w:tcPr>
          <w:p>
            <w:pPr>
              <w:pStyle w:val="TableContents"/>
              <w:bidi w:val="0"/>
              <w:spacing w:before="0" w:after="283"/>
              <w:jc w:val="left"/>
              <w:rPr/>
            </w:pPr>
            <w:r>
              <w:rPr/>
              <w:t> </w:t>
            </w:r>
          </w:p>
        </w:tc>
      </w:tr>
      <w:tr>
        <w:trPr/>
        <w:tc>
          <w:tcPr>
            <w:tcW w:w="4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6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69" w:type="dxa"/>
            <w:tcBorders/>
            <w:vAlign w:val="center"/>
          </w:tcPr>
          <w:p>
            <w:pPr>
              <w:pStyle w:val="TableContents"/>
              <w:bidi w:val="0"/>
              <w:spacing w:before="0" w:after="283"/>
              <w:jc w:val="left"/>
              <w:rPr/>
            </w:pPr>
            <w:r>
              <w:rPr/>
              <w:t> </w:t>
            </w:r>
          </w:p>
        </w:tc>
      </w:tr>
      <w:tr>
        <w:trPr/>
        <w:tc>
          <w:tcPr>
            <w:tcW w:w="4192" w:type="dxa"/>
            <w:tcBorders/>
            <w:shd w:fill="CCEEFF" w:val="clear"/>
            <w:vAlign w:val="center"/>
          </w:tcPr>
          <w:p>
            <w:pPr>
              <w:pStyle w:val="TableContents"/>
              <w:bidi w:val="0"/>
              <w:spacing w:before="0" w:after="283"/>
              <w:jc w:val="left"/>
              <w:rPr/>
            </w:pPr>
            <w:r>
              <w:rPr/>
              <w:t>RSU compensation expense</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861" w:type="dxa"/>
            <w:tcBorders/>
            <w:shd w:fill="CCEEFF" w:val="clear"/>
            <w:vAlign w:val="center"/>
          </w:tcPr>
          <w:p>
            <w:pPr>
              <w:pStyle w:val="TableContents"/>
              <w:bidi w:val="0"/>
              <w:spacing w:before="0" w:after="283"/>
              <w:jc w:val="right"/>
              <w:rPr/>
            </w:pPr>
            <w:r>
              <w:rPr/>
              <w:t>233</w:t>
            </w:r>
          </w:p>
        </w:tc>
        <w:tc>
          <w:tcPr>
            <w:tcW w:w="26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861" w:type="dxa"/>
            <w:tcBorders/>
            <w:shd w:fill="CCEEFF" w:val="clear"/>
            <w:vAlign w:val="center"/>
          </w:tcPr>
          <w:p>
            <w:pPr>
              <w:pStyle w:val="TableContents"/>
              <w:bidi w:val="0"/>
              <w:spacing w:before="0" w:after="283"/>
              <w:jc w:val="right"/>
              <w:rPr/>
            </w:pPr>
            <w:r>
              <w:rPr/>
              <w:t>371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696</w:t>
            </w:r>
          </w:p>
        </w:tc>
        <w:tc>
          <w:tcPr>
            <w:tcW w:w="21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767</w:t>
            </w:r>
          </w:p>
        </w:tc>
        <w:tc>
          <w:tcPr>
            <w:tcW w:w="169" w:type="dxa"/>
            <w:tcBorders/>
            <w:shd w:fill="CCEEFF" w:val="clear"/>
            <w:vAlign w:val="center"/>
          </w:tcPr>
          <w:p>
            <w:pPr>
              <w:pStyle w:val="TableContents"/>
              <w:bidi w:val="0"/>
              <w:spacing w:before="0" w:after="283"/>
              <w:ind w:left="0" w:right="0" w:hanging="216"/>
              <w:jc w:val="left"/>
              <w:rPr/>
            </w:pPr>
            <w:r>
              <w:rPr/>
              <w:t> </w:t>
            </w:r>
          </w:p>
        </w:tc>
      </w:tr>
      <w:tr>
        <w:trPr/>
        <w:tc>
          <w:tcPr>
            <w:tcW w:w="4192"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357" w:type="dxa"/>
            <w:tcBorders>
              <w:bottom w:val="single" w:sz="8" w:space="0" w:color="000000"/>
            </w:tcBorders>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tcMar>
              <w:bottom w:w="28" w:type="dxa"/>
            </w:tcMar>
            <w:vAlign w:val="center"/>
          </w:tcPr>
          <w:p>
            <w:pPr>
              <w:pStyle w:val="TableContents"/>
              <w:bidi w:val="0"/>
              <w:spacing w:before="0" w:after="283"/>
              <w:jc w:val="right"/>
              <w:rPr/>
            </w:pPr>
            <w:r>
              <w:rPr/>
              <w:t>(53</w:t>
            </w:r>
          </w:p>
        </w:tc>
        <w:tc>
          <w:tcPr>
            <w:tcW w:w="262"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 </w:t>
            </w:r>
          </w:p>
        </w:tc>
        <w:tc>
          <w:tcPr>
            <w:tcW w:w="357" w:type="dxa"/>
            <w:tcBorders>
              <w:bottom w:val="single" w:sz="8" w:space="0" w:color="000000"/>
            </w:tcBorders>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tcMar>
              <w:bottom w:w="28" w:type="dxa"/>
            </w:tcMar>
            <w:vAlign w:val="center"/>
          </w:tcPr>
          <w:p>
            <w:pPr>
              <w:pStyle w:val="TableContents"/>
              <w:bidi w:val="0"/>
              <w:spacing w:before="0" w:after="283"/>
              <w:jc w:val="right"/>
              <w:rPr/>
            </w:pPr>
            <w:r>
              <w:rPr/>
              <w:t>(84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(158</w:t>
            </w:r>
          </w:p>
        </w:tc>
        <w:tc>
          <w:tcPr>
            <w:tcW w:w="217"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(174</w:t>
            </w:r>
          </w:p>
        </w:tc>
        <w:tc>
          <w:tcPr>
            <w:tcW w:w="169" w:type="dxa"/>
            <w:tcBorders/>
            <w:vAlign w:val="center"/>
          </w:tcPr>
          <w:p>
            <w:pPr>
              <w:pStyle w:val="TableContents"/>
              <w:bidi w:val="0"/>
              <w:spacing w:before="0" w:after="283"/>
              <w:ind w:left="0" w:right="0" w:hanging="216"/>
              <w:jc w:val="left"/>
              <w:rPr/>
            </w:pPr>
            <w:r>
              <w:rPr/>
              <w:t>)</w:t>
            </w:r>
          </w:p>
        </w:tc>
      </w:tr>
      <w:tr>
        <w:trPr/>
        <w:tc>
          <w:tcPr>
            <w:tcW w:w="4192" w:type="dxa"/>
            <w:tcBorders/>
            <w:shd w:fill="CCEEFF" w:val="clear"/>
            <w:vAlign w:val="center"/>
          </w:tcPr>
          <w:p>
            <w:pPr>
              <w:pStyle w:val="TableContents"/>
              <w:bidi w:val="0"/>
              <w:spacing w:before="0" w:after="283"/>
              <w:jc w:val="left"/>
              <w:rPr/>
            </w:pPr>
            <w:r>
              <w:rPr/>
              <w:t>RSU compensation expense, net of income taxes</w:t>
            </w:r>
          </w:p>
        </w:tc>
        <w:tc>
          <w:tcPr>
            <w:tcW w:w="90" w:type="dxa"/>
            <w:tcBorders/>
            <w:shd w:fill="CCEEFF" w:val="clear"/>
            <w:vAlign w:val="center"/>
          </w:tcPr>
          <w:p>
            <w:pPr>
              <w:pStyle w:val="TableContents"/>
              <w:bidi w:val="0"/>
              <w:spacing w:before="0" w:after="283"/>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pPr>
            <w:r>
              <w:rPr/>
              <w:t>180</w:t>
            </w:r>
          </w:p>
        </w:tc>
        <w:tc>
          <w:tcPr>
            <w:tcW w:w="262"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pPr>
            <w:r>
              <w:rPr/>
              <w:t>287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538</w:t>
            </w:r>
          </w:p>
        </w:tc>
        <w:tc>
          <w:tcPr>
            <w:tcW w:w="21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593</w:t>
            </w:r>
          </w:p>
        </w:tc>
        <w:tc>
          <w:tcPr>
            <w:tcW w:w="16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there was $2,044 of unrecognized compensation cost related to outstanding RSUs. That cost is expected to be recognized over a weighted-average period of 2.25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For grants made in 2024, the performance metric is calculated based on an adjusted return on equity over a three-year period, with annual resets. There were no PSUs granted in 2025.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PSUs is presented below:</w:t>
      </w:r>
    </w:p>
    <w:p>
      <w:pPr>
        <w:pStyle w:val="TextBody"/>
        <w:bidi w:val="0"/>
        <w:spacing w:before="0" w:after="0"/>
        <w:ind w:left="0" w:right="0" w:hanging="0"/>
        <w:jc w:val="left"/>
        <w:rPr>
          <w:caps w:val="false"/>
          <w:smallCaps w:val="false"/>
        </w:rPr>
      </w:pPr>
      <w:r>
        <w:rPr>
          <w:caps w:val="false"/>
          <w:smallCaps w:val="false"/>
        </w:rPr>
        <w:t> </w:t>
      </w:r>
    </w:p>
    <w:tbl>
      <w:tblPr>
        <w:tblW w:w="7280" w:type="dxa"/>
        <w:jc w:val="left"/>
        <w:tblInd w:w="0" w:type="dxa"/>
        <w:tblLayout w:type="fixed"/>
        <w:tblCellMar>
          <w:top w:w="0" w:type="dxa"/>
          <w:left w:w="0" w:type="dxa"/>
          <w:bottom w:w="0" w:type="dxa"/>
          <w:right w:w="0" w:type="dxa"/>
        </w:tblCellMar>
      </w:tblPr>
      <w:tblGrid>
        <w:gridCol w:w="3890"/>
        <w:gridCol w:w="90"/>
        <w:gridCol w:w="90"/>
        <w:gridCol w:w="905"/>
        <w:gridCol w:w="125"/>
        <w:gridCol w:w="90"/>
        <w:gridCol w:w="437"/>
        <w:gridCol w:w="1518"/>
        <w:gridCol w:w="135"/>
      </w:tblGrid>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PSUs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 xml:space="preserve">Grant-Date </w:t>
              <w:br/>
              <w:t xml:space="preserve">Fair Value </w:t>
              <w:br/>
              <w:t>Per Share</w:t>
            </w:r>
          </w:p>
        </w:tc>
        <w:tc>
          <w:tcPr>
            <w:tcW w:w="13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Units outstanding at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213,800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16.53</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pPr>
            <w:r>
              <w:rPr/>
              <w:t>PSUs granted during 2024 (at target)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79,800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14.19</w:t>
            </w:r>
          </w:p>
        </w:tc>
        <w:tc>
          <w:tcPr>
            <w:tcW w:w="13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PSUs earned during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(147,173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16.14</w:t>
            </w:r>
          </w:p>
        </w:tc>
        <w:tc>
          <w:tcPr>
            <w:tcW w:w="13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sz w:val="20"/>
              </w:rPr>
            </w:pPr>
            <w:r>
              <w:rPr>
                <w:sz w:val="20"/>
              </w:rPr>
              <w:t xml:space="preserve">Forfeitures </w:t>
            </w:r>
            <w:r>
              <w:rPr>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(120,100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15.23</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pPr>
            <w:r>
              <w:rPr/>
              <w:t>Units outstanding at December 31, 2024</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pPr>
            <w:r>
              <w:rPr/>
              <w:t>26,327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17.50</w:t>
            </w:r>
          </w:p>
        </w:tc>
        <w:tc>
          <w:tcPr>
            <w:tcW w:w="13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pPr>
            <w:r>
              <w:rPr/>
              <w:t>PSUs granted during 2025 (at target)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PSUs earned during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Forfeitures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(4,601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14.19</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pPr>
            <w:r>
              <w:rPr/>
              <w:t>Units outstanding at June 30, 2025</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21,726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18.20</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Represents the change in PSUs issued based upon the attainment of performance goals established by the Company.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Represents PSU forfeitures primarily related to the execution of the separation agreements with the former Chief Executive Officer and former Senior Vice President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PSU activity to the Company’s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7"/>
        <w:gridCol w:w="90"/>
        <w:gridCol w:w="400"/>
        <w:gridCol w:w="667"/>
        <w:gridCol w:w="287"/>
        <w:gridCol w:w="207"/>
        <w:gridCol w:w="391"/>
        <w:gridCol w:w="943"/>
        <w:gridCol w:w="125"/>
        <w:gridCol w:w="90"/>
        <w:gridCol w:w="365"/>
        <w:gridCol w:w="607"/>
        <w:gridCol w:w="261"/>
        <w:gridCol w:w="188"/>
        <w:gridCol w:w="355"/>
        <w:gridCol w:w="859"/>
        <w:gridCol w:w="173"/>
      </w:tblGrid>
      <w:tr>
        <w:trPr/>
        <w:tc>
          <w:tcPr>
            <w:tcW w:w="41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3" w:type="dxa"/>
            <w:tcBorders/>
            <w:vAlign w:val="center"/>
          </w:tcPr>
          <w:p>
            <w:pPr>
              <w:pStyle w:val="TableContents"/>
              <w:bidi w:val="0"/>
              <w:spacing w:before="0" w:after="283"/>
              <w:jc w:val="left"/>
              <w:rPr/>
            </w:pPr>
            <w:r>
              <w:rPr/>
              <w:t> </w:t>
            </w:r>
          </w:p>
        </w:tc>
      </w:tr>
      <w:tr>
        <w:trPr/>
        <w:tc>
          <w:tcPr>
            <w:tcW w:w="41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8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61"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3" w:type="dxa"/>
            <w:tcBorders/>
            <w:vAlign w:val="center"/>
          </w:tcPr>
          <w:p>
            <w:pPr>
              <w:pStyle w:val="TableContents"/>
              <w:bidi w:val="0"/>
              <w:spacing w:before="0" w:after="283"/>
              <w:jc w:val="left"/>
              <w:rPr/>
            </w:pPr>
            <w:r>
              <w:rPr/>
              <w:t> </w:t>
            </w:r>
          </w:p>
        </w:tc>
      </w:tr>
      <w:tr>
        <w:trPr/>
        <w:tc>
          <w:tcPr>
            <w:tcW w:w="4197" w:type="dxa"/>
            <w:tcBorders/>
            <w:shd w:fill="CCEEFF" w:val="clear"/>
            <w:vAlign w:val="center"/>
          </w:tcPr>
          <w:p>
            <w:pPr>
              <w:pStyle w:val="TableContents"/>
              <w:bidi w:val="0"/>
              <w:spacing w:before="0" w:after="283"/>
              <w:jc w:val="left"/>
              <w:rPr/>
            </w:pPr>
            <w:r>
              <w:rPr/>
              <w:t>PSU compensation expense</w:t>
            </w:r>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667" w:type="dxa"/>
            <w:tcBorders/>
            <w:shd w:fill="CCEEFF" w:val="clear"/>
            <w:vAlign w:val="center"/>
          </w:tcPr>
          <w:p>
            <w:pPr>
              <w:pStyle w:val="TableContents"/>
              <w:bidi w:val="0"/>
              <w:spacing w:before="0" w:after="283"/>
              <w:jc w:val="right"/>
              <w:rPr/>
            </w:pPr>
            <w:r>
              <w:rPr/>
              <w:t>11</w:t>
            </w:r>
          </w:p>
        </w:tc>
        <w:tc>
          <w:tcPr>
            <w:tcW w:w="28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28</w:t>
            </w:r>
          </w:p>
        </w:tc>
        <w:tc>
          <w:tcPr>
            <w:tcW w:w="2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369</w:t>
            </w:r>
          </w:p>
        </w:tc>
        <w:tc>
          <w:tcPr>
            <w:tcW w:w="173" w:type="dxa"/>
            <w:tcBorders/>
            <w:shd w:fill="CCEEFF" w:val="clear"/>
            <w:vAlign w:val="center"/>
          </w:tcPr>
          <w:p>
            <w:pPr>
              <w:pStyle w:val="TableContents"/>
              <w:bidi w:val="0"/>
              <w:spacing w:before="0" w:after="283"/>
              <w:ind w:left="0" w:right="0" w:hanging="216"/>
              <w:jc w:val="left"/>
              <w:rPr/>
            </w:pPr>
            <w:r>
              <w:rPr/>
              <w:t> </w:t>
            </w:r>
          </w:p>
        </w:tc>
      </w:tr>
      <w:tr>
        <w:trPr/>
        <w:tc>
          <w:tcPr>
            <w:tcW w:w="4197"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tcMar>
              <w:bottom w:w="28" w:type="dxa"/>
            </w:tcMar>
            <w:vAlign w:val="center"/>
          </w:tcPr>
          <w:p>
            <w:pPr>
              <w:pStyle w:val="TableContents"/>
              <w:bidi w:val="0"/>
              <w:spacing w:before="0" w:after="283"/>
              <w:jc w:val="right"/>
              <w:rPr/>
            </w:pPr>
            <w:r>
              <w:rPr/>
              <w:t>(2</w:t>
            </w:r>
          </w:p>
        </w:tc>
        <w:tc>
          <w:tcPr>
            <w:tcW w:w="287" w:type="dxa"/>
            <w:tcBorders/>
            <w:vAlign w:val="center"/>
          </w:tcPr>
          <w:p>
            <w:pPr>
              <w:pStyle w:val="TableContents"/>
              <w:bidi w:val="0"/>
              <w:spacing w:before="0" w:after="283"/>
              <w:jc w:val="left"/>
              <w:rPr/>
            </w:pPr>
            <w:r>
              <w:rPr/>
              <w:t>)</w:t>
            </w:r>
          </w:p>
        </w:tc>
        <w:tc>
          <w:tcPr>
            <w:tcW w:w="207" w:type="dxa"/>
            <w:tcBorders/>
            <w:vAlign w:val="center"/>
          </w:tcPr>
          <w:p>
            <w:pPr>
              <w:pStyle w:val="TableContents"/>
              <w:bidi w:val="0"/>
              <w:spacing w:before="0" w:after="283"/>
              <w:jc w:val="left"/>
              <w:rPr/>
            </w:pPr>
            <w:r>
              <w:rPr/>
              <w:t> </w:t>
            </w:r>
          </w:p>
        </w:tc>
        <w:tc>
          <w:tcPr>
            <w:tcW w:w="391" w:type="dxa"/>
            <w:tcBorders>
              <w:bottom w:val="single" w:sz="8" w:space="0" w:color="000000"/>
            </w:tcBorders>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tcMar>
              <w:bottom w:w="28" w:type="dxa"/>
            </w:tcMar>
            <w:vAlign w:val="center"/>
          </w:tcPr>
          <w:p>
            <w:pPr>
              <w:pStyle w:val="TableContents"/>
              <w:bidi w:val="0"/>
              <w:spacing w:before="0" w:after="283"/>
              <w:jc w:val="right"/>
              <w:rPr/>
            </w:pPr>
            <w:r>
              <w:rPr/>
              <w:t>(42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65" w:type="dxa"/>
            <w:tcBorders>
              <w:bottom w:val="single" w:sz="8" w:space="0" w:color="000000"/>
            </w:tcBorders>
            <w:tcMar>
              <w:bottom w:w="28" w:type="dxa"/>
            </w:tcMar>
            <w:vAlign w:val="center"/>
          </w:tcPr>
          <w:p>
            <w:pPr>
              <w:pStyle w:val="TableContents"/>
              <w:bidi w:val="0"/>
              <w:spacing w:before="0" w:after="283"/>
              <w:jc w:val="left"/>
              <w:rPr/>
            </w:pPr>
            <w:r>
              <w:rPr/>
              <w:t> </w:t>
            </w:r>
          </w:p>
        </w:tc>
        <w:tc>
          <w:tcPr>
            <w:tcW w:w="607" w:type="dxa"/>
            <w:tcBorders>
              <w:bottom w:val="single" w:sz="8" w:space="0" w:color="000000"/>
            </w:tcBorders>
            <w:tcMar>
              <w:bottom w:w="28" w:type="dxa"/>
            </w:tcMar>
            <w:vAlign w:val="center"/>
          </w:tcPr>
          <w:p>
            <w:pPr>
              <w:pStyle w:val="TableContents"/>
              <w:bidi w:val="0"/>
              <w:spacing w:before="0" w:after="283"/>
              <w:jc w:val="right"/>
              <w:rPr/>
            </w:pPr>
            <w:r>
              <w:rPr/>
              <w:t>(6</w:t>
            </w:r>
          </w:p>
        </w:tc>
        <w:tc>
          <w:tcPr>
            <w:tcW w:w="261"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 </w:t>
            </w:r>
          </w:p>
        </w:tc>
        <w:tc>
          <w:tcPr>
            <w:tcW w:w="355" w:type="dxa"/>
            <w:tcBorders>
              <w:bottom w:val="single" w:sz="8" w:space="0" w:color="000000"/>
            </w:tcBorders>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tcMar>
              <w:bottom w:w="28" w:type="dxa"/>
            </w:tcMar>
            <w:vAlign w:val="center"/>
          </w:tcPr>
          <w:p>
            <w:pPr>
              <w:pStyle w:val="TableContents"/>
              <w:bidi w:val="0"/>
              <w:spacing w:before="0" w:after="283"/>
              <w:jc w:val="right"/>
              <w:rPr/>
            </w:pPr>
            <w:r>
              <w:rPr/>
              <w:t>(84</w:t>
            </w:r>
          </w:p>
        </w:tc>
        <w:tc>
          <w:tcPr>
            <w:tcW w:w="173" w:type="dxa"/>
            <w:tcBorders/>
            <w:vAlign w:val="center"/>
          </w:tcPr>
          <w:p>
            <w:pPr>
              <w:pStyle w:val="TableContents"/>
              <w:bidi w:val="0"/>
              <w:spacing w:before="0" w:after="283"/>
              <w:ind w:left="0" w:right="0" w:hanging="216"/>
              <w:jc w:val="left"/>
              <w:rPr/>
            </w:pPr>
            <w:r>
              <w:rPr/>
              <w:t>)</w:t>
            </w:r>
          </w:p>
        </w:tc>
      </w:tr>
      <w:tr>
        <w:trPr/>
        <w:tc>
          <w:tcPr>
            <w:tcW w:w="4197" w:type="dxa"/>
            <w:tcBorders/>
            <w:shd w:fill="CCEEFF" w:val="clear"/>
            <w:vAlign w:val="center"/>
          </w:tcPr>
          <w:p>
            <w:pPr>
              <w:pStyle w:val="TableContents"/>
              <w:bidi w:val="0"/>
              <w:spacing w:before="0" w:after="283"/>
              <w:jc w:val="left"/>
              <w:rPr/>
            </w:pPr>
            <w:r>
              <w:rPr/>
              <w:t>PSU compensation expense, net of income taxes</w:t>
            </w:r>
          </w:p>
        </w:tc>
        <w:tc>
          <w:tcPr>
            <w:tcW w:w="90" w:type="dxa"/>
            <w:tcBorders/>
            <w:shd w:fill="CCEEFF" w:val="clear"/>
            <w:vAlign w:val="center"/>
          </w:tcPr>
          <w:p>
            <w:pPr>
              <w:pStyle w:val="TableContents"/>
              <w:bidi w:val="0"/>
              <w:spacing w:before="0" w:after="283"/>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7" w:type="dxa"/>
            <w:tcBorders>
              <w:bottom w:val="double" w:sz="6" w:space="0" w:color="000000"/>
            </w:tcBorders>
            <w:shd w:fill="CCEEFF" w:val="clear"/>
            <w:tcMar>
              <w:bottom w:w="28" w:type="dxa"/>
            </w:tcMar>
            <w:vAlign w:val="center"/>
          </w:tcPr>
          <w:p>
            <w:pPr>
              <w:pStyle w:val="TableContents"/>
              <w:bidi w:val="0"/>
              <w:spacing w:before="0" w:after="283"/>
              <w:jc w:val="right"/>
              <w:rPr/>
            </w:pPr>
            <w:r>
              <w:rPr/>
              <w:t>9</w:t>
            </w:r>
          </w:p>
        </w:tc>
        <w:tc>
          <w:tcPr>
            <w:tcW w:w="28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jc w:val="right"/>
              <w:rPr/>
            </w:pPr>
            <w:r>
              <w:rPr/>
              <w:t>142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7" w:type="dxa"/>
            <w:tcBorders>
              <w:bottom w:val="double" w:sz="6" w:space="0" w:color="000000"/>
            </w:tcBorders>
            <w:shd w:fill="CCEEFF" w:val="clear"/>
            <w:tcMar>
              <w:bottom w:w="28" w:type="dxa"/>
            </w:tcMar>
            <w:vAlign w:val="center"/>
          </w:tcPr>
          <w:p>
            <w:pPr>
              <w:pStyle w:val="TableContents"/>
              <w:bidi w:val="0"/>
              <w:spacing w:before="0" w:after="283"/>
              <w:jc w:val="right"/>
              <w:rPr/>
            </w:pPr>
            <w:r>
              <w:rPr/>
              <w:t>22</w:t>
            </w:r>
          </w:p>
        </w:tc>
        <w:tc>
          <w:tcPr>
            <w:tcW w:w="2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pPr>
            <w:r>
              <w:rPr/>
              <w:t>285</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200% of the initial target awards. During the year ended December 31, 2024, the previously recognized compensation expense related to the PSU awards granted during 2024 was reduced as a result of a performance adjustment, and the compensation expense related to the PSU awards granted during 2023 was eliminated due to the Company's expectation that the threshold performance goal will not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there was $163 of unrecognized compensation cost related to outstanding PSUs. That cost is expected to be recognized over a weighted-average period of 1.66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350"/>
        <w:gridCol w:w="3950"/>
      </w:tblGrid>
      <w:tr>
        <w:trPr/>
        <w:tc>
          <w:tcPr>
            <w:tcW w:w="350" w:type="dxa"/>
            <w:tcBorders/>
            <w:vAlign w:val="center"/>
          </w:tcPr>
          <w:p>
            <w:pPr>
              <w:pStyle w:val="TableContents"/>
              <w:bidi w:val="0"/>
              <w:spacing w:before="0" w:after="283"/>
              <w:jc w:val="left"/>
              <w:rPr>
                <w:b/>
              </w:rPr>
            </w:pPr>
            <w:r>
              <w:rPr>
                <w:b/>
              </w:rPr>
              <w:t>18.</w:t>
            </w:r>
          </w:p>
        </w:tc>
        <w:tc>
          <w:tcPr>
            <w:tcW w:w="3950" w:type="dxa"/>
            <w:tcBorders/>
            <w:vAlign w:val="center"/>
          </w:tcPr>
          <w:p>
            <w:pPr>
              <w:pStyle w:val="TableContents"/>
              <w:bidi w:val="0"/>
              <w:spacing w:before="0" w:after="283"/>
              <w:jc w:val="left"/>
              <w:rPr>
                <w:b/>
              </w:rPr>
            </w:pPr>
            <w:r>
              <w:rPr>
                <w:b/>
              </w:rPr>
              <w:t>Allowance for Expected Credit Losses</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Premiums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balances of premiums and agents’ balances receivable, net of the allowance for expected credit losses as of June 30, 2025 and 2024, and the changes in the allowance for expected credit losses for the three and six months ended June 30, 2025 and 2024, for continuing and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7"/>
        <w:gridCol w:w="90"/>
        <w:gridCol w:w="348"/>
        <w:gridCol w:w="1208"/>
        <w:gridCol w:w="134"/>
        <w:gridCol w:w="134"/>
        <w:gridCol w:w="398"/>
        <w:gridCol w:w="1060"/>
        <w:gridCol w:w="125"/>
        <w:gridCol w:w="90"/>
        <w:gridCol w:w="410"/>
        <w:gridCol w:w="1275"/>
        <w:gridCol w:w="156"/>
        <w:gridCol w:w="156"/>
        <w:gridCol w:w="436"/>
        <w:gridCol w:w="1022"/>
        <w:gridCol w:w="176"/>
      </w:tblGrid>
      <w:tr>
        <w:trPr/>
        <w:tc>
          <w:tcPr>
            <w:tcW w:w="2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Three Months</w:t>
              <w:br/>
              <w:t>Ended June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Ended </w:t>
              <w:br/>
              <w:t>June 30, 2024</w:t>
            </w:r>
          </w:p>
        </w:tc>
        <w:tc>
          <w:tcPr>
            <w:tcW w:w="176" w:type="dxa"/>
            <w:tcBorders/>
            <w:vAlign w:val="center"/>
          </w:tcPr>
          <w:p>
            <w:pPr>
              <w:pStyle w:val="TableContents"/>
              <w:bidi w:val="0"/>
              <w:spacing w:before="0" w:after="283"/>
              <w:jc w:val="left"/>
              <w:rPr/>
            </w:pPr>
            <w:r>
              <w:rPr/>
              <w:t> </w:t>
            </w:r>
          </w:p>
        </w:tc>
      </w:tr>
      <w:tr>
        <w:trPr/>
        <w:tc>
          <w:tcPr>
            <w:tcW w:w="2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Agents’ Balances</w:t>
              <w:br/>
              <w:t>Receivable, Net of</w:t>
              <w:br/>
              <w:t>Allowance for</w:t>
              <w:br/>
              <w:t>Expected Credit</w:t>
              <w:br/>
              <w:t>Losses</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 xml:space="preserve">Allowance for </w:t>
              <w:br/>
              <w:t>Expected Credit</w:t>
              <w:br/>
              <w:t>Losses</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 xml:space="preserve">Expected Credit </w:t>
              <w:br/>
              <w:t>Losses</w:t>
            </w:r>
          </w:p>
        </w:tc>
        <w:tc>
          <w:tcPr>
            <w:tcW w:w="176" w:type="dxa"/>
            <w:tcBorders/>
            <w:vAlign w:val="center"/>
          </w:tcPr>
          <w:p>
            <w:pPr>
              <w:pStyle w:val="TableContents"/>
              <w:bidi w:val="0"/>
              <w:spacing w:before="0" w:after="283"/>
              <w:jc w:val="left"/>
              <w:rPr/>
            </w:pPr>
            <w:r>
              <w:rPr/>
              <w:t> </w:t>
            </w:r>
          </w:p>
        </w:tc>
      </w:tr>
      <w:tr>
        <w:trPr/>
        <w:tc>
          <w:tcPr>
            <w:tcW w:w="2987"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2987"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348" w:type="dxa"/>
            <w:tcBorders>
              <w:bottom w:val="double" w:sz="6" w:space="0" w:color="000000"/>
            </w:tcBorders>
            <w:tcMar>
              <w:bottom w:w="28" w:type="dxa"/>
            </w:tcMar>
            <w:vAlign w:val="center"/>
          </w:tcPr>
          <w:p>
            <w:pPr>
              <w:pStyle w:val="TableContents"/>
              <w:bidi w:val="0"/>
              <w:spacing w:before="0" w:after="283"/>
              <w:jc w:val="left"/>
              <w:rPr/>
            </w:pPr>
            <w:r>
              <w:rPr/>
              <w:t>$</w:t>
            </w:r>
          </w:p>
        </w:tc>
        <w:tc>
          <w:tcPr>
            <w:tcW w:w="1208" w:type="dxa"/>
            <w:tcBorders>
              <w:bottom w:val="double" w:sz="6" w:space="0" w:color="000000"/>
            </w:tcBorders>
            <w:tcMar>
              <w:bottom w:w="28" w:type="dxa"/>
            </w:tcMar>
            <w:vAlign w:val="center"/>
          </w:tcPr>
          <w:p>
            <w:pPr>
              <w:pStyle w:val="TableContents"/>
              <w:bidi w:val="0"/>
              <w:spacing w:before="0" w:after="283"/>
              <w:jc w:val="right"/>
              <w:rPr/>
            </w:pPr>
            <w:r>
              <w:rPr/>
              <w:t>49,220</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w:t>
            </w:r>
          </w:p>
        </w:tc>
        <w:tc>
          <w:tcPr>
            <w:tcW w:w="1060" w:type="dxa"/>
            <w:tcBorders/>
            <w:vAlign w:val="center"/>
          </w:tcPr>
          <w:p>
            <w:pPr>
              <w:pStyle w:val="TableContents"/>
              <w:bidi w:val="0"/>
              <w:spacing w:before="0" w:after="283"/>
              <w:jc w:val="right"/>
              <w:rPr/>
            </w:pPr>
            <w:r>
              <w:rPr/>
              <w:t>232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bottom w:val="double" w:sz="6" w:space="0" w:color="000000"/>
            </w:tcBorders>
            <w:tcMar>
              <w:bottom w:w="28" w:type="dxa"/>
            </w:tcMar>
            <w:vAlign w:val="center"/>
          </w:tcPr>
          <w:p>
            <w:pPr>
              <w:pStyle w:val="TableContents"/>
              <w:bidi w:val="0"/>
              <w:spacing w:before="0" w:after="283"/>
              <w:jc w:val="left"/>
              <w:rPr/>
            </w:pPr>
            <w:r>
              <w:rPr/>
              <w:t>$</w:t>
            </w:r>
          </w:p>
        </w:tc>
        <w:tc>
          <w:tcPr>
            <w:tcW w:w="1275" w:type="dxa"/>
            <w:tcBorders>
              <w:bottom w:val="double" w:sz="6" w:space="0" w:color="000000"/>
            </w:tcBorders>
            <w:tcMar>
              <w:bottom w:w="28" w:type="dxa"/>
            </w:tcMar>
            <w:vAlign w:val="center"/>
          </w:tcPr>
          <w:p>
            <w:pPr>
              <w:pStyle w:val="TableContents"/>
              <w:bidi w:val="0"/>
              <w:spacing w:before="0" w:after="283"/>
              <w:jc w:val="right"/>
              <w:rPr/>
            </w:pPr>
            <w:r>
              <w:rPr/>
              <w:t>59,979</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w:t>
            </w:r>
          </w:p>
        </w:tc>
        <w:tc>
          <w:tcPr>
            <w:tcW w:w="1022" w:type="dxa"/>
            <w:tcBorders/>
            <w:vAlign w:val="center"/>
          </w:tcPr>
          <w:p>
            <w:pPr>
              <w:pStyle w:val="TableContents"/>
              <w:bidi w:val="0"/>
              <w:spacing w:before="0" w:after="283"/>
              <w:jc w:val="right"/>
              <w:rPr/>
            </w:pPr>
            <w:r>
              <w:rPr/>
              <w:t>216</w:t>
            </w:r>
          </w:p>
        </w:tc>
        <w:tc>
          <w:tcPr>
            <w:tcW w:w="176" w:type="dxa"/>
            <w:tcBorders/>
            <w:vAlign w:val="center"/>
          </w:tcPr>
          <w:p>
            <w:pPr>
              <w:pStyle w:val="TableContents"/>
              <w:bidi w:val="0"/>
              <w:spacing w:before="0" w:after="283"/>
              <w:jc w:val="left"/>
              <w:rPr/>
            </w:pPr>
            <w:r>
              <w:rPr/>
              <w:t> </w:t>
            </w:r>
          </w:p>
        </w:tc>
      </w:tr>
      <w:tr>
        <w:trPr/>
        <w:tc>
          <w:tcPr>
            <w:tcW w:w="298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2987" w:type="dxa"/>
            <w:tcBorders/>
            <w:vAlign w:val="center"/>
          </w:tcPr>
          <w:p>
            <w:pPr>
              <w:pStyle w:val="TableContents"/>
              <w:bidi w:val="0"/>
              <w:spacing w:before="0" w:after="283"/>
              <w:jc w:val="left"/>
              <w:rPr/>
            </w:pPr>
            <w:r>
              <w:rPr/>
              <w:t>Current period charge for expected credit losses</w:t>
            </w:r>
          </w:p>
        </w:tc>
        <w:tc>
          <w:tcPr>
            <w:tcW w:w="9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376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251</w:t>
            </w:r>
          </w:p>
        </w:tc>
        <w:tc>
          <w:tcPr>
            <w:tcW w:w="176" w:type="dxa"/>
            <w:tcBorders/>
            <w:vAlign w:val="center"/>
          </w:tcPr>
          <w:p>
            <w:pPr>
              <w:pStyle w:val="TableContents"/>
              <w:bidi w:val="0"/>
              <w:spacing w:before="0" w:after="283"/>
              <w:jc w:val="left"/>
              <w:rPr/>
            </w:pPr>
            <w:r>
              <w:rPr/>
              <w:t> </w:t>
            </w:r>
          </w:p>
        </w:tc>
      </w:tr>
      <w:tr>
        <w:trPr/>
        <w:tc>
          <w:tcPr>
            <w:tcW w:w="2987" w:type="dxa"/>
            <w:tcBorders/>
            <w:shd w:fill="CCEEFF" w:val="clear"/>
            <w:vAlign w:val="center"/>
          </w:tcPr>
          <w:p>
            <w:pPr>
              <w:pStyle w:val="TableContents"/>
              <w:bidi w:val="0"/>
              <w:spacing w:before="0" w:after="283"/>
              <w:jc w:val="left"/>
              <w:rPr/>
            </w:pPr>
            <w:r>
              <w:rPr/>
              <w:t>Write-offs of uncollectible premiums receivable</w:t>
            </w:r>
          </w:p>
        </w:tc>
        <w:tc>
          <w:tcPr>
            <w:tcW w:w="9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(295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2" w:type="dxa"/>
            <w:tcBorders>
              <w:bottom w:val="single" w:sz="8" w:space="0" w:color="000000"/>
            </w:tcBorders>
            <w:shd w:fill="CCEEFF" w:val="clear"/>
            <w:tcMar>
              <w:bottom w:w="28" w:type="dxa"/>
            </w:tcMar>
            <w:vAlign w:val="center"/>
          </w:tcPr>
          <w:p>
            <w:pPr>
              <w:pStyle w:val="TableContents"/>
              <w:bidi w:val="0"/>
              <w:spacing w:before="0" w:after="283"/>
              <w:jc w:val="right"/>
              <w:rPr/>
            </w:pPr>
            <w:r>
              <w:rPr/>
              <w:t>(119</w:t>
            </w:r>
          </w:p>
        </w:tc>
        <w:tc>
          <w:tcPr>
            <w:tcW w:w="176" w:type="dxa"/>
            <w:tcBorders/>
            <w:shd w:fill="CCEEFF" w:val="clear"/>
            <w:vAlign w:val="center"/>
          </w:tcPr>
          <w:p>
            <w:pPr>
              <w:pStyle w:val="TableContents"/>
              <w:bidi w:val="0"/>
              <w:spacing w:before="0" w:after="283"/>
              <w:jc w:val="left"/>
              <w:rPr/>
            </w:pPr>
            <w:r>
              <w:rPr/>
              <w:t>)</w:t>
            </w:r>
          </w:p>
        </w:tc>
      </w:tr>
      <w:tr>
        <w:trPr/>
        <w:tc>
          <w:tcPr>
            <w:tcW w:w="2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2987"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3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pPr>
            <w:r>
              <w:rPr/>
              <w:t>85,604</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3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pPr>
            <w:r>
              <w:rPr/>
              <w:t>313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5" w:type="dxa"/>
            <w:tcBorders>
              <w:bottom w:val="double" w:sz="6" w:space="0" w:color="000000"/>
            </w:tcBorders>
            <w:shd w:fill="CCEEFF" w:val="clear"/>
            <w:tcMar>
              <w:bottom w:w="28" w:type="dxa"/>
            </w:tcMar>
            <w:vAlign w:val="center"/>
          </w:tcPr>
          <w:p>
            <w:pPr>
              <w:pStyle w:val="TableContents"/>
              <w:bidi w:val="0"/>
              <w:spacing w:before="0" w:after="283"/>
              <w:jc w:val="right"/>
              <w:rPr/>
            </w:pPr>
            <w:r>
              <w:rPr/>
              <w:t>92,831</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2" w:type="dxa"/>
            <w:tcBorders>
              <w:bottom w:val="double" w:sz="6" w:space="0" w:color="000000"/>
            </w:tcBorders>
            <w:shd w:fill="CCEEFF" w:val="clear"/>
            <w:tcMar>
              <w:bottom w:w="28" w:type="dxa"/>
            </w:tcMar>
            <w:vAlign w:val="center"/>
          </w:tcPr>
          <w:p>
            <w:pPr>
              <w:pStyle w:val="TableContents"/>
              <w:bidi w:val="0"/>
              <w:spacing w:before="0" w:after="283"/>
              <w:jc w:val="right"/>
              <w:rPr/>
            </w:pPr>
            <w:r>
              <w:rPr/>
              <w:t>348</w:t>
            </w:r>
          </w:p>
        </w:tc>
        <w:tc>
          <w:tcPr>
            <w:tcW w:w="1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8"/>
        <w:gridCol w:w="90"/>
        <w:gridCol w:w="381"/>
        <w:gridCol w:w="1226"/>
        <w:gridCol w:w="148"/>
        <w:gridCol w:w="148"/>
        <w:gridCol w:w="422"/>
        <w:gridCol w:w="1038"/>
        <w:gridCol w:w="125"/>
        <w:gridCol w:w="90"/>
        <w:gridCol w:w="381"/>
        <w:gridCol w:w="1226"/>
        <w:gridCol w:w="148"/>
        <w:gridCol w:w="148"/>
        <w:gridCol w:w="422"/>
        <w:gridCol w:w="1038"/>
        <w:gridCol w:w="176"/>
      </w:tblGrid>
      <w:tr>
        <w:trPr/>
        <w:tc>
          <w:tcPr>
            <w:tcW w:w="29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Six Months Ended </w:t>
              <w:br/>
              <w:t>June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Six Months Ended </w:t>
              <w:br/>
              <w:t>June 30, 2024</w:t>
            </w:r>
          </w:p>
        </w:tc>
        <w:tc>
          <w:tcPr>
            <w:tcW w:w="176" w:type="dxa"/>
            <w:tcBorders/>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 xml:space="preserve">Allowance for </w:t>
              <w:br/>
              <w:t xml:space="preserve">Expected Credit </w:t>
              <w:br/>
              <w:t>Losses</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Receivable, Net of</w:t>
              <w:br/>
              <w:t>Allowance for</w:t>
              <w:br/>
              <w:t>Expected Credit</w:t>
              <w:br/>
              <w:t>Losses</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76" w:type="dxa"/>
            <w:tcBorders/>
            <w:vAlign w:val="center"/>
          </w:tcPr>
          <w:p>
            <w:pPr>
              <w:pStyle w:val="TableContents"/>
              <w:bidi w:val="0"/>
              <w:spacing w:before="0" w:after="283"/>
              <w:jc w:val="left"/>
              <w:rPr/>
            </w:pPr>
            <w:r>
              <w:rPr/>
              <w:t> </w:t>
            </w:r>
          </w:p>
        </w:tc>
      </w:tr>
      <w:tr>
        <w:trPr/>
        <w:tc>
          <w:tcPr>
            <w:tcW w:w="2998"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381" w:type="dxa"/>
            <w:tcBorders>
              <w:bottom w:val="double" w:sz="6" w:space="0" w:color="000000"/>
            </w:tcBorders>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tcMar>
              <w:bottom w:w="28" w:type="dxa"/>
            </w:tcMar>
            <w:vAlign w:val="center"/>
          </w:tcPr>
          <w:p>
            <w:pPr>
              <w:pStyle w:val="TableContents"/>
              <w:bidi w:val="0"/>
              <w:spacing w:before="0" w:after="283"/>
              <w:jc w:val="right"/>
              <w:rPr/>
            </w:pPr>
            <w:r>
              <w:rPr/>
              <w:t>52,907</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w:t>
            </w:r>
          </w:p>
        </w:tc>
        <w:tc>
          <w:tcPr>
            <w:tcW w:w="1038" w:type="dxa"/>
            <w:tcBorders/>
            <w:vAlign w:val="center"/>
          </w:tcPr>
          <w:p>
            <w:pPr>
              <w:pStyle w:val="TableContents"/>
              <w:bidi w:val="0"/>
              <w:spacing w:before="0" w:after="283"/>
              <w:jc w:val="right"/>
              <w:rPr/>
            </w:pPr>
            <w:r>
              <w:rPr/>
              <w:t>337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1" w:type="dxa"/>
            <w:tcBorders>
              <w:bottom w:val="double" w:sz="6" w:space="0" w:color="000000"/>
            </w:tcBorders>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tcMar>
              <w:bottom w:w="28" w:type="dxa"/>
            </w:tcMar>
            <w:vAlign w:val="center"/>
          </w:tcPr>
          <w:p>
            <w:pPr>
              <w:pStyle w:val="TableContents"/>
              <w:bidi w:val="0"/>
              <w:spacing w:before="0" w:after="283"/>
              <w:jc w:val="right"/>
              <w:rPr/>
            </w:pPr>
            <w:r>
              <w:rPr/>
              <w:t>56,154</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w:t>
            </w:r>
          </w:p>
        </w:tc>
        <w:tc>
          <w:tcPr>
            <w:tcW w:w="1038" w:type="dxa"/>
            <w:tcBorders/>
            <w:vAlign w:val="center"/>
          </w:tcPr>
          <w:p>
            <w:pPr>
              <w:pStyle w:val="TableContents"/>
              <w:bidi w:val="0"/>
              <w:spacing w:before="0" w:after="283"/>
              <w:jc w:val="right"/>
              <w:rPr/>
            </w:pPr>
            <w:r>
              <w:rPr/>
              <w:t>394</w:t>
            </w:r>
          </w:p>
        </w:tc>
        <w:tc>
          <w:tcPr>
            <w:tcW w:w="176" w:type="dxa"/>
            <w:tcBorders/>
            <w:vAlign w:val="center"/>
          </w:tcPr>
          <w:p>
            <w:pPr>
              <w:pStyle w:val="TableContents"/>
              <w:bidi w:val="0"/>
              <w:spacing w:before="0" w:after="283"/>
              <w:jc w:val="left"/>
              <w:rPr/>
            </w:pPr>
            <w:r>
              <w:rPr/>
              <w:t> </w:t>
            </w:r>
          </w:p>
        </w:tc>
      </w:tr>
      <w:tr>
        <w:trPr/>
        <w:tc>
          <w:tcPr>
            <w:tcW w:w="29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pPr>
            <w:r>
              <w:rPr/>
              <w:t>Current period charge for expected credit losses</w:t>
            </w:r>
          </w:p>
        </w:tc>
        <w:tc>
          <w:tcPr>
            <w:tcW w:w="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332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132</w:t>
            </w:r>
          </w:p>
        </w:tc>
        <w:tc>
          <w:tcPr>
            <w:tcW w:w="176" w:type="dxa"/>
            <w:tcBorders/>
            <w:vAlign w:val="center"/>
          </w:tcPr>
          <w:p>
            <w:pPr>
              <w:pStyle w:val="TableContents"/>
              <w:bidi w:val="0"/>
              <w:spacing w:before="0" w:after="283"/>
              <w:jc w:val="left"/>
              <w:rPr/>
            </w:pPr>
            <w:r>
              <w:rPr/>
              <w:t> </w:t>
            </w:r>
          </w:p>
        </w:tc>
      </w:tr>
      <w:tr>
        <w:trPr/>
        <w:tc>
          <w:tcPr>
            <w:tcW w:w="2998" w:type="dxa"/>
            <w:tcBorders/>
            <w:shd w:fill="CCEEFF" w:val="clear"/>
            <w:vAlign w:val="center"/>
          </w:tcPr>
          <w:p>
            <w:pPr>
              <w:pStyle w:val="TableContents"/>
              <w:bidi w:val="0"/>
              <w:spacing w:before="0" w:after="283"/>
              <w:jc w:val="left"/>
              <w:rPr/>
            </w:pPr>
            <w:r>
              <w:rPr/>
              <w:t>Write-offs of uncollectible premiums receivable</w:t>
            </w:r>
          </w:p>
        </w:tc>
        <w:tc>
          <w:tcPr>
            <w:tcW w:w="9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pPr>
            <w:r>
              <w:rPr/>
              <w:t>(356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pPr>
            <w:r>
              <w:rPr/>
              <w:t>(178</w:t>
            </w:r>
          </w:p>
        </w:tc>
        <w:tc>
          <w:tcPr>
            <w:tcW w:w="176" w:type="dxa"/>
            <w:tcBorders/>
            <w:shd w:fill="CCEEFF" w:val="clear"/>
            <w:vAlign w:val="center"/>
          </w:tcPr>
          <w:p>
            <w:pPr>
              <w:pStyle w:val="TableContents"/>
              <w:bidi w:val="0"/>
              <w:spacing w:before="0" w:after="283"/>
              <w:jc w:val="left"/>
              <w:rPr/>
            </w:pPr>
            <w:r>
              <w:rPr/>
              <w:t>)</w:t>
            </w:r>
          </w:p>
        </w:tc>
      </w:tr>
      <w:tr>
        <w:trPr/>
        <w:tc>
          <w:tcPr>
            <w:tcW w:w="29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2998"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pPr>
            <w:r>
              <w:rPr/>
              <w:t>85,604</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pPr>
            <w:r>
              <w:rPr/>
              <w:t>313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pPr>
            <w:r>
              <w:rPr/>
              <w:t>92,831</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pPr>
            <w:r>
              <w:rPr/>
              <w:t>348</w:t>
            </w:r>
          </w:p>
        </w:tc>
        <w:tc>
          <w:tcPr>
            <w:tcW w:w="176" w:type="dxa"/>
            <w:tcBorders/>
            <w:shd w:fill="CCEEFF" w:val="clear"/>
            <w:vAlign w:val="center"/>
          </w:tcPr>
          <w:p>
            <w:pPr>
              <w:pStyle w:val="TableContents"/>
              <w:bidi w:val="0"/>
              <w:spacing w:before="0" w:after="283"/>
              <w:ind w:left="0" w:right="0" w:hanging="216"/>
              <w:jc w:val="left"/>
              <w:rPr/>
            </w:pPr>
            <w:r>
              <w:rPr/>
              <w:t> </w:t>
            </w:r>
          </w:p>
        </w:tc>
      </w:tr>
      <w:tr>
        <w:trPr/>
        <w:tc>
          <w:tcPr>
            <w:tcW w:w="29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2"/>
        <w:gridCol w:w="90"/>
        <w:gridCol w:w="611"/>
        <w:gridCol w:w="941"/>
        <w:gridCol w:w="177"/>
        <w:gridCol w:w="177"/>
        <w:gridCol w:w="582"/>
        <w:gridCol w:w="845"/>
        <w:gridCol w:w="90"/>
        <w:gridCol w:w="90"/>
        <w:gridCol w:w="477"/>
        <w:gridCol w:w="1329"/>
        <w:gridCol w:w="166"/>
        <w:gridCol w:w="166"/>
        <w:gridCol w:w="595"/>
        <w:gridCol w:w="832"/>
        <w:gridCol w:w="175"/>
      </w:tblGrid>
      <w:tr>
        <w:trPr/>
        <w:tc>
          <w:tcPr>
            <w:tcW w:w="28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Three Months</w:t>
              <w:br/>
              <w:t>Ended June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Ended </w:t>
              <w:br/>
              <w:t>June 30, 2024</w:t>
            </w:r>
          </w:p>
        </w:tc>
        <w:tc>
          <w:tcPr>
            <w:tcW w:w="175" w:type="dxa"/>
            <w:tcBorders/>
            <w:vAlign w:val="center"/>
          </w:tcPr>
          <w:p>
            <w:pPr>
              <w:pStyle w:val="TableContents"/>
              <w:bidi w:val="0"/>
              <w:spacing w:before="0" w:after="283"/>
              <w:jc w:val="left"/>
              <w:rPr/>
            </w:pPr>
            <w:r>
              <w:rPr/>
              <w:t> </w:t>
            </w:r>
          </w:p>
        </w:tc>
      </w:tr>
      <w:tr>
        <w:trPr/>
        <w:tc>
          <w:tcPr>
            <w:tcW w:w="28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 xml:space="preserve">Allowance for </w:t>
              <w:br/>
              <w:t xml:space="preserve">Expected Credit </w:t>
              <w:br/>
              <w:t>Losses</w:t>
            </w:r>
          </w:p>
        </w:tc>
        <w:tc>
          <w:tcPr>
            <w:tcW w:w="177"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 xml:space="preserve">Allowance for </w:t>
              <w:br/>
              <w:t xml:space="preserve">Expected Credit </w:t>
              <w:br/>
              <w:t>Losses</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75" w:type="dxa"/>
            <w:tcBorders/>
            <w:vAlign w:val="center"/>
          </w:tcPr>
          <w:p>
            <w:pPr>
              <w:pStyle w:val="TableContents"/>
              <w:bidi w:val="0"/>
              <w:spacing w:before="0" w:after="283"/>
              <w:jc w:val="left"/>
              <w:rPr/>
            </w:pPr>
            <w:r>
              <w:rPr/>
              <w:t> </w:t>
            </w:r>
          </w:p>
        </w:tc>
      </w:tr>
      <w:tr>
        <w:trPr/>
        <w:tc>
          <w:tcPr>
            <w:tcW w:w="2862"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2862"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611" w:type="dxa"/>
            <w:tcBorders>
              <w:bottom w:val="double" w:sz="6" w:space="0" w:color="000000"/>
            </w:tcBorders>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tcMar>
              <w:bottom w:w="28" w:type="dxa"/>
            </w:tcMar>
            <w:vAlign w:val="center"/>
          </w:tcPr>
          <w:p>
            <w:pPr>
              <w:pStyle w:val="TableContents"/>
              <w:bidi w:val="0"/>
              <w:spacing w:before="0" w:after="0"/>
              <w:jc w:val="right"/>
              <w:rPr/>
            </w:pPr>
            <w:r>
              <w:rPr/>
              <w:t>—</w:t>
            </w:r>
          </w:p>
        </w:tc>
        <w:tc>
          <w:tcPr>
            <w:tcW w:w="177"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7" w:type="dxa"/>
            <w:tcBorders>
              <w:bottom w:val="double" w:sz="6" w:space="0" w:color="000000"/>
            </w:tcBorders>
            <w:tcMar>
              <w:bottom w:w="28" w:type="dxa"/>
            </w:tcMar>
            <w:vAlign w:val="center"/>
          </w:tcPr>
          <w:p>
            <w:pPr>
              <w:pStyle w:val="TableContents"/>
              <w:bidi w:val="0"/>
              <w:spacing w:before="0" w:after="283"/>
              <w:jc w:val="left"/>
              <w:rPr/>
            </w:pPr>
            <w:r>
              <w:rPr/>
              <w:t>$</w:t>
            </w:r>
          </w:p>
        </w:tc>
        <w:tc>
          <w:tcPr>
            <w:tcW w:w="1329" w:type="dxa"/>
            <w:tcBorders>
              <w:bottom w:val="double" w:sz="6" w:space="0" w:color="000000"/>
            </w:tcBorders>
            <w:tcMar>
              <w:bottom w:w="28" w:type="dxa"/>
            </w:tcMar>
            <w:vAlign w:val="center"/>
          </w:tcPr>
          <w:p>
            <w:pPr>
              <w:pStyle w:val="TableContents"/>
              <w:bidi w:val="0"/>
              <w:spacing w:before="0" w:after="283"/>
              <w:jc w:val="right"/>
              <w:rPr/>
            </w:pPr>
            <w:r>
              <w:rPr/>
              <w:t>19,727</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8</w:t>
            </w:r>
          </w:p>
        </w:tc>
        <w:tc>
          <w:tcPr>
            <w:tcW w:w="175" w:type="dxa"/>
            <w:tcBorders/>
            <w:vAlign w:val="center"/>
          </w:tcPr>
          <w:p>
            <w:pPr>
              <w:pStyle w:val="TableContents"/>
              <w:bidi w:val="0"/>
              <w:spacing w:before="0" w:after="283"/>
              <w:jc w:val="left"/>
              <w:rPr/>
            </w:pPr>
            <w:r>
              <w:rPr/>
              <w:t> </w:t>
            </w:r>
          </w:p>
        </w:tc>
      </w:tr>
      <w:tr>
        <w:trPr/>
        <w:tc>
          <w:tcPr>
            <w:tcW w:w="286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2862" w:type="dxa"/>
            <w:tcBorders/>
            <w:vAlign w:val="center"/>
          </w:tcPr>
          <w:p>
            <w:pPr>
              <w:pStyle w:val="TableContents"/>
              <w:bidi w:val="0"/>
              <w:spacing w:before="0" w:after="283"/>
              <w:jc w:val="left"/>
              <w:rPr/>
            </w:pPr>
            <w:r>
              <w:rPr/>
              <w:t>Current period charge for expected credit losses</w:t>
            </w:r>
          </w:p>
        </w:tc>
        <w:tc>
          <w:tcPr>
            <w:tcW w:w="90"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2</w:t>
            </w:r>
          </w:p>
        </w:tc>
        <w:tc>
          <w:tcPr>
            <w:tcW w:w="175" w:type="dxa"/>
            <w:tcBorders/>
            <w:vAlign w:val="center"/>
          </w:tcPr>
          <w:p>
            <w:pPr>
              <w:pStyle w:val="TableContents"/>
              <w:bidi w:val="0"/>
              <w:spacing w:before="0" w:after="283"/>
              <w:jc w:val="left"/>
              <w:rPr/>
            </w:pPr>
            <w:r>
              <w:rPr/>
              <w:t> </w:t>
            </w:r>
          </w:p>
        </w:tc>
      </w:tr>
      <w:tr>
        <w:trPr/>
        <w:tc>
          <w:tcPr>
            <w:tcW w:w="2862" w:type="dxa"/>
            <w:tcBorders/>
            <w:shd w:fill="CCEEFF" w:val="clear"/>
            <w:vAlign w:val="center"/>
          </w:tcPr>
          <w:p>
            <w:pPr>
              <w:pStyle w:val="TableContents"/>
              <w:bidi w:val="0"/>
              <w:spacing w:before="0" w:after="283"/>
              <w:jc w:val="left"/>
              <w:rPr/>
            </w:pPr>
            <w:r>
              <w:rPr/>
              <w:t>Write-offs of uncollectible premiums receivable</w:t>
            </w:r>
          </w:p>
        </w:tc>
        <w:tc>
          <w:tcPr>
            <w:tcW w:w="9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5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75" w:type="dxa"/>
            <w:tcBorders/>
            <w:shd w:fill="CCEEFF" w:val="clear"/>
            <w:vAlign w:val="center"/>
          </w:tcPr>
          <w:p>
            <w:pPr>
              <w:pStyle w:val="TableContents"/>
              <w:bidi w:val="0"/>
              <w:spacing w:before="0" w:after="283"/>
              <w:jc w:val="left"/>
              <w:rPr/>
            </w:pPr>
            <w:r>
              <w:rPr/>
              <w:t>)</w:t>
            </w:r>
          </w:p>
        </w:tc>
      </w:tr>
      <w:tr>
        <w:trPr/>
        <w:tc>
          <w:tcPr>
            <w:tcW w:w="28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2862"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6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77"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jc w:val="right"/>
              <w:rPr/>
            </w:pPr>
            <w:r>
              <w:rPr/>
              <w:t>16,030</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5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jc w:val="right"/>
              <w:rPr/>
            </w:pPr>
            <w:r>
              <w:rPr/>
              <w:t>8</w:t>
            </w:r>
          </w:p>
        </w:tc>
        <w:tc>
          <w:tcPr>
            <w:tcW w:w="1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3"/>
        <w:gridCol w:w="90"/>
        <w:gridCol w:w="647"/>
        <w:gridCol w:w="912"/>
        <w:gridCol w:w="196"/>
        <w:gridCol w:w="196"/>
        <w:gridCol w:w="618"/>
        <w:gridCol w:w="815"/>
        <w:gridCol w:w="90"/>
        <w:gridCol w:w="90"/>
        <w:gridCol w:w="443"/>
        <w:gridCol w:w="1288"/>
        <w:gridCol w:w="159"/>
        <w:gridCol w:w="159"/>
        <w:gridCol w:w="586"/>
        <w:gridCol w:w="847"/>
        <w:gridCol w:w="176"/>
      </w:tblGrid>
      <w:tr>
        <w:trPr/>
        <w:tc>
          <w:tcPr>
            <w:tcW w:w="28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8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Six Months Ended</w:t>
              <w:br/>
              <w:t>June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Six Months Ended </w:t>
              <w:br/>
              <w:t>June 30, 2024</w:t>
            </w:r>
          </w:p>
        </w:tc>
        <w:tc>
          <w:tcPr>
            <w:tcW w:w="176" w:type="dxa"/>
            <w:tcBorders/>
            <w:vAlign w:val="center"/>
          </w:tcPr>
          <w:p>
            <w:pPr>
              <w:pStyle w:val="TableContents"/>
              <w:bidi w:val="0"/>
              <w:spacing w:before="0" w:after="283"/>
              <w:jc w:val="left"/>
              <w:rPr/>
            </w:pPr>
            <w:r>
              <w:rPr/>
              <w:t> </w:t>
            </w:r>
          </w:p>
        </w:tc>
      </w:tr>
      <w:tr>
        <w:trPr/>
        <w:tc>
          <w:tcPr>
            <w:tcW w:w="28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 xml:space="preserve">Allowance for </w:t>
              <w:br/>
              <w:t xml:space="preserve">Expected Credit </w:t>
              <w:br/>
              <w:t>Losses</w:t>
            </w:r>
          </w:p>
        </w:tc>
        <w:tc>
          <w:tcPr>
            <w:tcW w:w="196"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Receivable, Net of</w:t>
              <w:br/>
              <w:t xml:space="preserve">Allowance for </w:t>
              <w:br/>
              <w:t xml:space="preserve">Expected Credit </w:t>
              <w:br/>
              <w:t>Losses</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76" w:type="dxa"/>
            <w:tcBorders/>
            <w:vAlign w:val="center"/>
          </w:tcPr>
          <w:p>
            <w:pPr>
              <w:pStyle w:val="TableContents"/>
              <w:bidi w:val="0"/>
              <w:spacing w:before="0" w:after="283"/>
              <w:jc w:val="left"/>
              <w:rPr/>
            </w:pPr>
            <w:r>
              <w:rPr/>
              <w:t> </w:t>
            </w:r>
          </w:p>
        </w:tc>
      </w:tr>
      <w:tr>
        <w:trPr/>
        <w:tc>
          <w:tcPr>
            <w:tcW w:w="2893"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2893"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647" w:type="dxa"/>
            <w:tcBorders>
              <w:bottom w:val="double" w:sz="6" w:space="0" w:color="000000"/>
            </w:tcBorders>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tcMar>
              <w:bottom w:w="28" w:type="dxa"/>
            </w:tcMar>
            <w:vAlign w:val="center"/>
          </w:tcPr>
          <w:p>
            <w:pPr>
              <w:pStyle w:val="TableContents"/>
              <w:bidi w:val="0"/>
              <w:spacing w:before="0" w:after="0"/>
              <w:jc w:val="right"/>
              <w:rPr/>
            </w:pPr>
            <w:r>
              <w:rPr/>
              <w:t>—</w:t>
            </w:r>
          </w:p>
        </w:tc>
        <w:tc>
          <w:tcPr>
            <w:tcW w:w="196"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 w:type="dxa"/>
            <w:tcBorders>
              <w:bottom w:val="double" w:sz="6" w:space="0" w:color="000000"/>
            </w:tcBorders>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tcMar>
              <w:bottom w:w="28" w:type="dxa"/>
            </w:tcMar>
            <w:vAlign w:val="center"/>
          </w:tcPr>
          <w:p>
            <w:pPr>
              <w:pStyle w:val="TableContents"/>
              <w:bidi w:val="0"/>
              <w:spacing w:before="0" w:after="283"/>
              <w:jc w:val="right"/>
              <w:rPr/>
            </w:pPr>
            <w:r>
              <w:rPr/>
              <w:t>17,904</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w:t>
            </w:r>
          </w:p>
        </w:tc>
        <w:tc>
          <w:tcPr>
            <w:tcW w:w="847" w:type="dxa"/>
            <w:tcBorders/>
            <w:vAlign w:val="center"/>
          </w:tcPr>
          <w:p>
            <w:pPr>
              <w:pStyle w:val="TableContents"/>
              <w:bidi w:val="0"/>
              <w:spacing w:before="0" w:after="283"/>
              <w:jc w:val="right"/>
              <w:rPr/>
            </w:pPr>
            <w:r>
              <w:rPr/>
              <w:t>8</w:t>
            </w:r>
          </w:p>
        </w:tc>
        <w:tc>
          <w:tcPr>
            <w:tcW w:w="176" w:type="dxa"/>
            <w:tcBorders/>
            <w:vAlign w:val="center"/>
          </w:tcPr>
          <w:p>
            <w:pPr>
              <w:pStyle w:val="TableContents"/>
              <w:bidi w:val="0"/>
              <w:spacing w:before="0" w:after="283"/>
              <w:jc w:val="left"/>
              <w:rPr/>
            </w:pPr>
            <w:r>
              <w:rPr/>
              <w:t> </w:t>
            </w:r>
          </w:p>
        </w:tc>
      </w:tr>
      <w:tr>
        <w:trPr/>
        <w:tc>
          <w:tcPr>
            <w:tcW w:w="289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2893" w:type="dxa"/>
            <w:tcBorders/>
            <w:vAlign w:val="center"/>
          </w:tcPr>
          <w:p>
            <w:pPr>
              <w:pStyle w:val="TableContents"/>
              <w:bidi w:val="0"/>
              <w:spacing w:before="0" w:after="283"/>
              <w:jc w:val="left"/>
              <w:rPr/>
            </w:pPr>
            <w:r>
              <w:rPr/>
              <w:t>Current period charge for expected credit losses</w:t>
            </w:r>
          </w:p>
        </w:tc>
        <w:tc>
          <w:tcPr>
            <w:tcW w:w="90"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4</w:t>
            </w:r>
          </w:p>
        </w:tc>
        <w:tc>
          <w:tcPr>
            <w:tcW w:w="176" w:type="dxa"/>
            <w:tcBorders/>
            <w:vAlign w:val="center"/>
          </w:tcPr>
          <w:p>
            <w:pPr>
              <w:pStyle w:val="TableContents"/>
              <w:bidi w:val="0"/>
              <w:spacing w:before="0" w:after="283"/>
              <w:jc w:val="left"/>
              <w:rPr/>
            </w:pPr>
            <w:r>
              <w:rPr/>
              <w:t> </w:t>
            </w:r>
          </w:p>
        </w:tc>
      </w:tr>
      <w:tr>
        <w:trPr/>
        <w:tc>
          <w:tcPr>
            <w:tcW w:w="2893" w:type="dxa"/>
            <w:tcBorders/>
            <w:shd w:fill="CCEEFF" w:val="clear"/>
            <w:vAlign w:val="center"/>
          </w:tcPr>
          <w:p>
            <w:pPr>
              <w:pStyle w:val="TableContents"/>
              <w:bidi w:val="0"/>
              <w:spacing w:before="0" w:after="283"/>
              <w:jc w:val="left"/>
              <w:rPr/>
            </w:pPr>
            <w:r>
              <w:rPr/>
              <w:t>Write-offs of uncollectible premiums receivable</w:t>
            </w:r>
          </w:p>
        </w:tc>
        <w:tc>
          <w:tcPr>
            <w:tcW w:w="9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176" w:type="dxa"/>
            <w:tcBorders/>
            <w:shd w:fill="CCEEFF" w:val="clear"/>
            <w:vAlign w:val="center"/>
          </w:tcPr>
          <w:p>
            <w:pPr>
              <w:pStyle w:val="TableContents"/>
              <w:bidi w:val="0"/>
              <w:spacing w:before="0" w:after="283"/>
              <w:jc w:val="left"/>
              <w:rPr/>
            </w:pPr>
            <w:r>
              <w:rPr/>
              <w:t>)</w:t>
            </w:r>
          </w:p>
        </w:tc>
      </w:tr>
      <w:tr>
        <w:trPr/>
        <w:tc>
          <w:tcPr>
            <w:tcW w:w="28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2893"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6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16,030</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7" w:type="dxa"/>
            <w:tcBorders>
              <w:bottom w:val="double" w:sz="6" w:space="0" w:color="000000"/>
            </w:tcBorders>
            <w:shd w:fill="CCEEFF" w:val="clear"/>
            <w:tcMar>
              <w:bottom w:w="28" w:type="dxa"/>
            </w:tcMar>
            <w:vAlign w:val="center"/>
          </w:tcPr>
          <w:p>
            <w:pPr>
              <w:pStyle w:val="TableContents"/>
              <w:bidi w:val="0"/>
              <w:spacing w:before="0" w:after="283"/>
              <w:jc w:val="right"/>
              <w:rPr/>
            </w:pPr>
            <w:r>
              <w:rPr/>
              <w:t>8</w:t>
            </w:r>
          </w:p>
        </w:tc>
        <w:tc>
          <w:tcPr>
            <w:tcW w:w="1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178"/>
        <w:gridCol w:w="8799"/>
      </w:tblGrid>
      <w:tr>
        <w:trPr/>
        <w:tc>
          <w:tcPr>
            <w:tcW w:w="22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b/>
              </w:rPr>
            </w:pPr>
            <w:r>
              <w:rPr>
                <w:b/>
              </w:rPr>
              <w:t>19.</w:t>
            </w:r>
          </w:p>
        </w:tc>
        <w:tc>
          <w:tcPr>
            <w:tcW w:w="8799" w:type="dxa"/>
            <w:tcBorders/>
            <w:vAlign w:val="center"/>
          </w:tcPr>
          <w:p>
            <w:pPr>
              <w:pStyle w:val="TableContents"/>
              <w:bidi w:val="0"/>
              <w:spacing w:before="0" w:after="283"/>
              <w:jc w:val="left"/>
              <w:rPr>
                <w:b/>
              </w:rPr>
            </w:pPr>
            <w:r>
              <w:rPr>
                <w:b/>
              </w:rPr>
              <w:t>Discontinued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we entered into a definitive agreement to sell our subsidiary, Westminster, to Scott Insurance Holdings, for a cash purchase price of $10,500, as well as a $1,772 post-closing adjustment pursuant to the purchase agreement, for a net amount of $12,272. The sale closed on June 30, 2024, and we reported an after-tax loss on the sale of discontinued operations of $11,148. For additional information see Part I, Item 1, Note 2 “Basis of Presentation and Accounting Policies”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Statements of Cash Flows presents operating, investing, and financing cash flows of the discontinued operations separately. Summary operating results of discontinued operations were as follows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9"/>
        <w:gridCol w:w="90"/>
        <w:gridCol w:w="327"/>
        <w:gridCol w:w="533"/>
        <w:gridCol w:w="165"/>
        <w:gridCol w:w="165"/>
        <w:gridCol w:w="312"/>
        <w:gridCol w:w="1307"/>
        <w:gridCol w:w="125"/>
        <w:gridCol w:w="90"/>
        <w:gridCol w:w="301"/>
        <w:gridCol w:w="488"/>
        <w:gridCol w:w="151"/>
        <w:gridCol w:w="151"/>
        <w:gridCol w:w="286"/>
        <w:gridCol w:w="1197"/>
        <w:gridCol w:w="178"/>
      </w:tblGrid>
      <w:tr>
        <w:trPr/>
        <w:tc>
          <w:tcPr>
            <w:tcW w:w="43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8" w:type="dxa"/>
            <w:tcBorders/>
            <w:vAlign w:val="center"/>
          </w:tcPr>
          <w:p>
            <w:pPr>
              <w:pStyle w:val="TableContents"/>
              <w:bidi w:val="0"/>
              <w:spacing w:before="0" w:after="283"/>
              <w:jc w:val="left"/>
              <w:rPr/>
            </w:pPr>
            <w:r>
              <w:rPr/>
              <w:t> </w:t>
            </w:r>
          </w:p>
        </w:tc>
      </w:tr>
      <w:tr>
        <w:trPr/>
        <w:tc>
          <w:tcPr>
            <w:tcW w:w="43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8" w:type="dxa"/>
            <w:tcBorders/>
            <w:vAlign w:val="center"/>
          </w:tcPr>
          <w:p>
            <w:pPr>
              <w:pStyle w:val="TableContents"/>
              <w:bidi w:val="0"/>
              <w:spacing w:before="0" w:after="283"/>
              <w:jc w:val="left"/>
              <w:rPr/>
            </w:pPr>
            <w:r>
              <w:rPr/>
              <w:t> </w:t>
            </w:r>
          </w:p>
        </w:tc>
      </w:tr>
      <w:tr>
        <w:trPr/>
        <w:tc>
          <w:tcPr>
            <w:tcW w:w="4339"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1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9"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3" w:type="dxa"/>
            <w:gridSpan w:val="2"/>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r>
      <w:tr>
        <w:trPr/>
        <w:tc>
          <w:tcPr>
            <w:tcW w:w="4339" w:type="dxa"/>
            <w:tcBorders/>
            <w:shd w:fill="CCEEFF" w:val="clear"/>
            <w:vAlign w:val="center"/>
          </w:tcPr>
          <w:p>
            <w:pPr>
              <w:pStyle w:val="TableContents"/>
              <w:bidi w:val="0"/>
              <w:spacing w:before="0" w:after="283"/>
              <w:jc w:val="left"/>
              <w:rPr/>
            </w:pPr>
            <w:r>
              <w:rPr/>
              <w:t>Net premiums earned</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533" w:type="dxa"/>
            <w:tcBorders/>
            <w:shd w:fill="CCEEFF" w:val="clear"/>
            <w:vAlign w:val="center"/>
          </w:tcPr>
          <w:p>
            <w:pPr>
              <w:pStyle w:val="TableContents"/>
              <w:bidi w:val="0"/>
              <w:spacing w:before="0" w:after="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15,383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488"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31,056</w:t>
            </w:r>
          </w:p>
        </w:tc>
        <w:tc>
          <w:tcPr>
            <w:tcW w:w="178" w:type="dxa"/>
            <w:tcBorders/>
            <w:shd w:fill="CCEEFF" w:val="clear"/>
            <w:vAlign w:val="center"/>
          </w:tcPr>
          <w:p>
            <w:pPr>
              <w:pStyle w:val="TableContents"/>
              <w:bidi w:val="0"/>
              <w:spacing w:before="0" w:after="283"/>
              <w:jc w:val="left"/>
              <w:rPr/>
            </w:pPr>
            <w:r>
              <w:rPr/>
              <w:t> </w:t>
            </w:r>
          </w:p>
        </w:tc>
      </w:tr>
      <w:tr>
        <w:trPr/>
        <w:tc>
          <w:tcPr>
            <w:tcW w:w="4339"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0"/>
              <w:jc w:val="right"/>
              <w:rPr/>
            </w:pPr>
            <w:r>
              <w:rPr/>
              <w:t>—</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14</w:t>
            </w:r>
          </w:p>
        </w:tc>
        <w:tc>
          <w:tcPr>
            <w:tcW w:w="178" w:type="dxa"/>
            <w:tcBorders/>
            <w:vAlign w:val="center"/>
          </w:tcPr>
          <w:p>
            <w:pPr>
              <w:pStyle w:val="TableContents"/>
              <w:bidi w:val="0"/>
              <w:spacing w:before="0" w:after="283"/>
              <w:jc w:val="left"/>
              <w:rPr/>
            </w:pPr>
            <w:r>
              <w:rPr/>
              <w:t> </w:t>
            </w:r>
          </w:p>
        </w:tc>
      </w:tr>
      <w:tr>
        <w:trPr/>
        <w:tc>
          <w:tcPr>
            <w:tcW w:w="4339"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621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1,419</w:t>
            </w:r>
          </w:p>
        </w:tc>
        <w:tc>
          <w:tcPr>
            <w:tcW w:w="178" w:type="dxa"/>
            <w:tcBorders/>
            <w:shd w:fill="CCEEFF" w:val="clear"/>
            <w:vAlign w:val="center"/>
          </w:tcPr>
          <w:p>
            <w:pPr>
              <w:pStyle w:val="TableContents"/>
              <w:bidi w:val="0"/>
              <w:spacing w:before="0" w:after="283"/>
              <w:jc w:val="left"/>
              <w:rPr/>
            </w:pPr>
            <w:r>
              <w:rPr/>
              <w:t> </w:t>
            </w:r>
          </w:p>
        </w:tc>
      </w:tr>
      <w:tr>
        <w:trPr/>
        <w:tc>
          <w:tcPr>
            <w:tcW w:w="4339" w:type="dxa"/>
            <w:tcBorders/>
            <w:vAlign w:val="center"/>
          </w:tcPr>
          <w:p>
            <w:pPr>
              <w:pStyle w:val="TableContents"/>
              <w:bidi w:val="0"/>
              <w:spacing w:before="0" w:after="283"/>
              <w:jc w:val="left"/>
              <w:rPr/>
            </w:pPr>
            <w:r>
              <w:rPr/>
              <w:t>Net investment gains (losses)</w:t>
            </w:r>
          </w:p>
        </w:tc>
        <w:tc>
          <w:tcPr>
            <w:tcW w:w="90" w:type="dxa"/>
            <w:tcBorders/>
            <w:vAlign w:val="center"/>
          </w:tcPr>
          <w:p>
            <w:pPr>
              <w:pStyle w:val="TableContents"/>
              <w:bidi w:val="0"/>
              <w:spacing w:before="0" w:after="283"/>
              <w:jc w:val="left"/>
              <w:rPr/>
            </w:pPr>
            <w:r>
              <w:rPr/>
              <w:t> </w:t>
            </w:r>
          </w:p>
        </w:tc>
        <w:tc>
          <w:tcPr>
            <w:tcW w:w="327" w:type="dxa"/>
            <w:tcBorders>
              <w:bottom w:val="single" w:sz="8" w:space="0" w:color="000000"/>
            </w:tcBorders>
            <w:tcMar>
              <w:bottom w:w="28" w:type="dxa"/>
            </w:tcMar>
            <w:vAlign w:val="center"/>
          </w:tcPr>
          <w:p>
            <w:pPr>
              <w:pStyle w:val="TableContents"/>
              <w:bidi w:val="0"/>
              <w:spacing w:before="0" w:after="283"/>
              <w:jc w:val="left"/>
              <w:rPr/>
            </w:pPr>
            <w:r>
              <w:rPr/>
              <w:t> </w:t>
            </w:r>
          </w:p>
        </w:tc>
        <w:tc>
          <w:tcPr>
            <w:tcW w:w="533" w:type="dxa"/>
            <w:tcBorders>
              <w:bottom w:val="single" w:sz="8" w:space="0" w:color="000000"/>
            </w:tcBorders>
            <w:tcMar>
              <w:bottom w:w="28" w:type="dxa"/>
            </w:tcMar>
            <w:vAlign w:val="center"/>
          </w:tcPr>
          <w:p>
            <w:pPr>
              <w:pStyle w:val="TableContents"/>
              <w:bidi w:val="0"/>
              <w:spacing w:before="0" w:after="0"/>
              <w:jc w:val="right"/>
              <w:rPr/>
            </w:pPr>
            <w:r>
              <w:rPr/>
              <w:t>—</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312" w:type="dxa"/>
            <w:tcBorders>
              <w:bottom w:val="single" w:sz="8" w:space="0" w:color="000000"/>
            </w:tcBorders>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tcMar>
              <w:bottom w:w="28" w:type="dxa"/>
            </w:tcMar>
            <w:vAlign w:val="center"/>
          </w:tcPr>
          <w:p>
            <w:pPr>
              <w:pStyle w:val="TableContents"/>
              <w:bidi w:val="0"/>
              <w:spacing w:before="0" w:after="283"/>
              <w:jc w:val="right"/>
              <w:rPr/>
            </w:pPr>
            <w:r>
              <w:rPr/>
              <w:t>(256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01" w:type="dxa"/>
            <w:tcBorders>
              <w:bottom w:val="single" w:sz="8" w:space="0" w:color="000000"/>
            </w:tcBorders>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tcMar>
              <w:bottom w:w="28" w:type="dxa"/>
            </w:tcMar>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116</w:t>
            </w:r>
          </w:p>
        </w:tc>
        <w:tc>
          <w:tcPr>
            <w:tcW w:w="178" w:type="dxa"/>
            <w:tcBorders/>
            <w:vAlign w:val="center"/>
          </w:tcPr>
          <w:p>
            <w:pPr>
              <w:pStyle w:val="TableContents"/>
              <w:bidi w:val="0"/>
              <w:spacing w:before="0" w:after="283"/>
              <w:jc w:val="left"/>
              <w:rPr/>
            </w:pPr>
            <w:r>
              <w:rPr/>
              <w:t> </w:t>
            </w:r>
          </w:p>
        </w:tc>
      </w:tr>
      <w:tr>
        <w:trPr/>
        <w:tc>
          <w:tcPr>
            <w:tcW w:w="4339" w:type="dxa"/>
            <w:tcBorders/>
            <w:shd w:fill="CCEEFF" w:val="clear"/>
            <w:vAlign w:val="center"/>
          </w:tcPr>
          <w:p>
            <w:pPr>
              <w:pStyle w:val="TableContents"/>
              <w:bidi w:val="0"/>
              <w:spacing w:before="0" w:after="283"/>
              <w:jc w:val="left"/>
              <w:rPr/>
            </w:pPr>
            <w:r>
              <w:rPr/>
              <w:t>Total revenues</w:t>
            </w:r>
          </w:p>
        </w:tc>
        <w:tc>
          <w:tcPr>
            <w:tcW w:w="9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3"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15,755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32,605</w:t>
            </w:r>
          </w:p>
        </w:tc>
        <w:tc>
          <w:tcPr>
            <w:tcW w:w="178" w:type="dxa"/>
            <w:tcBorders/>
            <w:shd w:fill="CCEEFF" w:val="clear"/>
            <w:vAlign w:val="center"/>
          </w:tcPr>
          <w:p>
            <w:pPr>
              <w:pStyle w:val="TableContents"/>
              <w:bidi w:val="0"/>
              <w:spacing w:before="0" w:after="283"/>
              <w:ind w:left="0" w:right="0" w:hanging="216"/>
              <w:jc w:val="left"/>
              <w:rPr/>
            </w:pPr>
            <w:r>
              <w:rPr/>
              <w:t> </w:t>
            </w:r>
          </w:p>
        </w:tc>
      </w:tr>
      <w:tr>
        <w:trPr/>
        <w:tc>
          <w:tcPr>
            <w:tcW w:w="43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339" w:type="dxa"/>
            <w:tcBorders/>
            <w:shd w:fill="CCEEFF" w:val="clear"/>
            <w:vAlign w:val="center"/>
          </w:tcPr>
          <w:p>
            <w:pPr>
              <w:pStyle w:val="TableContents"/>
              <w:bidi w:val="0"/>
              <w:spacing w:before="0" w:after="283"/>
              <w:jc w:val="left"/>
              <w:rPr/>
            </w:pPr>
            <w:r>
              <w:rPr/>
              <w:t>Expenses:</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4339" w:type="dxa"/>
            <w:tcBorders/>
            <w:vAlign w:val="center"/>
          </w:tcPr>
          <w:p>
            <w:pPr>
              <w:pStyle w:val="TableContents"/>
              <w:bidi w:val="0"/>
              <w:spacing w:before="0" w:after="283"/>
              <w:jc w:val="left"/>
              <w:rPr/>
            </w:pPr>
            <w:r>
              <w:rPr/>
              <w:t>Losses and loss adjustment expenses</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0"/>
              <w:jc w:val="right"/>
              <w:rPr/>
            </w:pPr>
            <w:r>
              <w:rPr/>
              <w:t>—</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11,441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23,506</w:t>
            </w:r>
          </w:p>
        </w:tc>
        <w:tc>
          <w:tcPr>
            <w:tcW w:w="178" w:type="dxa"/>
            <w:tcBorders/>
            <w:vAlign w:val="center"/>
          </w:tcPr>
          <w:p>
            <w:pPr>
              <w:pStyle w:val="TableContents"/>
              <w:bidi w:val="0"/>
              <w:spacing w:before="0" w:after="283"/>
              <w:jc w:val="left"/>
              <w:rPr/>
            </w:pPr>
            <w:r>
              <w:rPr/>
              <w:t> </w:t>
            </w:r>
          </w:p>
        </w:tc>
      </w:tr>
      <w:tr>
        <w:trPr/>
        <w:tc>
          <w:tcPr>
            <w:tcW w:w="4339"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4,083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7,928</w:t>
            </w:r>
          </w:p>
        </w:tc>
        <w:tc>
          <w:tcPr>
            <w:tcW w:w="178" w:type="dxa"/>
            <w:tcBorders/>
            <w:shd w:fill="CCEEFF" w:val="clear"/>
            <w:vAlign w:val="center"/>
          </w:tcPr>
          <w:p>
            <w:pPr>
              <w:pStyle w:val="TableContents"/>
              <w:bidi w:val="0"/>
              <w:spacing w:before="0" w:after="283"/>
              <w:jc w:val="left"/>
              <w:rPr/>
            </w:pPr>
            <w:r>
              <w:rPr/>
              <w:t> </w:t>
            </w:r>
          </w:p>
        </w:tc>
      </w:tr>
      <w:tr>
        <w:trPr/>
        <w:tc>
          <w:tcPr>
            <w:tcW w:w="4339" w:type="dxa"/>
            <w:tcBorders/>
            <w:vAlign w:val="center"/>
          </w:tcPr>
          <w:p>
            <w:pPr>
              <w:pStyle w:val="TableContents"/>
              <w:bidi w:val="0"/>
              <w:spacing w:before="0" w:after="283"/>
              <w:jc w:val="left"/>
              <w:rPr/>
            </w:pPr>
            <w:r>
              <w:rPr/>
              <w:t>Other underwriting and general expenses</w:t>
            </w:r>
          </w:p>
        </w:tc>
        <w:tc>
          <w:tcPr>
            <w:tcW w:w="90" w:type="dxa"/>
            <w:tcBorders/>
            <w:vAlign w:val="center"/>
          </w:tcPr>
          <w:p>
            <w:pPr>
              <w:pStyle w:val="TableContents"/>
              <w:bidi w:val="0"/>
              <w:spacing w:before="0" w:after="283"/>
              <w:jc w:val="left"/>
              <w:rPr/>
            </w:pPr>
            <w:r>
              <w:rPr/>
              <w:t> </w:t>
            </w:r>
          </w:p>
        </w:tc>
        <w:tc>
          <w:tcPr>
            <w:tcW w:w="327" w:type="dxa"/>
            <w:tcBorders>
              <w:bottom w:val="single" w:sz="8" w:space="0" w:color="000000"/>
            </w:tcBorders>
            <w:tcMar>
              <w:bottom w:w="28" w:type="dxa"/>
            </w:tcMar>
            <w:vAlign w:val="center"/>
          </w:tcPr>
          <w:p>
            <w:pPr>
              <w:pStyle w:val="TableContents"/>
              <w:bidi w:val="0"/>
              <w:spacing w:before="0" w:after="283"/>
              <w:jc w:val="left"/>
              <w:rPr/>
            </w:pPr>
            <w:r>
              <w:rPr/>
              <w:t> </w:t>
            </w:r>
          </w:p>
        </w:tc>
        <w:tc>
          <w:tcPr>
            <w:tcW w:w="533" w:type="dxa"/>
            <w:tcBorders>
              <w:bottom w:val="single" w:sz="8" w:space="0" w:color="000000"/>
            </w:tcBorders>
            <w:tcMar>
              <w:bottom w:w="28" w:type="dxa"/>
            </w:tcMar>
            <w:vAlign w:val="center"/>
          </w:tcPr>
          <w:p>
            <w:pPr>
              <w:pStyle w:val="TableContents"/>
              <w:bidi w:val="0"/>
              <w:spacing w:before="0" w:after="0"/>
              <w:jc w:val="right"/>
              <w:rPr/>
            </w:pPr>
            <w:r>
              <w:rPr/>
              <w:t>—</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312" w:type="dxa"/>
            <w:tcBorders>
              <w:bottom w:val="single" w:sz="8" w:space="0" w:color="000000"/>
            </w:tcBorders>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tcMar>
              <w:bottom w:w="28" w:type="dxa"/>
            </w:tcMar>
            <w:vAlign w:val="center"/>
          </w:tcPr>
          <w:p>
            <w:pPr>
              <w:pStyle w:val="TableContents"/>
              <w:bidi w:val="0"/>
              <w:spacing w:before="0" w:after="283"/>
              <w:jc w:val="right"/>
              <w:rPr/>
            </w:pPr>
            <w:r>
              <w:rPr/>
              <w:t>1,495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bottom w:val="single" w:sz="8" w:space="0" w:color="000000"/>
            </w:tcBorders>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tcMar>
              <w:bottom w:w="28" w:type="dxa"/>
            </w:tcMar>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3,088</w:t>
            </w:r>
          </w:p>
        </w:tc>
        <w:tc>
          <w:tcPr>
            <w:tcW w:w="178" w:type="dxa"/>
            <w:tcBorders/>
            <w:vAlign w:val="center"/>
          </w:tcPr>
          <w:p>
            <w:pPr>
              <w:pStyle w:val="TableContents"/>
              <w:bidi w:val="0"/>
              <w:spacing w:before="0" w:after="283"/>
              <w:jc w:val="left"/>
              <w:rPr/>
            </w:pPr>
            <w:r>
              <w:rPr/>
              <w:t> </w:t>
            </w:r>
          </w:p>
        </w:tc>
      </w:tr>
      <w:tr>
        <w:trPr/>
        <w:tc>
          <w:tcPr>
            <w:tcW w:w="4339" w:type="dxa"/>
            <w:tcBorders/>
            <w:shd w:fill="CCEEFF" w:val="clear"/>
            <w:vAlign w:val="center"/>
          </w:tcPr>
          <w:p>
            <w:pPr>
              <w:pStyle w:val="TableContents"/>
              <w:bidi w:val="0"/>
              <w:spacing w:before="0" w:after="283"/>
              <w:jc w:val="left"/>
              <w:rPr/>
            </w:pPr>
            <w:r>
              <w:rPr/>
              <w:t>Total expenses</w:t>
            </w:r>
          </w:p>
        </w:tc>
        <w:tc>
          <w:tcPr>
            <w:tcW w:w="9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3"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17,019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34,522</w:t>
            </w:r>
          </w:p>
        </w:tc>
        <w:tc>
          <w:tcPr>
            <w:tcW w:w="178" w:type="dxa"/>
            <w:tcBorders/>
            <w:shd w:fill="CCEEFF" w:val="clear"/>
            <w:vAlign w:val="center"/>
          </w:tcPr>
          <w:p>
            <w:pPr>
              <w:pStyle w:val="TableContents"/>
              <w:bidi w:val="0"/>
              <w:spacing w:before="0" w:after="283"/>
              <w:ind w:left="0" w:right="0" w:hanging="216"/>
              <w:jc w:val="left"/>
              <w:rPr/>
            </w:pPr>
            <w:r>
              <w:rPr/>
              <w:t> </w:t>
            </w:r>
          </w:p>
        </w:tc>
      </w:tr>
      <w:tr>
        <w:trPr/>
        <w:tc>
          <w:tcPr>
            <w:tcW w:w="43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339"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(1,264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(1,917</w:t>
            </w:r>
          </w:p>
        </w:tc>
        <w:tc>
          <w:tcPr>
            <w:tcW w:w="178" w:type="dxa"/>
            <w:tcBorders/>
            <w:shd w:fill="CCEEFF" w:val="clear"/>
            <w:vAlign w:val="center"/>
          </w:tcPr>
          <w:p>
            <w:pPr>
              <w:pStyle w:val="TableContents"/>
              <w:bidi w:val="0"/>
              <w:spacing w:before="0" w:after="283"/>
              <w:jc w:val="left"/>
              <w:rPr/>
            </w:pPr>
            <w:r>
              <w:rPr/>
              <w:t>)</w:t>
            </w:r>
          </w:p>
        </w:tc>
      </w:tr>
      <w:tr>
        <w:trPr/>
        <w:tc>
          <w:tcPr>
            <w:tcW w:w="4339"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327" w:type="dxa"/>
            <w:tcBorders>
              <w:bottom w:val="single" w:sz="8" w:space="0" w:color="000000"/>
            </w:tcBorders>
            <w:tcMar>
              <w:bottom w:w="28" w:type="dxa"/>
            </w:tcMar>
            <w:vAlign w:val="center"/>
          </w:tcPr>
          <w:p>
            <w:pPr>
              <w:pStyle w:val="TableContents"/>
              <w:bidi w:val="0"/>
              <w:spacing w:before="0" w:after="283"/>
              <w:jc w:val="left"/>
              <w:rPr/>
            </w:pPr>
            <w:r>
              <w:rPr/>
              <w:t> </w:t>
            </w:r>
          </w:p>
        </w:tc>
        <w:tc>
          <w:tcPr>
            <w:tcW w:w="533" w:type="dxa"/>
            <w:tcBorders>
              <w:bottom w:val="single" w:sz="8" w:space="0" w:color="000000"/>
            </w:tcBorders>
            <w:tcMar>
              <w:bottom w:w="28" w:type="dxa"/>
            </w:tcMar>
            <w:vAlign w:val="center"/>
          </w:tcPr>
          <w:p>
            <w:pPr>
              <w:pStyle w:val="TableContents"/>
              <w:bidi w:val="0"/>
              <w:spacing w:before="0" w:after="0"/>
              <w:jc w:val="right"/>
              <w:rPr/>
            </w:pPr>
            <w:r>
              <w:rPr/>
              <w:t>—</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312" w:type="dxa"/>
            <w:tcBorders>
              <w:bottom w:val="single" w:sz="8" w:space="0" w:color="000000"/>
            </w:tcBorders>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tcMar>
              <w:bottom w:w="28" w:type="dxa"/>
            </w:tcMar>
            <w:vAlign w:val="center"/>
          </w:tcPr>
          <w:p>
            <w:pPr>
              <w:pStyle w:val="TableContents"/>
              <w:bidi w:val="0"/>
              <w:spacing w:before="0" w:after="283"/>
              <w:jc w:val="right"/>
              <w:rPr/>
            </w:pPr>
            <w:r>
              <w:rPr/>
              <w:t>(268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01" w:type="dxa"/>
            <w:tcBorders>
              <w:bottom w:val="single" w:sz="8" w:space="0" w:color="000000"/>
            </w:tcBorders>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tcMar>
              <w:bottom w:w="28" w:type="dxa"/>
            </w:tcMar>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(405</w:t>
            </w:r>
          </w:p>
        </w:tc>
        <w:tc>
          <w:tcPr>
            <w:tcW w:w="178" w:type="dxa"/>
            <w:tcBorders/>
            <w:vAlign w:val="center"/>
          </w:tcPr>
          <w:p>
            <w:pPr>
              <w:pStyle w:val="TableContents"/>
              <w:bidi w:val="0"/>
              <w:spacing w:before="0" w:after="283"/>
              <w:jc w:val="left"/>
              <w:rPr/>
            </w:pPr>
            <w:r>
              <w:rPr/>
              <w:t>)</w:t>
            </w:r>
          </w:p>
        </w:tc>
      </w:tr>
      <w:tr>
        <w:trPr/>
        <w:tc>
          <w:tcPr>
            <w:tcW w:w="4339" w:type="dxa"/>
            <w:tcBorders/>
            <w:shd w:fill="CCEEFF" w:val="clear"/>
            <w:vAlign w:val="center"/>
          </w:tcPr>
          <w:p>
            <w:pPr>
              <w:pStyle w:val="TableContents"/>
              <w:bidi w:val="0"/>
              <w:spacing w:before="0" w:after="283"/>
              <w:jc w:val="left"/>
              <w:rPr/>
            </w:pPr>
            <w:r>
              <w:rPr/>
              <w:t>    </w:t>
            </w:r>
            <w:r>
              <w:rPr/>
              <w:t>Net loss</w:t>
            </w:r>
          </w:p>
        </w:tc>
        <w:tc>
          <w:tcPr>
            <w:tcW w:w="90"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r>
              <w:rPr/>
              <w:t>(996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8"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(1,512</w:t>
            </w:r>
          </w:p>
        </w:tc>
        <w:tc>
          <w:tcPr>
            <w:tcW w:w="178" w:type="dxa"/>
            <w:tcBorders/>
            <w:shd w:fill="CCEEFF" w:val="clear"/>
            <w:vAlign w:val="center"/>
          </w:tcPr>
          <w:p>
            <w:pPr>
              <w:pStyle w:val="TableContents"/>
              <w:bidi w:val="0"/>
              <w:spacing w:before="0" w:after="283"/>
              <w:jc w:val="left"/>
              <w:rPr/>
            </w:pPr>
            <w:r>
              <w:rPr/>
              <w:t>)</w:t>
            </w:r>
          </w:p>
        </w:tc>
      </w:tr>
      <w:tr>
        <w:trPr/>
        <w:tc>
          <w:tcPr>
            <w:tcW w:w="43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4339" w:type="dxa"/>
            <w:tcBorders/>
            <w:shd w:fill="CCEEFF" w:val="clear"/>
            <w:vAlign w:val="center"/>
          </w:tcPr>
          <w:p>
            <w:pPr>
              <w:pStyle w:val="TableContents"/>
              <w:bidi w:val="0"/>
              <w:spacing w:before="0" w:after="283"/>
              <w:jc w:val="left"/>
              <w:rPr/>
            </w:pPr>
            <w:r>
              <w:rPr/>
              <w:t>Loss per common share from discontinued operations:</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4339"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327" w:type="dxa"/>
            <w:tcBorders>
              <w:bottom w:val="double" w:sz="6" w:space="0" w:color="000000"/>
            </w:tcBorders>
            <w:tcMar>
              <w:bottom w:w="28" w:type="dxa"/>
            </w:tcMar>
            <w:vAlign w:val="center"/>
          </w:tcPr>
          <w:p>
            <w:pPr>
              <w:pStyle w:val="TableContents"/>
              <w:bidi w:val="0"/>
              <w:spacing w:before="0" w:after="283"/>
              <w:jc w:val="left"/>
              <w:rPr/>
            </w:pPr>
            <w:r>
              <w:rPr/>
              <w:t>$</w:t>
            </w:r>
          </w:p>
        </w:tc>
        <w:tc>
          <w:tcPr>
            <w:tcW w:w="533" w:type="dxa"/>
            <w:tcBorders>
              <w:bottom w:val="double" w:sz="6" w:space="0" w:color="000000"/>
            </w:tcBorders>
            <w:tcMar>
              <w:bottom w:w="28" w:type="dxa"/>
            </w:tcMar>
            <w:vAlign w:val="center"/>
          </w:tcPr>
          <w:p>
            <w:pPr>
              <w:pStyle w:val="TableContents"/>
              <w:bidi w:val="0"/>
              <w:spacing w:before="0" w:after="0"/>
              <w:jc w:val="right"/>
              <w:rPr/>
            </w:pPr>
            <w:r>
              <w:rPr/>
              <w:t>—</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312" w:type="dxa"/>
            <w:tcBorders>
              <w:bottom w:val="double" w:sz="6" w:space="0" w:color="000000"/>
            </w:tcBorders>
            <w:tcMar>
              <w:bottom w:w="28" w:type="dxa"/>
            </w:tcMar>
            <w:vAlign w:val="center"/>
          </w:tcPr>
          <w:p>
            <w:pPr>
              <w:pStyle w:val="TableContents"/>
              <w:bidi w:val="0"/>
              <w:spacing w:before="0" w:after="283"/>
              <w:jc w:val="left"/>
              <w:rPr/>
            </w:pPr>
            <w:r>
              <w:rPr/>
              <w:t>$</w:t>
            </w:r>
          </w:p>
        </w:tc>
        <w:tc>
          <w:tcPr>
            <w:tcW w:w="1307" w:type="dxa"/>
            <w:tcBorders>
              <w:bottom w:val="double" w:sz="6" w:space="0" w:color="000000"/>
            </w:tcBorders>
            <w:tcMar>
              <w:bottom w:w="28" w:type="dxa"/>
            </w:tcMar>
            <w:vAlign w:val="center"/>
          </w:tcPr>
          <w:p>
            <w:pPr>
              <w:pStyle w:val="TableContents"/>
              <w:bidi w:val="0"/>
              <w:spacing w:before="0" w:after="283"/>
              <w:jc w:val="right"/>
              <w:rPr/>
            </w:pPr>
            <w:r>
              <w:rPr/>
              <w:t>(0.05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01" w:type="dxa"/>
            <w:tcBorders>
              <w:bottom w:val="double" w:sz="6" w:space="0" w:color="000000"/>
            </w:tcBorders>
            <w:tcMar>
              <w:bottom w:w="28" w:type="dxa"/>
            </w:tcMar>
            <w:vAlign w:val="center"/>
          </w:tcPr>
          <w:p>
            <w:pPr>
              <w:pStyle w:val="TableContents"/>
              <w:bidi w:val="0"/>
              <w:spacing w:before="0" w:after="283"/>
              <w:jc w:val="left"/>
              <w:rPr/>
            </w:pPr>
            <w:r>
              <w:rPr/>
              <w:t>$</w:t>
            </w:r>
          </w:p>
        </w:tc>
        <w:tc>
          <w:tcPr>
            <w:tcW w:w="488" w:type="dxa"/>
            <w:tcBorders>
              <w:bottom w:val="double" w:sz="6" w:space="0" w:color="000000"/>
            </w:tcBorders>
            <w:tcMar>
              <w:bottom w:w="28" w:type="dxa"/>
            </w:tcMar>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bottom w:val="double" w:sz="6" w:space="0" w:color="000000"/>
            </w:tcBorders>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tcMar>
              <w:bottom w:w="28" w:type="dxa"/>
            </w:tcMar>
            <w:vAlign w:val="center"/>
          </w:tcPr>
          <w:p>
            <w:pPr>
              <w:pStyle w:val="TableContents"/>
              <w:bidi w:val="0"/>
              <w:spacing w:before="0" w:after="283"/>
              <w:jc w:val="right"/>
              <w:rPr/>
            </w:pPr>
            <w:r>
              <w:rPr/>
              <w:t>(0.07</w:t>
            </w:r>
          </w:p>
        </w:tc>
        <w:tc>
          <w:tcPr>
            <w:tcW w:w="178" w:type="dxa"/>
            <w:tcBorders/>
            <w:vAlign w:val="center"/>
          </w:tcPr>
          <w:p>
            <w:pPr>
              <w:pStyle w:val="TableContents"/>
              <w:bidi w:val="0"/>
              <w:spacing w:before="0" w:after="283"/>
              <w:jc w:val="left"/>
              <w:rPr/>
            </w:pPr>
            <w:r>
              <w:rPr/>
              <w:t>)</w:t>
            </w:r>
          </w:p>
        </w:tc>
      </w:tr>
      <w:tr>
        <w:trPr/>
        <w:tc>
          <w:tcPr>
            <w:tcW w:w="4339"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8"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(0.07</w:t>
            </w:r>
          </w:p>
        </w:tc>
        <w:tc>
          <w:tcPr>
            <w:tcW w:w="178"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9"/>
        <w:gridCol w:w="1336"/>
        <w:gridCol w:w="8610"/>
      </w:tblGrid>
      <w:tr>
        <w:trPr/>
        <w:tc>
          <w:tcPr>
            <w:tcW w:w="25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b/>
              </w:rPr>
            </w:pPr>
            <w:r>
              <w:rPr>
                <w:b/>
              </w:rPr>
              <w:t>20.</w:t>
            </w:r>
          </w:p>
        </w:tc>
        <w:tc>
          <w:tcPr>
            <w:tcW w:w="8610" w:type="dxa"/>
            <w:tcBorders/>
            <w:vAlign w:val="center"/>
          </w:tcPr>
          <w:p>
            <w:pPr>
              <w:pStyle w:val="TableContents"/>
              <w:bidi w:val="0"/>
              <w:spacing w:before="0" w:after="283"/>
              <w:jc w:val="left"/>
              <w:rPr>
                <w:b/>
              </w:rPr>
            </w:pPr>
            <w:r>
              <w:rPr>
                <w:b/>
              </w:rPr>
              <w:t>Segment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five reportable operating segments of our continuing operations, which consist of Private Passenger Auto, Non-Standard Auto, Home and Farm, Crop, and All Other (which primarily consists of commercial, assumed reinsurance, and our excess liability business). Prior to the sale of Westminster on June 30, 2024, we also reported a Commercial segment that consisted primarily of Westminster’s balances and results. Subsequent to the sale, Westminster is reported as part of discontinued operations, which is not included in our segment information. The commercial business that remains a part of our continuing operations has been included in the All Other segment for the current and prior periods presented. We operate only in the U.S., and no single customer or agent provides 10 percent or more of our revenues. The following tables provide available information of these segments for the three- and six-month periods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operating decision maker is our President and Chief Executive Officer (“CEO”). The primary profitability measurement used by the CEO to review segment operating results is underwriting gain (loss). The CEO uses segment underwriting gain (loss) to allocate resources (including employee, financial and capital resources) for each segment predominantly in the annual planning process. Segment underwriting gain (loss) is used to monitor segment results compared to prior period, forecasted results, and the annual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assign or allocate all line items in our Consolidated Statement of Operations or Consolidated Balance Sheets to our operating segments. Those line items include net investment income, net investment gains, fee and other income excluding Non-Standard Auto, and income tax expense within the Unaudited Consolidated Statement of Operations. For the Consolidated Balance Sheets, those items include cash and investments, property and equipment, other assets, accrued expenses and other liabilities, income taxes recoverable, and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5"/>
        <w:gridCol w:w="90"/>
        <w:gridCol w:w="234"/>
        <w:gridCol w:w="983"/>
        <w:gridCol w:w="125"/>
        <w:gridCol w:w="90"/>
        <w:gridCol w:w="295"/>
        <w:gridCol w:w="1239"/>
        <w:gridCol w:w="125"/>
        <w:gridCol w:w="90"/>
        <w:gridCol w:w="179"/>
        <w:gridCol w:w="828"/>
        <w:gridCol w:w="125"/>
        <w:gridCol w:w="90"/>
        <w:gridCol w:w="170"/>
        <w:gridCol w:w="710"/>
        <w:gridCol w:w="125"/>
        <w:gridCol w:w="90"/>
        <w:gridCol w:w="176"/>
        <w:gridCol w:w="736"/>
        <w:gridCol w:w="125"/>
        <w:gridCol w:w="90"/>
        <w:gridCol w:w="170"/>
        <w:gridCol w:w="830"/>
        <w:gridCol w:w="175"/>
      </w:tblGrid>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2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1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Non-Standard </w:t>
              <w:br/>
              <w:t>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Direct premiums earned</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983" w:type="dxa"/>
            <w:tcBorders/>
            <w:shd w:fill="CCEEFF" w:val="clear"/>
            <w:vAlign w:val="center"/>
          </w:tcPr>
          <w:p>
            <w:pPr>
              <w:pStyle w:val="TableContents"/>
              <w:bidi w:val="0"/>
              <w:spacing w:before="0" w:after="283"/>
              <w:jc w:val="right"/>
              <w:rPr/>
            </w:pPr>
            <w:r>
              <w:rPr/>
              <w:t>24,168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14,526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27,382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12,658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3,808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82,542</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Assumed premiums earned</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159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696</w:t>
            </w:r>
          </w:p>
        </w:tc>
        <w:tc>
          <w:tcPr>
            <w:tcW w:w="1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Ceded premiums earned</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pPr>
            <w:r>
              <w:rPr/>
              <w:t>(1,245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pPr>
            <w:r>
              <w:rPr/>
              <w:t>(6,071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(2,484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pPr>
            <w:r>
              <w:rPr/>
              <w:t>(412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(10,233</w:t>
            </w:r>
          </w:p>
        </w:tc>
        <w:tc>
          <w:tcPr>
            <w:tcW w:w="175" w:type="dxa"/>
            <w:tcBorders/>
            <w:shd w:fill="CCEEFF" w:val="clear"/>
            <w:vAlign w:val="center"/>
          </w:tcPr>
          <w:p>
            <w:pPr>
              <w:pStyle w:val="TableContents"/>
              <w:bidi w:val="0"/>
              <w:spacing w:before="0" w:after="283"/>
              <w:jc w:val="left"/>
              <w:rPr/>
            </w:pPr>
            <w:r>
              <w:rPr/>
              <w:t>)</w:t>
            </w:r>
          </w:p>
        </w:tc>
      </w:tr>
      <w:tr>
        <w:trPr/>
        <w:tc>
          <w:tcPr>
            <w:tcW w:w="2315"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22,923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14,505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21,311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10,711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3,555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73,005</w:t>
            </w:r>
          </w:p>
        </w:tc>
        <w:tc>
          <w:tcPr>
            <w:tcW w:w="1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14,617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16,860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65,924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10,464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1,517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109,382</w:t>
            </w:r>
          </w:p>
        </w:tc>
        <w:tc>
          <w:tcPr>
            <w:tcW w:w="1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(115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284</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34" w:type="dxa"/>
            <w:tcBorders>
              <w:bottom w:val="single" w:sz="8" w:space="0" w:color="000000"/>
            </w:tcBorders>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tcMar>
              <w:bottom w:w="28" w:type="dxa"/>
            </w:tcMar>
            <w:vAlign w:val="center"/>
          </w:tcPr>
          <w:p>
            <w:pPr>
              <w:pStyle w:val="TableContents"/>
              <w:bidi w:val="0"/>
              <w:spacing w:before="0" w:after="283"/>
              <w:jc w:val="right"/>
              <w:rPr/>
            </w:pPr>
            <w:r>
              <w:rPr/>
              <w:t>(917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tcMar>
              <w:bottom w:w="28" w:type="dxa"/>
            </w:tcMar>
            <w:vAlign w:val="center"/>
          </w:tcPr>
          <w:p>
            <w:pPr>
              <w:pStyle w:val="TableContents"/>
              <w:bidi w:val="0"/>
              <w:spacing w:before="0" w:after="283"/>
              <w:jc w:val="right"/>
              <w:rPr/>
            </w:pPr>
            <w:r>
              <w:rPr/>
              <w:t>(38,913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(2,395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tcMar>
              <w:bottom w:w="28" w:type="dxa"/>
            </w:tcMar>
            <w:vAlign w:val="center"/>
          </w:tcPr>
          <w:p>
            <w:pPr>
              <w:pStyle w:val="TableContents"/>
              <w:bidi w:val="0"/>
              <w:spacing w:before="0" w:after="283"/>
              <w:jc w:val="right"/>
              <w:rPr/>
            </w:pPr>
            <w:r>
              <w:rPr/>
              <w:t>(834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(43,059</w:t>
            </w:r>
          </w:p>
        </w:tc>
        <w:tc>
          <w:tcPr>
            <w:tcW w:w="175" w:type="dxa"/>
            <w:tcBorders/>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13,700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16,860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27,011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8,468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568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66,607</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bottom w:val="single" w:sz="8" w:space="0" w:color="000000"/>
            </w:tcBorders>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pPr>
            <w:r>
              <w:rPr/>
              <w:t>9,223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(2,355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pPr>
            <w:r>
              <w:rPr/>
              <w:t>(5,700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2,243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pPr>
            <w:r>
              <w:rPr/>
              <w:t>2,987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6,398</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4,899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4,263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5,363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773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16,374</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34" w:type="dxa"/>
            <w:tcBorders>
              <w:bottom w:val="single" w:sz="8" w:space="0" w:color="000000"/>
            </w:tcBorders>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tcMar>
              <w:bottom w:w="28" w:type="dxa"/>
            </w:tcMar>
            <w:vAlign w:val="center"/>
          </w:tcPr>
          <w:p>
            <w:pPr>
              <w:pStyle w:val="TableContents"/>
              <w:bidi w:val="0"/>
              <w:spacing w:before="0" w:after="283"/>
              <w:jc w:val="right"/>
              <w:rPr/>
            </w:pPr>
            <w:r>
              <w:rPr/>
              <w:t>2,492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tcMar>
              <w:bottom w:w="28" w:type="dxa"/>
            </w:tcMar>
            <w:vAlign w:val="center"/>
          </w:tcPr>
          <w:p>
            <w:pPr>
              <w:pStyle w:val="TableContents"/>
              <w:bidi w:val="0"/>
              <w:spacing w:before="0" w:after="283"/>
              <w:jc w:val="right"/>
              <w:rPr/>
            </w:pPr>
            <w:r>
              <w:rPr/>
              <w:t>2,180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tcMar>
              <w:bottom w:w="28" w:type="dxa"/>
            </w:tcMar>
            <w:vAlign w:val="center"/>
          </w:tcPr>
          <w:p>
            <w:pPr>
              <w:pStyle w:val="TableContents"/>
              <w:bidi w:val="0"/>
              <w:spacing w:before="0" w:after="283"/>
              <w:jc w:val="right"/>
              <w:rPr/>
            </w:pPr>
            <w:r>
              <w:rPr/>
              <w:t>3,099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541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tcMar>
              <w:bottom w:w="28" w:type="dxa"/>
            </w:tcMar>
            <w:vAlign w:val="center"/>
          </w:tcPr>
          <w:p>
            <w:pPr>
              <w:pStyle w:val="TableContents"/>
              <w:bidi w:val="0"/>
              <w:spacing w:before="0" w:after="283"/>
              <w:jc w:val="right"/>
              <w:rPr/>
            </w:pPr>
            <w:r>
              <w:rPr/>
              <w:t>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8,400</w:t>
            </w:r>
          </w:p>
        </w:tc>
        <w:tc>
          <w:tcPr>
            <w:tcW w:w="1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pPr>
            <w:r>
              <w:rPr/>
              <w:t>7,391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6,443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pPr>
            <w:r>
              <w:rPr/>
              <w:t>8,462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pPr>
            <w:r>
              <w:rPr/>
              <w:t>861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24,774</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Underwriting gain (loss)</w:t>
            </w:r>
          </w:p>
        </w:tc>
        <w:tc>
          <w:tcPr>
            <w:tcW w:w="90" w:type="dxa"/>
            <w:tcBorders/>
            <w:vAlign w:val="center"/>
          </w:tcPr>
          <w:p>
            <w:pPr>
              <w:pStyle w:val="TableContents"/>
              <w:bidi w:val="0"/>
              <w:spacing w:before="0" w:after="283"/>
              <w:jc w:val="left"/>
              <w:rPr/>
            </w:pPr>
            <w:r>
              <w:rPr/>
              <w:t> </w:t>
            </w:r>
          </w:p>
        </w:tc>
        <w:tc>
          <w:tcPr>
            <w:tcW w:w="234" w:type="dxa"/>
            <w:tcBorders>
              <w:bottom w:val="single" w:sz="8" w:space="0" w:color="000000"/>
            </w:tcBorders>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tcMar>
              <w:bottom w:w="28" w:type="dxa"/>
            </w:tcMar>
            <w:vAlign w:val="center"/>
          </w:tcPr>
          <w:p>
            <w:pPr>
              <w:pStyle w:val="TableContents"/>
              <w:bidi w:val="0"/>
              <w:spacing w:before="0" w:after="283"/>
              <w:jc w:val="right"/>
              <w:rPr/>
            </w:pPr>
            <w:r>
              <w:rPr/>
              <w:t>1,832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tcMar>
              <w:bottom w:w="28" w:type="dxa"/>
            </w:tcMar>
            <w:vAlign w:val="center"/>
          </w:tcPr>
          <w:p>
            <w:pPr>
              <w:pStyle w:val="TableContents"/>
              <w:bidi w:val="0"/>
              <w:spacing w:before="0" w:after="283"/>
              <w:jc w:val="right"/>
              <w:rPr/>
            </w:pPr>
            <w:r>
              <w:rPr/>
              <w:t>(8,798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tcMar>
              <w:bottom w:w="28" w:type="dxa"/>
            </w:tcMar>
            <w:vAlign w:val="center"/>
          </w:tcPr>
          <w:p>
            <w:pPr>
              <w:pStyle w:val="TableContents"/>
              <w:bidi w:val="0"/>
              <w:spacing w:before="0" w:after="283"/>
              <w:jc w:val="right"/>
              <w:rPr/>
            </w:pPr>
            <w:r>
              <w:rPr/>
              <w:t>(14,162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tcMar>
              <w:bottom w:w="28" w:type="dxa"/>
            </w:tcMar>
            <w:vAlign w:val="center"/>
          </w:tcPr>
          <w:p>
            <w:pPr>
              <w:pStyle w:val="TableContents"/>
              <w:bidi w:val="0"/>
              <w:spacing w:before="0" w:after="283"/>
              <w:jc w:val="right"/>
              <w:rPr/>
            </w:pPr>
            <w:r>
              <w:rPr/>
              <w:t>2,126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(18,376</w:t>
            </w:r>
          </w:p>
        </w:tc>
        <w:tc>
          <w:tcPr>
            <w:tcW w:w="175" w:type="dxa"/>
            <w:tcBorders/>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316</w:t>
            </w:r>
          </w:p>
        </w:tc>
        <w:tc>
          <w:tcPr>
            <w:tcW w:w="1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3,146</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Net investment gains (losses)</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(410</w:t>
            </w:r>
          </w:p>
        </w:tc>
        <w:tc>
          <w:tcPr>
            <w:tcW w:w="175" w:type="dxa"/>
            <w:tcBorders/>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(15,324</w:t>
            </w:r>
          </w:p>
        </w:tc>
        <w:tc>
          <w:tcPr>
            <w:tcW w:w="175" w:type="dxa"/>
            <w:tcBorders/>
            <w:shd w:fill="CCEEFF" w:val="clear"/>
            <w:vAlign w:val="center"/>
          </w:tcPr>
          <w:p>
            <w:pPr>
              <w:pStyle w:val="TableContents"/>
              <w:bidi w:val="0"/>
              <w:spacing w:before="0" w:after="283"/>
              <w:jc w:val="left"/>
              <w:rPr/>
            </w:pPr>
            <w:r>
              <w:rPr/>
              <w:t>)</w:t>
            </w:r>
          </w:p>
        </w:tc>
      </w:tr>
      <w:tr>
        <w:trPr/>
        <w:tc>
          <w:tcPr>
            <w:tcW w:w="2315" w:type="dxa"/>
            <w:tcBorders/>
            <w:vAlign w:val="center"/>
          </w:tcPr>
          <w:p>
            <w:pPr>
              <w:pStyle w:val="TableContents"/>
              <w:bidi w:val="0"/>
              <w:spacing w:before="0" w:after="283"/>
              <w:jc w:val="left"/>
              <w:rPr/>
            </w:pPr>
            <w:r>
              <w:rPr/>
              <w:t>Income tax expense (benefit)</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(3,273</w:t>
            </w:r>
          </w:p>
        </w:tc>
        <w:tc>
          <w:tcPr>
            <w:tcW w:w="175" w:type="dxa"/>
            <w:tcBorders/>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(12,051</w:t>
            </w:r>
          </w:p>
        </w:tc>
        <w:tc>
          <w:tcPr>
            <w:tcW w:w="175" w:type="dxa"/>
            <w:tcBorders/>
            <w:shd w:fill="CCEEFF" w:val="clear"/>
            <w:vAlign w:val="center"/>
          </w:tcPr>
          <w:p>
            <w:pPr>
              <w:pStyle w:val="TableContents"/>
              <w:bidi w:val="0"/>
              <w:spacing w:before="0" w:after="283"/>
              <w:ind w:left="0" w:right="0" w:hanging="216"/>
              <w:jc w:val="left"/>
              <w:rPr/>
            </w:pPr>
            <w:r>
              <w:rPr/>
              <w:t>)</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216"/>
              <w:jc w:val="left"/>
              <w:rPr/>
            </w:pPr>
            <w:r>
              <w:rPr/>
              <w:t> </w:t>
            </w:r>
          </w:p>
        </w:tc>
      </w:tr>
      <w:tr>
        <w:trPr/>
        <w:tc>
          <w:tcPr>
            <w:tcW w:w="2315" w:type="dxa"/>
            <w:tcBorders/>
            <w:shd w:fill="CCEEFF" w:val="clear"/>
            <w:vAlign w:val="center"/>
          </w:tcPr>
          <w:p>
            <w:pPr>
              <w:pStyle w:val="TableContents"/>
              <w:bidi w:val="0"/>
              <w:spacing w:before="0" w:after="283"/>
              <w:jc w:val="left"/>
              <w:rPr/>
            </w:pPr>
            <w:r>
              <w:rPr/>
              <w:t>Operating Ratios: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firstLine="18"/>
              <w:jc w:val="left"/>
              <w:rPr/>
            </w:pPr>
            <w:r>
              <w:rPr/>
              <w:t> </w:t>
            </w:r>
          </w:p>
        </w:tc>
      </w:tr>
      <w:tr>
        <w:trPr/>
        <w:tc>
          <w:tcPr>
            <w:tcW w:w="2315" w:type="dxa"/>
            <w:tcBorders/>
            <w:vAlign w:val="center"/>
          </w:tcPr>
          <w:p>
            <w:pPr>
              <w:pStyle w:val="TableContents"/>
              <w:bidi w:val="0"/>
              <w:spacing w:before="0" w:after="283"/>
              <w:jc w:val="left"/>
              <w:rPr/>
            </w:pPr>
            <w:r>
              <w:rPr/>
              <w:t>Loss and loss adjustment expense ratio</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59.8%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116.2%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126.7%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16.0%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91.2%</w:t>
            </w:r>
          </w:p>
        </w:tc>
        <w:tc>
          <w:tcPr>
            <w:tcW w:w="175" w:type="dxa"/>
            <w:tcBorders/>
            <w:vAlign w:val="center"/>
          </w:tcPr>
          <w:p>
            <w:pPr>
              <w:pStyle w:val="TableContents"/>
              <w:bidi w:val="0"/>
              <w:spacing w:before="0" w:after="283"/>
              <w:ind w:left="0" w:right="0" w:hanging="216"/>
              <w:jc w:val="left"/>
              <w:rPr/>
            </w:pPr>
            <w:r>
              <w:rPr/>
              <w:t> </w:t>
            </w:r>
          </w:p>
        </w:tc>
      </w:tr>
      <w:tr>
        <w:trPr/>
        <w:tc>
          <w:tcPr>
            <w:tcW w:w="2315" w:type="dxa"/>
            <w:tcBorders/>
            <w:shd w:fill="CCEEFF" w:val="clear"/>
            <w:vAlign w:val="center"/>
          </w:tcPr>
          <w:p>
            <w:pPr>
              <w:pStyle w:val="TableContents"/>
              <w:bidi w:val="0"/>
              <w:spacing w:before="0" w:after="283"/>
              <w:jc w:val="left"/>
              <w:rPr/>
            </w:pPr>
            <w:r>
              <w:rPr/>
              <w:t>Expense ratio</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44.4%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39.7%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24.2%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33.9%</w:t>
            </w:r>
          </w:p>
        </w:tc>
        <w:tc>
          <w:tcPr>
            <w:tcW w:w="175" w:type="dxa"/>
            <w:tcBorders/>
            <w:shd w:fill="CCEEFF" w:val="clear"/>
            <w:vAlign w:val="center"/>
          </w:tcPr>
          <w:p>
            <w:pPr>
              <w:pStyle w:val="TableContents"/>
              <w:bidi w:val="0"/>
              <w:spacing w:before="0" w:after="283"/>
              <w:ind w:left="0" w:right="0" w:hanging="216"/>
              <w:jc w:val="left"/>
              <w:rPr/>
            </w:pPr>
            <w:r>
              <w:rPr/>
              <w:t> </w:t>
            </w:r>
          </w:p>
        </w:tc>
      </w:tr>
      <w:tr>
        <w:trPr/>
        <w:tc>
          <w:tcPr>
            <w:tcW w:w="2315" w:type="dxa"/>
            <w:tcBorders/>
            <w:vAlign w:val="center"/>
          </w:tcPr>
          <w:p>
            <w:pPr>
              <w:pStyle w:val="TableContents"/>
              <w:bidi w:val="0"/>
              <w:spacing w:before="0" w:after="283"/>
              <w:jc w:val="left"/>
              <w:rPr/>
            </w:pPr>
            <w:r>
              <w:rPr/>
              <w:t>Combined ratio</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92.0%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160.6%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94.2%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40.2%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125.1%</w:t>
            </w:r>
          </w:p>
        </w:tc>
        <w:tc>
          <w:tcPr>
            <w:tcW w:w="175" w:type="dxa"/>
            <w:tcBorders/>
            <w:vAlign w:val="center"/>
          </w:tcPr>
          <w:p>
            <w:pPr>
              <w:pStyle w:val="TableContents"/>
              <w:bidi w:val="0"/>
              <w:spacing w:before="0" w:after="283"/>
              <w:ind w:left="0" w:right="0" w:hanging="216"/>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hanging="216"/>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216"/>
              <w:jc w:val="left"/>
              <w:rPr/>
            </w:pPr>
            <w:r>
              <w:rPr/>
              <w:t> </w:t>
            </w:r>
          </w:p>
        </w:tc>
      </w:tr>
      <w:tr>
        <w:trPr/>
        <w:tc>
          <w:tcPr>
            <w:tcW w:w="2315" w:type="dxa"/>
            <w:tcBorders/>
            <w:shd w:fill="CCEEFF" w:val="clear"/>
            <w:vAlign w:val="center"/>
          </w:tcPr>
          <w:p>
            <w:pPr>
              <w:pStyle w:val="TableContents"/>
              <w:bidi w:val="0"/>
              <w:spacing w:before="0" w:after="283"/>
              <w:jc w:val="left"/>
              <w:rPr/>
            </w:pPr>
            <w:r>
              <w:rPr/>
              <w:t>Balances at June 30, 2025:</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Premiums and agents’ balances receivable</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w:t>
            </w:r>
          </w:p>
        </w:tc>
        <w:tc>
          <w:tcPr>
            <w:tcW w:w="983" w:type="dxa"/>
            <w:tcBorders/>
            <w:vAlign w:val="center"/>
          </w:tcPr>
          <w:p>
            <w:pPr>
              <w:pStyle w:val="TableContents"/>
              <w:bidi w:val="0"/>
              <w:spacing w:before="0" w:after="283"/>
              <w:jc w:val="right"/>
              <w:rPr/>
            </w:pPr>
            <w:r>
              <w:rPr/>
              <w:t>28,498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6,534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12,204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35,006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36" w:type="dxa"/>
            <w:tcBorders/>
            <w:vAlign w:val="center"/>
          </w:tcPr>
          <w:p>
            <w:pPr>
              <w:pStyle w:val="TableContents"/>
              <w:bidi w:val="0"/>
              <w:spacing w:before="0" w:after="283"/>
              <w:jc w:val="right"/>
              <w:rPr/>
            </w:pPr>
            <w:r>
              <w:rPr/>
              <w:t>3,362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85,604</w:t>
            </w:r>
          </w:p>
        </w:tc>
        <w:tc>
          <w:tcPr>
            <w:tcW w:w="1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Deferred policy acquisition costs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7,187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5,109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10,518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2,049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1,457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26,320</w:t>
            </w:r>
          </w:p>
        </w:tc>
        <w:tc>
          <w:tcPr>
            <w:tcW w:w="175" w:type="dxa"/>
            <w:tcBorders/>
            <w:shd w:fill="CCEEFF" w:val="clear"/>
            <w:vAlign w:val="center"/>
          </w:tcPr>
          <w:p>
            <w:pPr>
              <w:pStyle w:val="TableContents"/>
              <w:bidi w:val="0"/>
              <w:spacing w:before="0" w:after="283"/>
              <w:ind w:left="0" w:right="0" w:hanging="216"/>
              <w:jc w:val="left"/>
              <w:rPr/>
            </w:pPr>
            <w:r>
              <w:rPr/>
              <w:t> </w:t>
            </w:r>
          </w:p>
        </w:tc>
      </w:tr>
      <w:tr>
        <w:trPr/>
        <w:tc>
          <w:tcPr>
            <w:tcW w:w="2315"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3,148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40,346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2,356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5,428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51,278</w:t>
            </w:r>
          </w:p>
        </w:tc>
        <w:tc>
          <w:tcPr>
            <w:tcW w:w="175" w:type="dxa"/>
            <w:tcBorders/>
            <w:vAlign w:val="center"/>
          </w:tcPr>
          <w:p>
            <w:pPr>
              <w:pStyle w:val="TableContents"/>
              <w:bidi w:val="0"/>
              <w:spacing w:before="0" w:after="283"/>
              <w:ind w:left="0" w:right="0" w:firstLine="18"/>
              <w:jc w:val="left"/>
              <w:rPr/>
            </w:pPr>
            <w:r>
              <w:rPr/>
              <w:t> </w:t>
            </w:r>
          </w:p>
        </w:tc>
      </w:tr>
      <w:tr>
        <w:trPr/>
        <w:tc>
          <w:tcPr>
            <w:tcW w:w="2315" w:type="dxa"/>
            <w:tcBorders/>
            <w:shd w:fill="CCEEFF" w:val="clear"/>
            <w:vAlign w:val="center"/>
          </w:tcPr>
          <w:p>
            <w:pPr>
              <w:pStyle w:val="TableContents"/>
              <w:bidi w:val="0"/>
              <w:spacing w:before="0" w:after="283"/>
              <w:jc w:val="left"/>
              <w:rPr/>
            </w:pPr>
            <w:r>
              <w:rPr/>
              <w:t>Receivable from Federal Crop Insurance Corporation</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11,332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11,332</w:t>
            </w:r>
          </w:p>
        </w:tc>
        <w:tc>
          <w:tcPr>
            <w:tcW w:w="1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Goodwill and other intangibles</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100</w:t>
            </w:r>
          </w:p>
        </w:tc>
        <w:tc>
          <w:tcPr>
            <w:tcW w:w="175" w:type="dxa"/>
            <w:tcBorders/>
            <w:vAlign w:val="center"/>
          </w:tcPr>
          <w:p>
            <w:pPr>
              <w:pStyle w:val="TableContents"/>
              <w:bidi w:val="0"/>
              <w:spacing w:before="0" w:after="283"/>
              <w:ind w:left="0" w:right="0" w:firstLine="18"/>
              <w:jc w:val="left"/>
              <w:rPr/>
            </w:pPr>
            <w:r>
              <w:rPr/>
              <w:t> </w:t>
            </w:r>
          </w:p>
        </w:tc>
      </w:tr>
      <w:tr>
        <w:trPr/>
        <w:tc>
          <w:tcPr>
            <w:tcW w:w="2315" w:type="dxa"/>
            <w:tcBorders/>
            <w:shd w:fill="CCEEFF" w:val="clear"/>
            <w:vAlign w:val="center"/>
          </w:tcPr>
          <w:p>
            <w:pPr>
              <w:pStyle w:val="TableContents"/>
              <w:bidi w:val="0"/>
              <w:spacing w:before="0" w:after="283"/>
              <w:jc w:val="left"/>
              <w:rPr/>
            </w:pPr>
            <w:r>
              <w:rPr/>
              <w:t>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32,194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77,151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72,399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10,494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11,292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203,530</w:t>
            </w:r>
          </w:p>
        </w:tc>
        <w:tc>
          <w:tcPr>
            <w:tcW w:w="175" w:type="dxa"/>
            <w:tcBorders/>
            <w:shd w:fill="CCEEFF" w:val="clear"/>
            <w:vAlign w:val="center"/>
          </w:tcPr>
          <w:p>
            <w:pPr>
              <w:pStyle w:val="TableContents"/>
              <w:bidi w:val="0"/>
              <w:spacing w:before="0" w:after="283"/>
              <w:ind w:left="0" w:right="0" w:hanging="216"/>
              <w:jc w:val="left"/>
              <w:rPr/>
            </w:pPr>
            <w:r>
              <w:rPr/>
              <w:t> </w:t>
            </w:r>
          </w:p>
        </w:tc>
      </w:tr>
      <w:tr>
        <w:trPr/>
        <w:tc>
          <w:tcPr>
            <w:tcW w:w="2315" w:type="dxa"/>
            <w:tcBorders/>
            <w:vAlign w:val="center"/>
          </w:tcPr>
          <w:p>
            <w:pPr>
              <w:pStyle w:val="TableContents"/>
              <w:bidi w:val="0"/>
              <w:spacing w:before="0" w:after="283"/>
              <w:jc w:val="left"/>
              <w:rPr/>
            </w:pPr>
            <w:r>
              <w:rPr/>
              <w:t>Unearned premiums</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40,510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17,341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55,544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21,177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8,317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142,889</w:t>
            </w:r>
          </w:p>
        </w:tc>
        <w:tc>
          <w:tcPr>
            <w:tcW w:w="17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Other underwriting and general expenses for each segment include expenses related to compensation, vendor services, and other administrative items.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9"/>
        <w:gridCol w:w="90"/>
        <w:gridCol w:w="237"/>
        <w:gridCol w:w="998"/>
        <w:gridCol w:w="125"/>
        <w:gridCol w:w="90"/>
        <w:gridCol w:w="296"/>
        <w:gridCol w:w="1241"/>
        <w:gridCol w:w="125"/>
        <w:gridCol w:w="90"/>
        <w:gridCol w:w="177"/>
        <w:gridCol w:w="766"/>
        <w:gridCol w:w="125"/>
        <w:gridCol w:w="90"/>
        <w:gridCol w:w="170"/>
        <w:gridCol w:w="710"/>
        <w:gridCol w:w="125"/>
        <w:gridCol w:w="90"/>
        <w:gridCol w:w="180"/>
        <w:gridCol w:w="652"/>
        <w:gridCol w:w="125"/>
        <w:gridCol w:w="90"/>
        <w:gridCol w:w="170"/>
        <w:gridCol w:w="830"/>
        <w:gridCol w:w="174"/>
      </w:tblGrid>
      <w:tr>
        <w:trPr/>
        <w:tc>
          <w:tcPr>
            <w:tcW w:w="2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02"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2024</w:t>
            </w:r>
          </w:p>
        </w:tc>
        <w:tc>
          <w:tcPr>
            <w:tcW w:w="174" w:type="dxa"/>
            <w:tcBorders/>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Non-Standard </w:t>
              <w:br/>
              <w:t>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Home and</w:t>
              <w:br/>
              <w:t>Farm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4" w:type="dxa"/>
            <w:tcBorders/>
            <w:vAlign w:val="center"/>
          </w:tcPr>
          <w:p>
            <w:pPr>
              <w:pStyle w:val="TableContents"/>
              <w:bidi w:val="0"/>
              <w:spacing w:before="0" w:after="283"/>
              <w:jc w:val="left"/>
              <w:rPr/>
            </w:pPr>
            <w:r>
              <w:rPr/>
              <w:t> </w:t>
            </w:r>
          </w:p>
        </w:tc>
      </w:tr>
      <w:tr>
        <w:trPr/>
        <w:tc>
          <w:tcPr>
            <w:tcW w:w="2439" w:type="dxa"/>
            <w:tcBorders/>
            <w:shd w:fill="CCEEFF" w:val="clear"/>
            <w:vAlign w:val="center"/>
          </w:tcPr>
          <w:p>
            <w:pPr>
              <w:pStyle w:val="TableContents"/>
              <w:bidi w:val="0"/>
              <w:spacing w:before="0" w:after="283"/>
              <w:jc w:val="left"/>
              <w:rPr/>
            </w:pPr>
            <w:r>
              <w:rPr/>
              <w:t>Direct premiums earned</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23,395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241" w:type="dxa"/>
            <w:tcBorders/>
            <w:shd w:fill="CCEEFF" w:val="clear"/>
            <w:vAlign w:val="center"/>
          </w:tcPr>
          <w:p>
            <w:pPr>
              <w:pStyle w:val="TableContents"/>
              <w:bidi w:val="0"/>
              <w:spacing w:before="0" w:after="283"/>
              <w:jc w:val="right"/>
              <w:rPr/>
            </w:pPr>
            <w:r>
              <w:rPr/>
              <w:t>26,820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24,999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13,118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3,168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91,500</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Assumed premiums earned</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150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653</w:t>
            </w:r>
          </w:p>
        </w:tc>
        <w:tc>
          <w:tcPr>
            <w:tcW w:w="174" w:type="dxa"/>
            <w:tcBorders/>
            <w:vAlign w:val="center"/>
          </w:tcPr>
          <w:p>
            <w:pPr>
              <w:pStyle w:val="TableContents"/>
              <w:bidi w:val="0"/>
              <w:spacing w:before="0" w:after="283"/>
              <w:jc w:val="left"/>
              <w:rPr/>
            </w:pPr>
            <w:r>
              <w:rPr/>
              <w:t> </w:t>
            </w:r>
          </w:p>
        </w:tc>
      </w:tr>
      <w:tr>
        <w:trPr/>
        <w:tc>
          <w:tcPr>
            <w:tcW w:w="2439" w:type="dxa"/>
            <w:tcBorders/>
            <w:shd w:fill="CCEEFF" w:val="clear"/>
            <w:vAlign w:val="center"/>
          </w:tcPr>
          <w:p>
            <w:pPr>
              <w:pStyle w:val="TableContents"/>
              <w:bidi w:val="0"/>
              <w:spacing w:before="0" w:after="283"/>
              <w:jc w:val="left"/>
              <w:rPr/>
            </w:pPr>
            <w:r>
              <w:rPr/>
              <w:t>Ceded premiums earned</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(924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shd w:fill="CCEEFF" w:val="clear"/>
            <w:tcMar>
              <w:bottom w:w="28" w:type="dxa"/>
            </w:tcMar>
            <w:vAlign w:val="center"/>
          </w:tcPr>
          <w:p>
            <w:pPr>
              <w:pStyle w:val="TableContents"/>
              <w:bidi w:val="0"/>
              <w:spacing w:before="0" w:after="283"/>
              <w:jc w:val="right"/>
              <w:rPr/>
            </w:pPr>
            <w:r>
              <w:rPr/>
              <w:t>(77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(3,075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(2,643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(265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(6,984</w:t>
            </w:r>
          </w:p>
        </w:tc>
        <w:tc>
          <w:tcPr>
            <w:tcW w:w="174" w:type="dxa"/>
            <w:tcBorders/>
            <w:shd w:fill="CCEEFF" w:val="clear"/>
            <w:vAlign w:val="center"/>
          </w:tcPr>
          <w:p>
            <w:pPr>
              <w:pStyle w:val="TableContents"/>
              <w:bidi w:val="0"/>
              <w:spacing w:before="0" w:after="283"/>
              <w:jc w:val="left"/>
              <w:rPr/>
            </w:pPr>
            <w:r>
              <w:rPr/>
              <w:t>)</w:t>
            </w:r>
          </w:p>
        </w:tc>
      </w:tr>
      <w:tr>
        <w:trPr/>
        <w:tc>
          <w:tcPr>
            <w:tcW w:w="2439"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22,471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26,743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21,924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10,978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3,053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85,169</w:t>
            </w:r>
          </w:p>
        </w:tc>
        <w:tc>
          <w:tcPr>
            <w:tcW w:w="174" w:type="dxa"/>
            <w:tcBorders/>
            <w:vAlign w:val="center"/>
          </w:tcPr>
          <w:p>
            <w:pPr>
              <w:pStyle w:val="TableContents"/>
              <w:bidi w:val="0"/>
              <w:spacing w:before="0" w:after="283"/>
              <w:jc w:val="left"/>
              <w:rPr/>
            </w:pPr>
            <w:r>
              <w:rPr/>
              <w:t> </w:t>
            </w:r>
          </w:p>
        </w:tc>
      </w:tr>
      <w:tr>
        <w:trPr/>
        <w:tc>
          <w:tcPr>
            <w:tcW w:w="24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20,899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19,313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22,574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8,916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1,648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73,350</w:t>
            </w:r>
          </w:p>
        </w:tc>
        <w:tc>
          <w:tcPr>
            <w:tcW w:w="174" w:type="dxa"/>
            <w:tcBorders/>
            <w:vAlign w:val="center"/>
          </w:tcPr>
          <w:p>
            <w:pPr>
              <w:pStyle w:val="TableContents"/>
              <w:bidi w:val="0"/>
              <w:spacing w:before="0" w:after="283"/>
              <w:jc w:val="left"/>
              <w:rPr/>
            </w:pPr>
            <w:r>
              <w:rPr/>
              <w:t> </w:t>
            </w:r>
          </w:p>
        </w:tc>
      </w:tr>
      <w:tr>
        <w:trPr/>
        <w:tc>
          <w:tcPr>
            <w:tcW w:w="2439"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224</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37" w:type="dxa"/>
            <w:tcBorders>
              <w:bottom w:val="single" w:sz="8" w:space="0" w:color="000000"/>
            </w:tcBorders>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tcMar>
              <w:bottom w:w="28" w:type="dxa"/>
            </w:tcMar>
            <w:vAlign w:val="center"/>
          </w:tcPr>
          <w:p>
            <w:pPr>
              <w:pStyle w:val="TableContents"/>
              <w:bidi w:val="0"/>
              <w:spacing w:before="0" w:after="283"/>
              <w:jc w:val="right"/>
              <w:rPr/>
            </w:pPr>
            <w:r>
              <w:rPr/>
              <w:t>(970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(548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(1,852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tcMar>
              <w:bottom w:w="28" w:type="dxa"/>
            </w:tcMar>
            <w:vAlign w:val="center"/>
          </w:tcPr>
          <w:p>
            <w:pPr>
              <w:pStyle w:val="TableContents"/>
              <w:bidi w:val="0"/>
              <w:spacing w:before="0" w:after="283"/>
              <w:jc w:val="right"/>
              <w:rPr/>
            </w:pPr>
            <w:r>
              <w:rPr/>
              <w:t>(846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(4,216</w:t>
            </w:r>
          </w:p>
        </w:tc>
        <w:tc>
          <w:tcPr>
            <w:tcW w:w="174" w:type="dxa"/>
            <w:tcBorders/>
            <w:vAlign w:val="center"/>
          </w:tcPr>
          <w:p>
            <w:pPr>
              <w:pStyle w:val="TableContents"/>
              <w:bidi w:val="0"/>
              <w:spacing w:before="0" w:after="283"/>
              <w:jc w:val="left"/>
              <w:rPr/>
            </w:pPr>
            <w:r>
              <w:rPr/>
              <w:t>)</w:t>
            </w:r>
          </w:p>
        </w:tc>
      </w:tr>
      <w:tr>
        <w:trPr/>
        <w:tc>
          <w:tcPr>
            <w:tcW w:w="2439"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19,929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19,313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22,026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7,311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779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69,358</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8" w:space="0" w:color="000000"/>
            </w:tcBorders>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439"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2,542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shd w:fill="CCEEFF" w:val="clear"/>
            <w:tcMar>
              <w:bottom w:w="28" w:type="dxa"/>
            </w:tcMar>
            <w:vAlign w:val="center"/>
          </w:tcPr>
          <w:p>
            <w:pPr>
              <w:pStyle w:val="TableContents"/>
              <w:bidi w:val="0"/>
              <w:spacing w:before="0" w:after="283"/>
              <w:jc w:val="right"/>
              <w:rPr/>
            </w:pPr>
            <w:r>
              <w:rPr/>
              <w:t>7,430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3,667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2,274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15,811</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439"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4,567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8,245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4,770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608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19,290</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37" w:type="dxa"/>
            <w:tcBorders>
              <w:bottom w:val="single" w:sz="8" w:space="0" w:color="000000"/>
            </w:tcBorders>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tcMar>
              <w:bottom w:w="28" w:type="dxa"/>
            </w:tcMar>
            <w:vAlign w:val="center"/>
          </w:tcPr>
          <w:p>
            <w:pPr>
              <w:pStyle w:val="TableContents"/>
              <w:bidi w:val="0"/>
              <w:spacing w:before="0" w:after="283"/>
              <w:jc w:val="right"/>
              <w:rPr/>
            </w:pPr>
            <w:r>
              <w:rPr/>
              <w:t>2,269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tcMar>
              <w:bottom w:w="28" w:type="dxa"/>
            </w:tcMar>
            <w:vAlign w:val="center"/>
          </w:tcPr>
          <w:p>
            <w:pPr>
              <w:pStyle w:val="TableContents"/>
              <w:bidi w:val="0"/>
              <w:spacing w:before="0" w:after="283"/>
              <w:jc w:val="right"/>
              <w:rPr/>
            </w:pPr>
            <w:r>
              <w:rPr/>
              <w:t>2,016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2,476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612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tcMar>
              <w:bottom w:w="28" w:type="dxa"/>
            </w:tcMar>
            <w:vAlign w:val="center"/>
          </w:tcPr>
          <w:p>
            <w:pPr>
              <w:pStyle w:val="TableContents"/>
              <w:bidi w:val="0"/>
              <w:spacing w:before="0" w:after="283"/>
              <w:jc w:val="right"/>
              <w:rPr/>
            </w:pPr>
            <w:r>
              <w:rPr/>
              <w:t>856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8,229</w:t>
            </w:r>
          </w:p>
        </w:tc>
        <w:tc>
          <w:tcPr>
            <w:tcW w:w="174" w:type="dxa"/>
            <w:tcBorders/>
            <w:vAlign w:val="center"/>
          </w:tcPr>
          <w:p>
            <w:pPr>
              <w:pStyle w:val="TableContents"/>
              <w:bidi w:val="0"/>
              <w:spacing w:before="0" w:after="283"/>
              <w:jc w:val="left"/>
              <w:rPr/>
            </w:pPr>
            <w:r>
              <w:rPr/>
              <w:t> </w:t>
            </w:r>
          </w:p>
        </w:tc>
      </w:tr>
      <w:tr>
        <w:trPr/>
        <w:tc>
          <w:tcPr>
            <w:tcW w:w="2439"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6,836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shd w:fill="CCEEFF" w:val="clear"/>
            <w:tcMar>
              <w:bottom w:w="28" w:type="dxa"/>
            </w:tcMar>
            <w:vAlign w:val="center"/>
          </w:tcPr>
          <w:p>
            <w:pPr>
              <w:pStyle w:val="TableContents"/>
              <w:bidi w:val="0"/>
              <w:spacing w:before="0" w:after="283"/>
              <w:jc w:val="right"/>
              <w:rPr/>
            </w:pPr>
            <w:r>
              <w:rPr/>
              <w:t>10,261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7,246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1,712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1,464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27,519</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Underwriting gain (loss)</w:t>
            </w:r>
          </w:p>
        </w:tc>
        <w:tc>
          <w:tcPr>
            <w:tcW w:w="90" w:type="dxa"/>
            <w:tcBorders/>
            <w:vAlign w:val="center"/>
          </w:tcPr>
          <w:p>
            <w:pPr>
              <w:pStyle w:val="TableContents"/>
              <w:bidi w:val="0"/>
              <w:spacing w:before="0" w:after="283"/>
              <w:jc w:val="left"/>
              <w:rPr/>
            </w:pPr>
            <w:r>
              <w:rPr/>
              <w:t> </w:t>
            </w:r>
          </w:p>
        </w:tc>
        <w:tc>
          <w:tcPr>
            <w:tcW w:w="237" w:type="dxa"/>
            <w:tcBorders>
              <w:bottom w:val="single" w:sz="8" w:space="0" w:color="000000"/>
            </w:tcBorders>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tcMar>
              <w:bottom w:w="28" w:type="dxa"/>
            </w:tcMar>
            <w:vAlign w:val="center"/>
          </w:tcPr>
          <w:p>
            <w:pPr>
              <w:pStyle w:val="TableContents"/>
              <w:bidi w:val="0"/>
              <w:spacing w:before="0" w:after="283"/>
              <w:jc w:val="right"/>
              <w:rPr/>
            </w:pPr>
            <w:r>
              <w:rPr/>
              <w:t>(4,294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tcMar>
              <w:bottom w:w="28" w:type="dxa"/>
            </w:tcMar>
            <w:vAlign w:val="center"/>
          </w:tcPr>
          <w:p>
            <w:pPr>
              <w:pStyle w:val="TableContents"/>
              <w:bidi w:val="0"/>
              <w:spacing w:before="0" w:after="283"/>
              <w:jc w:val="right"/>
              <w:rPr/>
            </w:pPr>
            <w:r>
              <w:rPr/>
              <w:t>(2,831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(7,348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1,955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tcMar>
              <w:bottom w:w="28" w:type="dxa"/>
            </w:tcMar>
            <w:vAlign w:val="center"/>
          </w:tcPr>
          <w:p>
            <w:pPr>
              <w:pStyle w:val="TableContents"/>
              <w:bidi w:val="0"/>
              <w:spacing w:before="0" w:after="283"/>
              <w:jc w:val="right"/>
              <w:rPr/>
            </w:pPr>
            <w:r>
              <w:rPr/>
              <w:t>810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(11,708</w:t>
            </w:r>
          </w:p>
        </w:tc>
        <w:tc>
          <w:tcPr>
            <w:tcW w:w="174" w:type="dxa"/>
            <w:tcBorders/>
            <w:vAlign w:val="center"/>
          </w:tcPr>
          <w:p>
            <w:pPr>
              <w:pStyle w:val="TableContents"/>
              <w:bidi w:val="0"/>
              <w:spacing w:before="0" w:after="283"/>
              <w:jc w:val="left"/>
              <w:rPr/>
            </w:pPr>
            <w:r>
              <w:rPr/>
              <w:t>)</w:t>
            </w:r>
          </w:p>
        </w:tc>
      </w:tr>
      <w:tr>
        <w:trPr/>
        <w:tc>
          <w:tcPr>
            <w:tcW w:w="24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695</w:t>
            </w:r>
          </w:p>
        </w:tc>
        <w:tc>
          <w:tcPr>
            <w:tcW w:w="174" w:type="dxa"/>
            <w:tcBorders/>
            <w:vAlign w:val="center"/>
          </w:tcPr>
          <w:p>
            <w:pPr>
              <w:pStyle w:val="TableContents"/>
              <w:bidi w:val="0"/>
              <w:spacing w:before="0" w:after="283"/>
              <w:jc w:val="left"/>
              <w:rPr/>
            </w:pPr>
            <w:r>
              <w:rPr/>
              <w:t> </w:t>
            </w:r>
          </w:p>
        </w:tc>
      </w:tr>
      <w:tr>
        <w:trPr/>
        <w:tc>
          <w:tcPr>
            <w:tcW w:w="2439"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2,523</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Net investment gains (losses)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(580</w:t>
            </w:r>
          </w:p>
        </w:tc>
        <w:tc>
          <w:tcPr>
            <w:tcW w:w="174" w:type="dxa"/>
            <w:tcBorders/>
            <w:vAlign w:val="center"/>
          </w:tcPr>
          <w:p>
            <w:pPr>
              <w:pStyle w:val="TableContents"/>
              <w:bidi w:val="0"/>
              <w:spacing w:before="0" w:after="283"/>
              <w:jc w:val="left"/>
              <w:rPr/>
            </w:pPr>
            <w:r>
              <w:rPr/>
              <w:t>)</w:t>
            </w:r>
          </w:p>
        </w:tc>
      </w:tr>
      <w:tr>
        <w:trPr/>
        <w:tc>
          <w:tcPr>
            <w:tcW w:w="2439"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(9,070</w:t>
            </w:r>
          </w:p>
        </w:tc>
        <w:tc>
          <w:tcPr>
            <w:tcW w:w="174" w:type="dxa"/>
            <w:tcBorders/>
            <w:shd w:fill="CCEEFF" w:val="clear"/>
            <w:vAlign w:val="center"/>
          </w:tcPr>
          <w:p>
            <w:pPr>
              <w:pStyle w:val="TableContents"/>
              <w:bidi w:val="0"/>
              <w:spacing w:before="0" w:after="283"/>
              <w:jc w:val="left"/>
              <w:rPr/>
            </w:pPr>
            <w:r>
              <w:rPr/>
              <w:t>)</w:t>
            </w:r>
          </w:p>
        </w:tc>
      </w:tr>
      <w:tr>
        <w:trPr/>
        <w:tc>
          <w:tcPr>
            <w:tcW w:w="2439" w:type="dxa"/>
            <w:tcBorders/>
            <w:vAlign w:val="center"/>
          </w:tcPr>
          <w:p>
            <w:pPr>
              <w:pStyle w:val="TableContents"/>
              <w:bidi w:val="0"/>
              <w:spacing w:before="0" w:after="283"/>
              <w:jc w:val="left"/>
              <w:rPr/>
            </w:pPr>
            <w:r>
              <w:rPr/>
              <w:t>Income tax expense (benefit)</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(1,592</w:t>
            </w:r>
          </w:p>
        </w:tc>
        <w:tc>
          <w:tcPr>
            <w:tcW w:w="174" w:type="dxa"/>
            <w:tcBorders/>
            <w:vAlign w:val="center"/>
          </w:tcPr>
          <w:p>
            <w:pPr>
              <w:pStyle w:val="TableContents"/>
              <w:bidi w:val="0"/>
              <w:spacing w:before="0" w:after="283"/>
              <w:jc w:val="left"/>
              <w:rPr/>
            </w:pPr>
            <w:r>
              <w:rPr/>
              <w:t>)</w:t>
            </w:r>
          </w:p>
        </w:tc>
      </w:tr>
      <w:tr>
        <w:trPr/>
        <w:tc>
          <w:tcPr>
            <w:tcW w:w="2439"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(7,478</w:t>
            </w:r>
          </w:p>
        </w:tc>
        <w:tc>
          <w:tcPr>
            <w:tcW w:w="174" w:type="dxa"/>
            <w:tcBorders/>
            <w:shd w:fill="CCEEFF" w:val="clear"/>
            <w:vAlign w:val="center"/>
          </w:tcPr>
          <w:p>
            <w:pPr>
              <w:pStyle w:val="TableContents"/>
              <w:bidi w:val="0"/>
              <w:spacing w:before="0" w:after="283"/>
              <w:ind w:left="0" w:right="0" w:hanging="216"/>
              <w:jc w:val="left"/>
              <w:rPr/>
            </w:pPr>
            <w:r>
              <w:rPr/>
              <w:t>)</w:t>
            </w:r>
          </w:p>
        </w:tc>
      </w:tr>
      <w:tr>
        <w:trPr/>
        <w:tc>
          <w:tcPr>
            <w:tcW w:w="2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216"/>
              <w:jc w:val="left"/>
              <w:rPr/>
            </w:pPr>
            <w:r>
              <w:rPr/>
              <w:t> </w:t>
            </w:r>
          </w:p>
        </w:tc>
      </w:tr>
      <w:tr>
        <w:trPr/>
        <w:tc>
          <w:tcPr>
            <w:tcW w:w="2439" w:type="dxa"/>
            <w:tcBorders/>
            <w:shd w:fill="CCEEFF" w:val="clear"/>
            <w:vAlign w:val="center"/>
          </w:tcPr>
          <w:p>
            <w:pPr>
              <w:pStyle w:val="TableContents"/>
              <w:bidi w:val="0"/>
              <w:spacing w:before="0" w:after="283"/>
              <w:jc w:val="left"/>
              <w:rPr/>
            </w:pPr>
            <w:r>
              <w:rPr/>
              <w:t>Operating Ratios: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ind w:left="0" w:right="0" w:firstLine="18"/>
              <w:jc w:val="left"/>
              <w:rPr/>
            </w:pPr>
            <w:r>
              <w:rPr/>
              <w:t> </w:t>
            </w:r>
          </w:p>
        </w:tc>
      </w:tr>
      <w:tr>
        <w:trPr/>
        <w:tc>
          <w:tcPr>
            <w:tcW w:w="2439" w:type="dxa"/>
            <w:tcBorders/>
            <w:vAlign w:val="center"/>
          </w:tcPr>
          <w:p>
            <w:pPr>
              <w:pStyle w:val="TableContents"/>
              <w:bidi w:val="0"/>
              <w:spacing w:before="0" w:after="283"/>
              <w:jc w:val="left"/>
              <w:rPr/>
            </w:pPr>
            <w:r>
              <w:rPr/>
              <w:t>Loss and loss adjustment expense ratio</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88.7%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72.2%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100.5%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25.5%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81.4%</w:t>
            </w:r>
          </w:p>
        </w:tc>
        <w:tc>
          <w:tcPr>
            <w:tcW w:w="174" w:type="dxa"/>
            <w:tcBorders/>
            <w:vAlign w:val="center"/>
          </w:tcPr>
          <w:p>
            <w:pPr>
              <w:pStyle w:val="TableContents"/>
              <w:bidi w:val="0"/>
              <w:spacing w:before="0" w:after="283"/>
              <w:ind w:left="0" w:right="0" w:hanging="216"/>
              <w:jc w:val="left"/>
              <w:rPr/>
            </w:pPr>
            <w:r>
              <w:rPr/>
              <w:t> </w:t>
            </w:r>
          </w:p>
        </w:tc>
      </w:tr>
      <w:tr>
        <w:trPr/>
        <w:tc>
          <w:tcPr>
            <w:tcW w:w="2439" w:type="dxa"/>
            <w:tcBorders/>
            <w:shd w:fill="CCEEFF" w:val="clear"/>
            <w:vAlign w:val="center"/>
          </w:tcPr>
          <w:p>
            <w:pPr>
              <w:pStyle w:val="TableContents"/>
              <w:bidi w:val="0"/>
              <w:spacing w:before="0" w:after="283"/>
              <w:jc w:val="left"/>
              <w:rPr/>
            </w:pPr>
            <w:r>
              <w:rPr/>
              <w:t>Expense ratio</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38.4%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33.1%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32.3%</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439" w:type="dxa"/>
            <w:tcBorders/>
            <w:vAlign w:val="center"/>
          </w:tcPr>
          <w:p>
            <w:pPr>
              <w:pStyle w:val="TableContents"/>
              <w:bidi w:val="0"/>
              <w:spacing w:before="0" w:after="283"/>
              <w:jc w:val="left"/>
              <w:rPr/>
            </w:pPr>
            <w:r>
              <w:rPr/>
              <w:t>Combined ratio</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119.1%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110.6%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133.6%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73.5%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113.7%</w:t>
            </w:r>
          </w:p>
        </w:tc>
        <w:tc>
          <w:tcPr>
            <w:tcW w:w="174" w:type="dxa"/>
            <w:tcBorders/>
            <w:vAlign w:val="center"/>
          </w:tcPr>
          <w:p>
            <w:pPr>
              <w:pStyle w:val="TableContents"/>
              <w:bidi w:val="0"/>
              <w:spacing w:before="0" w:after="283"/>
              <w:ind w:left="0" w:right="0" w:hanging="216"/>
              <w:jc w:val="left"/>
              <w:rPr/>
            </w:pPr>
            <w:r>
              <w:rPr/>
              <w:t> </w:t>
            </w:r>
          </w:p>
        </w:tc>
      </w:tr>
      <w:tr>
        <w:trPr/>
        <w:tc>
          <w:tcPr>
            <w:tcW w:w="24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216"/>
              <w:jc w:val="left"/>
              <w:rPr/>
            </w:pPr>
            <w:r>
              <w:rPr/>
              <w:t> </w:t>
            </w:r>
          </w:p>
        </w:tc>
      </w:tr>
      <w:tr>
        <w:trPr/>
        <w:tc>
          <w:tcPr>
            <w:tcW w:w="2439" w:type="dxa"/>
            <w:tcBorders/>
            <w:shd w:fill="CCEEFF" w:val="clear"/>
            <w:vAlign w:val="center"/>
          </w:tcPr>
          <w:p>
            <w:pPr>
              <w:pStyle w:val="TableContents"/>
              <w:bidi w:val="0"/>
              <w:spacing w:before="0" w:after="283"/>
              <w:jc w:val="left"/>
              <w:rPr/>
            </w:pPr>
            <w:r>
              <w:rPr/>
              <w:t>Balances at June 30, 2024:</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Premiums and agents’ balances receivable</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26,393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w:t>
            </w:r>
          </w:p>
        </w:tc>
        <w:tc>
          <w:tcPr>
            <w:tcW w:w="1241" w:type="dxa"/>
            <w:tcBorders/>
            <w:vAlign w:val="center"/>
          </w:tcPr>
          <w:p>
            <w:pPr>
              <w:pStyle w:val="TableContents"/>
              <w:bidi w:val="0"/>
              <w:spacing w:before="0" w:after="283"/>
              <w:jc w:val="right"/>
              <w:rPr/>
            </w:pPr>
            <w:r>
              <w:rPr/>
              <w:t>15,357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11,927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36,382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jc w:val="right"/>
              <w:rPr/>
            </w:pPr>
            <w:r>
              <w:rPr/>
              <w:t>2,772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92,831</w:t>
            </w:r>
          </w:p>
        </w:tc>
        <w:tc>
          <w:tcPr>
            <w:tcW w:w="174" w:type="dxa"/>
            <w:tcBorders/>
            <w:vAlign w:val="center"/>
          </w:tcPr>
          <w:p>
            <w:pPr>
              <w:pStyle w:val="TableContents"/>
              <w:bidi w:val="0"/>
              <w:spacing w:before="0" w:after="283"/>
              <w:jc w:val="left"/>
              <w:rPr/>
            </w:pPr>
            <w:r>
              <w:rPr/>
              <w:t> </w:t>
            </w:r>
          </w:p>
        </w:tc>
      </w:tr>
      <w:tr>
        <w:trPr/>
        <w:tc>
          <w:tcPr>
            <w:tcW w:w="2439" w:type="dxa"/>
            <w:tcBorders/>
            <w:shd w:fill="CCEEFF" w:val="clear"/>
            <w:vAlign w:val="center"/>
          </w:tcPr>
          <w:p>
            <w:pPr>
              <w:pStyle w:val="TableContents"/>
              <w:bidi w:val="0"/>
              <w:spacing w:before="0" w:after="283"/>
              <w:jc w:val="left"/>
              <w:rPr/>
            </w:pPr>
            <w:r>
              <w:rPr/>
              <w:t>Deferred policy acquisition costs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6,719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11,533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9,598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2,120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1,187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31,157</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439"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2,726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1,685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4,082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9,423</w:t>
            </w:r>
          </w:p>
        </w:tc>
        <w:tc>
          <w:tcPr>
            <w:tcW w:w="174" w:type="dxa"/>
            <w:tcBorders/>
            <w:vAlign w:val="center"/>
          </w:tcPr>
          <w:p>
            <w:pPr>
              <w:pStyle w:val="TableContents"/>
              <w:bidi w:val="0"/>
              <w:spacing w:before="0" w:after="283"/>
              <w:ind w:left="0" w:right="0" w:firstLine="18"/>
              <w:jc w:val="left"/>
              <w:rPr/>
            </w:pPr>
            <w:r>
              <w:rPr/>
              <w:t> </w:t>
            </w:r>
          </w:p>
        </w:tc>
      </w:tr>
      <w:tr>
        <w:trPr/>
        <w:tc>
          <w:tcPr>
            <w:tcW w:w="2439" w:type="dxa"/>
            <w:tcBorders/>
            <w:shd w:fill="CCEEFF" w:val="clear"/>
            <w:vAlign w:val="center"/>
          </w:tcPr>
          <w:p>
            <w:pPr>
              <w:pStyle w:val="TableContents"/>
              <w:bidi w:val="0"/>
              <w:spacing w:before="0" w:after="283"/>
              <w:jc w:val="left"/>
              <w:rPr/>
            </w:pPr>
            <w:r>
              <w:rPr/>
              <w:t>Receivable from Federal Crop Insurance Corporation</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13,793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13,793</w:t>
            </w:r>
          </w:p>
        </w:tc>
        <w:tc>
          <w:tcPr>
            <w:tcW w:w="174" w:type="dxa"/>
            <w:tcBorders/>
            <w:shd w:fill="CCEEFF" w:val="clear"/>
            <w:vAlign w:val="center"/>
          </w:tcPr>
          <w:p>
            <w:pPr>
              <w:pStyle w:val="TableContents"/>
              <w:bidi w:val="0"/>
              <w:spacing w:before="0" w:after="283"/>
              <w:jc w:val="left"/>
              <w:rPr/>
            </w:pPr>
            <w:r>
              <w:rPr/>
              <w:t> </w:t>
            </w:r>
          </w:p>
        </w:tc>
      </w:tr>
      <w:tr>
        <w:trPr/>
        <w:tc>
          <w:tcPr>
            <w:tcW w:w="2439" w:type="dxa"/>
            <w:tcBorders/>
            <w:vAlign w:val="center"/>
          </w:tcPr>
          <w:p>
            <w:pPr>
              <w:pStyle w:val="TableContents"/>
              <w:bidi w:val="0"/>
              <w:spacing w:before="0" w:after="283"/>
              <w:jc w:val="left"/>
              <w:rPr/>
            </w:pPr>
            <w:r>
              <w:rPr/>
              <w:t>Goodwill and other intangibles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2,728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2,728</w:t>
            </w:r>
          </w:p>
        </w:tc>
        <w:tc>
          <w:tcPr>
            <w:tcW w:w="174" w:type="dxa"/>
            <w:tcBorders/>
            <w:vAlign w:val="center"/>
          </w:tcPr>
          <w:p>
            <w:pPr>
              <w:pStyle w:val="TableContents"/>
              <w:bidi w:val="0"/>
              <w:spacing w:before="0" w:after="283"/>
              <w:ind w:left="0" w:right="0" w:firstLine="18"/>
              <w:jc w:val="left"/>
              <w:rPr/>
            </w:pPr>
            <w:r>
              <w:rPr/>
              <w:t> </w:t>
            </w:r>
          </w:p>
        </w:tc>
      </w:tr>
      <w:tr>
        <w:trPr/>
        <w:tc>
          <w:tcPr>
            <w:tcW w:w="2439" w:type="dxa"/>
            <w:tcBorders/>
            <w:shd w:fill="CCEEFF" w:val="clear"/>
            <w:vAlign w:val="center"/>
          </w:tcPr>
          <w:p>
            <w:pPr>
              <w:pStyle w:val="TableContents"/>
              <w:bidi w:val="0"/>
              <w:spacing w:before="0" w:after="283"/>
              <w:jc w:val="left"/>
              <w:rPr/>
            </w:pPr>
            <w:r>
              <w:rPr/>
              <w:t>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33,643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69,951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26,336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8,770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9,827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148,527</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439" w:type="dxa"/>
            <w:tcBorders/>
            <w:vAlign w:val="center"/>
          </w:tcPr>
          <w:p>
            <w:pPr>
              <w:pStyle w:val="TableContents"/>
              <w:bidi w:val="0"/>
              <w:spacing w:before="0" w:after="283"/>
              <w:jc w:val="left"/>
              <w:rPr/>
            </w:pPr>
            <w:r>
              <w:rPr/>
              <w:t>Unearned premiums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38,682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36,170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54,147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21,695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7,036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157,730</w:t>
            </w:r>
          </w:p>
        </w:tc>
        <w:tc>
          <w:tcPr>
            <w:tcW w:w="1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underwriting and general expenses for each segment include expenses related to compensation, vendor services, and other administrative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4"/>
        <w:gridCol w:w="90"/>
        <w:gridCol w:w="238"/>
        <w:gridCol w:w="999"/>
        <w:gridCol w:w="125"/>
        <w:gridCol w:w="90"/>
        <w:gridCol w:w="272"/>
        <w:gridCol w:w="1264"/>
        <w:gridCol w:w="125"/>
        <w:gridCol w:w="90"/>
        <w:gridCol w:w="180"/>
        <w:gridCol w:w="834"/>
        <w:gridCol w:w="125"/>
        <w:gridCol w:w="90"/>
        <w:gridCol w:w="170"/>
        <w:gridCol w:w="710"/>
        <w:gridCol w:w="125"/>
        <w:gridCol w:w="90"/>
        <w:gridCol w:w="180"/>
        <w:gridCol w:w="705"/>
        <w:gridCol w:w="125"/>
        <w:gridCol w:w="90"/>
        <w:gridCol w:w="170"/>
        <w:gridCol w:w="830"/>
        <w:gridCol w:w="174"/>
      </w:tblGrid>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27"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74" w:type="dxa"/>
            <w:tcBorders/>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Non-Standard </w:t>
              <w:br/>
              <w:t>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Direct premiums earned</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47,996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32,804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53,892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12,643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7,369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154,704</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Assumed premiums earned</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198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735</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Ceded premiums earned</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(2,415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(8,861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(2,845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(770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(14,937</w:t>
            </w:r>
          </w:p>
        </w:tc>
        <w:tc>
          <w:tcPr>
            <w:tcW w:w="174" w:type="dxa"/>
            <w:tcBorders/>
            <w:shd w:fill="CCEEFF" w:val="clear"/>
            <w:vAlign w:val="center"/>
          </w:tcPr>
          <w:p>
            <w:pPr>
              <w:pStyle w:val="TableContents"/>
              <w:bidi w:val="0"/>
              <w:spacing w:before="0" w:after="283"/>
              <w:jc w:val="left"/>
              <w:rPr/>
            </w:pPr>
            <w:r>
              <w:rPr/>
              <w:t>)</w:t>
            </w:r>
          </w:p>
        </w:tc>
      </w:tr>
      <w:tr>
        <w:trPr/>
        <w:tc>
          <w:tcPr>
            <w:tcW w:w="2314"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45,581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32,758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45,031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10,335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6,797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140,502</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28,115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31,397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75,857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10,592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3,800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149,761</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(348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51</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(920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pPr>
            <w:r>
              <w:rPr/>
              <w:t>(39,058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(3,024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right"/>
              <w:rPr/>
            </w:pPr>
            <w:r>
              <w:rPr/>
              <w:t>(1,678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(44,680</w:t>
            </w:r>
          </w:p>
        </w:tc>
        <w:tc>
          <w:tcPr>
            <w:tcW w:w="174" w:type="dxa"/>
            <w:tcBorders/>
            <w:vAlign w:val="center"/>
          </w:tcPr>
          <w:p>
            <w:pPr>
              <w:pStyle w:val="TableContents"/>
              <w:bidi w:val="0"/>
              <w:spacing w:before="0" w:after="283"/>
              <w:jc w:val="left"/>
              <w:rPr/>
            </w:pPr>
            <w:r>
              <w:rPr/>
              <w:t>)</w:t>
            </w:r>
          </w:p>
        </w:tc>
      </w:tr>
      <w:tr>
        <w:trPr/>
        <w:tc>
          <w:tcPr>
            <w:tcW w:w="2314"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27,195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31,397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36,799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7,967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1,774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105,132</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18,386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1,361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8,232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2,368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5,023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35,370</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9,385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10,587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10,400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1,430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32,902</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5,384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tcMar>
              <w:bottom w:w="28" w:type="dxa"/>
            </w:tcMar>
            <w:vAlign w:val="center"/>
          </w:tcPr>
          <w:p>
            <w:pPr>
              <w:pStyle w:val="TableContents"/>
              <w:bidi w:val="0"/>
              <w:spacing w:before="0" w:after="283"/>
              <w:jc w:val="right"/>
              <w:rPr/>
            </w:pPr>
            <w:r>
              <w:rPr/>
              <w:t>4,137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pPr>
            <w:r>
              <w:rPr/>
              <w:t>5,895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541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right"/>
              <w:rPr/>
            </w:pPr>
            <w:r>
              <w:rPr/>
              <w:t>1,075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17,032</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14,769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14,724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16,295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1,641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2,505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49,934</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Underwriting gain (loss)</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3,617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tcMar>
              <w:bottom w:w="28" w:type="dxa"/>
            </w:tcMar>
            <w:vAlign w:val="center"/>
          </w:tcPr>
          <w:p>
            <w:pPr>
              <w:pStyle w:val="TableContents"/>
              <w:bidi w:val="0"/>
              <w:spacing w:before="0" w:after="283"/>
              <w:jc w:val="right"/>
              <w:rPr/>
            </w:pPr>
            <w:r>
              <w:rPr/>
              <w:t>(13,363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pPr>
            <w:r>
              <w:rPr/>
              <w:t>(8,063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727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right"/>
              <w:rPr/>
            </w:pPr>
            <w:r>
              <w:rPr/>
              <w:t>2,518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(14,564</w:t>
            </w:r>
          </w:p>
        </w:tc>
        <w:tc>
          <w:tcPr>
            <w:tcW w:w="174" w:type="dxa"/>
            <w:tcBorders/>
            <w:vAlign w:val="center"/>
          </w:tcPr>
          <w:p>
            <w:pPr>
              <w:pStyle w:val="TableContents"/>
              <w:bidi w:val="0"/>
              <w:spacing w:before="0" w:after="283"/>
              <w:jc w:val="left"/>
              <w:rPr/>
            </w:pPr>
            <w:r>
              <w:rPr/>
              <w:t>)</w:t>
            </w:r>
          </w:p>
        </w:tc>
      </w:tr>
      <w:tr>
        <w:trPr/>
        <w:tc>
          <w:tcPr>
            <w:tcW w:w="23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546</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5,984</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Net investment gains (losses)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459</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(7,575</w:t>
            </w:r>
          </w:p>
        </w:tc>
        <w:tc>
          <w:tcPr>
            <w:tcW w:w="174" w:type="dxa"/>
            <w:tcBorders/>
            <w:shd w:fill="CCEEFF" w:val="clear"/>
            <w:vAlign w:val="center"/>
          </w:tcPr>
          <w:p>
            <w:pPr>
              <w:pStyle w:val="TableContents"/>
              <w:bidi w:val="0"/>
              <w:spacing w:before="0" w:after="283"/>
              <w:jc w:val="left"/>
              <w:rPr/>
            </w:pPr>
            <w:r>
              <w:rPr/>
              <w:t>)</w:t>
            </w:r>
          </w:p>
        </w:tc>
      </w:tr>
      <w:tr>
        <w:trPr/>
        <w:tc>
          <w:tcPr>
            <w:tcW w:w="2314" w:type="dxa"/>
            <w:tcBorders/>
            <w:vAlign w:val="center"/>
          </w:tcPr>
          <w:p>
            <w:pPr>
              <w:pStyle w:val="TableContents"/>
              <w:bidi w:val="0"/>
              <w:spacing w:before="0" w:after="283"/>
              <w:jc w:val="left"/>
              <w:rPr/>
            </w:pPr>
            <w:r>
              <w:rPr/>
              <w:t>Income tax expense (benefit)</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(1,984</w:t>
            </w:r>
          </w:p>
        </w:tc>
        <w:tc>
          <w:tcPr>
            <w:tcW w:w="174" w:type="dxa"/>
            <w:tcBorders/>
            <w:vAlign w:val="center"/>
          </w:tcPr>
          <w:p>
            <w:pPr>
              <w:pStyle w:val="TableContents"/>
              <w:bidi w:val="0"/>
              <w:spacing w:before="0" w:after="283"/>
              <w:jc w:val="left"/>
              <w:rPr/>
            </w:pPr>
            <w:r>
              <w:rPr/>
              <w:t>)</w:t>
            </w:r>
          </w:p>
        </w:tc>
      </w:tr>
      <w:tr>
        <w:trPr/>
        <w:tc>
          <w:tcPr>
            <w:tcW w:w="2314"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(5,591</w:t>
            </w:r>
          </w:p>
        </w:tc>
        <w:tc>
          <w:tcPr>
            <w:tcW w:w="174" w:type="dxa"/>
            <w:tcBorders/>
            <w:shd w:fill="CCEEFF" w:val="clear"/>
            <w:vAlign w:val="center"/>
          </w:tcPr>
          <w:p>
            <w:pPr>
              <w:pStyle w:val="TableContents"/>
              <w:bidi w:val="0"/>
              <w:spacing w:before="0" w:after="283"/>
              <w:ind w:left="0" w:right="0" w:hanging="216"/>
              <w:jc w:val="left"/>
              <w:rPr/>
            </w:pPr>
            <w:r>
              <w:rPr/>
              <w:t>)</w:t>
            </w:r>
          </w:p>
        </w:tc>
      </w:tr>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216"/>
              <w:jc w:val="left"/>
              <w:rPr/>
            </w:pPr>
            <w:r>
              <w:rPr/>
              <w:t> </w:t>
            </w:r>
          </w:p>
        </w:tc>
      </w:tr>
      <w:tr>
        <w:trPr/>
        <w:tc>
          <w:tcPr>
            <w:tcW w:w="2314" w:type="dxa"/>
            <w:tcBorders/>
            <w:shd w:fill="CCEEFF" w:val="clear"/>
            <w:vAlign w:val="center"/>
          </w:tcPr>
          <w:p>
            <w:pPr>
              <w:pStyle w:val="TableContents"/>
              <w:bidi w:val="0"/>
              <w:spacing w:before="0" w:after="283"/>
              <w:jc w:val="left"/>
              <w:rPr/>
            </w:pPr>
            <w:r>
              <w:rPr/>
              <w:t>Operating Ratios: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ind w:left="0" w:right="0" w:firstLine="18"/>
              <w:jc w:val="left"/>
              <w:rPr/>
            </w:pPr>
            <w:r>
              <w:rPr/>
              <w:t> </w:t>
            </w:r>
          </w:p>
        </w:tc>
      </w:tr>
      <w:tr>
        <w:trPr/>
        <w:tc>
          <w:tcPr>
            <w:tcW w:w="2314" w:type="dxa"/>
            <w:tcBorders/>
            <w:vAlign w:val="center"/>
          </w:tcPr>
          <w:p>
            <w:pPr>
              <w:pStyle w:val="TableContents"/>
              <w:bidi w:val="0"/>
              <w:spacing w:before="0" w:after="283"/>
              <w:jc w:val="left"/>
              <w:rPr/>
            </w:pPr>
            <w:r>
              <w:rPr/>
              <w:t>Loss and loss adjustment expense ratio</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59.7%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95.8%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81.7%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26.1%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74.8%</w:t>
            </w:r>
          </w:p>
        </w:tc>
        <w:tc>
          <w:tcPr>
            <w:tcW w:w="174" w:type="dxa"/>
            <w:tcBorders/>
            <w:vAlign w:val="center"/>
          </w:tcPr>
          <w:p>
            <w:pPr>
              <w:pStyle w:val="TableContents"/>
              <w:bidi w:val="0"/>
              <w:spacing w:before="0" w:after="283"/>
              <w:ind w:left="0" w:right="0" w:hanging="216"/>
              <w:jc w:val="left"/>
              <w:rPr/>
            </w:pPr>
            <w:r>
              <w:rPr/>
              <w:t> </w:t>
            </w:r>
          </w:p>
        </w:tc>
      </w:tr>
      <w:tr>
        <w:trPr/>
        <w:tc>
          <w:tcPr>
            <w:tcW w:w="2314" w:type="dxa"/>
            <w:tcBorders/>
            <w:shd w:fill="CCEEFF" w:val="clear"/>
            <w:vAlign w:val="center"/>
          </w:tcPr>
          <w:p>
            <w:pPr>
              <w:pStyle w:val="TableContents"/>
              <w:bidi w:val="0"/>
              <w:spacing w:before="0" w:after="283"/>
              <w:jc w:val="left"/>
              <w:rPr/>
            </w:pPr>
            <w:r>
              <w:rPr/>
              <w:t>Expense ratio</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36.9%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35.5%</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14" w:type="dxa"/>
            <w:tcBorders/>
            <w:vAlign w:val="center"/>
          </w:tcPr>
          <w:p>
            <w:pPr>
              <w:pStyle w:val="TableContents"/>
              <w:bidi w:val="0"/>
              <w:spacing w:before="0" w:after="283"/>
              <w:jc w:val="left"/>
              <w:rPr/>
            </w:pPr>
            <w:r>
              <w:rPr/>
              <w:t>Combined ratio</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92.1%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140.7%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117.9%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63.0%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110.3%</w:t>
            </w:r>
          </w:p>
        </w:tc>
        <w:tc>
          <w:tcPr>
            <w:tcW w:w="1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underwriting and general expenses for each segment include expenses related to compensation, vendor services, and other administrative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8"/>
        <w:gridCol w:w="90"/>
        <w:gridCol w:w="239"/>
        <w:gridCol w:w="1006"/>
        <w:gridCol w:w="125"/>
        <w:gridCol w:w="90"/>
        <w:gridCol w:w="293"/>
        <w:gridCol w:w="1227"/>
        <w:gridCol w:w="125"/>
        <w:gridCol w:w="90"/>
        <w:gridCol w:w="181"/>
        <w:gridCol w:w="785"/>
        <w:gridCol w:w="125"/>
        <w:gridCol w:w="90"/>
        <w:gridCol w:w="170"/>
        <w:gridCol w:w="710"/>
        <w:gridCol w:w="125"/>
        <w:gridCol w:w="90"/>
        <w:gridCol w:w="180"/>
        <w:gridCol w:w="708"/>
        <w:gridCol w:w="125"/>
        <w:gridCol w:w="90"/>
        <w:gridCol w:w="170"/>
        <w:gridCol w:w="830"/>
        <w:gridCol w:w="173"/>
      </w:tblGrid>
      <w:tr>
        <w:trPr/>
        <w:tc>
          <w:tcPr>
            <w:tcW w:w="2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74"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2024</w:t>
            </w:r>
          </w:p>
        </w:tc>
        <w:tc>
          <w:tcPr>
            <w:tcW w:w="173" w:type="dxa"/>
            <w:tcBorders/>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Direct premiums earned</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46,619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51,878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49,244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12,915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6,243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166,899</w:t>
            </w:r>
          </w:p>
        </w:tc>
        <w:tc>
          <w:tcPr>
            <w:tcW w:w="173" w:type="dxa"/>
            <w:tcBorders/>
            <w:shd w:fill="CCEEFF" w:val="clear"/>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pPr>
            <w:r>
              <w:rPr/>
              <w:t>Assumed premiums earned</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301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804</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Ceded premiums earned</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pPr>
            <w:r>
              <w:rPr/>
              <w:t>(2,046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(147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(5,905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(3,989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(563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(12,650</w:t>
            </w:r>
          </w:p>
        </w:tc>
        <w:tc>
          <w:tcPr>
            <w:tcW w:w="173" w:type="dxa"/>
            <w:tcBorders/>
            <w:shd w:fill="CCEEFF" w:val="clear"/>
            <w:vAlign w:val="center"/>
          </w:tcPr>
          <w:p>
            <w:pPr>
              <w:pStyle w:val="TableContents"/>
              <w:bidi w:val="0"/>
              <w:spacing w:before="0" w:after="283"/>
              <w:jc w:val="left"/>
              <w:rPr/>
            </w:pPr>
            <w:r>
              <w:rPr/>
              <w:t>)</w:t>
            </w:r>
          </w:p>
        </w:tc>
      </w:tr>
      <w:tr>
        <w:trPr/>
        <w:tc>
          <w:tcPr>
            <w:tcW w:w="2368"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44,573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51,731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43,339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9,429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5,981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155,053</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32,308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36,182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35,356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6,955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4,068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114,869</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269</w:t>
            </w:r>
          </w:p>
        </w:tc>
        <w:tc>
          <w:tcPr>
            <w:tcW w:w="173" w:type="dxa"/>
            <w:tcBorders/>
            <w:shd w:fill="CCEEFF" w:val="clear"/>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tcMar>
              <w:bottom w:w="28" w:type="dxa"/>
            </w:tcMar>
            <w:vAlign w:val="center"/>
          </w:tcPr>
          <w:p>
            <w:pPr>
              <w:pStyle w:val="TableContents"/>
              <w:bidi w:val="0"/>
              <w:spacing w:before="0" w:after="283"/>
              <w:jc w:val="right"/>
              <w:rPr/>
            </w:pPr>
            <w:r>
              <w:rPr/>
              <w:t>(1,086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(1,149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(1,448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tcMar>
              <w:bottom w:w="28" w:type="dxa"/>
            </w:tcMar>
            <w:vAlign w:val="center"/>
          </w:tcPr>
          <w:p>
            <w:pPr>
              <w:pStyle w:val="TableContents"/>
              <w:bidi w:val="0"/>
              <w:spacing w:before="0" w:after="283"/>
              <w:jc w:val="right"/>
              <w:rPr/>
            </w:pPr>
            <w:r>
              <w:rPr/>
              <w:t>(1,953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(5,636</w:t>
            </w:r>
          </w:p>
        </w:tc>
        <w:tc>
          <w:tcPr>
            <w:tcW w:w="173" w:type="dxa"/>
            <w:tcBorders/>
            <w:vAlign w:val="center"/>
          </w:tcPr>
          <w:p>
            <w:pPr>
              <w:pStyle w:val="TableContents"/>
              <w:bidi w:val="0"/>
              <w:spacing w:before="0" w:after="283"/>
              <w:jc w:val="left"/>
              <w:rPr/>
            </w:pPr>
            <w:r>
              <w:rPr/>
              <w:t>)</w:t>
            </w:r>
          </w:p>
        </w:tc>
      </w:tr>
      <w:tr>
        <w:trPr/>
        <w:tc>
          <w:tcPr>
            <w:tcW w:w="2368"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31,222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36,182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34,207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5,754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2,137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109,502</w:t>
            </w:r>
          </w:p>
        </w:tc>
        <w:tc>
          <w:tcPr>
            <w:tcW w:w="173" w:type="dxa"/>
            <w:tcBorders/>
            <w:shd w:fill="CCEEFF" w:val="clear"/>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pPr>
            <w:r>
              <w:rPr/>
              <w:t>13,351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15,549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9,132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3,675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3,844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45,551</w:t>
            </w:r>
          </w:p>
        </w:tc>
        <w:tc>
          <w:tcPr>
            <w:tcW w:w="173" w:type="dxa"/>
            <w:tcBorders/>
            <w:shd w:fill="CCEEFF" w:val="clear"/>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8,605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16,533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8,730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1,123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36,107</w:t>
            </w:r>
          </w:p>
        </w:tc>
        <w:tc>
          <w:tcPr>
            <w:tcW w:w="173" w:type="dxa"/>
            <w:tcBorders/>
            <w:shd w:fill="CCEEFF" w:val="clear"/>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tcMar>
              <w:bottom w:w="28" w:type="dxa"/>
            </w:tcMar>
            <w:vAlign w:val="center"/>
          </w:tcPr>
          <w:p>
            <w:pPr>
              <w:pStyle w:val="TableContents"/>
              <w:bidi w:val="0"/>
              <w:spacing w:before="0" w:after="283"/>
              <w:jc w:val="right"/>
              <w:rPr/>
            </w:pPr>
            <w:r>
              <w:rPr/>
              <w:t>5,252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tcMar>
              <w:bottom w:w="28" w:type="dxa"/>
            </w:tcMar>
            <w:vAlign w:val="center"/>
          </w:tcPr>
          <w:p>
            <w:pPr>
              <w:pStyle w:val="TableContents"/>
              <w:bidi w:val="0"/>
              <w:spacing w:before="0" w:after="283"/>
              <w:jc w:val="right"/>
              <w:rPr/>
            </w:pPr>
            <w:r>
              <w:rPr/>
              <w:t>4,032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5,213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595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tcMar>
              <w:bottom w:w="28" w:type="dxa"/>
            </w:tcMar>
            <w:vAlign w:val="center"/>
          </w:tcPr>
          <w:p>
            <w:pPr>
              <w:pStyle w:val="TableContents"/>
              <w:bidi w:val="0"/>
              <w:spacing w:before="0" w:after="283"/>
              <w:jc w:val="right"/>
              <w:rPr/>
            </w:pPr>
            <w:r>
              <w:rPr/>
              <w:t>1,842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16,934</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pPr>
            <w:r>
              <w:rPr/>
              <w:t>13,857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20,565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13,943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1,711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2,965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53,041</w:t>
            </w:r>
          </w:p>
        </w:tc>
        <w:tc>
          <w:tcPr>
            <w:tcW w:w="173" w:type="dxa"/>
            <w:tcBorders/>
            <w:shd w:fill="CCEEFF" w:val="clear"/>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pPr>
            <w:r>
              <w:rPr/>
              <w:t>Underwriting gain (loss)</w:t>
            </w:r>
          </w:p>
        </w:tc>
        <w:tc>
          <w:tcPr>
            <w:tcW w:w="90" w:type="dxa"/>
            <w:tcBorders/>
            <w:vAlign w:val="center"/>
          </w:tcPr>
          <w:p>
            <w:pPr>
              <w:pStyle w:val="TableContents"/>
              <w:bidi w:val="0"/>
              <w:spacing w:before="0" w:after="283"/>
              <w:jc w:val="lef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tcMar>
              <w:bottom w:w="28" w:type="dxa"/>
            </w:tcMar>
            <w:vAlign w:val="center"/>
          </w:tcPr>
          <w:p>
            <w:pPr>
              <w:pStyle w:val="TableContents"/>
              <w:bidi w:val="0"/>
              <w:spacing w:before="0" w:after="283"/>
              <w:jc w:val="right"/>
              <w:rPr/>
            </w:pPr>
            <w:r>
              <w:rPr/>
              <w:t>(506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tcMar>
              <w:bottom w:w="28" w:type="dxa"/>
            </w:tcMar>
            <w:vAlign w:val="center"/>
          </w:tcPr>
          <w:p>
            <w:pPr>
              <w:pStyle w:val="TableContents"/>
              <w:bidi w:val="0"/>
              <w:spacing w:before="0" w:after="283"/>
              <w:jc w:val="right"/>
              <w:rPr/>
            </w:pPr>
            <w:r>
              <w:rPr/>
              <w:t>(5,016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(4,811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1,964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tcMar>
              <w:bottom w:w="28" w:type="dxa"/>
            </w:tcMar>
            <w:vAlign w:val="center"/>
          </w:tcPr>
          <w:p>
            <w:pPr>
              <w:pStyle w:val="TableContents"/>
              <w:bidi w:val="0"/>
              <w:spacing w:before="0" w:after="283"/>
              <w:jc w:val="right"/>
              <w:rPr/>
            </w:pPr>
            <w:r>
              <w:rPr/>
              <w:t>879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(7,490</w:t>
            </w:r>
          </w:p>
        </w:tc>
        <w:tc>
          <w:tcPr>
            <w:tcW w:w="173" w:type="dxa"/>
            <w:tcBorders/>
            <w:vAlign w:val="center"/>
          </w:tcPr>
          <w:p>
            <w:pPr>
              <w:pStyle w:val="TableContents"/>
              <w:bidi w:val="0"/>
              <w:spacing w:before="0" w:after="283"/>
              <w:jc w:val="left"/>
              <w:rPr/>
            </w:pPr>
            <w:r>
              <w:rPr/>
              <w:t>)</w:t>
            </w:r>
          </w:p>
        </w:tc>
      </w:tr>
      <w:tr>
        <w:trPr/>
        <w:tc>
          <w:tcPr>
            <w:tcW w:w="23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1,099</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5,278</w:t>
            </w:r>
          </w:p>
        </w:tc>
        <w:tc>
          <w:tcPr>
            <w:tcW w:w="173" w:type="dxa"/>
            <w:tcBorders/>
            <w:shd w:fill="CCEEFF" w:val="clear"/>
            <w:vAlign w:val="center"/>
          </w:tcPr>
          <w:p>
            <w:pPr>
              <w:pStyle w:val="TableContents"/>
              <w:bidi w:val="0"/>
              <w:spacing w:before="0" w:after="283"/>
              <w:jc w:val="left"/>
              <w:rPr/>
            </w:pPr>
            <w:r>
              <w:rPr/>
              <w:t> </w:t>
            </w:r>
          </w:p>
        </w:tc>
      </w:tr>
      <w:tr>
        <w:trPr/>
        <w:tc>
          <w:tcPr>
            <w:tcW w:w="2368" w:type="dxa"/>
            <w:tcBorders/>
            <w:vAlign w:val="center"/>
          </w:tcPr>
          <w:p>
            <w:pPr>
              <w:pStyle w:val="TableContents"/>
              <w:bidi w:val="0"/>
              <w:spacing w:before="0" w:after="283"/>
              <w:jc w:val="left"/>
              <w:rPr/>
            </w:pPr>
            <w:r>
              <w:rPr/>
              <w:t>Net investment gains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876</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(237</w:t>
            </w:r>
          </w:p>
        </w:tc>
        <w:tc>
          <w:tcPr>
            <w:tcW w:w="173" w:type="dxa"/>
            <w:tcBorders/>
            <w:shd w:fill="CCEEFF" w:val="clear"/>
            <w:vAlign w:val="center"/>
          </w:tcPr>
          <w:p>
            <w:pPr>
              <w:pStyle w:val="TableContents"/>
              <w:bidi w:val="0"/>
              <w:spacing w:before="0" w:after="283"/>
              <w:jc w:val="left"/>
              <w:rPr/>
            </w:pPr>
            <w:r>
              <w:rPr/>
              <w:t>)</w:t>
            </w:r>
          </w:p>
        </w:tc>
      </w:tr>
      <w:tr>
        <w:trPr/>
        <w:tc>
          <w:tcPr>
            <w:tcW w:w="2368" w:type="dxa"/>
            <w:tcBorders/>
            <w:vAlign w:val="center"/>
          </w:tcPr>
          <w:p>
            <w:pPr>
              <w:pStyle w:val="TableContents"/>
              <w:bidi w:val="0"/>
              <w:spacing w:before="0" w:after="283"/>
              <w:jc w:val="left"/>
              <w:rPr/>
            </w:pPr>
            <w:r>
              <w:rPr/>
              <w:t>Income tax expense (benefit)</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306</w:t>
            </w:r>
          </w:p>
        </w:tc>
        <w:tc>
          <w:tcPr>
            <w:tcW w:w="173" w:type="dxa"/>
            <w:tcBorders/>
            <w:vAlign w:val="center"/>
          </w:tcPr>
          <w:p>
            <w:pPr>
              <w:pStyle w:val="TableContents"/>
              <w:bidi w:val="0"/>
              <w:spacing w:before="0" w:after="283"/>
              <w:jc w:val="left"/>
              <w:rPr/>
            </w:pPr>
            <w:r>
              <w:rPr/>
              <w:t> </w:t>
            </w:r>
          </w:p>
        </w:tc>
      </w:tr>
      <w:tr>
        <w:trPr/>
        <w:tc>
          <w:tcPr>
            <w:tcW w:w="2368"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(543</w:t>
            </w:r>
          </w:p>
        </w:tc>
        <w:tc>
          <w:tcPr>
            <w:tcW w:w="173" w:type="dxa"/>
            <w:tcBorders/>
            <w:shd w:fill="CCEEFF" w:val="clear"/>
            <w:vAlign w:val="center"/>
          </w:tcPr>
          <w:p>
            <w:pPr>
              <w:pStyle w:val="TableContents"/>
              <w:bidi w:val="0"/>
              <w:spacing w:before="0" w:after="283"/>
              <w:ind w:left="0" w:right="0" w:hanging="216"/>
              <w:jc w:val="left"/>
              <w:rPr/>
            </w:pPr>
            <w:r>
              <w:rPr/>
              <w:t>)</w:t>
            </w:r>
          </w:p>
        </w:tc>
      </w:tr>
      <w:tr>
        <w:trPr/>
        <w:tc>
          <w:tcPr>
            <w:tcW w:w="2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216"/>
              <w:jc w:val="left"/>
              <w:rPr/>
            </w:pPr>
            <w:r>
              <w:rPr/>
              <w:t> </w:t>
            </w:r>
          </w:p>
        </w:tc>
      </w:tr>
      <w:tr>
        <w:trPr/>
        <w:tc>
          <w:tcPr>
            <w:tcW w:w="2368" w:type="dxa"/>
            <w:tcBorders/>
            <w:shd w:fill="CCEEFF" w:val="clear"/>
            <w:vAlign w:val="center"/>
          </w:tcPr>
          <w:p>
            <w:pPr>
              <w:pStyle w:val="TableContents"/>
              <w:bidi w:val="0"/>
              <w:spacing w:before="0" w:after="283"/>
              <w:jc w:val="left"/>
              <w:rPr/>
            </w:pPr>
            <w:r>
              <w:rPr/>
              <w:t>Operating Ratios: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firstLine="18"/>
              <w:jc w:val="left"/>
              <w:rPr/>
            </w:pPr>
            <w:r>
              <w:rPr/>
              <w:t> </w:t>
            </w:r>
          </w:p>
        </w:tc>
      </w:tr>
      <w:tr>
        <w:trPr/>
        <w:tc>
          <w:tcPr>
            <w:tcW w:w="2368" w:type="dxa"/>
            <w:tcBorders/>
            <w:vAlign w:val="center"/>
          </w:tcPr>
          <w:p>
            <w:pPr>
              <w:pStyle w:val="TableContents"/>
              <w:bidi w:val="0"/>
              <w:spacing w:before="0" w:after="283"/>
              <w:jc w:val="left"/>
              <w:rPr/>
            </w:pPr>
            <w:r>
              <w:rPr/>
              <w:t>Loss and loss adjustment expense ratio</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69.9%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78.9%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35.7%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70.6%</w:t>
            </w:r>
          </w:p>
        </w:tc>
        <w:tc>
          <w:tcPr>
            <w:tcW w:w="173" w:type="dxa"/>
            <w:tcBorders/>
            <w:vAlign w:val="center"/>
          </w:tcPr>
          <w:p>
            <w:pPr>
              <w:pStyle w:val="TableContents"/>
              <w:bidi w:val="0"/>
              <w:spacing w:before="0" w:after="283"/>
              <w:ind w:left="0" w:right="0" w:hanging="216"/>
              <w:jc w:val="left"/>
              <w:rPr/>
            </w:pPr>
            <w:r>
              <w:rPr/>
              <w:t> </w:t>
            </w:r>
          </w:p>
        </w:tc>
      </w:tr>
      <w:tr>
        <w:trPr/>
        <w:tc>
          <w:tcPr>
            <w:tcW w:w="2368" w:type="dxa"/>
            <w:tcBorders/>
            <w:shd w:fill="CCEEFF" w:val="clear"/>
            <w:vAlign w:val="center"/>
          </w:tcPr>
          <w:p>
            <w:pPr>
              <w:pStyle w:val="TableContents"/>
              <w:bidi w:val="0"/>
              <w:spacing w:before="0" w:after="283"/>
              <w:jc w:val="left"/>
              <w:rPr/>
            </w:pPr>
            <w:r>
              <w:rPr/>
              <w:t>Expense ratio</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39.8%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49.6%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34.2%</w:t>
            </w:r>
          </w:p>
        </w:tc>
        <w:tc>
          <w:tcPr>
            <w:tcW w:w="173" w:type="dxa"/>
            <w:tcBorders/>
            <w:shd w:fill="CCEEFF" w:val="clear"/>
            <w:vAlign w:val="center"/>
          </w:tcPr>
          <w:p>
            <w:pPr>
              <w:pStyle w:val="TableContents"/>
              <w:bidi w:val="0"/>
              <w:spacing w:before="0" w:after="283"/>
              <w:ind w:left="0" w:right="0" w:hanging="216"/>
              <w:jc w:val="left"/>
              <w:rPr/>
            </w:pPr>
            <w:r>
              <w:rPr/>
              <w:t> </w:t>
            </w:r>
          </w:p>
        </w:tc>
      </w:tr>
      <w:tr>
        <w:trPr/>
        <w:tc>
          <w:tcPr>
            <w:tcW w:w="2368" w:type="dxa"/>
            <w:tcBorders/>
            <w:vAlign w:val="center"/>
          </w:tcPr>
          <w:p>
            <w:pPr>
              <w:pStyle w:val="TableContents"/>
              <w:bidi w:val="0"/>
              <w:spacing w:before="0" w:after="283"/>
              <w:jc w:val="left"/>
              <w:rPr/>
            </w:pPr>
            <w:r>
              <w:rPr/>
              <w:t>Combined ratio</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101.1%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109.7%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111.1%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85.3%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104.8%</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underwriting and general expenses for each segment include expenses related to compensation, vendor services, and other administrative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intended to provide a more comprehensive review of our operating results and financial condition than can be obtained from reading the unaudited consolidated financial statements alone. Unless otherwise noted, the information in the following discussion is being presented for our continuing operations.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2024 Annual Report and Part II, Item 1A “Risk Factors” included in this Form 10-Q, should also be reviewed for a discussion of important factors that could cause actual results to differ materially from the results described, or implied by, the forward-looking statements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included in Item 2 herein, except per share data, are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Second Quarter Consolidated Results of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71"/>
        <w:gridCol w:w="9842"/>
      </w:tblGrid>
      <w:tr>
        <w:trPr/>
        <w:tc>
          <w:tcPr>
            <w:tcW w:w="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42" w:type="dxa"/>
            <w:tcBorders/>
            <w:vAlign w:val="center"/>
          </w:tcPr>
          <w:p>
            <w:pPr>
              <w:pStyle w:val="TableContents"/>
              <w:bidi w:val="0"/>
              <w:spacing w:before="0" w:after="283"/>
              <w:jc w:val="left"/>
              <w:rPr/>
            </w:pPr>
            <w:r>
              <w:rPr/>
              <w:t>Net loss of $12,051, or ($0.57) per share basic and ($0.57) per share diluted</w:t>
            </w:r>
          </w:p>
        </w:tc>
      </w:tr>
    </w:tbl>
    <w:tbl>
      <w:tblPr>
        <w:tblW w:w="5000" w:type="pct"/>
        <w:jc w:val="left"/>
        <w:tblInd w:w="0" w:type="dxa"/>
        <w:tblLayout w:type="fixed"/>
        <w:tblCellMar>
          <w:top w:w="0" w:type="dxa"/>
          <w:left w:w="0" w:type="dxa"/>
          <w:bottom w:w="0" w:type="dxa"/>
          <w:right w:w="0" w:type="dxa"/>
        </w:tblCellMar>
      </w:tblPr>
      <w:tblGrid>
        <w:gridCol w:w="199"/>
        <w:gridCol w:w="586"/>
        <w:gridCol w:w="9420"/>
      </w:tblGrid>
      <w:tr>
        <w:trPr/>
        <w:tc>
          <w:tcPr>
            <w:tcW w:w="19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w:t>
            </w:r>
          </w:p>
        </w:tc>
        <w:tc>
          <w:tcPr>
            <w:tcW w:w="9420" w:type="dxa"/>
            <w:tcBorders/>
            <w:vAlign w:val="center"/>
          </w:tcPr>
          <w:p>
            <w:pPr>
              <w:pStyle w:val="TableContents"/>
              <w:bidi w:val="0"/>
              <w:spacing w:before="0" w:after="283"/>
              <w:jc w:val="left"/>
              <w:rPr/>
            </w:pPr>
            <w:r>
              <w:rPr/>
              <w:t>Net premiums earned of $73,005</w:t>
            </w:r>
          </w:p>
        </w:tc>
      </w:tr>
    </w:tbl>
    <w:tbl>
      <w:tblPr>
        <w:tblW w:w="5000" w:type="pct"/>
        <w:jc w:val="left"/>
        <w:tblInd w:w="0" w:type="dxa"/>
        <w:tblLayout w:type="fixed"/>
        <w:tblCellMar>
          <w:top w:w="0" w:type="dxa"/>
          <w:left w:w="0" w:type="dxa"/>
          <w:bottom w:w="0" w:type="dxa"/>
          <w:right w:w="0" w:type="dxa"/>
        </w:tblCellMar>
      </w:tblPr>
      <w:tblGrid>
        <w:gridCol w:w="197"/>
        <w:gridCol w:w="581"/>
        <w:gridCol w:w="9427"/>
      </w:tblGrid>
      <w:tr>
        <w:trPr/>
        <w:tc>
          <w:tcPr>
            <w:tcW w:w="19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pPr>
            <w:r>
              <w:rPr/>
              <w:t>●</w:t>
            </w:r>
          </w:p>
        </w:tc>
        <w:tc>
          <w:tcPr>
            <w:tcW w:w="9427" w:type="dxa"/>
            <w:tcBorders/>
            <w:vAlign w:val="center"/>
          </w:tcPr>
          <w:p>
            <w:pPr>
              <w:pStyle w:val="TableContents"/>
              <w:bidi w:val="0"/>
              <w:spacing w:before="0" w:after="283"/>
              <w:jc w:val="left"/>
              <w:rPr/>
            </w:pPr>
            <w:r>
              <w:rPr/>
              <w:t>Net investment income of $3,146</w:t>
            </w:r>
          </w:p>
        </w:tc>
      </w:tr>
    </w:tbl>
    <w:tbl>
      <w:tblPr>
        <w:tblW w:w="5000" w:type="pct"/>
        <w:jc w:val="left"/>
        <w:tblInd w:w="0" w:type="dxa"/>
        <w:tblLayout w:type="fixed"/>
        <w:tblCellMar>
          <w:top w:w="0" w:type="dxa"/>
          <w:left w:w="0" w:type="dxa"/>
          <w:bottom w:w="0" w:type="dxa"/>
          <w:right w:w="0" w:type="dxa"/>
        </w:tblCellMar>
      </w:tblPr>
      <w:tblGrid>
        <w:gridCol w:w="118"/>
        <w:gridCol w:w="349"/>
        <w:gridCol w:w="9738"/>
      </w:tblGrid>
      <w:tr>
        <w:trPr/>
        <w:tc>
          <w:tcPr>
            <w:tcW w:w="11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w:t>
            </w:r>
          </w:p>
        </w:tc>
        <w:tc>
          <w:tcPr>
            <w:tcW w:w="9738" w:type="dxa"/>
            <w:tcBorders/>
            <w:vAlign w:val="center"/>
          </w:tcPr>
          <w:p>
            <w:pPr>
              <w:pStyle w:val="TableContents"/>
              <w:bidi w:val="0"/>
              <w:spacing w:before="0" w:after="283"/>
              <w:jc w:val="left"/>
              <w:rPr/>
            </w:pPr>
            <w:r>
              <w:rPr/>
              <w:t>Net unfavorable prior year reserve development of $9,820</w:t>
            </w:r>
          </w:p>
        </w:tc>
      </w:tr>
    </w:tbl>
    <w:tbl>
      <w:tblPr>
        <w:tblW w:w="5000" w:type="pct"/>
        <w:jc w:val="left"/>
        <w:tblInd w:w="0" w:type="dxa"/>
        <w:tblLayout w:type="fixed"/>
        <w:tblCellMar>
          <w:top w:w="0" w:type="dxa"/>
          <w:left w:w="0" w:type="dxa"/>
          <w:bottom w:w="0" w:type="dxa"/>
          <w:right w:w="0" w:type="dxa"/>
        </w:tblCellMar>
      </w:tblPr>
      <w:tblGrid>
        <w:gridCol w:w="220"/>
        <w:gridCol w:w="647"/>
        <w:gridCol w:w="9338"/>
      </w:tblGrid>
      <w:tr>
        <w:trPr/>
        <w:tc>
          <w:tcPr>
            <w:tcW w:w="22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pPr>
            <w:r>
              <w:rPr/>
              <w:t>●</w:t>
            </w:r>
          </w:p>
        </w:tc>
        <w:tc>
          <w:tcPr>
            <w:tcW w:w="9338" w:type="dxa"/>
            <w:tcBorders/>
            <w:vAlign w:val="center"/>
          </w:tcPr>
          <w:p>
            <w:pPr>
              <w:pStyle w:val="TableContents"/>
              <w:bidi w:val="0"/>
              <w:spacing w:before="0" w:after="283"/>
              <w:jc w:val="left"/>
              <w:rPr/>
            </w:pPr>
            <w:r>
              <w:rPr/>
              <w:t>Underwriting loss of $18,376</w:t>
            </w:r>
          </w:p>
        </w:tc>
      </w:tr>
    </w:tbl>
    <w:tbl>
      <w:tblPr>
        <w:tblW w:w="5000" w:type="pct"/>
        <w:jc w:val="left"/>
        <w:tblInd w:w="0" w:type="dxa"/>
        <w:tblLayout w:type="fixed"/>
        <w:tblCellMar>
          <w:top w:w="0" w:type="dxa"/>
          <w:left w:w="0" w:type="dxa"/>
          <w:bottom w:w="0" w:type="dxa"/>
          <w:right w:w="0" w:type="dxa"/>
        </w:tblCellMar>
      </w:tblPr>
      <w:tblGrid>
        <w:gridCol w:w="240"/>
        <w:gridCol w:w="708"/>
        <w:gridCol w:w="9257"/>
      </w:tblGrid>
      <w:tr>
        <w:trPr/>
        <w:tc>
          <w:tcPr>
            <w:tcW w:w="2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pPr>
            <w:r>
              <w:rPr/>
              <w:t>●</w:t>
            </w:r>
          </w:p>
        </w:tc>
        <w:tc>
          <w:tcPr>
            <w:tcW w:w="9257" w:type="dxa"/>
            <w:tcBorders/>
            <w:vAlign w:val="center"/>
          </w:tcPr>
          <w:p>
            <w:pPr>
              <w:pStyle w:val="TableContents"/>
              <w:bidi w:val="0"/>
              <w:spacing w:before="0" w:after="283"/>
              <w:jc w:val="left"/>
              <w:rPr/>
            </w:pPr>
            <w:r>
              <w:rPr/>
              <w:t>Combined ratio of 125.1%</w:t>
            </w:r>
          </w:p>
        </w:tc>
      </w:tr>
    </w:tbl>
    <w:tbl>
      <w:tblPr>
        <w:tblW w:w="5000" w:type="pct"/>
        <w:jc w:val="left"/>
        <w:tblInd w:w="0" w:type="dxa"/>
        <w:tblLayout w:type="fixed"/>
        <w:tblCellMar>
          <w:top w:w="0" w:type="dxa"/>
          <w:left w:w="0" w:type="dxa"/>
          <w:bottom w:w="0" w:type="dxa"/>
          <w:right w:w="0" w:type="dxa"/>
        </w:tblCellMar>
      </w:tblPr>
      <w:tblGrid>
        <w:gridCol w:w="200"/>
        <w:gridCol w:w="588"/>
        <w:gridCol w:w="9417"/>
      </w:tblGrid>
      <w:tr>
        <w:trPr/>
        <w:tc>
          <w:tcPr>
            <w:tcW w:w="20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w:t>
            </w:r>
          </w:p>
        </w:tc>
        <w:tc>
          <w:tcPr>
            <w:tcW w:w="9417" w:type="dxa"/>
            <w:tcBorders/>
            <w:vAlign w:val="center"/>
          </w:tcPr>
          <w:p>
            <w:pPr>
              <w:pStyle w:val="TableContents"/>
              <w:bidi w:val="0"/>
              <w:spacing w:before="0" w:after="283"/>
              <w:jc w:val="left"/>
              <w:rPr/>
            </w:pPr>
            <w:r>
              <w:rPr/>
              <w:t>Operating cash flows of $16,289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Second Quarter Consolidated Financial Condition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494"/>
        <w:gridCol w:w="9543"/>
      </w:tblGrid>
      <w:tr>
        <w:trPr/>
        <w:tc>
          <w:tcPr>
            <w:tcW w:w="16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543" w:type="dxa"/>
            <w:tcBorders/>
            <w:vAlign w:val="center"/>
          </w:tcPr>
          <w:p>
            <w:pPr>
              <w:pStyle w:val="TableContents"/>
              <w:bidi w:val="0"/>
              <w:spacing w:before="0" w:after="283"/>
              <w:jc w:val="left"/>
              <w:rPr/>
            </w:pPr>
            <w:r>
              <w:rPr/>
              <w:t>Total cash and investments of $406,097</w:t>
            </w:r>
          </w:p>
        </w:tc>
      </w:tr>
    </w:tbl>
    <w:tbl>
      <w:tblPr>
        <w:tblW w:w="5000" w:type="pct"/>
        <w:jc w:val="left"/>
        <w:tblInd w:w="0" w:type="dxa"/>
        <w:tblLayout w:type="fixed"/>
        <w:tblCellMar>
          <w:top w:w="0" w:type="dxa"/>
          <w:left w:w="0" w:type="dxa"/>
          <w:bottom w:w="0" w:type="dxa"/>
          <w:right w:w="0" w:type="dxa"/>
        </w:tblCellMar>
      </w:tblPr>
      <w:tblGrid>
        <w:gridCol w:w="259"/>
        <w:gridCol w:w="764"/>
        <w:gridCol w:w="9182"/>
      </w:tblGrid>
      <w:tr>
        <w:trPr/>
        <w:tc>
          <w:tcPr>
            <w:tcW w:w="2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pPr>
            <w:r>
              <w:rPr/>
              <w:t>●</w:t>
            </w:r>
          </w:p>
        </w:tc>
        <w:tc>
          <w:tcPr>
            <w:tcW w:w="9182" w:type="dxa"/>
            <w:tcBorders/>
            <w:vAlign w:val="center"/>
          </w:tcPr>
          <w:p>
            <w:pPr>
              <w:pStyle w:val="TableContents"/>
              <w:bidi w:val="0"/>
              <w:spacing w:before="0" w:after="283"/>
              <w:jc w:val="left"/>
              <w:rPr/>
            </w:pPr>
            <w:r>
              <w:rPr/>
              <w:t>Total assets of $620,051</w:t>
            </w:r>
          </w:p>
        </w:tc>
      </w:tr>
    </w:tbl>
    <w:tbl>
      <w:tblPr>
        <w:tblW w:w="5000" w:type="pct"/>
        <w:jc w:val="left"/>
        <w:tblInd w:w="0" w:type="dxa"/>
        <w:tblLayout w:type="fixed"/>
        <w:tblCellMar>
          <w:top w:w="0" w:type="dxa"/>
          <w:left w:w="0" w:type="dxa"/>
          <w:bottom w:w="0" w:type="dxa"/>
          <w:right w:w="0" w:type="dxa"/>
        </w:tblCellMar>
      </w:tblPr>
      <w:tblGrid>
        <w:gridCol w:w="121"/>
        <w:gridCol w:w="357"/>
        <w:gridCol w:w="9727"/>
      </w:tblGrid>
      <w:tr>
        <w:trPr/>
        <w:tc>
          <w:tcPr>
            <w:tcW w:w="12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w:t>
            </w:r>
          </w:p>
        </w:tc>
        <w:tc>
          <w:tcPr>
            <w:tcW w:w="9727" w:type="dxa"/>
            <w:tcBorders/>
            <w:vAlign w:val="center"/>
          </w:tcPr>
          <w:p>
            <w:pPr>
              <w:pStyle w:val="TableContents"/>
              <w:bidi w:val="0"/>
              <w:spacing w:before="0" w:after="283"/>
              <w:jc w:val="left"/>
              <w:rPr/>
            </w:pPr>
            <w:r>
              <w:rPr/>
              <w:t>Unpaid losses and loss adjustment expenses of $203,530</w:t>
            </w:r>
          </w:p>
        </w:tc>
      </w:tr>
    </w:tbl>
    <w:tbl>
      <w:tblPr>
        <w:tblW w:w="5000" w:type="pct"/>
        <w:jc w:val="left"/>
        <w:tblInd w:w="0" w:type="dxa"/>
        <w:tblLayout w:type="fixed"/>
        <w:tblCellMar>
          <w:top w:w="0" w:type="dxa"/>
          <w:left w:w="0" w:type="dxa"/>
          <w:bottom w:w="0" w:type="dxa"/>
          <w:right w:w="0" w:type="dxa"/>
        </w:tblCellMar>
      </w:tblPr>
      <w:tblGrid>
        <w:gridCol w:w="233"/>
        <w:gridCol w:w="686"/>
        <w:gridCol w:w="9286"/>
      </w:tblGrid>
      <w:tr>
        <w:trPr/>
        <w:tc>
          <w:tcPr>
            <w:tcW w:w="23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pPr>
            <w:r>
              <w:rPr/>
              <w:t>●</w:t>
            </w:r>
          </w:p>
        </w:tc>
        <w:tc>
          <w:tcPr>
            <w:tcW w:w="9286" w:type="dxa"/>
            <w:tcBorders/>
            <w:vAlign w:val="center"/>
          </w:tcPr>
          <w:p>
            <w:pPr>
              <w:pStyle w:val="TableContents"/>
              <w:bidi w:val="0"/>
              <w:spacing w:before="0" w:after="283"/>
              <w:jc w:val="left"/>
              <w:rPr/>
            </w:pPr>
            <w:r>
              <w:rPr/>
              <w:t>Total liabilities of $376,728</w:t>
            </w:r>
          </w:p>
        </w:tc>
      </w:tr>
    </w:tbl>
    <w:tbl>
      <w:tblPr>
        <w:tblW w:w="5000" w:type="pct"/>
        <w:jc w:val="left"/>
        <w:tblInd w:w="0" w:type="dxa"/>
        <w:tblLayout w:type="fixed"/>
        <w:tblCellMar>
          <w:top w:w="0" w:type="dxa"/>
          <w:left w:w="0" w:type="dxa"/>
          <w:bottom w:w="0" w:type="dxa"/>
          <w:right w:w="0" w:type="dxa"/>
        </w:tblCellMar>
      </w:tblPr>
      <w:tblGrid>
        <w:gridCol w:w="196"/>
        <w:gridCol w:w="579"/>
        <w:gridCol w:w="9430"/>
      </w:tblGrid>
      <w:tr>
        <w:trPr/>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w:t>
            </w:r>
          </w:p>
        </w:tc>
        <w:tc>
          <w:tcPr>
            <w:tcW w:w="9430" w:type="dxa"/>
            <w:tcBorders/>
            <w:vAlign w:val="center"/>
          </w:tcPr>
          <w:p>
            <w:pPr>
              <w:pStyle w:val="TableContents"/>
              <w:bidi w:val="0"/>
              <w:spacing w:before="0" w:after="283"/>
              <w:jc w:val="left"/>
              <w:rPr/>
            </w:pPr>
            <w:r>
              <w:rPr/>
              <w:t>Shareholders’ equity of $243,323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net loss from continuing operations was $12,051 for the three months ended June 30, 2025, compared to net loss from continuing operations of $7,478 for the three months ended June 30, 2024. Our consolidated net loss from continuing operations was $5,591 for the six months ended June 30, 2025, compared to net loss from continuing operations of $543 for the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components of our revenues and net loss are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90"/>
        <w:gridCol w:w="90"/>
        <w:gridCol w:w="170"/>
        <w:gridCol w:w="785"/>
        <w:gridCol w:w="125"/>
        <w:gridCol w:w="90"/>
        <w:gridCol w:w="170"/>
        <w:gridCol w:w="785"/>
        <w:gridCol w:w="125"/>
        <w:gridCol w:w="90"/>
        <w:gridCol w:w="170"/>
        <w:gridCol w:w="830"/>
        <w:gridCol w:w="125"/>
        <w:gridCol w:w="90"/>
        <w:gridCol w:w="170"/>
        <w:gridCol w:w="830"/>
        <w:gridCol w:w="170"/>
      </w:tblGrid>
      <w:tr>
        <w:trPr/>
        <w:tc>
          <w:tcPr>
            <w:tcW w:w="53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216"/>
              <w:jc w:val="left"/>
              <w:rPr/>
            </w:pPr>
            <w:r>
              <w:rPr/>
              <w:t> </w:t>
            </w:r>
          </w:p>
        </w:tc>
      </w:tr>
      <w:tr>
        <w:trPr/>
        <w:tc>
          <w:tcPr>
            <w:tcW w:w="539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73,005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85,169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140,502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155,053</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Fee and other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1,099</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Net investment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3,146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2,523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5,984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5,278</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Net investment gains (losses)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(410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(580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459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876</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Total revenues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76,057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87,807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147,491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162,306</w:t>
            </w:r>
          </w:p>
        </w:tc>
        <w:tc>
          <w:tcPr>
            <w:tcW w:w="170" w:type="dxa"/>
            <w:tcBorders/>
            <w:vAlign w:val="center"/>
          </w:tcPr>
          <w:p>
            <w:pPr>
              <w:pStyle w:val="TableContents"/>
              <w:bidi w:val="0"/>
              <w:spacing w:before="0" w:after="283"/>
              <w:ind w:left="0" w:right="0" w:hanging="216"/>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Components of 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Net premiums earned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73,005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85,169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140,502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155,053</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Losses and loss adjustment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66,607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69,358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105,132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109,502</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Amortization of deferred policy acquisition costs and other underwriting and general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24,774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27,519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49,934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53,041</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Underwriting loss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(18,376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(11,708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(14,564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(7,490</w:t>
            </w:r>
          </w:p>
        </w:tc>
        <w:tc>
          <w:tcPr>
            <w:tcW w:w="170" w:type="dxa"/>
            <w:tcBorders/>
            <w:vAlign w:val="center"/>
          </w:tcPr>
          <w:p>
            <w:pPr>
              <w:pStyle w:val="TableContents"/>
              <w:bidi w:val="0"/>
              <w:spacing w:before="0" w:after="283"/>
              <w:ind w:left="0" w:right="0" w:hanging="216"/>
              <w:jc w:val="left"/>
              <w:rPr/>
            </w:pPr>
            <w:r>
              <w:rPr/>
              <w:t>)</w:t>
            </w:r>
          </w:p>
        </w:tc>
      </w:tr>
      <w:tr>
        <w:trPr/>
        <w:tc>
          <w:tcPr>
            <w:tcW w:w="53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216"/>
              <w:jc w:val="left"/>
              <w:rPr/>
            </w:pPr>
            <w:r>
              <w:rPr/>
              <w:t> </w:t>
            </w:r>
          </w:p>
        </w:tc>
      </w:tr>
      <w:tr>
        <w:trPr/>
        <w:tc>
          <w:tcPr>
            <w:tcW w:w="5390"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1,099</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2,523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5,984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5,278</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Net investment gains (losses)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(410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(580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876</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(15,324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(9,070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(7,575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(237</w:t>
            </w:r>
          </w:p>
        </w:tc>
        <w:tc>
          <w:tcPr>
            <w:tcW w:w="170" w:type="dxa"/>
            <w:tcBorders/>
            <w:shd w:fill="CCEEFF" w:val="clear"/>
            <w:vAlign w:val="center"/>
          </w:tcPr>
          <w:p>
            <w:pPr>
              <w:pStyle w:val="TableContents"/>
              <w:bidi w:val="0"/>
              <w:spacing w:before="0" w:after="283"/>
              <w:jc w:val="left"/>
              <w:rPr/>
            </w:pPr>
            <w:r>
              <w:rPr/>
              <w:t>)</w:t>
            </w:r>
          </w:p>
        </w:tc>
      </w:tr>
      <w:tr>
        <w:trPr/>
        <w:tc>
          <w:tcPr>
            <w:tcW w:w="5390" w:type="dxa"/>
            <w:tcBorders/>
            <w:vAlign w:val="center"/>
          </w:tcPr>
          <w:p>
            <w:pPr>
              <w:pStyle w:val="TableContents"/>
              <w:bidi w:val="0"/>
              <w:spacing w:before="0" w:after="283"/>
              <w:jc w:val="left"/>
              <w:rPr/>
            </w:pPr>
            <w:r>
              <w:rPr/>
              <w:t>Income tax expense (benefit)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(3,273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(1,592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(1,984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306</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(12,051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(7,478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(5,591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(543</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Premiums Earned</w:t>
      </w:r>
    </w:p>
    <w:p>
      <w:pPr>
        <w:pStyle w:val="TextBody"/>
        <w:bidi w:val="0"/>
        <w:spacing w:before="0" w:after="0"/>
        <w:ind w:left="0" w:right="0" w:hanging="0"/>
        <w:jc w:val="left"/>
        <w:rPr>
          <w:caps w:val="false"/>
          <w:smallCaps w:val="false"/>
        </w:rPr>
      </w:pPr>
      <w:r>
        <w:rPr>
          <w:caps w:val="false"/>
          <w:smallCaps w:val="false"/>
        </w:rPr>
        <w:t> </w:t>
      </w:r>
    </w:p>
    <w:tbl>
      <w:tblPr>
        <w:tblW w:w="9065" w:type="dxa"/>
        <w:jc w:val="left"/>
        <w:tblInd w:w="0" w:type="dxa"/>
        <w:tblLayout w:type="fixed"/>
        <w:tblCellMar>
          <w:top w:w="0" w:type="dxa"/>
          <w:left w:w="0" w:type="dxa"/>
          <w:bottom w:w="0" w:type="dxa"/>
          <w:right w:w="0" w:type="dxa"/>
        </w:tblCellMar>
      </w:tblPr>
      <w:tblGrid>
        <w:gridCol w:w="2585"/>
        <w:gridCol w:w="90"/>
        <w:gridCol w:w="261"/>
        <w:gridCol w:w="1208"/>
        <w:gridCol w:w="192"/>
        <w:gridCol w:w="138"/>
        <w:gridCol w:w="261"/>
        <w:gridCol w:w="1092"/>
        <w:gridCol w:w="125"/>
        <w:gridCol w:w="90"/>
        <w:gridCol w:w="219"/>
        <w:gridCol w:w="1069"/>
        <w:gridCol w:w="161"/>
        <w:gridCol w:w="116"/>
        <w:gridCol w:w="219"/>
        <w:gridCol w:w="1069"/>
        <w:gridCol w:w="170"/>
      </w:tblGrid>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2"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216"/>
              <w:jc w:val="left"/>
              <w:rPr/>
            </w:pPr>
            <w:r>
              <w:rPr/>
              <w:t> </w:t>
            </w:r>
          </w:p>
        </w:tc>
      </w:tr>
      <w:tr>
        <w:trPr/>
        <w:tc>
          <w:tcPr>
            <w:tcW w:w="2585" w:type="dxa"/>
            <w:tcBorders/>
            <w:shd w:fill="CCEEFF" w:val="clear"/>
            <w:vAlign w:val="center"/>
          </w:tcPr>
          <w:p>
            <w:pPr>
              <w:pStyle w:val="TableContents"/>
              <w:bidi w:val="0"/>
              <w:spacing w:before="0" w:after="283"/>
              <w:jc w:val="left"/>
              <w:rPr/>
            </w:pPr>
            <w:r>
              <w:rPr/>
              <w:t>Net premiums earned:</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208" w:type="dxa"/>
            <w:tcBorders/>
            <w:vAlign w:val="center"/>
          </w:tcPr>
          <w:p>
            <w:pPr>
              <w:pStyle w:val="TableContents"/>
              <w:bidi w:val="0"/>
              <w:spacing w:before="0" w:after="283"/>
              <w:jc w:val="right"/>
              <w:rPr/>
            </w:pPr>
            <w:r>
              <w:rPr/>
              <w:t>82,542</w:t>
            </w:r>
          </w:p>
        </w:tc>
        <w:tc>
          <w:tcPr>
            <w:tcW w:w="192"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092" w:type="dxa"/>
            <w:tcBorders/>
            <w:vAlign w:val="center"/>
          </w:tcPr>
          <w:p>
            <w:pPr>
              <w:pStyle w:val="TableContents"/>
              <w:bidi w:val="0"/>
              <w:spacing w:before="0" w:after="283"/>
              <w:jc w:val="right"/>
              <w:rPr/>
            </w:pPr>
            <w:r>
              <w:rPr/>
              <w:t>91,500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069" w:type="dxa"/>
            <w:tcBorders/>
            <w:vAlign w:val="center"/>
          </w:tcPr>
          <w:p>
            <w:pPr>
              <w:pStyle w:val="TableContents"/>
              <w:bidi w:val="0"/>
              <w:spacing w:before="0" w:after="283"/>
              <w:jc w:val="right"/>
              <w:rPr/>
            </w:pPr>
            <w:r>
              <w:rPr/>
              <w:t>154,704</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069" w:type="dxa"/>
            <w:tcBorders/>
            <w:vAlign w:val="center"/>
          </w:tcPr>
          <w:p>
            <w:pPr>
              <w:pStyle w:val="TableContents"/>
              <w:bidi w:val="0"/>
              <w:spacing w:before="0" w:after="283"/>
              <w:jc w:val="right"/>
              <w:rPr/>
            </w:pPr>
            <w:r>
              <w:rPr/>
              <w:t>166,899</w:t>
            </w:r>
          </w:p>
        </w:tc>
        <w:tc>
          <w:tcPr>
            <w:tcW w:w="17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696</w:t>
            </w:r>
          </w:p>
        </w:tc>
        <w:tc>
          <w:tcPr>
            <w:tcW w:w="192"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653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735</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804</w:t>
            </w:r>
          </w:p>
        </w:tc>
        <w:tc>
          <w:tcPr>
            <w:tcW w:w="170"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tcMar>
              <w:bottom w:w="28" w:type="dxa"/>
            </w:tcMar>
            <w:vAlign w:val="center"/>
          </w:tcPr>
          <w:p>
            <w:pPr>
              <w:pStyle w:val="TableContents"/>
              <w:bidi w:val="0"/>
              <w:spacing w:before="0" w:after="283"/>
              <w:jc w:val="right"/>
              <w:rPr/>
            </w:pPr>
            <w:r>
              <w:rPr/>
              <w:t>(10,233</w:t>
            </w:r>
          </w:p>
        </w:tc>
        <w:tc>
          <w:tcPr>
            <w:tcW w:w="192"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right"/>
              <w:rPr/>
            </w:pPr>
            <w:r>
              <w:rPr/>
              <w:t>(6,984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pPr>
            <w:r>
              <w:rPr/>
              <w:t>(14,937</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pPr>
            <w:r>
              <w:rPr/>
              <w:t>(12,650</w:t>
            </w:r>
          </w:p>
        </w:tc>
        <w:tc>
          <w:tcPr>
            <w:tcW w:w="170" w:type="dxa"/>
            <w:tcBorders/>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Total net premiums earned</w:t>
            </w:r>
          </w:p>
        </w:tc>
        <w:tc>
          <w:tcPr>
            <w:tcW w:w="90"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pPr>
            <w:r>
              <w:rPr/>
              <w:t>73,005</w:t>
            </w:r>
          </w:p>
        </w:tc>
        <w:tc>
          <w:tcPr>
            <w:tcW w:w="192"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2" w:type="dxa"/>
            <w:tcBorders>
              <w:bottom w:val="double" w:sz="6" w:space="0" w:color="000000"/>
            </w:tcBorders>
            <w:shd w:fill="CCEEFF" w:val="clear"/>
            <w:tcMar>
              <w:bottom w:w="28" w:type="dxa"/>
            </w:tcMar>
            <w:vAlign w:val="center"/>
          </w:tcPr>
          <w:p>
            <w:pPr>
              <w:pStyle w:val="TableContents"/>
              <w:bidi w:val="0"/>
              <w:spacing w:before="0" w:after="283"/>
              <w:jc w:val="right"/>
              <w:rPr/>
            </w:pPr>
            <w:r>
              <w:rPr/>
              <w:t>85,169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pPr>
            <w:r>
              <w:rPr/>
              <w:t>140,502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pPr>
            <w:r>
              <w:rPr/>
              <w:t>155,053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premiums earned for the three months ended June 30, 2025, decreased $12,164, or 14.3%, compared to the three months ended June 30, 2024. Net premiums earned for the six months ended June 30, 2025, decreased 14,551, or 9.4%, compared to the six months ended June 30, 2024.</w:t>
      </w:r>
    </w:p>
    <w:p>
      <w:pPr>
        <w:pStyle w:val="TextBody"/>
        <w:bidi w:val="0"/>
        <w:spacing w:before="0" w:after="0"/>
        <w:ind w:left="0" w:right="0" w:hanging="0"/>
        <w:jc w:val="left"/>
        <w:rPr>
          <w:caps w:val="false"/>
          <w:smallCaps w:val="false"/>
        </w:rPr>
      </w:pPr>
      <w:r>
        <w:rPr>
          <w:caps w:val="false"/>
          <w:smallCaps w:val="false"/>
        </w:rPr>
        <w:t> </w:t>
      </w:r>
    </w:p>
    <w:tbl>
      <w:tblPr>
        <w:tblW w:w="8992" w:type="dxa"/>
        <w:jc w:val="left"/>
        <w:tblInd w:w="0" w:type="dxa"/>
        <w:tblLayout w:type="fixed"/>
        <w:tblCellMar>
          <w:top w:w="0" w:type="dxa"/>
          <w:left w:w="0" w:type="dxa"/>
          <w:bottom w:w="0" w:type="dxa"/>
          <w:right w:w="0" w:type="dxa"/>
        </w:tblCellMar>
      </w:tblPr>
      <w:tblGrid>
        <w:gridCol w:w="2585"/>
        <w:gridCol w:w="90"/>
        <w:gridCol w:w="276"/>
        <w:gridCol w:w="1154"/>
        <w:gridCol w:w="146"/>
        <w:gridCol w:w="146"/>
        <w:gridCol w:w="276"/>
        <w:gridCol w:w="1154"/>
        <w:gridCol w:w="90"/>
        <w:gridCol w:w="90"/>
        <w:gridCol w:w="222"/>
        <w:gridCol w:w="1086"/>
        <w:gridCol w:w="117"/>
        <w:gridCol w:w="117"/>
        <w:gridCol w:w="222"/>
        <w:gridCol w:w="1086"/>
        <w:gridCol w:w="135"/>
      </w:tblGrid>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3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216"/>
              <w:jc w:val="left"/>
              <w:rPr/>
            </w:pPr>
            <w:r>
              <w:rPr/>
              <w:t> </w:t>
            </w:r>
          </w:p>
        </w:tc>
      </w:tr>
      <w:tr>
        <w:trPr/>
        <w:tc>
          <w:tcPr>
            <w:tcW w:w="2585" w:type="dxa"/>
            <w:tcBorders/>
            <w:shd w:fill="CCEEFF" w:val="clear"/>
            <w:vAlign w:val="center"/>
          </w:tcPr>
          <w:p>
            <w:pPr>
              <w:pStyle w:val="TableContents"/>
              <w:bidi w:val="0"/>
              <w:spacing w:before="0" w:after="283"/>
              <w:jc w:val="left"/>
              <w:rPr/>
            </w:pPr>
            <w:r>
              <w:rPr/>
              <w:t>Net premiums earned:</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1154" w:type="dxa"/>
            <w:tcBorders/>
            <w:vAlign w:val="center"/>
          </w:tcPr>
          <w:p>
            <w:pPr>
              <w:pStyle w:val="TableContents"/>
              <w:bidi w:val="0"/>
              <w:spacing w:before="0" w:after="283"/>
              <w:jc w:val="right"/>
              <w:rPr/>
            </w:pPr>
            <w:r>
              <w:rPr/>
              <w:t>22,923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1154" w:type="dxa"/>
            <w:tcBorders/>
            <w:vAlign w:val="center"/>
          </w:tcPr>
          <w:p>
            <w:pPr>
              <w:pStyle w:val="TableContents"/>
              <w:bidi w:val="0"/>
              <w:spacing w:before="0" w:after="283"/>
              <w:jc w:val="right"/>
              <w:rPr/>
            </w:pPr>
            <w:r>
              <w:rPr/>
              <w:t>22,471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1086" w:type="dxa"/>
            <w:tcBorders/>
            <w:vAlign w:val="center"/>
          </w:tcPr>
          <w:p>
            <w:pPr>
              <w:pStyle w:val="TableContents"/>
              <w:bidi w:val="0"/>
              <w:spacing w:before="0" w:after="283"/>
              <w:jc w:val="right"/>
              <w:rPr/>
            </w:pPr>
            <w:r>
              <w:rPr/>
              <w:t>45,581</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1086" w:type="dxa"/>
            <w:tcBorders/>
            <w:vAlign w:val="center"/>
          </w:tcPr>
          <w:p>
            <w:pPr>
              <w:pStyle w:val="TableContents"/>
              <w:bidi w:val="0"/>
              <w:spacing w:before="0" w:after="283"/>
              <w:jc w:val="right"/>
              <w:rPr/>
            </w:pPr>
            <w:r>
              <w:rPr/>
              <w:t>44,573</w:t>
            </w:r>
          </w:p>
        </w:tc>
        <w:tc>
          <w:tcPr>
            <w:tcW w:w="13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14,505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26,743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32,758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51,731</w:t>
            </w:r>
          </w:p>
        </w:tc>
        <w:tc>
          <w:tcPr>
            <w:tcW w:w="13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21,311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21,924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45,031</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43,339</w:t>
            </w:r>
          </w:p>
        </w:tc>
        <w:tc>
          <w:tcPr>
            <w:tcW w:w="13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10,711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10,978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10,335</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9,429</w:t>
            </w:r>
          </w:p>
        </w:tc>
        <w:tc>
          <w:tcPr>
            <w:tcW w:w="13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2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pPr>
            <w:r>
              <w:rPr/>
              <w:t>3,555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pPr>
            <w:r>
              <w:rPr/>
              <w:t>3,053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6,797</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5,981</w:t>
            </w:r>
          </w:p>
        </w:tc>
        <w:tc>
          <w:tcPr>
            <w:tcW w:w="13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 net premiums earned</w:t>
            </w:r>
          </w:p>
        </w:tc>
        <w:tc>
          <w:tcPr>
            <w:tcW w:w="90" w:type="dxa"/>
            <w:tcBorders/>
            <w:shd w:fill="CCEEFF" w:val="cle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jc w:val="right"/>
              <w:rPr/>
            </w:pPr>
            <w:r>
              <w:rPr/>
              <w:t>73,005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jc w:val="right"/>
              <w:rPr/>
            </w:pPr>
            <w:r>
              <w:rPr/>
              <w:t>85,169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6" w:type="dxa"/>
            <w:tcBorders>
              <w:bottom w:val="double" w:sz="6" w:space="0" w:color="000000"/>
            </w:tcBorders>
            <w:shd w:fill="CCEEFF" w:val="clear"/>
            <w:tcMar>
              <w:bottom w:w="28" w:type="dxa"/>
            </w:tcMar>
            <w:vAlign w:val="center"/>
          </w:tcPr>
          <w:p>
            <w:pPr>
              <w:pStyle w:val="TableContents"/>
              <w:bidi w:val="0"/>
              <w:spacing w:before="0" w:after="283"/>
              <w:jc w:val="right"/>
              <w:rPr/>
            </w:pPr>
            <w:r>
              <w:rPr/>
              <w:t>140,502</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6" w:type="dxa"/>
            <w:tcBorders>
              <w:bottom w:val="double" w:sz="6" w:space="0" w:color="000000"/>
            </w:tcBorders>
            <w:shd w:fill="CCEEFF" w:val="clear"/>
            <w:tcMar>
              <w:bottom w:w="28" w:type="dxa"/>
            </w:tcMar>
            <w:vAlign w:val="center"/>
          </w:tcPr>
          <w:p>
            <w:pPr>
              <w:pStyle w:val="TableContents"/>
              <w:bidi w:val="0"/>
              <w:spacing w:before="0" w:after="283"/>
              <w:jc w:val="right"/>
              <w:rPr/>
            </w:pPr>
            <w:r>
              <w:rPr/>
              <w:t>155,053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net premiums earned by business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Net premiums earned for the second quarter of 2025 increased $452, or 2.0%, compared to the same period in 2024. Net premiums earned for the first six months of 2025 increased $1,008, or 2.3% from the first six months of 2024. Results were driven by new business growth in North Dakota as well as significant rate increases in South Dakota and Nebraska, partially offset by lower new business and retention levels in South Dakota and Nebraska as a result of underwriting actions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Net premiums earned for the second quarter of 2025 decreased $12,238, or 45.8%, compared to the same period in 2024. Net premiums earned for the first six months of 2025 decreased $18,973, or 36.7% from the first six months of 2024. These decreases were driven by strategic decisions to exit Nevada and significantly reduce written premium in the Chicago market in recent periods to improve profitability. We anticipate further continued reductions in net earned premiums as a result of these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Net premiums earned for the second quarter of 2025 decreased $613, or 2.8%, compared to the same period in 2024. Net premiums earned for the first six months of 2025 increased $1,692, or 3.9% from the first six months of 2024. Results were driven by new business growth in North Dakota, rate increases, and increased insured property values, partially offset by lower retention rates and new business levels in Nebraska as a result of underwriting actions taken to improve profitability. In addition, net premiums earned for the second quarter of 2025 were impacted by the recognition of higher ceded premiums earned as a result of a significant catastrophe event in North Dakota during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Crop </w:t>
      </w:r>
      <w:r>
        <w:rPr>
          <w:rFonts w:ascii="Times New Roman;Times;Serif" w:hAnsi="Times New Roman;Times;Serif"/>
          <w:b w:val="false"/>
          <w:i w:val="false"/>
          <w:caps w:val="false"/>
          <w:smallCaps w:val="false"/>
          <w:sz w:val="20"/>
        </w:rPr>
        <w:t>– Net premiums earned for the second quarter of 2025, decreased $267, or 2.4%, compared to the same period in 2024. Net premiums earned for the first six months of 2025 increased $906, or 9.6% from the first six months of 2024. The decrease in the second quarter of 2025 was driven by lower commodity prices compared to the prior year. Net premiums earned for the first quarter of any year are typically the result of prior crop year premium adjustments that correspond to the current year settlement of prior crop year claims. The year-to-date increase was driven by the recognition of more favorable premium adjustments in the first quarter of 2025 compared to the first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Net premiums earned for the second quarter of 2025, increased $502, or 16.4%, compared to the same period in 2024. Net premiums earned for the first six months of 2025 increased $816, or 13.6%, from the first six months of 2024. Results were driven by rate increases for the North Dakota commercial lines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8"/>
        <w:gridCol w:w="90"/>
        <w:gridCol w:w="244"/>
        <w:gridCol w:w="1193"/>
        <w:gridCol w:w="179"/>
        <w:gridCol w:w="129"/>
        <w:gridCol w:w="244"/>
        <w:gridCol w:w="1021"/>
        <w:gridCol w:w="125"/>
        <w:gridCol w:w="90"/>
        <w:gridCol w:w="212"/>
        <w:gridCol w:w="1037"/>
        <w:gridCol w:w="156"/>
        <w:gridCol w:w="112"/>
        <w:gridCol w:w="212"/>
        <w:gridCol w:w="1037"/>
        <w:gridCol w:w="176"/>
      </w:tblGrid>
      <w:tr>
        <w:trPr/>
        <w:tc>
          <w:tcPr>
            <w:tcW w:w="39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6" w:type="dxa"/>
            <w:tcBorders/>
            <w:vAlign w:val="center"/>
          </w:tcPr>
          <w:p>
            <w:pPr>
              <w:pStyle w:val="TableContents"/>
              <w:bidi w:val="0"/>
              <w:spacing w:before="0" w:after="283"/>
              <w:jc w:val="left"/>
              <w:rPr/>
            </w:pPr>
            <w:r>
              <w:rPr/>
              <w:t> </w:t>
            </w:r>
          </w:p>
        </w:tc>
      </w:tr>
      <w:tr>
        <w:trPr/>
        <w:tc>
          <w:tcPr>
            <w:tcW w:w="39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6" w:type="dxa"/>
            <w:tcBorders/>
            <w:vAlign w:val="center"/>
          </w:tcPr>
          <w:p>
            <w:pPr>
              <w:pStyle w:val="TableContents"/>
              <w:bidi w:val="0"/>
              <w:spacing w:before="0" w:after="283"/>
              <w:ind w:left="0" w:right="0" w:hanging="216"/>
              <w:jc w:val="left"/>
              <w:rPr/>
            </w:pPr>
            <w:r>
              <w:rPr/>
              <w:t> </w:t>
            </w:r>
          </w:p>
        </w:tc>
      </w:tr>
      <w:tr>
        <w:trPr/>
        <w:tc>
          <w:tcPr>
            <w:tcW w:w="3948"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3948"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193" w:type="dxa"/>
            <w:tcBorders/>
            <w:vAlign w:val="center"/>
          </w:tcPr>
          <w:p>
            <w:pPr>
              <w:pStyle w:val="TableContents"/>
              <w:bidi w:val="0"/>
              <w:spacing w:before="0" w:after="283"/>
              <w:jc w:val="right"/>
              <w:rPr/>
            </w:pPr>
            <w:r>
              <w:rPr/>
              <w:t>109,382</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283"/>
              <w:jc w:val="right"/>
              <w:rPr/>
            </w:pPr>
            <w:r>
              <w:rPr/>
              <w:t>73,350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037" w:type="dxa"/>
            <w:tcBorders/>
            <w:vAlign w:val="center"/>
          </w:tcPr>
          <w:p>
            <w:pPr>
              <w:pStyle w:val="TableContents"/>
              <w:bidi w:val="0"/>
              <w:spacing w:before="0" w:after="283"/>
              <w:jc w:val="right"/>
              <w:rPr/>
            </w:pPr>
            <w:r>
              <w:rPr/>
              <w:t>149,761</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037" w:type="dxa"/>
            <w:tcBorders/>
            <w:vAlign w:val="center"/>
          </w:tcPr>
          <w:p>
            <w:pPr>
              <w:pStyle w:val="TableContents"/>
              <w:bidi w:val="0"/>
              <w:spacing w:before="0" w:after="283"/>
              <w:jc w:val="right"/>
              <w:rPr/>
            </w:pPr>
            <w:r>
              <w:rPr/>
              <w:t>114,869</w:t>
            </w:r>
          </w:p>
        </w:tc>
        <w:tc>
          <w:tcPr>
            <w:tcW w:w="176" w:type="dxa"/>
            <w:tcBorders/>
            <w:vAlign w:val="center"/>
          </w:tcPr>
          <w:p>
            <w:pPr>
              <w:pStyle w:val="TableContents"/>
              <w:bidi w:val="0"/>
              <w:spacing w:before="0" w:after="283"/>
              <w:jc w:val="left"/>
              <w:rPr/>
            </w:pPr>
            <w:r>
              <w:rPr/>
              <w:t> </w:t>
            </w:r>
          </w:p>
        </w:tc>
      </w:tr>
      <w:tr>
        <w:trPr/>
        <w:tc>
          <w:tcPr>
            <w:tcW w:w="3948"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284</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51</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269</w:t>
            </w:r>
          </w:p>
        </w:tc>
        <w:tc>
          <w:tcPr>
            <w:tcW w:w="176" w:type="dxa"/>
            <w:tcBorders/>
            <w:shd w:fill="CCEEFF" w:val="clear"/>
            <w:vAlign w:val="center"/>
          </w:tcPr>
          <w:p>
            <w:pPr>
              <w:pStyle w:val="TableContents"/>
              <w:bidi w:val="0"/>
              <w:spacing w:before="0" w:after="283"/>
              <w:jc w:val="left"/>
              <w:rPr/>
            </w:pPr>
            <w:r>
              <w:rPr/>
              <w:t> </w:t>
            </w:r>
          </w:p>
        </w:tc>
      </w:tr>
      <w:tr>
        <w:trPr/>
        <w:tc>
          <w:tcPr>
            <w:tcW w:w="3948"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44" w:type="dxa"/>
            <w:tcBorders>
              <w:bottom w:val="single" w:sz="8" w:space="0" w:color="000000"/>
            </w:tcBorders>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tcMar>
              <w:bottom w:w="28" w:type="dxa"/>
            </w:tcMar>
            <w:vAlign w:val="center"/>
          </w:tcPr>
          <w:p>
            <w:pPr>
              <w:pStyle w:val="TableContents"/>
              <w:bidi w:val="0"/>
              <w:spacing w:before="0" w:after="283"/>
              <w:jc w:val="right"/>
              <w:rPr/>
            </w:pPr>
            <w:r>
              <w:rPr/>
              <w:t>(43,059</w:t>
            </w:r>
          </w:p>
        </w:tc>
        <w:tc>
          <w:tcPr>
            <w:tcW w:w="17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 </w:t>
            </w:r>
          </w:p>
        </w:tc>
        <w:tc>
          <w:tcPr>
            <w:tcW w:w="2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tcMar>
              <w:bottom w:w="28" w:type="dxa"/>
            </w:tcMar>
            <w:vAlign w:val="center"/>
          </w:tcPr>
          <w:p>
            <w:pPr>
              <w:pStyle w:val="TableContents"/>
              <w:bidi w:val="0"/>
              <w:spacing w:before="0" w:after="283"/>
              <w:jc w:val="right"/>
              <w:rPr/>
            </w:pPr>
            <w:r>
              <w:rPr/>
              <w:t>(4,216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tcMar>
              <w:bottom w:w="28" w:type="dxa"/>
            </w:tcMar>
            <w:vAlign w:val="center"/>
          </w:tcPr>
          <w:p>
            <w:pPr>
              <w:pStyle w:val="TableContents"/>
              <w:bidi w:val="0"/>
              <w:spacing w:before="0" w:after="283"/>
              <w:jc w:val="right"/>
              <w:rPr/>
            </w:pPr>
            <w:r>
              <w:rPr/>
              <w:t>(44,680</w:t>
            </w:r>
          </w:p>
        </w:tc>
        <w:tc>
          <w:tcPr>
            <w:tcW w:w="156"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tcMar>
              <w:bottom w:w="28" w:type="dxa"/>
            </w:tcMar>
            <w:vAlign w:val="center"/>
          </w:tcPr>
          <w:p>
            <w:pPr>
              <w:pStyle w:val="TableContents"/>
              <w:bidi w:val="0"/>
              <w:spacing w:before="0" w:after="283"/>
              <w:jc w:val="right"/>
              <w:rPr/>
            </w:pPr>
            <w:r>
              <w:rPr/>
              <w:t>(5,636</w:t>
            </w:r>
          </w:p>
        </w:tc>
        <w:tc>
          <w:tcPr>
            <w:tcW w:w="176" w:type="dxa"/>
            <w:tcBorders/>
            <w:vAlign w:val="center"/>
          </w:tcPr>
          <w:p>
            <w:pPr>
              <w:pStyle w:val="TableContents"/>
              <w:bidi w:val="0"/>
              <w:spacing w:before="0" w:after="283"/>
              <w:jc w:val="left"/>
              <w:rPr/>
            </w:pPr>
            <w:r>
              <w:rPr/>
              <w:t>)</w:t>
            </w:r>
          </w:p>
        </w:tc>
      </w:tr>
      <w:tr>
        <w:trPr/>
        <w:tc>
          <w:tcPr>
            <w:tcW w:w="3948" w:type="dxa"/>
            <w:tcBorders/>
            <w:shd w:fill="CCEEFF" w:val="clear"/>
            <w:vAlign w:val="center"/>
          </w:tcPr>
          <w:p>
            <w:pPr>
              <w:pStyle w:val="TableContents"/>
              <w:bidi w:val="0"/>
              <w:spacing w:before="0" w:after="283"/>
              <w:jc w:val="left"/>
              <w:rPr/>
            </w:pPr>
            <w:r>
              <w:rPr/>
              <w:t>Total 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66,607</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69,358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105,132</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109,502</w:t>
            </w:r>
          </w:p>
        </w:tc>
        <w:tc>
          <w:tcPr>
            <w:tcW w:w="1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losses and loss adjustment expenses for the three months ended June 30, 2025, decreased $2,751, or 4.0%, compared to the three months ended June 30, 2024. Our net losses and loss adjustment expenses for the six months ended June 30, 2025, decreased $4,370, or 4.0%, compared to the six months ended June 30,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09"/>
        <w:gridCol w:w="90"/>
        <w:gridCol w:w="264"/>
        <w:gridCol w:w="1104"/>
        <w:gridCol w:w="139"/>
        <w:gridCol w:w="139"/>
        <w:gridCol w:w="264"/>
        <w:gridCol w:w="1104"/>
        <w:gridCol w:w="90"/>
        <w:gridCol w:w="90"/>
        <w:gridCol w:w="216"/>
        <w:gridCol w:w="1057"/>
        <w:gridCol w:w="113"/>
        <w:gridCol w:w="113"/>
        <w:gridCol w:w="216"/>
        <w:gridCol w:w="1057"/>
        <w:gridCol w:w="140"/>
      </w:tblGrid>
      <w:tr>
        <w:trPr/>
        <w:tc>
          <w:tcPr>
            <w:tcW w:w="40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40" w:type="dxa"/>
            <w:tcBorders/>
            <w:vAlign w:val="center"/>
          </w:tcPr>
          <w:p>
            <w:pPr>
              <w:pStyle w:val="TableContents"/>
              <w:bidi w:val="0"/>
              <w:spacing w:before="0" w:after="283"/>
              <w:jc w:val="left"/>
              <w:rPr/>
            </w:pPr>
            <w:r>
              <w:rPr/>
              <w:t> </w:t>
            </w:r>
          </w:p>
        </w:tc>
      </w:tr>
      <w:tr>
        <w:trPr/>
        <w:tc>
          <w:tcPr>
            <w:tcW w:w="40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0" w:type="dxa"/>
            <w:tcBorders/>
            <w:vAlign w:val="center"/>
          </w:tcPr>
          <w:p>
            <w:pPr>
              <w:pStyle w:val="TableContents"/>
              <w:bidi w:val="0"/>
              <w:spacing w:before="0" w:after="283"/>
              <w:ind w:left="0" w:right="0" w:hanging="216"/>
              <w:jc w:val="left"/>
              <w:rPr/>
            </w:pPr>
            <w:r>
              <w:rPr/>
              <w:t> </w:t>
            </w:r>
          </w:p>
        </w:tc>
      </w:tr>
      <w:tr>
        <w:trPr/>
        <w:tc>
          <w:tcPr>
            <w:tcW w:w="4009"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4009"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13,700</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19,929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1057" w:type="dxa"/>
            <w:tcBorders/>
            <w:vAlign w:val="center"/>
          </w:tcPr>
          <w:p>
            <w:pPr>
              <w:pStyle w:val="TableContents"/>
              <w:bidi w:val="0"/>
              <w:spacing w:before="0" w:after="283"/>
              <w:jc w:val="right"/>
              <w:rPr/>
            </w:pPr>
            <w:r>
              <w:rPr/>
              <w:t>27,195</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1057" w:type="dxa"/>
            <w:tcBorders/>
            <w:vAlign w:val="center"/>
          </w:tcPr>
          <w:p>
            <w:pPr>
              <w:pStyle w:val="TableContents"/>
              <w:bidi w:val="0"/>
              <w:spacing w:before="0" w:after="283"/>
              <w:jc w:val="right"/>
              <w:rPr/>
            </w:pPr>
            <w:r>
              <w:rPr/>
              <w:t>31,222</w:t>
            </w:r>
          </w:p>
        </w:tc>
        <w:tc>
          <w:tcPr>
            <w:tcW w:w="140" w:type="dxa"/>
            <w:tcBorders/>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16,860</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19,313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31,397</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36,182</w:t>
            </w:r>
          </w:p>
        </w:tc>
        <w:tc>
          <w:tcPr>
            <w:tcW w:w="140" w:type="dxa"/>
            <w:tcBorders/>
            <w:shd w:fill="CCEEFF" w:val="clear"/>
            <w:vAlign w:val="center"/>
          </w:tcPr>
          <w:p>
            <w:pPr>
              <w:pStyle w:val="TableContents"/>
              <w:bidi w:val="0"/>
              <w:spacing w:before="0" w:after="283"/>
              <w:jc w:val="left"/>
              <w:rPr/>
            </w:pPr>
            <w:r>
              <w:rPr/>
              <w:t> </w:t>
            </w:r>
          </w:p>
        </w:tc>
      </w:tr>
      <w:tr>
        <w:trPr/>
        <w:tc>
          <w:tcPr>
            <w:tcW w:w="4009"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27,011</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22,026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36,799</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34,207</w:t>
            </w:r>
          </w:p>
        </w:tc>
        <w:tc>
          <w:tcPr>
            <w:tcW w:w="140" w:type="dxa"/>
            <w:tcBorders/>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8,468</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7,311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7,967</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5,754</w:t>
            </w:r>
          </w:p>
        </w:tc>
        <w:tc>
          <w:tcPr>
            <w:tcW w:w="140" w:type="dxa"/>
            <w:tcBorders/>
            <w:shd w:fill="CCEEFF" w:val="clear"/>
            <w:vAlign w:val="center"/>
          </w:tcPr>
          <w:p>
            <w:pPr>
              <w:pStyle w:val="TableContents"/>
              <w:bidi w:val="0"/>
              <w:spacing w:before="0" w:after="283"/>
              <w:jc w:val="left"/>
              <w:rPr/>
            </w:pPr>
            <w:r>
              <w:rPr/>
              <w:t> </w:t>
            </w:r>
          </w:p>
        </w:tc>
      </w:tr>
      <w:tr>
        <w:trPr/>
        <w:tc>
          <w:tcPr>
            <w:tcW w:w="4009"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264"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568</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4"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779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right"/>
              <w:rPr/>
            </w:pPr>
            <w:r>
              <w:rPr/>
              <w:t>1,774</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right"/>
              <w:rPr/>
            </w:pPr>
            <w:r>
              <w:rPr/>
              <w:t>2,137</w:t>
            </w:r>
          </w:p>
        </w:tc>
        <w:tc>
          <w:tcPr>
            <w:tcW w:w="140" w:type="dxa"/>
            <w:tcBorders/>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283"/>
              <w:jc w:val="left"/>
              <w:rPr/>
            </w:pPr>
            <w:r>
              <w:rPr/>
              <w:t>Total 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pPr>
            <w:r>
              <w:rPr/>
              <w:t>66,607</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pPr>
            <w:r>
              <w:rPr/>
              <w:t>69,358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pPr>
            <w:r>
              <w:rPr/>
              <w:t>105,132</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pPr>
            <w:r>
              <w:rPr/>
              <w:t>109,502</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03"/>
        <w:gridCol w:w="90"/>
        <w:gridCol w:w="143"/>
        <w:gridCol w:w="1236"/>
        <w:gridCol w:w="143"/>
        <w:gridCol w:w="143"/>
        <w:gridCol w:w="143"/>
        <w:gridCol w:w="1236"/>
        <w:gridCol w:w="90"/>
        <w:gridCol w:w="90"/>
        <w:gridCol w:w="147"/>
        <w:gridCol w:w="1079"/>
        <w:gridCol w:w="147"/>
        <w:gridCol w:w="147"/>
        <w:gridCol w:w="147"/>
        <w:gridCol w:w="1079"/>
        <w:gridCol w:w="142"/>
      </w:tblGrid>
      <w:tr>
        <w:trPr/>
        <w:tc>
          <w:tcPr>
            <w:tcW w:w="40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42" w:type="dxa"/>
            <w:tcBorders/>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ind w:left="0" w:right="0" w:hanging="216"/>
              <w:jc w:val="left"/>
              <w:rPr/>
            </w:pPr>
            <w:r>
              <w:rPr/>
              <w:t> </w:t>
            </w:r>
          </w:p>
        </w:tc>
      </w:tr>
      <w:tr>
        <w:trPr/>
        <w:tc>
          <w:tcPr>
            <w:tcW w:w="4003" w:type="dxa"/>
            <w:tcBorders/>
            <w:shd w:fill="CCEEFF" w:val="clear"/>
            <w:vAlign w:val="center"/>
          </w:tcPr>
          <w:p>
            <w:pPr>
              <w:pStyle w:val="TableContents"/>
              <w:bidi w:val="0"/>
              <w:spacing w:before="0" w:after="283"/>
              <w:jc w:val="left"/>
              <w:rPr/>
            </w:pPr>
            <w:r>
              <w:rPr/>
              <w:t>Loss and loss adjustment expense ratio:</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59.8%</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88.7%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59.7%</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70.0%</w:t>
            </w:r>
          </w:p>
        </w:tc>
        <w:tc>
          <w:tcPr>
            <w:tcW w:w="142"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116.2%</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95.8%</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69.9%</w:t>
            </w:r>
          </w:p>
        </w:tc>
        <w:tc>
          <w:tcPr>
            <w:tcW w:w="142"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126.7%</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100.5%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81.7%</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78.9%</w:t>
            </w:r>
          </w:p>
        </w:tc>
        <w:tc>
          <w:tcPr>
            <w:tcW w:w="142"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79.1%</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77.1%</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61.0%</w:t>
            </w:r>
          </w:p>
        </w:tc>
        <w:tc>
          <w:tcPr>
            <w:tcW w:w="142"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tcMar>
              <w:bottom w:w="28" w:type="dxa"/>
            </w:tcMar>
            <w:vAlign w:val="center"/>
          </w:tcPr>
          <w:p>
            <w:pPr>
              <w:pStyle w:val="TableContents"/>
              <w:bidi w:val="0"/>
              <w:spacing w:before="0" w:after="283"/>
              <w:jc w:val="right"/>
              <w:rPr/>
            </w:pPr>
            <w:r>
              <w:rPr/>
              <w:t>16.0%</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tcMar>
              <w:bottom w:w="28" w:type="dxa"/>
            </w:tcMar>
            <w:vAlign w:val="center"/>
          </w:tcPr>
          <w:p>
            <w:pPr>
              <w:pStyle w:val="TableContents"/>
              <w:bidi w:val="0"/>
              <w:spacing w:before="0" w:after="283"/>
              <w:jc w:val="right"/>
              <w:rPr/>
            </w:pPr>
            <w:r>
              <w:rPr/>
              <w:t>25.5%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tcMar>
              <w:bottom w:w="28" w:type="dxa"/>
            </w:tcMar>
            <w:vAlign w:val="center"/>
          </w:tcPr>
          <w:p>
            <w:pPr>
              <w:pStyle w:val="TableContents"/>
              <w:bidi w:val="0"/>
              <w:spacing w:before="0" w:after="283"/>
              <w:jc w:val="right"/>
              <w:rPr/>
            </w:pPr>
            <w:r>
              <w:rPr/>
              <w:t>26.1%</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tcMar>
              <w:bottom w:w="28" w:type="dxa"/>
            </w:tcMar>
            <w:vAlign w:val="center"/>
          </w:tcPr>
          <w:p>
            <w:pPr>
              <w:pStyle w:val="TableContents"/>
              <w:bidi w:val="0"/>
              <w:spacing w:before="0" w:after="283"/>
              <w:jc w:val="right"/>
              <w:rPr/>
            </w:pPr>
            <w:r>
              <w:rPr/>
              <w:t>35.7%</w:t>
            </w:r>
          </w:p>
        </w:tc>
        <w:tc>
          <w:tcPr>
            <w:tcW w:w="142"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Total loss and loss adjustment expense ratio</w:t>
            </w:r>
          </w:p>
        </w:tc>
        <w:tc>
          <w:tcPr>
            <w:tcW w:w="9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91.2%</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81.4%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pPr>
            <w:r>
              <w:rPr/>
              <w:t>74.8%</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pPr>
            <w:r>
              <w:rPr/>
              <w:t>70.6%</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the net losses and loss adjustment expenses, and the net loss and loss adjustment expense ratios, by business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The net loss and loss adjustment expense ratio decreased 28.9 percentage points and 10.3 percentage points in the three- and six-month periods ended June 30, 2025, respectively, compared to the same periods in 2024. These decreases in the current year were driven by improved loss severity on physical damage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The net loss and loss adjustment expense ratio increased 44.0 percentage points and 25.9 percentage points in the three- and six-month periods ended June 30, 2025, respectively, compared to the same period in 2024. These increases were driven by higher unfavorable prior year development on liability loss reserves in the current year periods compared to the same periods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The net loss and loss adjustment expense ratio increased 26.2 percentage points and 2.8 percentage points in the three- and six-month periods ended June 30, 2025, respectively, compared to the same periods in 2024. These increases in net loss and loss adjustment expense ratios were driven by losses from a significant catastrophe event in North Dakota during the second quarter of 2025 that exceeded the Company’s $20,000 retention as well as the related ceded premiums earned. Although the results for the six-month period ended June 30, 2024, were impacted by elevated non-catastrophe weather losses in North Dakota and Nebraska, there were no catastrophes during that period. Catastrophe losses, net of reinsurance, for the Home and Farm segment accounted for 94.7 and 45.1 percentage points of the net loss and loss adjustment expense ratio for the three- and six-month periods ended June 30, 2025, respectively, and did not have a negative impact for the same periods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Crop</w:t>
      </w:r>
      <w:r>
        <w:rPr>
          <w:rFonts w:ascii="Times New Roman;Times;Serif" w:hAnsi="Times New Roman;Times;Serif"/>
          <w:b w:val="false"/>
          <w:i w:val="false"/>
          <w:caps w:val="false"/>
          <w:smallCaps w:val="false"/>
          <w:sz w:val="20"/>
        </w:rPr>
        <w:t xml:space="preserve"> – The net loss and loss adjustment expense ratio increased 12.5 percentage points and 16.1 percentage points in the three- and six-month periods ended June 30, 2025, respectively, compared to the same periods in 2024. These increases were driven by less favorable crop growing conditions compared to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The net loss and loss adjustment expense ratio decreased 9.5 percentage points and 9.6 percentage points in the three- and six-month period ended June 30, 2025, compared to the same period in 2024. These decreases were driven by favorable loss development related to the continued run-off of our participation in an assumed domestic and international reinsurance pool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and General Expenses and Expense Ratio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1"/>
        <w:gridCol w:w="90"/>
        <w:gridCol w:w="259"/>
        <w:gridCol w:w="1083"/>
        <w:gridCol w:w="137"/>
        <w:gridCol w:w="137"/>
        <w:gridCol w:w="259"/>
        <w:gridCol w:w="1083"/>
        <w:gridCol w:w="90"/>
        <w:gridCol w:w="90"/>
        <w:gridCol w:w="237"/>
        <w:gridCol w:w="991"/>
        <w:gridCol w:w="125"/>
        <w:gridCol w:w="125"/>
        <w:gridCol w:w="237"/>
        <w:gridCol w:w="991"/>
        <w:gridCol w:w="140"/>
      </w:tblGrid>
      <w:tr>
        <w:trPr/>
        <w:tc>
          <w:tcPr>
            <w:tcW w:w="41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40" w:type="dxa"/>
            <w:tcBorders/>
            <w:vAlign w:val="center"/>
          </w:tcPr>
          <w:p>
            <w:pPr>
              <w:pStyle w:val="TableContents"/>
              <w:bidi w:val="0"/>
              <w:spacing w:before="0" w:after="283"/>
              <w:jc w:val="left"/>
              <w:rPr/>
            </w:pPr>
            <w:r>
              <w:rPr/>
              <w:t> </w:t>
            </w:r>
          </w:p>
        </w:tc>
      </w:tr>
      <w:tr>
        <w:trPr/>
        <w:tc>
          <w:tcPr>
            <w:tcW w:w="41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0" w:type="dxa"/>
            <w:tcBorders/>
            <w:vAlign w:val="center"/>
          </w:tcPr>
          <w:p>
            <w:pPr>
              <w:pStyle w:val="TableContents"/>
              <w:bidi w:val="0"/>
              <w:spacing w:before="0" w:after="283"/>
              <w:ind w:left="0" w:right="0" w:hanging="216"/>
              <w:jc w:val="left"/>
              <w:rPr/>
            </w:pPr>
            <w:r>
              <w:rPr/>
              <w:t> </w:t>
            </w:r>
          </w:p>
        </w:tc>
      </w:tr>
      <w:tr>
        <w:trPr/>
        <w:tc>
          <w:tcPr>
            <w:tcW w:w="4131"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4131" w:type="dxa"/>
            <w:tcBorders/>
            <w:vAlign w:val="center"/>
          </w:tcPr>
          <w:p>
            <w:pPr>
              <w:pStyle w:val="TableContents"/>
              <w:bidi w:val="0"/>
              <w:spacing w:before="0" w:after="283"/>
              <w:jc w:val="left"/>
              <w:rPr/>
            </w:pPr>
            <w:r>
              <w:rPr/>
              <w:t>Amortization of deferred policy acquisition costs</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right"/>
              <w:rPr/>
            </w:pPr>
            <w:r>
              <w:rPr/>
              <w:t>16,374</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right"/>
              <w:rPr/>
            </w:pPr>
            <w:r>
              <w:rPr/>
              <w:t>19,290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283"/>
              <w:jc w:val="right"/>
              <w:rPr/>
            </w:pPr>
            <w:r>
              <w:rPr/>
              <w:t>32,902</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283"/>
              <w:jc w:val="right"/>
              <w:rPr/>
            </w:pPr>
            <w:r>
              <w:rPr/>
              <w:t>36,107</w:t>
            </w:r>
          </w:p>
        </w:tc>
        <w:tc>
          <w:tcPr>
            <w:tcW w:w="140" w:type="dxa"/>
            <w:tcBorders/>
            <w:vAlign w:val="center"/>
          </w:tcPr>
          <w:p>
            <w:pPr>
              <w:pStyle w:val="TableContents"/>
              <w:bidi w:val="0"/>
              <w:spacing w:before="0" w:after="283"/>
              <w:jc w:val="left"/>
              <w:rPr/>
            </w:pPr>
            <w:r>
              <w:rPr/>
              <w:t> </w:t>
            </w:r>
          </w:p>
        </w:tc>
      </w:tr>
      <w:tr>
        <w:trPr/>
        <w:tc>
          <w:tcPr>
            <w:tcW w:w="4131" w:type="dxa"/>
            <w:tcBorders/>
            <w:shd w:fill="CCEEFF" w:val="clear"/>
            <w:vAlign w:val="center"/>
          </w:tcPr>
          <w:p>
            <w:pPr>
              <w:pStyle w:val="TableContents"/>
              <w:bidi w:val="0"/>
              <w:spacing w:before="0" w:after="283"/>
              <w:jc w:val="left"/>
              <w:rPr/>
            </w:pPr>
            <w:r>
              <w:rPr/>
              <w:t>Other underwriting and general expenses</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shd w:fill="CCEEFF" w:val="clear"/>
            <w:tcMar>
              <w:bottom w:w="28" w:type="dxa"/>
            </w:tcMar>
            <w:vAlign w:val="center"/>
          </w:tcPr>
          <w:p>
            <w:pPr>
              <w:pStyle w:val="TableContents"/>
              <w:bidi w:val="0"/>
              <w:spacing w:before="0" w:after="283"/>
              <w:jc w:val="right"/>
              <w:rPr/>
            </w:pPr>
            <w:r>
              <w:rPr/>
              <w:t>8,400</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shd w:fill="CCEEFF" w:val="clear"/>
            <w:tcMar>
              <w:bottom w:w="28" w:type="dxa"/>
            </w:tcMar>
            <w:vAlign w:val="center"/>
          </w:tcPr>
          <w:p>
            <w:pPr>
              <w:pStyle w:val="TableContents"/>
              <w:bidi w:val="0"/>
              <w:spacing w:before="0" w:after="283"/>
              <w:jc w:val="right"/>
              <w:rPr/>
            </w:pPr>
            <w:r>
              <w:rPr/>
              <w:t>8,229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17,032</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16,934</w:t>
            </w:r>
          </w:p>
        </w:tc>
        <w:tc>
          <w:tcPr>
            <w:tcW w:w="140" w:type="dxa"/>
            <w:tcBorders/>
            <w:shd w:fill="CCEEFF" w:val="clear"/>
            <w:vAlign w:val="center"/>
          </w:tcPr>
          <w:p>
            <w:pPr>
              <w:pStyle w:val="TableContents"/>
              <w:bidi w:val="0"/>
              <w:spacing w:before="0" w:after="283"/>
              <w:jc w:val="left"/>
              <w:rPr/>
            </w:pPr>
            <w:r>
              <w:rPr/>
              <w:t> </w:t>
            </w:r>
          </w:p>
        </w:tc>
      </w:tr>
      <w:tr>
        <w:trPr/>
        <w:tc>
          <w:tcPr>
            <w:tcW w:w="4131" w:type="dxa"/>
            <w:tcBorders/>
            <w:vAlign w:val="center"/>
          </w:tcPr>
          <w:p>
            <w:pPr>
              <w:pStyle w:val="TableContents"/>
              <w:bidi w:val="0"/>
              <w:spacing w:before="0" w:after="283"/>
              <w:jc w:val="left"/>
              <w:rPr/>
            </w:pPr>
            <w:r>
              <w:rPr/>
              <w:t>    </w:t>
            </w:r>
            <w:r>
              <w:rPr/>
              <w:t>Total underwriting and general expenses</w:t>
            </w:r>
          </w:p>
        </w:tc>
        <w:tc>
          <w:tcPr>
            <w:tcW w:w="90" w:type="dxa"/>
            <w:tcBorders/>
            <w:vAlign w:val="center"/>
          </w:tcPr>
          <w:p>
            <w:pPr>
              <w:pStyle w:val="TableContents"/>
              <w:bidi w:val="0"/>
              <w:spacing w:before="0" w:after="283"/>
              <w:jc w:val="left"/>
              <w:rPr/>
            </w:pPr>
            <w:r>
              <w:rPr/>
              <w:t> </w:t>
            </w:r>
          </w:p>
        </w:tc>
        <w:tc>
          <w:tcPr>
            <w:tcW w:w="259" w:type="dxa"/>
            <w:tcBorders>
              <w:bottom w:val="double" w:sz="6" w:space="0" w:color="000000"/>
            </w:tcBorders>
            <w:tcMar>
              <w:bottom w:w="28" w:type="dxa"/>
            </w:tcMar>
            <w:vAlign w:val="center"/>
          </w:tcPr>
          <w:p>
            <w:pPr>
              <w:pStyle w:val="TableContents"/>
              <w:bidi w:val="0"/>
              <w:spacing w:before="0" w:after="283"/>
              <w:jc w:val="left"/>
              <w:rPr/>
            </w:pPr>
            <w:r>
              <w:rPr/>
              <w:t> </w:t>
            </w:r>
          </w:p>
        </w:tc>
        <w:tc>
          <w:tcPr>
            <w:tcW w:w="1083" w:type="dxa"/>
            <w:tcBorders>
              <w:bottom w:val="double" w:sz="6" w:space="0" w:color="000000"/>
            </w:tcBorders>
            <w:tcMar>
              <w:bottom w:w="28" w:type="dxa"/>
            </w:tcMar>
            <w:vAlign w:val="center"/>
          </w:tcPr>
          <w:p>
            <w:pPr>
              <w:pStyle w:val="TableContents"/>
              <w:bidi w:val="0"/>
              <w:spacing w:before="0" w:after="283"/>
              <w:jc w:val="right"/>
              <w:rPr/>
            </w:pPr>
            <w:r>
              <w:rPr/>
              <w:t>24,774</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9" w:type="dxa"/>
            <w:tcBorders>
              <w:bottom w:val="double" w:sz="6" w:space="0" w:color="000000"/>
            </w:tcBorders>
            <w:tcMar>
              <w:bottom w:w="28" w:type="dxa"/>
            </w:tcMar>
            <w:vAlign w:val="center"/>
          </w:tcPr>
          <w:p>
            <w:pPr>
              <w:pStyle w:val="TableContents"/>
              <w:bidi w:val="0"/>
              <w:spacing w:before="0" w:after="283"/>
              <w:jc w:val="left"/>
              <w:rPr/>
            </w:pPr>
            <w:r>
              <w:rPr/>
              <w:t> </w:t>
            </w:r>
          </w:p>
        </w:tc>
        <w:tc>
          <w:tcPr>
            <w:tcW w:w="1083" w:type="dxa"/>
            <w:tcBorders>
              <w:bottom w:val="double" w:sz="6" w:space="0" w:color="000000"/>
            </w:tcBorders>
            <w:tcMar>
              <w:bottom w:w="28" w:type="dxa"/>
            </w:tcMar>
            <w:vAlign w:val="center"/>
          </w:tcPr>
          <w:p>
            <w:pPr>
              <w:pStyle w:val="TableContents"/>
              <w:bidi w:val="0"/>
              <w:spacing w:before="0" w:after="283"/>
              <w:jc w:val="right"/>
              <w:rPr/>
            </w:pPr>
            <w:r>
              <w:rPr/>
              <w:t>27,519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double" w:sz="6" w:space="0" w:color="000000"/>
            </w:tcBorders>
            <w:tcMar>
              <w:bottom w:w="28" w:type="dxa"/>
            </w:tcMar>
            <w:vAlign w:val="center"/>
          </w:tcPr>
          <w:p>
            <w:pPr>
              <w:pStyle w:val="TableContents"/>
              <w:bidi w:val="0"/>
              <w:spacing w:before="0" w:after="283"/>
              <w:jc w:val="left"/>
              <w:rPr/>
            </w:pPr>
            <w:r>
              <w:rPr/>
              <w:t> </w:t>
            </w:r>
          </w:p>
        </w:tc>
        <w:tc>
          <w:tcPr>
            <w:tcW w:w="991" w:type="dxa"/>
            <w:tcBorders>
              <w:bottom w:val="double" w:sz="6" w:space="0" w:color="000000"/>
            </w:tcBorders>
            <w:tcMar>
              <w:bottom w:w="28" w:type="dxa"/>
            </w:tcMar>
            <w:vAlign w:val="center"/>
          </w:tcPr>
          <w:p>
            <w:pPr>
              <w:pStyle w:val="TableContents"/>
              <w:bidi w:val="0"/>
              <w:spacing w:before="0" w:after="283"/>
              <w:jc w:val="right"/>
              <w:rPr/>
            </w:pPr>
            <w:r>
              <w:rPr/>
              <w:t>49,934</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double" w:sz="6" w:space="0" w:color="000000"/>
            </w:tcBorders>
            <w:tcMar>
              <w:bottom w:w="28" w:type="dxa"/>
            </w:tcMar>
            <w:vAlign w:val="center"/>
          </w:tcPr>
          <w:p>
            <w:pPr>
              <w:pStyle w:val="TableContents"/>
              <w:bidi w:val="0"/>
              <w:spacing w:before="0" w:after="283"/>
              <w:jc w:val="left"/>
              <w:rPr/>
            </w:pPr>
            <w:r>
              <w:rPr/>
              <w:t> </w:t>
            </w:r>
          </w:p>
        </w:tc>
        <w:tc>
          <w:tcPr>
            <w:tcW w:w="991" w:type="dxa"/>
            <w:tcBorders>
              <w:bottom w:val="double" w:sz="6" w:space="0" w:color="000000"/>
            </w:tcBorders>
            <w:tcMar>
              <w:bottom w:w="28" w:type="dxa"/>
            </w:tcMar>
            <w:vAlign w:val="center"/>
          </w:tcPr>
          <w:p>
            <w:pPr>
              <w:pStyle w:val="TableContents"/>
              <w:bidi w:val="0"/>
              <w:spacing w:before="0" w:after="283"/>
              <w:jc w:val="right"/>
              <w:rPr/>
            </w:pPr>
            <w:r>
              <w:rPr/>
              <w:t>53,041</w:t>
            </w:r>
          </w:p>
        </w:tc>
        <w:tc>
          <w:tcPr>
            <w:tcW w:w="140" w:type="dxa"/>
            <w:tcBorders/>
            <w:vAlign w:val="center"/>
          </w:tcPr>
          <w:p>
            <w:pPr>
              <w:pStyle w:val="TableContents"/>
              <w:bidi w:val="0"/>
              <w:spacing w:before="0" w:after="283"/>
              <w:jc w:val="left"/>
              <w:rPr/>
            </w:pPr>
            <w:r>
              <w:rPr/>
              <w:t> </w:t>
            </w:r>
          </w:p>
        </w:tc>
      </w:tr>
      <w:tr>
        <w:trPr/>
        <w:tc>
          <w:tcPr>
            <w:tcW w:w="413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4131" w:type="dxa"/>
            <w:tcBorders/>
            <w:vAlign w:val="center"/>
          </w:tcPr>
          <w:p>
            <w:pPr>
              <w:pStyle w:val="TableContents"/>
              <w:bidi w:val="0"/>
              <w:spacing w:before="0" w:after="283"/>
              <w:jc w:val="left"/>
              <w:rPr/>
            </w:pPr>
            <w:r>
              <w:rPr/>
              <w:t>     </w:t>
            </w:r>
            <w:r>
              <w:rPr/>
              <w:t>Expense Ratio</w:t>
            </w:r>
          </w:p>
        </w:tc>
        <w:tc>
          <w:tcPr>
            <w:tcW w:w="90" w:type="dxa"/>
            <w:tcBorders/>
            <w:vAlign w:val="center"/>
          </w:tcPr>
          <w:p>
            <w:pPr>
              <w:pStyle w:val="TableContents"/>
              <w:bidi w:val="0"/>
              <w:spacing w:before="0" w:after="283"/>
              <w:jc w:val="left"/>
              <w:rPr/>
            </w:pPr>
            <w:r>
              <w:rPr/>
              <w:t> </w:t>
            </w:r>
          </w:p>
        </w:tc>
        <w:tc>
          <w:tcPr>
            <w:tcW w:w="259" w:type="dxa"/>
            <w:tcBorders>
              <w:bottom w:val="double" w:sz="6" w:space="0" w:color="000000"/>
            </w:tcBorders>
            <w:tcMar>
              <w:bottom w:w="28" w:type="dxa"/>
            </w:tcMar>
            <w:vAlign w:val="center"/>
          </w:tcPr>
          <w:p>
            <w:pPr>
              <w:pStyle w:val="TableContents"/>
              <w:bidi w:val="0"/>
              <w:spacing w:before="0" w:after="283"/>
              <w:jc w:val="left"/>
              <w:rPr/>
            </w:pPr>
            <w:r>
              <w:rPr/>
              <w:t> </w:t>
            </w:r>
          </w:p>
        </w:tc>
        <w:tc>
          <w:tcPr>
            <w:tcW w:w="1083" w:type="dxa"/>
            <w:tcBorders>
              <w:bottom w:val="double" w:sz="6" w:space="0" w:color="000000"/>
            </w:tcBorders>
            <w:tcMar>
              <w:bottom w:w="28" w:type="dxa"/>
            </w:tcMar>
            <w:vAlign w:val="center"/>
          </w:tcPr>
          <w:p>
            <w:pPr>
              <w:pStyle w:val="TableContents"/>
              <w:bidi w:val="0"/>
              <w:spacing w:before="0" w:after="283"/>
              <w:jc w:val="right"/>
              <w:rPr/>
            </w:pPr>
            <w:r>
              <w:rPr/>
              <w:t>33.9%</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9" w:type="dxa"/>
            <w:tcBorders>
              <w:bottom w:val="double" w:sz="6" w:space="0" w:color="000000"/>
            </w:tcBorders>
            <w:tcMar>
              <w:bottom w:w="28" w:type="dxa"/>
            </w:tcMar>
            <w:vAlign w:val="center"/>
          </w:tcPr>
          <w:p>
            <w:pPr>
              <w:pStyle w:val="TableContents"/>
              <w:bidi w:val="0"/>
              <w:spacing w:before="0" w:after="283"/>
              <w:jc w:val="left"/>
              <w:rPr/>
            </w:pPr>
            <w:r>
              <w:rPr/>
              <w:t> </w:t>
            </w:r>
          </w:p>
        </w:tc>
        <w:tc>
          <w:tcPr>
            <w:tcW w:w="1083" w:type="dxa"/>
            <w:tcBorders>
              <w:bottom w:val="double" w:sz="6" w:space="0" w:color="000000"/>
            </w:tcBorders>
            <w:tcMar>
              <w:bottom w:w="28" w:type="dxa"/>
            </w:tcMar>
            <w:vAlign w:val="center"/>
          </w:tcPr>
          <w:p>
            <w:pPr>
              <w:pStyle w:val="TableContents"/>
              <w:bidi w:val="0"/>
              <w:spacing w:before="0" w:after="283"/>
              <w:jc w:val="right"/>
              <w:rPr/>
            </w:pPr>
            <w:r>
              <w:rPr/>
              <w:t>32.3%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double" w:sz="6" w:space="0" w:color="000000"/>
            </w:tcBorders>
            <w:tcMar>
              <w:bottom w:w="28" w:type="dxa"/>
            </w:tcMar>
            <w:vAlign w:val="center"/>
          </w:tcPr>
          <w:p>
            <w:pPr>
              <w:pStyle w:val="TableContents"/>
              <w:bidi w:val="0"/>
              <w:spacing w:before="0" w:after="283"/>
              <w:jc w:val="left"/>
              <w:rPr/>
            </w:pPr>
            <w:r>
              <w:rPr/>
              <w:t> </w:t>
            </w:r>
          </w:p>
        </w:tc>
        <w:tc>
          <w:tcPr>
            <w:tcW w:w="991" w:type="dxa"/>
            <w:tcBorders>
              <w:bottom w:val="double" w:sz="6" w:space="0" w:color="000000"/>
            </w:tcBorders>
            <w:tcMar>
              <w:bottom w:w="28" w:type="dxa"/>
            </w:tcMar>
            <w:vAlign w:val="center"/>
          </w:tcPr>
          <w:p>
            <w:pPr>
              <w:pStyle w:val="TableContents"/>
              <w:bidi w:val="0"/>
              <w:spacing w:before="0" w:after="283"/>
              <w:jc w:val="right"/>
              <w:rPr/>
            </w:pPr>
            <w:r>
              <w:rPr/>
              <w:t>35.5%</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double" w:sz="6" w:space="0" w:color="000000"/>
            </w:tcBorders>
            <w:tcMar>
              <w:bottom w:w="28" w:type="dxa"/>
            </w:tcMar>
            <w:vAlign w:val="center"/>
          </w:tcPr>
          <w:p>
            <w:pPr>
              <w:pStyle w:val="TableContents"/>
              <w:bidi w:val="0"/>
              <w:spacing w:before="0" w:after="283"/>
              <w:jc w:val="left"/>
              <w:rPr/>
            </w:pPr>
            <w:r>
              <w:rPr/>
              <w:t> </w:t>
            </w:r>
          </w:p>
        </w:tc>
        <w:tc>
          <w:tcPr>
            <w:tcW w:w="991" w:type="dxa"/>
            <w:tcBorders>
              <w:bottom w:val="double" w:sz="6" w:space="0" w:color="000000"/>
            </w:tcBorders>
            <w:tcMar>
              <w:bottom w:w="28" w:type="dxa"/>
            </w:tcMar>
            <w:vAlign w:val="center"/>
          </w:tcPr>
          <w:p>
            <w:pPr>
              <w:pStyle w:val="TableContents"/>
              <w:bidi w:val="0"/>
              <w:spacing w:before="0" w:after="283"/>
              <w:jc w:val="right"/>
              <w:rPr/>
            </w:pPr>
            <w:r>
              <w:rPr/>
              <w:t>34.2%</w:t>
            </w:r>
          </w:p>
        </w:tc>
        <w:tc>
          <w:tcPr>
            <w:tcW w:w="1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1.6 percentage points and 1.3 percentage points in the three-and six-month periods ended June 30, 2025, respectively, compared to the same periods in 2024. The decrease in the amortization of deferred policy acquisition costs is due to lower deferrable costs resulting from the strategic reduction in premium for the Non-Standard Auto segment, which generally pays higher agent commissions than our other segments. Other underwriting and general expenses are generally consistent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Gain (Loss) and Combined Ratio</w:t>
      </w:r>
    </w:p>
    <w:p>
      <w:pPr>
        <w:pStyle w:val="TextBody"/>
        <w:bidi w:val="0"/>
        <w:spacing w:before="0" w:after="0"/>
        <w:ind w:left="0" w:right="0" w:hanging="0"/>
        <w:jc w:val="left"/>
        <w:rPr>
          <w:caps w:val="false"/>
          <w:smallCaps w:val="false"/>
        </w:rPr>
      </w:pPr>
      <w:r>
        <w:rPr>
          <w:caps w:val="false"/>
          <w:smallCaps w:val="false"/>
        </w:rPr>
        <w:t> </w:t>
      </w:r>
    </w:p>
    <w:tbl>
      <w:tblPr>
        <w:tblW w:w="8914" w:type="dxa"/>
        <w:jc w:val="left"/>
        <w:tblInd w:w="0" w:type="dxa"/>
        <w:tblLayout w:type="fixed"/>
        <w:tblCellMar>
          <w:top w:w="0" w:type="dxa"/>
          <w:left w:w="0" w:type="dxa"/>
          <w:bottom w:w="0" w:type="dxa"/>
          <w:right w:w="0" w:type="dxa"/>
        </w:tblCellMar>
      </w:tblPr>
      <w:tblGrid>
        <w:gridCol w:w="2435"/>
        <w:gridCol w:w="90"/>
        <w:gridCol w:w="252"/>
        <w:gridCol w:w="1165"/>
        <w:gridCol w:w="185"/>
        <w:gridCol w:w="133"/>
        <w:gridCol w:w="252"/>
        <w:gridCol w:w="1165"/>
        <w:gridCol w:w="125"/>
        <w:gridCol w:w="90"/>
        <w:gridCol w:w="242"/>
        <w:gridCol w:w="1117"/>
        <w:gridCol w:w="177"/>
        <w:gridCol w:w="128"/>
        <w:gridCol w:w="242"/>
        <w:gridCol w:w="946"/>
        <w:gridCol w:w="170"/>
      </w:tblGrid>
      <w:tr>
        <w:trPr/>
        <w:tc>
          <w:tcPr>
            <w:tcW w:w="24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7"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216"/>
              <w:jc w:val="left"/>
              <w:rPr/>
            </w:pPr>
            <w:r>
              <w:rPr/>
              <w:t> </w:t>
            </w:r>
          </w:p>
        </w:tc>
      </w:tr>
      <w:tr>
        <w:trPr/>
        <w:tc>
          <w:tcPr>
            <w:tcW w:w="2435" w:type="dxa"/>
            <w:tcBorders/>
            <w:shd w:fill="CCEEFF" w:val="clear"/>
            <w:vAlign w:val="center"/>
          </w:tcPr>
          <w:p>
            <w:pPr>
              <w:pStyle w:val="TableContents"/>
              <w:bidi w:val="0"/>
              <w:spacing w:before="0" w:after="283"/>
              <w:jc w:val="left"/>
              <w:rPr/>
            </w:pPr>
            <w:r>
              <w:rPr/>
              <w:t>Underwriting gain (loss):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283"/>
              <w:jc w:val="right"/>
              <w:rPr/>
            </w:pPr>
            <w:r>
              <w:rPr/>
              <w:t>1,832</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283"/>
              <w:jc w:val="right"/>
              <w:rPr/>
            </w:pPr>
            <w:r>
              <w:rPr/>
              <w:t>(4,294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117" w:type="dxa"/>
            <w:tcBorders/>
            <w:vAlign w:val="center"/>
          </w:tcPr>
          <w:p>
            <w:pPr>
              <w:pStyle w:val="TableContents"/>
              <w:bidi w:val="0"/>
              <w:spacing w:before="0" w:after="283"/>
              <w:jc w:val="right"/>
              <w:rPr/>
            </w:pPr>
            <w:r>
              <w:rPr/>
              <w:t>3,617</w:t>
            </w:r>
          </w:p>
        </w:tc>
        <w:tc>
          <w:tcPr>
            <w:tcW w:w="177"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946" w:type="dxa"/>
            <w:tcBorders/>
            <w:vAlign w:val="center"/>
          </w:tcPr>
          <w:p>
            <w:pPr>
              <w:pStyle w:val="TableContents"/>
              <w:bidi w:val="0"/>
              <w:spacing w:before="0" w:after="283"/>
              <w:jc w:val="right"/>
              <w:rPr/>
            </w:pPr>
            <w:r>
              <w:rPr/>
              <w:t>(506</w:t>
            </w:r>
          </w:p>
        </w:tc>
        <w:tc>
          <w:tcPr>
            <w:tcW w:w="170" w:type="dxa"/>
            <w:tcBorders/>
            <w:vAlign w:val="center"/>
          </w:tcPr>
          <w:p>
            <w:pPr>
              <w:pStyle w:val="TableContents"/>
              <w:bidi w:val="0"/>
              <w:spacing w:before="0" w:after="283"/>
              <w:jc w:val="left"/>
              <w:rPr/>
            </w:pPr>
            <w:r>
              <w:rPr/>
              <w:t>)</w:t>
            </w:r>
          </w:p>
        </w:tc>
      </w:tr>
      <w:tr>
        <w:trPr/>
        <w:tc>
          <w:tcPr>
            <w:tcW w:w="2435"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(8,798</w:t>
            </w:r>
          </w:p>
        </w:tc>
        <w:tc>
          <w:tcPr>
            <w:tcW w:w="185" w:type="dxa"/>
            <w:tcBorders/>
            <w:shd w:fill="CCEEFF" w:val="clear"/>
            <w:vAlign w:val="center"/>
          </w:tcPr>
          <w:p>
            <w:pPr>
              <w:pStyle w:val="TableContents"/>
              <w:bidi w:val="0"/>
              <w:spacing w:before="0" w:after="283"/>
              <w:jc w:val="left"/>
              <w:rPr/>
            </w:pPr>
            <w:r>
              <w:rPr/>
              <w:t>)</w:t>
            </w:r>
          </w:p>
        </w:tc>
        <w:tc>
          <w:tcPr>
            <w:tcW w:w="133"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(2,831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(13,363</w:t>
            </w:r>
          </w:p>
        </w:tc>
        <w:tc>
          <w:tcPr>
            <w:tcW w:w="177"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(5,016</w:t>
            </w:r>
          </w:p>
        </w:tc>
        <w:tc>
          <w:tcPr>
            <w:tcW w:w="170" w:type="dxa"/>
            <w:tcBorders/>
            <w:shd w:fill="CCEEFF" w:val="clear"/>
            <w:vAlign w:val="center"/>
          </w:tcPr>
          <w:p>
            <w:pPr>
              <w:pStyle w:val="TableContents"/>
              <w:bidi w:val="0"/>
              <w:spacing w:before="0" w:after="283"/>
              <w:jc w:val="left"/>
              <w:rPr/>
            </w:pPr>
            <w:r>
              <w:rPr/>
              <w:t>)</w:t>
            </w:r>
          </w:p>
        </w:tc>
      </w:tr>
      <w:tr>
        <w:trPr/>
        <w:tc>
          <w:tcPr>
            <w:tcW w:w="2435"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(14,162</w:t>
            </w:r>
          </w:p>
        </w:tc>
        <w:tc>
          <w:tcPr>
            <w:tcW w:w="185"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(7,348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(8,063</w:t>
            </w:r>
          </w:p>
        </w:tc>
        <w:tc>
          <w:tcPr>
            <w:tcW w:w="177"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(4,811</w:t>
            </w:r>
          </w:p>
        </w:tc>
        <w:tc>
          <w:tcPr>
            <w:tcW w:w="170" w:type="dxa"/>
            <w:tcBorders/>
            <w:vAlign w:val="center"/>
          </w:tcPr>
          <w:p>
            <w:pPr>
              <w:pStyle w:val="TableContents"/>
              <w:bidi w:val="0"/>
              <w:spacing w:before="0" w:after="283"/>
              <w:jc w:val="left"/>
              <w:rPr/>
            </w:pPr>
            <w:r>
              <w:rPr/>
              <w:t>)</w:t>
            </w:r>
          </w:p>
        </w:tc>
      </w:tr>
      <w:tr>
        <w:trPr/>
        <w:tc>
          <w:tcPr>
            <w:tcW w:w="2435"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626</w:t>
            </w:r>
          </w:p>
        </w:tc>
        <w:tc>
          <w:tcPr>
            <w:tcW w:w="18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1,955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727</w:t>
            </w:r>
          </w:p>
        </w:tc>
        <w:tc>
          <w:tcPr>
            <w:tcW w:w="177"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1,964</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tcMar>
              <w:bottom w:w="28" w:type="dxa"/>
            </w:tcMar>
            <w:vAlign w:val="center"/>
          </w:tcPr>
          <w:p>
            <w:pPr>
              <w:pStyle w:val="TableContents"/>
              <w:bidi w:val="0"/>
              <w:spacing w:before="0" w:after="283"/>
              <w:jc w:val="right"/>
              <w:rPr/>
            </w:pPr>
            <w:r>
              <w:rPr/>
              <w:t>2,126</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tcMar>
              <w:bottom w:w="28" w:type="dxa"/>
            </w:tcMar>
            <w:vAlign w:val="center"/>
          </w:tcPr>
          <w:p>
            <w:pPr>
              <w:pStyle w:val="TableContents"/>
              <w:bidi w:val="0"/>
              <w:spacing w:before="0" w:after="283"/>
              <w:jc w:val="right"/>
              <w:rPr/>
            </w:pPr>
            <w:r>
              <w:rPr/>
              <w:t>810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tcMar>
              <w:bottom w:w="28" w:type="dxa"/>
            </w:tcMar>
            <w:vAlign w:val="center"/>
          </w:tcPr>
          <w:p>
            <w:pPr>
              <w:pStyle w:val="TableContents"/>
              <w:bidi w:val="0"/>
              <w:spacing w:before="0" w:after="283"/>
              <w:jc w:val="right"/>
              <w:rPr/>
            </w:pPr>
            <w:r>
              <w:rPr/>
              <w:t>2,518</w:t>
            </w:r>
          </w:p>
        </w:tc>
        <w:tc>
          <w:tcPr>
            <w:tcW w:w="177"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tcMar>
              <w:bottom w:w="28" w:type="dxa"/>
            </w:tcMar>
            <w:vAlign w:val="center"/>
          </w:tcPr>
          <w:p>
            <w:pPr>
              <w:pStyle w:val="TableContents"/>
              <w:bidi w:val="0"/>
              <w:spacing w:before="0" w:after="283"/>
              <w:jc w:val="right"/>
              <w:rPr/>
            </w:pPr>
            <w:r>
              <w:rPr/>
              <w:t>879</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Total underwriting loss</w:t>
            </w:r>
          </w:p>
        </w:tc>
        <w:tc>
          <w:tcPr>
            <w:tcW w:w="90"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jc w:val="right"/>
              <w:rPr/>
            </w:pPr>
            <w:r>
              <w:rPr/>
              <w:t>(18,376</w:t>
            </w:r>
          </w:p>
        </w:tc>
        <w:tc>
          <w:tcPr>
            <w:tcW w:w="185" w:type="dxa"/>
            <w:tcBorders/>
            <w:shd w:fill="CCEEFF" w:val="clear"/>
            <w:vAlign w:val="center"/>
          </w:tcPr>
          <w:p>
            <w:pPr>
              <w:pStyle w:val="TableContents"/>
              <w:bidi w:val="0"/>
              <w:spacing w:before="0" w:after="283"/>
              <w:jc w:val="left"/>
              <w:rPr/>
            </w:pPr>
            <w:r>
              <w:rPr/>
              <w:t>)</w:t>
            </w:r>
          </w:p>
        </w:tc>
        <w:tc>
          <w:tcPr>
            <w:tcW w:w="133"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jc w:val="right"/>
              <w:rPr/>
            </w:pPr>
            <w:r>
              <w:rPr/>
              <w:t>(11,708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(14,564</w:t>
            </w:r>
          </w:p>
        </w:tc>
        <w:tc>
          <w:tcPr>
            <w:tcW w:w="177"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(7,490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8683" w:type="dxa"/>
        <w:jc w:val="left"/>
        <w:tblInd w:w="0" w:type="dxa"/>
        <w:tblLayout w:type="fixed"/>
        <w:tblCellMar>
          <w:top w:w="0" w:type="dxa"/>
          <w:left w:w="0" w:type="dxa"/>
          <w:bottom w:w="0" w:type="dxa"/>
          <w:right w:w="0" w:type="dxa"/>
        </w:tblCellMar>
      </w:tblPr>
      <w:tblGrid>
        <w:gridCol w:w="2270"/>
        <w:gridCol w:w="90"/>
        <w:gridCol w:w="147"/>
        <w:gridCol w:w="1283"/>
        <w:gridCol w:w="147"/>
        <w:gridCol w:w="147"/>
        <w:gridCol w:w="147"/>
        <w:gridCol w:w="1283"/>
        <w:gridCol w:w="90"/>
        <w:gridCol w:w="90"/>
        <w:gridCol w:w="133"/>
        <w:gridCol w:w="1161"/>
        <w:gridCol w:w="133"/>
        <w:gridCol w:w="133"/>
        <w:gridCol w:w="133"/>
        <w:gridCol w:w="1161"/>
        <w:gridCol w:w="135"/>
      </w:tblGrid>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216"/>
              <w:jc w:val="left"/>
              <w:rPr/>
            </w:pPr>
            <w:r>
              <w:rPr/>
              <w:t> </w:t>
            </w:r>
          </w:p>
        </w:tc>
      </w:tr>
      <w:tr>
        <w:trPr/>
        <w:tc>
          <w:tcPr>
            <w:tcW w:w="2270" w:type="dxa"/>
            <w:tcBorders/>
            <w:shd w:fill="CCEEFF" w:val="clear"/>
            <w:vAlign w:val="center"/>
          </w:tcPr>
          <w:p>
            <w:pPr>
              <w:pStyle w:val="TableContents"/>
              <w:bidi w:val="0"/>
              <w:spacing w:before="0" w:after="283"/>
              <w:jc w:val="left"/>
              <w:rPr/>
            </w:pPr>
            <w:r>
              <w:rPr/>
              <w:t>Combined ratio:</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92.0%</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92.1%</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101.1%</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160.6%</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140.7%</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109.7%</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166.4%</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117.9%</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111.1%</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94.2%</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93.0%</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79.1%</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tcMar>
              <w:bottom w:w="28" w:type="dxa"/>
            </w:tcMar>
            <w:vAlign w:val="center"/>
          </w:tcPr>
          <w:p>
            <w:pPr>
              <w:pStyle w:val="TableContents"/>
              <w:bidi w:val="0"/>
              <w:spacing w:before="0" w:after="283"/>
              <w:jc w:val="right"/>
              <w:rPr/>
            </w:pPr>
            <w:r>
              <w:rPr/>
              <w:t>40.2%</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tcMar>
              <w:bottom w:w="28" w:type="dxa"/>
            </w:tcMar>
            <w:vAlign w:val="center"/>
          </w:tcPr>
          <w:p>
            <w:pPr>
              <w:pStyle w:val="TableContents"/>
              <w:bidi w:val="0"/>
              <w:spacing w:before="0" w:after="283"/>
              <w:jc w:val="right"/>
              <w:rPr/>
            </w:pPr>
            <w:r>
              <w:rPr/>
              <w:t>73.5%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tcMar>
              <w:bottom w:w="28" w:type="dxa"/>
            </w:tcMar>
            <w:vAlign w:val="center"/>
          </w:tcPr>
          <w:p>
            <w:pPr>
              <w:pStyle w:val="TableContents"/>
              <w:bidi w:val="0"/>
              <w:spacing w:before="0" w:after="283"/>
              <w:jc w:val="right"/>
              <w:rPr/>
            </w:pPr>
            <w:r>
              <w:rPr/>
              <w:t>63.0%</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tcMar>
              <w:bottom w:w="28" w:type="dxa"/>
            </w:tcMar>
            <w:vAlign w:val="center"/>
          </w:tcPr>
          <w:p>
            <w:pPr>
              <w:pStyle w:val="TableContents"/>
              <w:bidi w:val="0"/>
              <w:spacing w:before="0" w:after="283"/>
              <w:jc w:val="right"/>
              <w:rPr/>
            </w:pPr>
            <w:r>
              <w:rPr/>
              <w:t>85.3%</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Combined ratio</w:t>
            </w:r>
          </w:p>
        </w:tc>
        <w:tc>
          <w:tcPr>
            <w:tcW w:w="9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pPr>
            <w:r>
              <w:rPr/>
              <w:t>125.1%</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pPr>
            <w:r>
              <w:rPr/>
              <w:t>113.7%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110.3%</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104.8%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underwriting loss increased $6,668 for the three-month period ended June 30, 2025, compared to the same period in 2024. The total underwriting loss increased $7,074 for the six-month period ended June 30, 2025, compared to the same period in 2024. These results were driven by the factors discussed in the Loss and Loss Adjustment Expenses as well as the Underwriting and General Expenses and Expense Ratio sections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combined ratio increased 11.4 percentage points in the three-month period ended June 30, 2025, compared to the same period in 2024. The overall combined ratio increased 5.5 percentage points in the six-month period ended June 30, 2025, compared to the same period in 2024. These results were driven by the factors discussed in the Loss and Loss Adjustment Expenses as well as the Underwriting and General Expenses and Expense Ratio sections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Fee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fee and other income of $316 and $546 for the three and six months ended June 30, 2025, respectively, compared to $695 and $1,099 for the three and six months ended June 30, 2024, respectively. These decreases were driven by strategic reductions in the premiums that generate fee income and write-offs of uncollectable premiums receivable during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our average cash and invested assets, net investment income, and return on average cash and invested assets for the reported periods for continuing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66"/>
        <w:gridCol w:w="90"/>
        <w:gridCol w:w="233"/>
        <w:gridCol w:w="1139"/>
        <w:gridCol w:w="123"/>
        <w:gridCol w:w="123"/>
        <w:gridCol w:w="233"/>
        <w:gridCol w:w="1139"/>
        <w:gridCol w:w="90"/>
        <w:gridCol w:w="90"/>
        <w:gridCol w:w="213"/>
        <w:gridCol w:w="1043"/>
        <w:gridCol w:w="112"/>
        <w:gridCol w:w="112"/>
        <w:gridCol w:w="213"/>
        <w:gridCol w:w="1043"/>
        <w:gridCol w:w="143"/>
      </w:tblGrid>
      <w:tr>
        <w:trPr/>
        <w:tc>
          <w:tcPr>
            <w:tcW w:w="40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43" w:type="dxa"/>
            <w:tcBorders/>
            <w:vAlign w:val="center"/>
          </w:tcPr>
          <w:p>
            <w:pPr>
              <w:pStyle w:val="TableContents"/>
              <w:bidi w:val="0"/>
              <w:spacing w:before="0" w:after="283"/>
              <w:jc w:val="left"/>
              <w:rPr/>
            </w:pPr>
            <w:r>
              <w:rPr/>
              <w:t> </w:t>
            </w:r>
          </w:p>
        </w:tc>
      </w:tr>
      <w:tr>
        <w:trPr/>
        <w:tc>
          <w:tcPr>
            <w:tcW w:w="40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3" w:type="dxa"/>
            <w:tcBorders/>
            <w:vAlign w:val="center"/>
          </w:tcPr>
          <w:p>
            <w:pPr>
              <w:pStyle w:val="TableContents"/>
              <w:bidi w:val="0"/>
              <w:spacing w:before="0" w:after="283"/>
              <w:ind w:left="0" w:right="0" w:hanging="216"/>
              <w:jc w:val="left"/>
              <w:rPr/>
            </w:pPr>
            <w:r>
              <w:rPr/>
              <w:t> </w:t>
            </w:r>
          </w:p>
        </w:tc>
      </w:tr>
      <w:tr>
        <w:trPr/>
        <w:tc>
          <w:tcPr>
            <w:tcW w:w="4066" w:type="dxa"/>
            <w:tcBorders/>
            <w:shd w:fill="CCEEFF" w:val="clear"/>
            <w:vAlign w:val="center"/>
          </w:tcPr>
          <w:p>
            <w:pPr>
              <w:pStyle w:val="TableContents"/>
              <w:bidi w:val="0"/>
              <w:spacing w:before="0" w:after="283"/>
              <w:jc w:val="left"/>
              <w:rPr/>
            </w:pPr>
            <w:r>
              <w:rPr/>
              <w:t>Average cash and invested assets</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402,499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371,313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43" w:type="dxa"/>
            <w:tcBorders/>
            <w:shd w:fill="CCEEFF" w:val="clear"/>
            <w:vAlign w:val="center"/>
          </w:tcPr>
          <w:p>
            <w:pPr>
              <w:pStyle w:val="TableContents"/>
              <w:bidi w:val="0"/>
              <w:spacing w:before="0" w:after="283"/>
              <w:jc w:val="right"/>
              <w:rPr/>
            </w:pPr>
            <w:r>
              <w:rPr/>
              <w:t>396,697</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43" w:type="dxa"/>
            <w:tcBorders/>
            <w:shd w:fill="CCEEFF" w:val="clear"/>
            <w:vAlign w:val="center"/>
          </w:tcPr>
          <w:p>
            <w:pPr>
              <w:pStyle w:val="TableContents"/>
              <w:bidi w:val="0"/>
              <w:spacing w:before="0" w:after="283"/>
              <w:jc w:val="right"/>
              <w:rPr/>
            </w:pPr>
            <w:r>
              <w:rPr/>
              <w:t>365,684</w:t>
            </w:r>
          </w:p>
        </w:tc>
        <w:tc>
          <w:tcPr>
            <w:tcW w:w="143" w:type="dxa"/>
            <w:tcBorders/>
            <w:shd w:fill="CCEEFF" w:val="clear"/>
            <w:vAlign w:val="center"/>
          </w:tcPr>
          <w:p>
            <w:pPr>
              <w:pStyle w:val="TableContents"/>
              <w:bidi w:val="0"/>
              <w:spacing w:before="0" w:after="283"/>
              <w:jc w:val="left"/>
              <w:rPr/>
            </w:pPr>
            <w:r>
              <w:rPr/>
              <w:t> </w:t>
            </w:r>
          </w:p>
        </w:tc>
      </w:tr>
      <w:tr>
        <w:trPr/>
        <w:tc>
          <w:tcPr>
            <w:tcW w:w="4066" w:type="dxa"/>
            <w:tcBorders/>
            <w:vAlign w:val="center"/>
          </w:tcPr>
          <w:p>
            <w:pPr>
              <w:pStyle w:val="TableContents"/>
              <w:bidi w:val="0"/>
              <w:spacing w:before="0" w:after="283"/>
              <w:jc w:val="left"/>
              <w:rPr/>
            </w:pPr>
            <w:r>
              <w:rPr/>
              <w:t>Net investment income</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9" w:type="dxa"/>
            <w:tcBorders/>
            <w:vAlign w:val="center"/>
          </w:tcPr>
          <w:p>
            <w:pPr>
              <w:pStyle w:val="TableContents"/>
              <w:bidi w:val="0"/>
              <w:spacing w:before="0" w:after="283"/>
              <w:jc w:val="right"/>
              <w:rPr/>
            </w:pPr>
            <w:r>
              <w:rPr/>
              <w:t>3,146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9" w:type="dxa"/>
            <w:tcBorders/>
            <w:vAlign w:val="center"/>
          </w:tcPr>
          <w:p>
            <w:pPr>
              <w:pStyle w:val="TableContents"/>
              <w:bidi w:val="0"/>
              <w:spacing w:before="0" w:after="283"/>
              <w:jc w:val="right"/>
              <w:rPr/>
            </w:pPr>
            <w:r>
              <w:rPr/>
              <w:t>2,523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283"/>
              <w:jc w:val="right"/>
              <w:rPr/>
            </w:pPr>
            <w:r>
              <w:rPr/>
              <w:t>5,984</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283"/>
              <w:jc w:val="right"/>
              <w:rPr/>
            </w:pPr>
            <w:r>
              <w:rPr/>
              <w:t>5,278</w:t>
            </w:r>
          </w:p>
        </w:tc>
        <w:tc>
          <w:tcPr>
            <w:tcW w:w="143" w:type="dxa"/>
            <w:tcBorders/>
            <w:vAlign w:val="center"/>
          </w:tcPr>
          <w:p>
            <w:pPr>
              <w:pStyle w:val="TableContents"/>
              <w:bidi w:val="0"/>
              <w:spacing w:before="0" w:after="283"/>
              <w:jc w:val="left"/>
              <w:rPr/>
            </w:pPr>
            <w:r>
              <w:rPr/>
              <w:t> </w:t>
            </w:r>
          </w:p>
        </w:tc>
      </w:tr>
      <w:tr>
        <w:trPr/>
        <w:tc>
          <w:tcPr>
            <w:tcW w:w="406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4066" w:type="dxa"/>
            <w:tcBorders/>
            <w:vAlign w:val="center"/>
          </w:tcPr>
          <w:p>
            <w:pPr>
              <w:pStyle w:val="TableContents"/>
              <w:bidi w:val="0"/>
              <w:spacing w:before="0" w:after="283"/>
              <w:jc w:val="left"/>
              <w:rPr/>
            </w:pPr>
            <w:r>
              <w:rPr/>
              <w:t>Gross return on average cash and invested assets</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3.9%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3.9%</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3.8%</w:t>
            </w:r>
          </w:p>
        </w:tc>
        <w:tc>
          <w:tcPr>
            <w:tcW w:w="143" w:type="dxa"/>
            <w:tcBorders/>
            <w:vAlign w:val="center"/>
          </w:tcPr>
          <w:p>
            <w:pPr>
              <w:pStyle w:val="TableContents"/>
              <w:bidi w:val="0"/>
              <w:spacing w:before="0" w:after="283"/>
              <w:jc w:val="left"/>
              <w:rPr/>
            </w:pPr>
            <w:r>
              <w:rPr/>
              <w:t> </w:t>
            </w:r>
          </w:p>
        </w:tc>
      </w:tr>
      <w:tr>
        <w:trPr/>
        <w:tc>
          <w:tcPr>
            <w:tcW w:w="4066" w:type="dxa"/>
            <w:tcBorders/>
            <w:shd w:fill="CCEEFF" w:val="clear"/>
            <w:vAlign w:val="center"/>
          </w:tcPr>
          <w:p>
            <w:pPr>
              <w:pStyle w:val="TableContents"/>
              <w:bidi w:val="0"/>
              <w:spacing w:before="0" w:after="283"/>
              <w:jc w:val="left"/>
              <w:rPr/>
            </w:pPr>
            <w:r>
              <w:rPr/>
              <w:t>Net return on average cash and invested assets</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3.1%</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3.0%</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2.9%</w:t>
            </w:r>
          </w:p>
        </w:tc>
        <w:tc>
          <w:tcPr>
            <w:tcW w:w="14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increased $623 for the three months ended June 30, 2025, compared to the three months ended June 30, 2024. Net investment income increased $706 for the six months ended June 30, 2025, compared to the six months ended June 30, 2024. These increases were primarily driven by the higher interest rate environment which resulted in higher reinvestment rates in our fixed income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and net return on average cash and invested assets increased year-over-year, primarily driven by the favorable interest rate environment that resulted in higher net investment income on an increased average fixed income securities balance (measured at fair value), partially offset by lower interest rates in the current year periods for cash and cash equivalents. The increase in average cash and invested assets was driven by changes in the fair value of fixed income securities due to the interest rate environment as well as positive operating cash flows during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Investment Gains (Losses)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(losses) consisted of the following:</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2"/>
        <w:gridCol w:w="90"/>
        <w:gridCol w:w="308"/>
        <w:gridCol w:w="882"/>
        <w:gridCol w:w="227"/>
        <w:gridCol w:w="163"/>
        <w:gridCol w:w="308"/>
        <w:gridCol w:w="882"/>
        <w:gridCol w:w="125"/>
        <w:gridCol w:w="90"/>
        <w:gridCol w:w="283"/>
        <w:gridCol w:w="808"/>
        <w:gridCol w:w="208"/>
        <w:gridCol w:w="149"/>
        <w:gridCol w:w="283"/>
        <w:gridCol w:w="808"/>
        <w:gridCol w:w="179"/>
      </w:tblGrid>
      <w:tr>
        <w:trPr/>
        <w:tc>
          <w:tcPr>
            <w:tcW w:w="44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9" w:type="dxa"/>
            <w:tcBorders/>
            <w:vAlign w:val="center"/>
          </w:tcPr>
          <w:p>
            <w:pPr>
              <w:pStyle w:val="TableContents"/>
              <w:bidi w:val="0"/>
              <w:spacing w:before="0" w:after="283"/>
              <w:jc w:val="left"/>
              <w:rPr/>
            </w:pPr>
            <w:r>
              <w:rPr/>
              <w:t> </w:t>
            </w:r>
          </w:p>
        </w:tc>
      </w:tr>
      <w:tr>
        <w:trPr/>
        <w:tc>
          <w:tcPr>
            <w:tcW w:w="44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27"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9" w:type="dxa"/>
            <w:tcBorders/>
            <w:vAlign w:val="center"/>
          </w:tcPr>
          <w:p>
            <w:pPr>
              <w:pStyle w:val="TableContents"/>
              <w:bidi w:val="0"/>
              <w:spacing w:before="0" w:after="283"/>
              <w:ind w:left="0" w:right="0" w:hanging="216"/>
              <w:jc w:val="left"/>
              <w:rPr/>
            </w:pPr>
            <w:r>
              <w:rPr/>
              <w:t> </w:t>
            </w:r>
          </w:p>
        </w:tc>
      </w:tr>
      <w:tr>
        <w:trPr/>
        <w:tc>
          <w:tcPr>
            <w:tcW w:w="4412" w:type="dxa"/>
            <w:tcBorders/>
            <w:shd w:fill="CCEEFF" w:val="clear"/>
            <w:vAlign w:val="center"/>
          </w:tcPr>
          <w:p>
            <w:pPr>
              <w:pStyle w:val="TableContents"/>
              <w:bidi w:val="0"/>
              <w:spacing w:before="0" w:after="283"/>
              <w:jc w:val="left"/>
              <w:rPr/>
            </w:pPr>
            <w:r>
              <w:rPr/>
              <w:t>Gross realized gains</w:t>
            </w:r>
          </w:p>
        </w:tc>
        <w:tc>
          <w:tcPr>
            <w:tcW w:w="9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246</w:t>
            </w:r>
          </w:p>
        </w:tc>
        <w:tc>
          <w:tcPr>
            <w:tcW w:w="22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191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749</w:t>
            </w:r>
          </w:p>
        </w:tc>
        <w:tc>
          <w:tcPr>
            <w:tcW w:w="20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390</w:t>
            </w:r>
          </w:p>
        </w:tc>
        <w:tc>
          <w:tcPr>
            <w:tcW w:w="179" w:type="dxa"/>
            <w:tcBorders/>
            <w:shd w:fill="CCEEFF" w:val="clear"/>
            <w:vAlign w:val="center"/>
          </w:tcPr>
          <w:p>
            <w:pPr>
              <w:pStyle w:val="TableContents"/>
              <w:bidi w:val="0"/>
              <w:spacing w:before="0" w:after="283"/>
              <w:jc w:val="left"/>
              <w:rPr/>
            </w:pPr>
            <w:r>
              <w:rPr/>
              <w:t> </w:t>
            </w:r>
          </w:p>
        </w:tc>
      </w:tr>
      <w:tr>
        <w:trPr/>
        <w:tc>
          <w:tcPr>
            <w:tcW w:w="4412" w:type="dxa"/>
            <w:tcBorders/>
            <w:vAlign w:val="center"/>
          </w:tcPr>
          <w:p>
            <w:pPr>
              <w:pStyle w:val="TableContents"/>
              <w:bidi w:val="0"/>
              <w:spacing w:before="0" w:after="283"/>
              <w:jc w:val="left"/>
              <w:rPr/>
            </w:pPr>
            <w:r>
              <w:rPr/>
              <w:t>Gross realized losses, excluding credit impairment losses</w:t>
            </w:r>
          </w:p>
        </w:tc>
        <w:tc>
          <w:tcPr>
            <w:tcW w:w="90" w:type="dxa"/>
            <w:tcBorders/>
            <w:vAlign w:val="center"/>
          </w:tcPr>
          <w:p>
            <w:pPr>
              <w:pStyle w:val="TableContents"/>
              <w:bidi w:val="0"/>
              <w:spacing w:before="0" w:after="283"/>
              <w:jc w:val="left"/>
              <w:rPr/>
            </w:pPr>
            <w:r>
              <w:rPr/>
              <w:t> </w:t>
            </w:r>
          </w:p>
        </w:tc>
        <w:tc>
          <w:tcPr>
            <w:tcW w:w="308" w:type="dxa"/>
            <w:tcBorders>
              <w:bottom w:val="single" w:sz="8" w:space="0" w:color="000000"/>
            </w:tcBorders>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tcMar>
              <w:bottom w:w="28" w:type="dxa"/>
            </w:tcMar>
            <w:vAlign w:val="center"/>
          </w:tcPr>
          <w:p>
            <w:pPr>
              <w:pStyle w:val="TableContents"/>
              <w:bidi w:val="0"/>
              <w:spacing w:before="0" w:after="283"/>
              <w:jc w:val="right"/>
              <w:rPr/>
            </w:pPr>
            <w:r>
              <w:rPr/>
              <w:t>(139</w:t>
            </w:r>
          </w:p>
        </w:tc>
        <w:tc>
          <w:tcPr>
            <w:tcW w:w="227"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 </w:t>
            </w:r>
          </w:p>
        </w:tc>
        <w:tc>
          <w:tcPr>
            <w:tcW w:w="308" w:type="dxa"/>
            <w:tcBorders>
              <w:bottom w:val="single" w:sz="8" w:space="0" w:color="000000"/>
            </w:tcBorders>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tcMar>
              <w:bottom w:w="28" w:type="dxa"/>
            </w:tcMar>
            <w:vAlign w:val="center"/>
          </w:tcPr>
          <w:p>
            <w:pPr>
              <w:pStyle w:val="TableContents"/>
              <w:bidi w:val="0"/>
              <w:spacing w:before="0" w:after="283"/>
              <w:jc w:val="right"/>
              <w:rPr/>
            </w:pPr>
            <w:r>
              <w:rPr/>
              <w:t>(182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3" w:type="dxa"/>
            <w:tcBorders>
              <w:bottom w:val="single" w:sz="8" w:space="0" w:color="000000"/>
            </w:tcBorders>
            <w:tcMar>
              <w:bottom w:w="28" w:type="dxa"/>
            </w:tcMar>
            <w:vAlign w:val="center"/>
          </w:tcPr>
          <w:p>
            <w:pPr>
              <w:pStyle w:val="TableContents"/>
              <w:bidi w:val="0"/>
              <w:spacing w:before="0" w:after="283"/>
              <w:jc w:val="left"/>
              <w:rPr/>
            </w:pPr>
            <w:r>
              <w:rPr/>
              <w:t> </w:t>
            </w:r>
          </w:p>
        </w:tc>
        <w:tc>
          <w:tcPr>
            <w:tcW w:w="808" w:type="dxa"/>
            <w:tcBorders>
              <w:bottom w:val="single" w:sz="8" w:space="0" w:color="000000"/>
            </w:tcBorders>
            <w:tcMar>
              <w:bottom w:w="28" w:type="dxa"/>
            </w:tcMar>
            <w:vAlign w:val="center"/>
          </w:tcPr>
          <w:p>
            <w:pPr>
              <w:pStyle w:val="TableContents"/>
              <w:bidi w:val="0"/>
              <w:spacing w:before="0" w:after="283"/>
              <w:jc w:val="right"/>
              <w:rPr/>
            </w:pPr>
            <w:r>
              <w:rPr/>
              <w:t>(316</w:t>
            </w:r>
          </w:p>
        </w:tc>
        <w:tc>
          <w:tcPr>
            <w:tcW w:w="208"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left"/>
              <w:rPr/>
            </w:pPr>
            <w:r>
              <w:rPr/>
              <w:t> </w:t>
            </w:r>
          </w:p>
        </w:tc>
        <w:tc>
          <w:tcPr>
            <w:tcW w:w="283" w:type="dxa"/>
            <w:tcBorders>
              <w:bottom w:val="single" w:sz="8" w:space="0" w:color="000000"/>
            </w:tcBorders>
            <w:tcMar>
              <w:bottom w:w="28" w:type="dxa"/>
            </w:tcMar>
            <w:vAlign w:val="center"/>
          </w:tcPr>
          <w:p>
            <w:pPr>
              <w:pStyle w:val="TableContents"/>
              <w:bidi w:val="0"/>
              <w:spacing w:before="0" w:after="283"/>
              <w:jc w:val="left"/>
              <w:rPr/>
            </w:pPr>
            <w:r>
              <w:rPr/>
              <w:t> </w:t>
            </w:r>
          </w:p>
        </w:tc>
        <w:tc>
          <w:tcPr>
            <w:tcW w:w="808" w:type="dxa"/>
            <w:tcBorders>
              <w:bottom w:val="single" w:sz="8" w:space="0" w:color="000000"/>
            </w:tcBorders>
            <w:tcMar>
              <w:bottom w:w="28" w:type="dxa"/>
            </w:tcMar>
            <w:vAlign w:val="center"/>
          </w:tcPr>
          <w:p>
            <w:pPr>
              <w:pStyle w:val="TableContents"/>
              <w:bidi w:val="0"/>
              <w:spacing w:before="0" w:after="283"/>
              <w:jc w:val="right"/>
              <w:rPr/>
            </w:pPr>
            <w:r>
              <w:rPr/>
              <w:t>(472</w:t>
            </w:r>
          </w:p>
        </w:tc>
        <w:tc>
          <w:tcPr>
            <w:tcW w:w="179" w:type="dxa"/>
            <w:tcBorders/>
            <w:vAlign w:val="center"/>
          </w:tcPr>
          <w:p>
            <w:pPr>
              <w:pStyle w:val="TableContents"/>
              <w:bidi w:val="0"/>
              <w:spacing w:before="0" w:after="283"/>
              <w:jc w:val="left"/>
              <w:rPr/>
            </w:pPr>
            <w:r>
              <w:rPr/>
              <w:t>)</w:t>
            </w:r>
          </w:p>
        </w:tc>
      </w:tr>
      <w:tr>
        <w:trPr/>
        <w:tc>
          <w:tcPr>
            <w:tcW w:w="4412" w:type="dxa"/>
            <w:tcBorders/>
            <w:shd w:fill="CCEEFF" w:val="clear"/>
            <w:vAlign w:val="center"/>
          </w:tcPr>
          <w:p>
            <w:pPr>
              <w:pStyle w:val="TableContents"/>
              <w:bidi w:val="0"/>
              <w:spacing w:before="0" w:after="283"/>
              <w:jc w:val="left"/>
              <w:rPr/>
            </w:pPr>
            <w:r>
              <w:rPr/>
              <w:t>Net realized gains (losses)</w:t>
            </w:r>
          </w:p>
        </w:tc>
        <w:tc>
          <w:tcPr>
            <w:tcW w:w="9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107</w:t>
            </w:r>
          </w:p>
        </w:tc>
        <w:tc>
          <w:tcPr>
            <w:tcW w:w="22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433</w:t>
            </w:r>
          </w:p>
        </w:tc>
        <w:tc>
          <w:tcPr>
            <w:tcW w:w="20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(82</w:t>
            </w:r>
          </w:p>
        </w:tc>
        <w:tc>
          <w:tcPr>
            <w:tcW w:w="179" w:type="dxa"/>
            <w:tcBorders/>
            <w:shd w:fill="CCEEFF" w:val="clear"/>
            <w:vAlign w:val="center"/>
          </w:tcPr>
          <w:p>
            <w:pPr>
              <w:pStyle w:val="TableContents"/>
              <w:bidi w:val="0"/>
              <w:spacing w:before="0" w:after="283"/>
              <w:jc w:val="left"/>
              <w:rPr/>
            </w:pPr>
            <w:r>
              <w:rPr/>
              <w:t>)</w:t>
            </w:r>
          </w:p>
        </w:tc>
      </w:tr>
      <w:tr>
        <w:trPr/>
        <w:tc>
          <w:tcPr>
            <w:tcW w:w="4412" w:type="dxa"/>
            <w:tcBorders/>
            <w:vAlign w:val="center"/>
          </w:tcPr>
          <w:p>
            <w:pPr>
              <w:pStyle w:val="TableContents"/>
              <w:bidi w:val="0"/>
              <w:spacing w:before="0" w:after="283"/>
              <w:jc w:val="left"/>
              <w:rPr/>
            </w:pPr>
            <w:r>
              <w:rPr/>
              <w:t>Change in net unrealized gains on equity securities</w:t>
            </w:r>
          </w:p>
        </w:tc>
        <w:tc>
          <w:tcPr>
            <w:tcW w:w="90" w:type="dxa"/>
            <w:tcBorders/>
            <w:vAlign w:val="center"/>
          </w:tcPr>
          <w:p>
            <w:pPr>
              <w:pStyle w:val="TableContents"/>
              <w:bidi w:val="0"/>
              <w:spacing w:before="0" w:after="283"/>
              <w:jc w:val="left"/>
              <w:rPr/>
            </w:pPr>
            <w:r>
              <w:rPr/>
              <w:t> </w:t>
            </w:r>
          </w:p>
        </w:tc>
        <w:tc>
          <w:tcPr>
            <w:tcW w:w="308" w:type="dxa"/>
            <w:tcBorders>
              <w:bottom w:val="single" w:sz="8" w:space="0" w:color="000000"/>
            </w:tcBorders>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tcMar>
              <w:bottom w:w="28" w:type="dxa"/>
            </w:tcMar>
            <w:vAlign w:val="center"/>
          </w:tcPr>
          <w:p>
            <w:pPr>
              <w:pStyle w:val="TableContents"/>
              <w:bidi w:val="0"/>
              <w:spacing w:before="0" w:after="283"/>
              <w:jc w:val="right"/>
              <w:rPr/>
            </w:pPr>
            <w:r>
              <w:rPr/>
              <w:t>(517</w:t>
            </w:r>
          </w:p>
        </w:tc>
        <w:tc>
          <w:tcPr>
            <w:tcW w:w="227"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 </w:t>
            </w:r>
          </w:p>
        </w:tc>
        <w:tc>
          <w:tcPr>
            <w:tcW w:w="308" w:type="dxa"/>
            <w:tcBorders>
              <w:bottom w:val="single" w:sz="8" w:space="0" w:color="000000"/>
            </w:tcBorders>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tcMar>
              <w:bottom w:w="28" w:type="dxa"/>
            </w:tcMar>
            <w:vAlign w:val="center"/>
          </w:tcPr>
          <w:p>
            <w:pPr>
              <w:pStyle w:val="TableContents"/>
              <w:bidi w:val="0"/>
              <w:spacing w:before="0" w:after="283"/>
              <w:jc w:val="right"/>
              <w:rPr/>
            </w:pPr>
            <w:r>
              <w:rPr/>
              <w:t>(589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3" w:type="dxa"/>
            <w:tcBorders>
              <w:bottom w:val="single" w:sz="8" w:space="0" w:color="000000"/>
            </w:tcBorders>
            <w:tcMar>
              <w:bottom w:w="28" w:type="dxa"/>
            </w:tcMar>
            <w:vAlign w:val="center"/>
          </w:tcPr>
          <w:p>
            <w:pPr>
              <w:pStyle w:val="TableContents"/>
              <w:bidi w:val="0"/>
              <w:spacing w:before="0" w:after="283"/>
              <w:jc w:val="left"/>
              <w:rPr/>
            </w:pPr>
            <w:r>
              <w:rPr/>
              <w:t> </w:t>
            </w:r>
          </w:p>
        </w:tc>
        <w:tc>
          <w:tcPr>
            <w:tcW w:w="808" w:type="dxa"/>
            <w:tcBorders>
              <w:bottom w:val="single" w:sz="8" w:space="0" w:color="000000"/>
            </w:tcBorders>
            <w:tcMar>
              <w:bottom w:w="28" w:type="dxa"/>
            </w:tcMar>
            <w:vAlign w:val="center"/>
          </w:tcPr>
          <w:p>
            <w:pPr>
              <w:pStyle w:val="TableContents"/>
              <w:bidi w:val="0"/>
              <w:spacing w:before="0" w:after="283"/>
              <w:jc w:val="right"/>
              <w:rPr/>
            </w:pPr>
            <w:r>
              <w:rPr/>
              <w:t>26</w:t>
            </w:r>
          </w:p>
        </w:tc>
        <w:tc>
          <w:tcPr>
            <w:tcW w:w="20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3" w:type="dxa"/>
            <w:tcBorders>
              <w:bottom w:val="single" w:sz="8" w:space="0" w:color="000000"/>
            </w:tcBorders>
            <w:tcMar>
              <w:bottom w:w="28" w:type="dxa"/>
            </w:tcMar>
            <w:vAlign w:val="center"/>
          </w:tcPr>
          <w:p>
            <w:pPr>
              <w:pStyle w:val="TableContents"/>
              <w:bidi w:val="0"/>
              <w:spacing w:before="0" w:after="283"/>
              <w:jc w:val="left"/>
              <w:rPr/>
            </w:pPr>
            <w:r>
              <w:rPr/>
              <w:t> </w:t>
            </w:r>
          </w:p>
        </w:tc>
        <w:tc>
          <w:tcPr>
            <w:tcW w:w="808" w:type="dxa"/>
            <w:tcBorders>
              <w:bottom w:val="single" w:sz="8" w:space="0" w:color="000000"/>
            </w:tcBorders>
            <w:tcMar>
              <w:bottom w:w="28" w:type="dxa"/>
            </w:tcMar>
            <w:vAlign w:val="center"/>
          </w:tcPr>
          <w:p>
            <w:pPr>
              <w:pStyle w:val="TableContents"/>
              <w:bidi w:val="0"/>
              <w:spacing w:before="0" w:after="283"/>
              <w:jc w:val="right"/>
              <w:rPr/>
            </w:pPr>
            <w:r>
              <w:rPr/>
              <w:t>958</w:t>
            </w:r>
          </w:p>
        </w:tc>
        <w:tc>
          <w:tcPr>
            <w:tcW w:w="179" w:type="dxa"/>
            <w:tcBorders/>
            <w:vAlign w:val="center"/>
          </w:tcPr>
          <w:p>
            <w:pPr>
              <w:pStyle w:val="TableContents"/>
              <w:bidi w:val="0"/>
              <w:spacing w:before="0" w:after="283"/>
              <w:jc w:val="left"/>
              <w:rPr/>
            </w:pPr>
            <w:r>
              <w:rPr/>
              <w:t> </w:t>
            </w:r>
          </w:p>
        </w:tc>
      </w:tr>
      <w:tr>
        <w:trPr/>
        <w:tc>
          <w:tcPr>
            <w:tcW w:w="4412" w:type="dxa"/>
            <w:tcBorders/>
            <w:shd w:fill="CCEEFF" w:val="clear"/>
            <w:vAlign w:val="center"/>
          </w:tcPr>
          <w:p>
            <w:pPr>
              <w:pStyle w:val="TableContents"/>
              <w:bidi w:val="0"/>
              <w:spacing w:before="0" w:after="283"/>
              <w:jc w:val="left"/>
              <w:rPr/>
            </w:pPr>
            <w:r>
              <w:rPr/>
              <w:t>Net investment gains (losses)</w:t>
            </w:r>
          </w:p>
        </w:tc>
        <w:tc>
          <w:tcPr>
            <w:tcW w:w="90"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jc w:val="right"/>
              <w:rPr/>
            </w:pPr>
            <w:r>
              <w:rPr/>
              <w:t>(410</w:t>
            </w:r>
          </w:p>
        </w:tc>
        <w:tc>
          <w:tcPr>
            <w:tcW w:w="227" w:type="dxa"/>
            <w:tcBorders/>
            <w:shd w:fill="CCEEFF" w:val="clear"/>
            <w:vAlign w:val="center"/>
          </w:tcPr>
          <w:p>
            <w:pPr>
              <w:pStyle w:val="TableContents"/>
              <w:bidi w:val="0"/>
              <w:spacing w:before="0" w:after="283"/>
              <w:jc w:val="left"/>
              <w:rPr/>
            </w:pPr>
            <w:r>
              <w:rPr/>
              <w:t>)</w:t>
            </w:r>
          </w:p>
        </w:tc>
        <w:tc>
          <w:tcPr>
            <w:tcW w:w="163"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jc w:val="right"/>
              <w:rPr/>
            </w:pPr>
            <w:r>
              <w:rPr/>
              <w:t>(580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jc w:val="right"/>
              <w:rPr/>
            </w:pPr>
            <w:r>
              <w:rPr/>
              <w:t>459</w:t>
            </w:r>
          </w:p>
        </w:tc>
        <w:tc>
          <w:tcPr>
            <w:tcW w:w="20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jc w:val="right"/>
              <w:rPr/>
            </w:pPr>
            <w:r>
              <w:rPr/>
              <w:t>876</w:t>
            </w:r>
          </w:p>
        </w:tc>
        <w:tc>
          <w:tcPr>
            <w:tcW w:w="1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net realized gains of $107 and $433 for the three and six months ended June 30, 2025, respectively, compared to net realized gains of $9 and losses of $82 for the three and six months ended June 30, 2024, respectively. The elevated net realized gains in the six months ended June 30, 2025, were driven by sales of equity securities that were executed as part of the strategic management of our investment portfolio. No credit impairment losses were reported during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decrease of $517 and an increase of $26 in net unrealized gains on equity securities during the three and six months ended June 30, 2025, respectively. We experienced a decrease in net unrealized gains on equity securities of $589 and an increase of $958 during the three and six months ended June 30, 2024, respectively. These results were driven by the impact of changes in fair value attributable to overall favorable or unfavorable equity markets during those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fixed income securities are classified as available for sale because we will, from time to time, execute sales of securities that are not impaired, consistent with our investment goals and policies. The fixed income portion of the portfolio experienced net unrealized gains of $1,469 and $4,782 during the three and six months ended June 30, 2025, respectively, compared to net unrealized losses of $923 and $2,730 during the three and six months ended June 30, 2024, respectively. The changes were primarily the result of changes in U.S. interest rates. The change in the fair value of fixed income securities is not reflected in net income; rather it is reflected as a separate component (net of income taxes) of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we had a pre-tax loss of $15,324 compared to a pre-tax loss of $9,070 for the three months ended June 30, 2024. The year-over-year change was largely attributable to the catastrophe losses for Home and Farm in North Dakota and unfavorable prior year loss reserve development for Non-Standard Auto, partially offset by improved loss experience for Private Passenger Auto and higher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we had a pre-tax loss of $7,575 compared to pre-tax loss of $237 for the six months ended June 30, 2024. The year-over-year change was largely attributable to the catastrophe losses for Home and Farm in North Dakota and unfavorable prior year loss reserve development for Non-Standard Auto, partially offset by improved loss experience for Private Passenger Auto and higher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an income tax benefit of $3,273 for the three months ended June 30, 2025, compared to an income tax benefit of $1,592 for the three months ended June 30, 2024. Our effective tax rate for the second quarter of 2025 was 21.4% compared to an effective tax rate of 17.6% for the second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an income tax benefit of $1,984 for the six months ended June 30, 2025, compared to income tax expense of $306 for the six months ended June 30, 2024. Our effective tax rate for the first six months of 2025 was 26.2% compared to an effective tax rate of (129.1)% for the first six months of 2024. The effective tax rate for the first six months of 2025 and 2024 were impacted by changes in our valuation allowances against deferred income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we had a net loss of $12,051 compared to net loss of $7,478 for the three months ended June 30, 2024. The year-over-year change was largely attributable to the catastrophe losses for Home and Farm in North Dakota and unfavorable prior year loss reserve development for Non-Standard Auto, partially offset by improved loss experience for Private Passenger Auto and higher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we had a net loss of $5,591 compared to net loss of $543 for the six months ended June 30, 2024. The year-over-year change was largely attributable to the catastrophe losses for Home and Farm in North Dakota and unfavorable prior year loss reserve development for Non-Standard Auto, partially offset by improved loss experience for Private Passenger Auto and higher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Return on Average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we had annualized return on average equity of (19.4)% compared to (12.8)% for the three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we had annualized return on average equity of (4.6)% compared to (0.5)% for the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equity is calculated as the average between beginning and ending equity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2024 Annual Report. There have been no changes in our critical accounting policies from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 $3,000 line of credit with Wells Fargo Bank, N.A. The terms of the line of credit include a floating interest rate of 2.50% above the daily simple secured overnight financing rate. There were no outstanding amounts during the six months ended June 30, 2025, or the year ended December 31, 2024. This line of credit is scheduled to expire on December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cash and cash equivalents for continuing and discontinued operations for the six months ended June 30,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6987" w:type="dxa"/>
        <w:jc w:val="left"/>
        <w:tblInd w:w="0" w:type="dxa"/>
        <w:tblLayout w:type="fixed"/>
        <w:tblCellMar>
          <w:top w:w="0" w:type="dxa"/>
          <w:left w:w="0" w:type="dxa"/>
          <w:bottom w:w="0" w:type="dxa"/>
          <w:right w:w="0" w:type="dxa"/>
        </w:tblCellMar>
      </w:tblPr>
      <w:tblGrid>
        <w:gridCol w:w="3875"/>
        <w:gridCol w:w="90"/>
        <w:gridCol w:w="236"/>
        <w:gridCol w:w="1093"/>
        <w:gridCol w:w="174"/>
        <w:gridCol w:w="125"/>
        <w:gridCol w:w="236"/>
        <w:gridCol w:w="988"/>
        <w:gridCol w:w="170"/>
      </w:tblGrid>
      <w:tr>
        <w:trPr/>
        <w:tc>
          <w:tcPr>
            <w:tcW w:w="3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216"/>
              <w:jc w:val="left"/>
              <w:rPr/>
            </w:pPr>
            <w:r>
              <w:rPr/>
              <w:t> </w:t>
            </w:r>
          </w:p>
        </w:tc>
      </w:tr>
      <w:tr>
        <w:trPr/>
        <w:tc>
          <w:tcPr>
            <w:tcW w:w="3875" w:type="dxa"/>
            <w:tcBorders/>
            <w:shd w:fill="CCEEFF" w:val="clear"/>
            <w:vAlign w:val="center"/>
          </w:tcPr>
          <w:p>
            <w:pPr>
              <w:pStyle w:val="TableContents"/>
              <w:bidi w:val="0"/>
              <w:spacing w:before="0" w:after="283"/>
              <w:jc w:val="left"/>
              <w:rPr/>
            </w:pPr>
            <w:r>
              <w:rPr/>
              <w:t>Net cash flows from operating activities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93" w:type="dxa"/>
            <w:tcBorders/>
            <w:shd w:fill="CCEEFF" w:val="clear"/>
            <w:vAlign w:val="center"/>
          </w:tcPr>
          <w:p>
            <w:pPr>
              <w:pStyle w:val="TableContents"/>
              <w:bidi w:val="0"/>
              <w:spacing w:before="0" w:after="283"/>
              <w:jc w:val="right"/>
              <w:rPr/>
            </w:pPr>
            <w:r>
              <w:rPr/>
              <w:t>16,289</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34,760</w:t>
            </w:r>
          </w:p>
        </w:tc>
        <w:tc>
          <w:tcPr>
            <w:tcW w:w="170" w:type="dxa"/>
            <w:tcBorders/>
            <w:shd w:fill="CCEEFF" w:val="clear"/>
            <w:vAlign w:val="center"/>
          </w:tcPr>
          <w:p>
            <w:pPr>
              <w:pStyle w:val="TableContents"/>
              <w:bidi w:val="0"/>
              <w:spacing w:before="0" w:after="283"/>
              <w:ind w:left="0" w:right="0" w:hanging="216"/>
              <w:jc w:val="left"/>
              <w:rPr/>
            </w:pPr>
            <w:r>
              <w:rPr/>
              <w:t> </w:t>
            </w:r>
          </w:p>
        </w:tc>
      </w:tr>
      <w:tr>
        <w:trPr/>
        <w:tc>
          <w:tcPr>
            <w:tcW w:w="3875" w:type="dxa"/>
            <w:tcBorders/>
            <w:vAlign w:val="center"/>
          </w:tcPr>
          <w:p>
            <w:pPr>
              <w:pStyle w:val="TableContents"/>
              <w:bidi w:val="0"/>
              <w:spacing w:before="0" w:after="283"/>
              <w:jc w:val="left"/>
              <w:rPr/>
            </w:pPr>
            <w:r>
              <w:rPr/>
              <w:t>Net cash flows from investing activities</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(10,246</w:t>
            </w:r>
          </w:p>
        </w:tc>
        <w:tc>
          <w:tcPr>
            <w:tcW w:w="174"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(3,776</w:t>
            </w:r>
          </w:p>
        </w:tc>
        <w:tc>
          <w:tcPr>
            <w:tcW w:w="170" w:type="dxa"/>
            <w:tcBorders/>
            <w:vAlign w:val="center"/>
          </w:tcPr>
          <w:p>
            <w:pPr>
              <w:pStyle w:val="TableContents"/>
              <w:bidi w:val="0"/>
              <w:spacing w:before="0" w:after="283"/>
              <w:ind w:left="0" w:right="0" w:hanging="216"/>
              <w:jc w:val="left"/>
              <w:rPr/>
            </w:pPr>
            <w:r>
              <w:rPr/>
              <w:t>)</w:t>
            </w:r>
          </w:p>
        </w:tc>
      </w:tr>
      <w:tr>
        <w:trPr/>
        <w:tc>
          <w:tcPr>
            <w:tcW w:w="3875" w:type="dxa"/>
            <w:tcBorders/>
            <w:shd w:fill="CCEEFF" w:val="clear"/>
            <w:vAlign w:val="center"/>
          </w:tcPr>
          <w:p>
            <w:pPr>
              <w:pStyle w:val="TableContents"/>
              <w:bidi w:val="0"/>
              <w:spacing w:before="0" w:after="283"/>
              <w:jc w:val="left"/>
              <w:rPr/>
            </w:pPr>
            <w:r>
              <w:rPr/>
              <w:t>Net 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(189</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(202</w:t>
            </w:r>
          </w:p>
        </w:tc>
        <w:tc>
          <w:tcPr>
            <w:tcW w:w="170" w:type="dxa"/>
            <w:tcBorders/>
            <w:shd w:fill="CCEEFF" w:val="clear"/>
            <w:vAlign w:val="center"/>
          </w:tcPr>
          <w:p>
            <w:pPr>
              <w:pStyle w:val="TableContents"/>
              <w:bidi w:val="0"/>
              <w:spacing w:before="0" w:after="283"/>
              <w:ind w:left="0" w:right="0" w:hanging="216"/>
              <w:jc w:val="left"/>
              <w:rPr/>
            </w:pPr>
            <w:r>
              <w:rPr/>
              <w:t>)</w:t>
            </w:r>
          </w:p>
        </w:tc>
      </w:tr>
      <w:tr>
        <w:trPr/>
        <w:tc>
          <w:tcPr>
            <w:tcW w:w="3875" w:type="dxa"/>
            <w:tcBorders/>
            <w:vAlign w:val="center"/>
          </w:tcPr>
          <w:p>
            <w:pPr>
              <w:pStyle w:val="TableContents"/>
              <w:bidi w:val="0"/>
              <w:spacing w:before="0" w:after="283"/>
              <w:jc w:val="left"/>
              <w:rPr/>
            </w:pPr>
            <w:r>
              <w:rPr/>
              <w:t>Net change in cash and cash equivalents</w:t>
            </w:r>
          </w:p>
        </w:tc>
        <w:tc>
          <w:tcPr>
            <w:tcW w:w="90" w:type="dxa"/>
            <w:tcBorders/>
            <w:vAlign w:val="center"/>
          </w:tcPr>
          <w:p>
            <w:pPr>
              <w:pStyle w:val="TableContents"/>
              <w:bidi w:val="0"/>
              <w:spacing w:before="0" w:after="283"/>
              <w:jc w:val="left"/>
              <w:rPr/>
            </w:pPr>
            <w:r>
              <w:rPr/>
              <w:t> </w:t>
            </w:r>
          </w:p>
        </w:tc>
        <w:tc>
          <w:tcPr>
            <w:tcW w:w="236" w:type="dxa"/>
            <w:tcBorders>
              <w:bottom w:val="double" w:sz="6" w:space="0" w:color="000000"/>
            </w:tcBorders>
            <w:tcMar>
              <w:bottom w:w="28" w:type="dxa"/>
            </w:tcMar>
            <w:vAlign w:val="center"/>
          </w:tcPr>
          <w:p>
            <w:pPr>
              <w:pStyle w:val="TableContents"/>
              <w:bidi w:val="0"/>
              <w:spacing w:before="0" w:after="283"/>
              <w:jc w:val="left"/>
              <w:rPr/>
            </w:pPr>
            <w:r>
              <w:rPr/>
              <w:t>$</w:t>
            </w:r>
          </w:p>
        </w:tc>
        <w:tc>
          <w:tcPr>
            <w:tcW w:w="1093" w:type="dxa"/>
            <w:tcBorders>
              <w:bottom w:val="double" w:sz="6" w:space="0" w:color="000000"/>
            </w:tcBorders>
            <w:tcMar>
              <w:bottom w:w="28" w:type="dxa"/>
            </w:tcMar>
            <w:vAlign w:val="center"/>
          </w:tcPr>
          <w:p>
            <w:pPr>
              <w:pStyle w:val="TableContents"/>
              <w:bidi w:val="0"/>
              <w:spacing w:before="0" w:after="283"/>
              <w:jc w:val="right"/>
              <w:rPr/>
            </w:pPr>
            <w:r>
              <w:rPr/>
              <w:t>5,854</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bottom w:val="double" w:sz="6" w:space="0" w:color="000000"/>
            </w:tcBorders>
            <w:tcMar>
              <w:bottom w:w="28" w:type="dxa"/>
            </w:tcMar>
            <w:vAlign w:val="center"/>
          </w:tcPr>
          <w:p>
            <w:pPr>
              <w:pStyle w:val="TableContents"/>
              <w:bidi w:val="0"/>
              <w:spacing w:before="0" w:after="283"/>
              <w:jc w:val="left"/>
              <w:rPr/>
            </w:pPr>
            <w:r>
              <w:rPr/>
              <w:t>$</w:t>
            </w:r>
          </w:p>
        </w:tc>
        <w:tc>
          <w:tcPr>
            <w:tcW w:w="988" w:type="dxa"/>
            <w:tcBorders>
              <w:bottom w:val="double" w:sz="6" w:space="0" w:color="000000"/>
            </w:tcBorders>
            <w:tcMar>
              <w:bottom w:w="28" w:type="dxa"/>
            </w:tcMar>
            <w:vAlign w:val="center"/>
          </w:tcPr>
          <w:p>
            <w:pPr>
              <w:pStyle w:val="TableContents"/>
              <w:bidi w:val="0"/>
              <w:spacing w:before="0" w:after="283"/>
              <w:jc w:val="right"/>
              <w:rPr/>
            </w:pPr>
            <w:r>
              <w:rPr/>
              <w:t>30,782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provided by operating activities totaled $16,289 compared to $34,760 a year ago. This change was primarily driven by lower levels of premium collections in the current year, partially offset by lower levels of loss and loss adjustment payments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by investing activities totaled $10,246 compared to $3,776 a year ago. This change was primarily attributable to the proceeds from the sale of Westminster and Westminster’s net cash provided by investing activities in the prior year, partially offset by a decrease in net cash outflows for investment activities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by financing activities totaled $189 compared to $202 a year ago. This decrease in cash used was attributable to a decrease in the issuance of vested award shares partially offset by an increase in principal repayments for 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a principal source of long-term liquidity will be dividend payments from our directly-owned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Nodak Insurance to NI Holdings during 2025 without the prior approval of the North Dakota Insurance Department is approximately $8,273 as of December 31, 2024. No dividends were declared or paid by Nodak Insurance during the six months ended June 30, 2025, 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Direct Auto to NI Holdings during 2025 without the prior approval of the North Dakota Insurance Department is approximately $3,146 as of December 31, 2024. No dividends were declared or paid by Direct Auto during the six months ended June 30, 2025, 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payment of any dividend, we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was sold on June 30, 2024, and therefore no dividends are available to be paid to NI Holdings subsequent to that date. No dividends were declared or paid by Westminster during the year ended December 31, 2024. See Part I, Item 1, Note 19 “Discontinued Operations” of this Form 10-Q for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3. -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of market risk as of June 30, 2025, indicates there have been no material changes in the quantitative and qualitative disclosures from those in Part II, Item 7A, “Quantitative and Qualitative Disclosures About Market Risk” in our 2024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4. -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Part II. - OTHER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 -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litigation in the normal course of business. Based upon information presently available to us, we do not consider any litigation to be material. However, given the inherent uncertainties of litigation, we cannot assure you that our results of operations and financial condition will not be materially adversely affected by any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1A. -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our assessment of our risk factors from those set forth in Part I, Item 1A, “Risk Factors” in our 2024 Annual Report, except as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Trade policies, including tariffs, could adversely impact our financial condition and operating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reserves to cover estimated unpaid losses and expenses necessary to settle claims. The reserves for losses and loss adjustment expenses that we have established are estimates of amounts needed to pay reported and unreported claims and related expenses, based on facts and circumstances known to us at the time we established the reserves. Reserves are actuarially projected based on historical claims information, industry statistics, anticipated trends, and other factors. Changes in U.S. trade policy, including recently announced tariffs, could have a material adverse impact on our business, financial condition, and results of operations. The imposition of new tariffs or increases in existing tariffs on goods imported from other countries could result in increased costs for raw materials, components, or finished goods and adversely impact loss severity. In addition, 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cash flows. We are unable to predict the ultimate result and duration of any tariff actions by the U.S. government or countermeasures that may be taken by other 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2. -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included in Item 2 herein, except per share data, are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unregistered securities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repurchase its own stock. To date, the Company has used the net proceeds from the IPO to fund these 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year ended December 31, 2024, or the six months ended June 30, 2025, we did not repurchase any shares of our common stock. At June 30, 2025, $2,052 remains available under this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 activity during the three months ended June 30, 2025, is presented below:</w:t>
      </w:r>
    </w:p>
    <w:p>
      <w:pPr>
        <w:pStyle w:val="TextBody"/>
        <w:bidi w:val="0"/>
        <w:spacing w:before="0" w:after="0"/>
        <w:ind w:left="0" w:right="0" w:hanging="0"/>
        <w:jc w:val="left"/>
        <w:rPr>
          <w:caps w:val="false"/>
          <w:smallCaps w:val="false"/>
        </w:rPr>
      </w:pPr>
      <w:r>
        <w:rPr>
          <w:caps w:val="false"/>
          <w:smallCaps w:val="false"/>
        </w:rPr>
        <w:t> </w:t>
      </w:r>
    </w:p>
    <w:tbl>
      <w:tblPr>
        <w:tblW w:w="9741" w:type="dxa"/>
        <w:jc w:val="left"/>
        <w:tblInd w:w="0" w:type="dxa"/>
        <w:tblLayout w:type="fixed"/>
        <w:tblCellMar>
          <w:top w:w="0" w:type="dxa"/>
          <w:left w:w="0" w:type="dxa"/>
          <w:bottom w:w="28" w:type="dxa"/>
          <w:right w:w="0" w:type="dxa"/>
        </w:tblCellMar>
      </w:tblPr>
      <w:tblGrid>
        <w:gridCol w:w="1655"/>
        <w:gridCol w:w="90"/>
        <w:gridCol w:w="401"/>
        <w:gridCol w:w="1298"/>
        <w:gridCol w:w="90"/>
        <w:gridCol w:w="90"/>
        <w:gridCol w:w="516"/>
        <w:gridCol w:w="883"/>
        <w:gridCol w:w="90"/>
        <w:gridCol w:w="90"/>
        <w:gridCol w:w="433"/>
        <w:gridCol w:w="1401"/>
        <w:gridCol w:w="90"/>
        <w:gridCol w:w="90"/>
        <w:gridCol w:w="533"/>
        <w:gridCol w:w="1856"/>
        <w:gridCol w:w="135"/>
      </w:tblGrid>
      <w:tr>
        <w:trPr/>
        <w:tc>
          <w:tcPr>
            <w:tcW w:w="1655" w:type="dxa"/>
            <w:tcBorders>
              <w:bottom w:val="single" w:sz="8" w:space="0" w:color="000000"/>
            </w:tcBorders>
            <w:vAlign w:val="center"/>
          </w:tcPr>
          <w:p>
            <w:pPr>
              <w:pStyle w:val="TableContents"/>
              <w:bidi w:val="0"/>
              <w:spacing w:before="0" w:after="283"/>
              <w:jc w:val="center"/>
              <w:rPr/>
            </w:pPr>
            <w:r>
              <w:rPr/>
              <w:t>Period in 2025</w:t>
            </w:r>
          </w:p>
        </w:tc>
        <w:tc>
          <w:tcPr>
            <w:tcW w:w="90" w:type="dxa"/>
            <w:tcBorders/>
            <w:tcMar>
              <w:bottom w:w="0" w:type="dxa"/>
            </w:tcMar>
            <w:vAlign w:val="center"/>
          </w:tcPr>
          <w:p>
            <w:pPr>
              <w:pStyle w:val="TableContents"/>
              <w:bidi w:val="0"/>
              <w:spacing w:before="0" w:after="283"/>
              <w:jc w:val="left"/>
              <w:rPr/>
            </w:pPr>
            <w:r>
              <w:rPr/>
              <w:t> </w:t>
            </w:r>
          </w:p>
        </w:tc>
        <w:tc>
          <w:tcPr>
            <w:tcW w:w="1699" w:type="dxa"/>
            <w:gridSpan w:val="2"/>
            <w:tcBorders>
              <w:bottom w:val="single" w:sz="8" w:space="0" w:color="000000"/>
            </w:tcBorders>
            <w:vAlign w:val="center"/>
          </w:tcPr>
          <w:p>
            <w:pPr>
              <w:pStyle w:val="TableContents"/>
              <w:bidi w:val="0"/>
              <w:spacing w:before="0" w:after="283"/>
              <w:jc w:val="center"/>
              <w:rPr/>
            </w:pPr>
            <w:r>
              <w:rPr/>
              <w:t xml:space="preserve">Total Number of </w:t>
              <w:br/>
              <w:t xml:space="preserve">Shares </w:t>
              <w:br/>
              <w:t>Purchased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8" w:space="0" w:color="000000"/>
            </w:tcBorders>
            <w:vAlign w:val="center"/>
          </w:tcPr>
          <w:p>
            <w:pPr>
              <w:pStyle w:val="TableContents"/>
              <w:bidi w:val="0"/>
              <w:spacing w:before="0" w:after="283"/>
              <w:jc w:val="center"/>
              <w:rPr/>
            </w:pPr>
            <w:r>
              <w:rPr/>
              <w:t>Average Price</w:t>
              <w:br/>
              <w:t>Paid</w:t>
              <w:br/>
              <w:t xml:space="preserve">Per Share </w:t>
            </w:r>
            <w:r>
              <w:rPr>
                <w:position w:val="8"/>
                <w:sz w:val="19"/>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34" w:type="dxa"/>
            <w:gridSpan w:val="2"/>
            <w:tcBorders>
              <w:bottom w:val="single" w:sz="8" w:space="0" w:color="000000"/>
            </w:tcBorders>
            <w:vAlign w:val="center"/>
          </w:tcPr>
          <w:p>
            <w:pPr>
              <w:pStyle w:val="TableContents"/>
              <w:bidi w:val="0"/>
              <w:spacing w:before="0" w:after="283"/>
              <w:jc w:val="center"/>
              <w:rPr/>
            </w:pPr>
            <w:r>
              <w:rPr/>
              <w:t xml:space="preserve">Total Number of </w:t>
              <w:br/>
              <w:t xml:space="preserve">Shares Purchased </w:t>
              <w:br/>
              <w:t xml:space="preserve">as Part of Publicly </w:t>
              <w:br/>
              <w:t xml:space="preserve">Announced Plans </w:t>
              <w:br/>
              <w:t xml:space="preserve">or Programs </w:t>
            </w:r>
            <w:r>
              <w:rPr>
                <w:position w:val="8"/>
                <w:sz w:val="19"/>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8" w:space="0" w:color="000000"/>
            </w:tcBorders>
            <w:vAlign w:val="center"/>
          </w:tcPr>
          <w:p>
            <w:pPr>
              <w:pStyle w:val="TableContents"/>
              <w:bidi w:val="0"/>
              <w:spacing w:before="0" w:after="283"/>
              <w:jc w:val="center"/>
              <w:rPr/>
            </w:pPr>
            <w:r>
              <w:rPr/>
              <w:t xml:space="preserve">Maximum Approximate </w:t>
              <w:br/>
              <w:t xml:space="preserve">Dollar Value of Shares </w:t>
              <w:br/>
              <w:t xml:space="preserve">That May Yet Be </w:t>
              <w:br/>
              <w:t xml:space="preserve">Purchased Under the </w:t>
              <w:br/>
              <w:t xml:space="preserve">Plans or Programs </w:t>
            </w:r>
            <w:r>
              <w:rPr>
                <w:position w:val="8"/>
                <w:sz w:val="19"/>
              </w:rPr>
              <w:t>(2)</w:t>
            </w:r>
            <w:r>
              <w:rPr/>
              <w:t xml:space="preserve"> </w:t>
              <w:br/>
              <w:t>(in thousands)</w:t>
            </w:r>
          </w:p>
        </w:tc>
        <w:tc>
          <w:tcPr>
            <w:tcW w:w="135" w:type="dxa"/>
            <w:tcBorders/>
            <w:tcMar>
              <w:bottom w:w="0" w:type="dxa"/>
            </w:tcMar>
            <w:vAlign w:val="center"/>
          </w:tcPr>
          <w:p>
            <w:pPr>
              <w:pStyle w:val="TableContents"/>
              <w:bidi w:val="0"/>
              <w:spacing w:before="0" w:after="283"/>
              <w:jc w:val="left"/>
              <w:rPr/>
            </w:pPr>
            <w:r>
              <w:rPr/>
              <w:t> </w:t>
            </w:r>
          </w:p>
        </w:tc>
      </w:tr>
      <w:tr>
        <w:trPr/>
        <w:tc>
          <w:tcPr>
            <w:tcW w:w="1655" w:type="dxa"/>
            <w:tcBorders/>
            <w:shd w:fill="CCEEFF" w:val="clear"/>
            <w:tcMar>
              <w:bottom w:w="0" w:type="dxa"/>
            </w:tcMar>
            <w:vAlign w:val="center"/>
          </w:tcPr>
          <w:p>
            <w:pPr>
              <w:pStyle w:val="TableContents"/>
              <w:bidi w:val="0"/>
              <w:spacing w:before="0" w:after="283"/>
              <w:jc w:val="left"/>
              <w:rPr/>
            </w:pPr>
            <w:r>
              <w:rPr/>
              <w:t>April 1-30,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lef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3" w:type="dxa"/>
            <w:tcBorders/>
            <w:shd w:fill="CCEEFF" w:val="clear"/>
            <w:tcMar>
              <w:bottom w:w="0" w:type="dxa"/>
            </w:tcMar>
            <w:vAlign w:val="center"/>
          </w:tcPr>
          <w:p>
            <w:pPr>
              <w:pStyle w:val="TableContents"/>
              <w:bidi w:val="0"/>
              <w:spacing w:before="0" w:after="283"/>
              <w:jc w:val="left"/>
              <w:rPr/>
            </w:pPr>
            <w:r>
              <w:rPr/>
              <w:t>$</w:t>
            </w:r>
          </w:p>
        </w:tc>
        <w:tc>
          <w:tcPr>
            <w:tcW w:w="1856" w:type="dxa"/>
            <w:tcBorders/>
            <w:shd w:fill="CCEEFF" w:val="clear"/>
            <w:tcMar>
              <w:bottom w:w="0" w:type="dxa"/>
            </w:tcMar>
            <w:vAlign w:val="center"/>
          </w:tcPr>
          <w:p>
            <w:pPr>
              <w:pStyle w:val="TableContents"/>
              <w:bidi w:val="0"/>
              <w:spacing w:before="0" w:after="283"/>
              <w:jc w:val="right"/>
              <w:rPr/>
            </w:pPr>
            <w:r>
              <w:rPr/>
              <w:t>2,052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55" w:type="dxa"/>
            <w:tcBorders/>
            <w:tcMar>
              <w:bottom w:w="0" w:type="dxa"/>
            </w:tcMar>
            <w:vAlign w:val="center"/>
          </w:tcPr>
          <w:p>
            <w:pPr>
              <w:pStyle w:val="TableContents"/>
              <w:bidi w:val="0"/>
              <w:spacing w:before="0" w:after="283"/>
              <w:jc w:val="left"/>
              <w:rPr/>
            </w:pPr>
            <w:r>
              <w:rPr/>
              <w:t>May 1-31, 2025</w:t>
            </w:r>
          </w:p>
        </w:tc>
        <w:tc>
          <w:tcPr>
            <w:tcW w:w="90" w:type="dxa"/>
            <w:tcBorders/>
            <w:tcMar>
              <w:bottom w:w="0" w:type="dxa"/>
            </w:tcMar>
            <w:vAlign w:val="center"/>
          </w:tcPr>
          <w:p>
            <w:pPr>
              <w:pStyle w:val="TableContents"/>
              <w:bidi w:val="0"/>
              <w:spacing w:before="0" w:after="283"/>
              <w:jc w:val="left"/>
              <w:rPr/>
            </w:pPr>
            <w:r>
              <w:rPr/>
              <w:t> </w:t>
            </w:r>
          </w:p>
        </w:tc>
        <w:tc>
          <w:tcPr>
            <w:tcW w:w="401" w:type="dxa"/>
            <w:tcBorders/>
            <w:tcMar>
              <w:bottom w:w="0" w:type="dxa"/>
            </w:tcMar>
            <w:vAlign w:val="center"/>
          </w:tcPr>
          <w:p>
            <w:pPr>
              <w:pStyle w:val="TableContents"/>
              <w:bidi w:val="0"/>
              <w:spacing w:before="0" w:after="283"/>
              <w:jc w:val="left"/>
              <w:rPr/>
            </w:pPr>
            <w:r>
              <w:rPr/>
              <w:t> </w:t>
            </w:r>
          </w:p>
        </w:tc>
        <w:tc>
          <w:tcPr>
            <w:tcW w:w="1298"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16" w:type="dxa"/>
            <w:tcBorders/>
            <w:tcMar>
              <w:bottom w:w="0" w:type="dxa"/>
            </w:tcMar>
            <w:vAlign w:val="center"/>
          </w:tcPr>
          <w:p>
            <w:pPr>
              <w:pStyle w:val="TableContents"/>
              <w:bidi w:val="0"/>
              <w:spacing w:before="0" w:after="283"/>
              <w:jc w:val="left"/>
              <w:rPr/>
            </w:pPr>
            <w:r>
              <w:rPr/>
              <w:t> </w:t>
            </w:r>
          </w:p>
        </w:tc>
        <w:tc>
          <w:tcPr>
            <w:tcW w:w="88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33"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3" w:type="dxa"/>
            <w:tcBorders/>
            <w:tcMar>
              <w:bottom w:w="0" w:type="dxa"/>
            </w:tcMar>
            <w:vAlign w:val="center"/>
          </w:tcPr>
          <w:p>
            <w:pPr>
              <w:pStyle w:val="TableContents"/>
              <w:bidi w:val="0"/>
              <w:spacing w:before="0" w:after="283"/>
              <w:jc w:val="left"/>
              <w:rPr/>
            </w:pPr>
            <w:r>
              <w:rPr/>
              <w:t> </w:t>
            </w:r>
          </w:p>
        </w:tc>
        <w:tc>
          <w:tcPr>
            <w:tcW w:w="1856" w:type="dxa"/>
            <w:tcBorders/>
            <w:tcMar>
              <w:bottom w:w="0" w:type="dxa"/>
            </w:tcMar>
            <w:vAlign w:val="center"/>
          </w:tcPr>
          <w:p>
            <w:pPr>
              <w:pStyle w:val="TableContents"/>
              <w:bidi w:val="0"/>
              <w:spacing w:before="0" w:after="283"/>
              <w:jc w:val="right"/>
              <w:rPr/>
            </w:pPr>
            <w:r>
              <w:rPr/>
              <w:t>2,052</w:t>
            </w:r>
          </w:p>
        </w:tc>
        <w:tc>
          <w:tcPr>
            <w:tcW w:w="135" w:type="dxa"/>
            <w:tcBorders/>
            <w:tcMar>
              <w:bottom w:w="0" w:type="dxa"/>
            </w:tcMar>
            <w:vAlign w:val="center"/>
          </w:tcPr>
          <w:p>
            <w:pPr>
              <w:pStyle w:val="TableContents"/>
              <w:bidi w:val="0"/>
              <w:spacing w:before="0" w:after="283"/>
              <w:jc w:val="left"/>
              <w:rPr/>
            </w:pPr>
            <w:r>
              <w:rPr/>
              <w:t> </w:t>
            </w:r>
          </w:p>
        </w:tc>
      </w:tr>
      <w:tr>
        <w:trPr/>
        <w:tc>
          <w:tcPr>
            <w:tcW w:w="1655" w:type="dxa"/>
            <w:tcBorders/>
            <w:shd w:fill="CCEEFF" w:val="clear"/>
            <w:tcMar>
              <w:bottom w:w="0" w:type="dxa"/>
            </w:tcMar>
            <w:vAlign w:val="center"/>
          </w:tcPr>
          <w:p>
            <w:pPr>
              <w:pStyle w:val="TableContents"/>
              <w:bidi w:val="0"/>
              <w:spacing w:before="0" w:after="283"/>
              <w:jc w:val="left"/>
              <w:rPr/>
            </w:pPr>
            <w:r>
              <w:rPr/>
              <w:t>June 1-30,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1" w:type="dxa"/>
            <w:tcBorders>
              <w:bottom w:val="single" w:sz="8" w:space="0" w:color="000000"/>
            </w:tcBorders>
            <w:shd w:fill="CCEEFF" w:val="clear"/>
            <w:vAlign w:val="center"/>
          </w:tcPr>
          <w:p>
            <w:pPr>
              <w:pStyle w:val="TableContents"/>
              <w:bidi w:val="0"/>
              <w:spacing w:before="0" w:after="283"/>
              <w:jc w:val="left"/>
              <w:rPr/>
            </w:pPr>
            <w:r>
              <w:rPr/>
              <w:t> </w:t>
            </w:r>
          </w:p>
        </w:tc>
        <w:tc>
          <w:tcPr>
            <w:tcW w:w="1298"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left"/>
              <w:rPr/>
            </w:pPr>
            <w:r>
              <w:rPr/>
              <w:t> </w:t>
            </w:r>
          </w:p>
        </w:tc>
        <w:tc>
          <w:tcPr>
            <w:tcW w:w="883"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3" w:type="dxa"/>
            <w:tcBorders>
              <w:bottom w:val="single" w:sz="8" w:space="0" w:color="000000"/>
            </w:tcBorders>
            <w:shd w:fill="CCEEFF" w:val="clear"/>
            <w:vAlign w:val="center"/>
          </w:tcPr>
          <w:p>
            <w:pPr>
              <w:pStyle w:val="TableContents"/>
              <w:bidi w:val="0"/>
              <w:spacing w:before="0" w:after="283"/>
              <w:jc w:val="left"/>
              <w:rPr/>
            </w:pPr>
            <w:r>
              <w:rPr/>
              <w:t> </w:t>
            </w:r>
          </w:p>
        </w:tc>
        <w:tc>
          <w:tcPr>
            <w:tcW w:w="1401"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3" w:type="dxa"/>
            <w:tcBorders>
              <w:bottom w:val="single" w:sz="8" w:space="0" w:color="000000"/>
            </w:tcBorders>
            <w:shd w:fill="CCEEFF" w:val="clear"/>
            <w:vAlign w:val="center"/>
          </w:tcPr>
          <w:p>
            <w:pPr>
              <w:pStyle w:val="TableContents"/>
              <w:bidi w:val="0"/>
              <w:spacing w:before="0" w:after="283"/>
              <w:jc w:val="left"/>
              <w:rPr/>
            </w:pPr>
            <w:r>
              <w:rPr/>
              <w:t> </w:t>
            </w:r>
          </w:p>
        </w:tc>
        <w:tc>
          <w:tcPr>
            <w:tcW w:w="1856" w:type="dxa"/>
            <w:tcBorders>
              <w:bottom w:val="single" w:sz="8" w:space="0" w:color="000000"/>
            </w:tcBorders>
            <w:shd w:fill="CCEEFF" w:val="clear"/>
            <w:vAlign w:val="center"/>
          </w:tcPr>
          <w:p>
            <w:pPr>
              <w:pStyle w:val="TableContents"/>
              <w:bidi w:val="0"/>
              <w:spacing w:before="0" w:after="283"/>
              <w:jc w:val="right"/>
              <w:rPr/>
            </w:pPr>
            <w:r>
              <w:rPr/>
              <w:t>2,052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55"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401" w:type="dxa"/>
            <w:tcBorders>
              <w:bottom w:val="double" w:sz="6" w:space="0" w:color="000000"/>
            </w:tcBorders>
            <w:vAlign w:val="center"/>
          </w:tcPr>
          <w:p>
            <w:pPr>
              <w:pStyle w:val="TableContents"/>
              <w:bidi w:val="0"/>
              <w:spacing w:before="0" w:after="283"/>
              <w:jc w:val="left"/>
              <w:rPr/>
            </w:pPr>
            <w:r>
              <w:rPr/>
              <w:t> </w:t>
            </w:r>
          </w:p>
        </w:tc>
        <w:tc>
          <w:tcPr>
            <w:tcW w:w="1298" w:type="dxa"/>
            <w:tcBorders>
              <w:bottom w:val="double" w:sz="6"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16" w:type="dxa"/>
            <w:tcBorders>
              <w:bottom w:val="double" w:sz="6" w:space="0" w:color="000000"/>
            </w:tcBorders>
            <w:vAlign w:val="center"/>
          </w:tcPr>
          <w:p>
            <w:pPr>
              <w:pStyle w:val="TableContents"/>
              <w:bidi w:val="0"/>
              <w:spacing w:before="0" w:after="283"/>
              <w:jc w:val="left"/>
              <w:rPr/>
            </w:pPr>
            <w:r>
              <w:rPr/>
              <w:t>$</w:t>
            </w:r>
          </w:p>
        </w:tc>
        <w:tc>
          <w:tcPr>
            <w:tcW w:w="883" w:type="dxa"/>
            <w:tcBorders>
              <w:bottom w:val="double" w:sz="6"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vAlign w:val="center"/>
          </w:tcPr>
          <w:p>
            <w:pPr>
              <w:pStyle w:val="TableContents"/>
              <w:bidi w:val="0"/>
              <w:spacing w:before="0" w:after="283"/>
              <w:jc w:val="left"/>
              <w:rPr/>
            </w:pPr>
            <w:r>
              <w:rPr/>
              <w:t> </w:t>
            </w:r>
          </w:p>
        </w:tc>
        <w:tc>
          <w:tcPr>
            <w:tcW w:w="1401" w:type="dxa"/>
            <w:tcBorders>
              <w:bottom w:val="double" w:sz="6"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3" w:type="dxa"/>
            <w:tcBorders>
              <w:bottom w:val="double" w:sz="6" w:space="0" w:color="000000"/>
            </w:tcBorders>
            <w:vAlign w:val="center"/>
          </w:tcPr>
          <w:p>
            <w:pPr>
              <w:pStyle w:val="TableContents"/>
              <w:bidi w:val="0"/>
              <w:spacing w:before="0" w:after="283"/>
              <w:jc w:val="left"/>
              <w:rPr/>
            </w:pPr>
            <w:r>
              <w:rPr/>
              <w:t>$</w:t>
            </w:r>
          </w:p>
        </w:tc>
        <w:tc>
          <w:tcPr>
            <w:tcW w:w="1856" w:type="dxa"/>
            <w:tcBorders>
              <w:bottom w:val="double" w:sz="6" w:space="0" w:color="000000"/>
            </w:tcBorders>
            <w:vAlign w:val="center"/>
          </w:tcPr>
          <w:p>
            <w:pPr>
              <w:pStyle w:val="TableContents"/>
              <w:bidi w:val="0"/>
              <w:spacing w:before="0" w:after="283"/>
              <w:jc w:val="right"/>
              <w:rPr/>
            </w:pPr>
            <w:r>
              <w:rPr/>
              <w:t>2,052</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7"/>
        <w:gridCol w:w="9891"/>
      </w:tblGrid>
      <w:tr>
        <w:trPr/>
        <w:tc>
          <w:tcPr>
            <w:tcW w:w="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osition w:val="8"/>
                <w:sz w:val="19"/>
              </w:rPr>
            </w:pPr>
            <w:r>
              <w:rPr>
                <w:position w:val="8"/>
                <w:sz w:val="19"/>
              </w:rPr>
              <w:t>(1)</w:t>
            </w:r>
          </w:p>
        </w:tc>
        <w:tc>
          <w:tcPr>
            <w:tcW w:w="9891" w:type="dxa"/>
            <w:tcBorders/>
            <w:vAlign w:val="center"/>
          </w:tcPr>
          <w:p>
            <w:pPr>
              <w:pStyle w:val="TableContents"/>
              <w:bidi w:val="0"/>
              <w:spacing w:before="0" w:after="283"/>
              <w:jc w:val="left"/>
              <w:rPr/>
            </w:pPr>
            <w:r>
              <w:rPr/>
              <w:t>Shares purchased pursuant to the May 9, 2022, publicly announced share repurchase authorization of up to approximately $10,000 of the Company’s outstanding common stock.</w:t>
            </w:r>
          </w:p>
        </w:tc>
      </w:tr>
    </w:tbl>
    <w:tbl>
      <w:tblPr>
        <w:tblW w:w="5000" w:type="pct"/>
        <w:jc w:val="left"/>
        <w:tblInd w:w="0" w:type="dxa"/>
        <w:tblLayout w:type="fixed"/>
        <w:tblCellMar>
          <w:top w:w="0" w:type="dxa"/>
          <w:left w:w="0" w:type="dxa"/>
          <w:bottom w:w="0" w:type="dxa"/>
          <w:right w:w="0" w:type="dxa"/>
        </w:tblCellMar>
      </w:tblPr>
      <w:tblGrid>
        <w:gridCol w:w="67"/>
        <w:gridCol w:w="248"/>
        <w:gridCol w:w="9890"/>
      </w:tblGrid>
      <w:tr>
        <w:trPr/>
        <w:tc>
          <w:tcPr>
            <w:tcW w:w="6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osition w:val="8"/>
                <w:sz w:val="19"/>
              </w:rPr>
            </w:pPr>
            <w:r>
              <w:rPr>
                <w:position w:val="8"/>
                <w:sz w:val="19"/>
              </w:rPr>
              <w:t>(2)</w:t>
            </w:r>
          </w:p>
        </w:tc>
        <w:tc>
          <w:tcPr>
            <w:tcW w:w="9890" w:type="dxa"/>
            <w:tcBorders/>
            <w:vAlign w:val="center"/>
          </w:tcPr>
          <w:p>
            <w:pPr>
              <w:pStyle w:val="TableContents"/>
              <w:bidi w:val="0"/>
              <w:spacing w:before="0" w:after="283"/>
              <w:jc w:val="left"/>
              <w:rPr/>
            </w:pPr>
            <w:r>
              <w:rPr/>
              <w:t>Maximum dollar value of shares that may yet be purchased consist of up to approximately $2,052 under the May 9, 2022, publicly announced share repurchase authorization.</w:t>
            </w:r>
          </w:p>
        </w:tc>
      </w:tr>
    </w:tbl>
    <w:tbl>
      <w:tblPr>
        <w:tblW w:w="5000" w:type="pct"/>
        <w:jc w:val="left"/>
        <w:tblInd w:w="0" w:type="dxa"/>
        <w:tblLayout w:type="fixed"/>
        <w:tblCellMar>
          <w:top w:w="0" w:type="dxa"/>
          <w:left w:w="0" w:type="dxa"/>
          <w:bottom w:w="0" w:type="dxa"/>
          <w:right w:w="0" w:type="dxa"/>
        </w:tblCellMar>
      </w:tblPr>
      <w:tblGrid>
        <w:gridCol w:w="67"/>
        <w:gridCol w:w="242"/>
        <w:gridCol w:w="9896"/>
      </w:tblGrid>
      <w:tr>
        <w:trPr/>
        <w:tc>
          <w:tcPr>
            <w:tcW w:w="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osition w:val="8"/>
                <w:sz w:val="19"/>
              </w:rPr>
            </w:pPr>
            <w:r>
              <w:rPr>
                <w:position w:val="8"/>
                <w:sz w:val="19"/>
              </w:rPr>
              <w:t>(3)</w:t>
            </w:r>
          </w:p>
        </w:tc>
        <w:tc>
          <w:tcPr>
            <w:tcW w:w="9896" w:type="dxa"/>
            <w:tcBorders/>
            <w:vAlign w:val="center"/>
          </w:tcPr>
          <w:p>
            <w:pPr>
              <w:pStyle w:val="TableContents"/>
              <w:bidi w:val="0"/>
              <w:spacing w:before="0" w:after="283"/>
              <w:jc w:val="left"/>
              <w:rPr/>
            </w:pPr>
            <w:r>
              <w:rPr/>
              <w:t>The Inflation Reduction Act of 2022 imposed a 1% excise tax on the net value of certain share repurchases made after December 31, 2022. All dollar amounts presented exclude such excise taxes,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3. -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4. -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5.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2025, none of our directors or executive officers (as defined in Rule 16a-1(f) under the Exchange Act) adopted or terminated any “Rule 10b5-1 trading arrangement” or “non-Rule 10b5-1 trading arrangement” (as each term is defined in Item 408(a) of Regulation 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6. -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8" w:type="dxa"/>
          <w:bottom w:w="200" w:type="dxa"/>
          <w:right w:w="108" w:type="dxa"/>
        </w:tblCellMar>
      </w:tblPr>
      <w:tblGrid>
        <w:gridCol w:w="1238"/>
        <w:gridCol w:w="8967"/>
      </w:tblGrid>
      <w:tr>
        <w:trPr/>
        <w:tc>
          <w:tcPr>
            <w:tcW w:w="1238" w:type="dxa"/>
            <w:tcBorders>
              <w:top w:val="double" w:sz="4" w:space="0" w:color="000000"/>
              <w:left w:val="double" w:sz="4" w:space="0" w:color="000000"/>
              <w:bottom w:val="double" w:sz="4" w:space="0" w:color="000000"/>
              <w:right w:val="double" w:sz="4" w:space="0" w:color="000000"/>
            </w:tcBorders>
            <w:vAlign w:val="center"/>
          </w:tcPr>
          <w:p>
            <w:pPr>
              <w:pStyle w:val="TableContents"/>
              <w:bidi w:val="0"/>
              <w:spacing w:before="0" w:after="283"/>
              <w:jc w:val="left"/>
              <w:rPr/>
            </w:pPr>
            <w:r>
              <w:rPr/>
              <w:t>EXHIBIT NO.</w:t>
            </w:r>
          </w:p>
        </w:tc>
        <w:tc>
          <w:tcPr>
            <w:tcW w:w="8967" w:type="dxa"/>
            <w:tcBorders>
              <w:top w:val="double" w:sz="4" w:space="0" w:color="000000"/>
              <w:bottom w:val="double" w:sz="4" w:space="0" w:color="000000"/>
              <w:right w:val="double" w:sz="4" w:space="0" w:color="000000"/>
            </w:tcBorders>
            <w:tcMar>
              <w:left w:w="0" w:type="dxa"/>
              <w:bottom w:w="28" w:type="dxa"/>
            </w:tcMar>
            <w:vAlign w:val="center"/>
          </w:tcPr>
          <w:p>
            <w:pPr>
              <w:pStyle w:val="TableContents"/>
              <w:bidi w:val="0"/>
              <w:spacing w:before="0" w:after="283"/>
              <w:jc w:val="left"/>
              <w:rPr/>
            </w:pPr>
            <w:r>
              <w:rPr/>
              <w:t>DESCRIPTION OF EXHIBIT</w:t>
            </w:r>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31.1*</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hyperlink w:anchor="ex31-1.htm">
              <w:r>
                <w:rPr>
                  <w:rStyle w:val="InternetLink"/>
                </w:rPr>
                <w:t>Certification of Principal Executive Officer Pursuant to Rules 13a-14(a) and 15d-14(a) under the Securities Exchange Act of 1934, as Adopted Pursuant to Section 302 of the Sarbanes-Oxley Act of 2002.</w:t>
              </w:r>
            </w:hyperlink>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31.2*</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hyperlink w:anchor="ex32-1.htm">
              <w:r>
                <w:rPr>
                  <w:rStyle w:val="InternetLink"/>
                </w:rPr>
                <w:t>Certification of Principal Financial Officer Pursuant to Rules 13a-14(a) and 15d-14(a) under the Securities Exchange Act of 1934, as Adopted Pursuant to Section 302 of the Sarbanes-Oxley Act of 2002.</w:t>
              </w:r>
            </w:hyperlink>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32**</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hyperlink w:anchor="ex32.htm">
              <w:r>
                <w:rPr>
                  <w:rStyle w:val="InternetLink"/>
                </w:rPr>
                <w:t>Certification of Principal Executive Officer and Principal Financial Officer Pursuant to 18 U.S.C. Section 1350, as Adopted Pursuant to Section 906 of the Sarbanes-Oxley Act of 2002.</w:t>
              </w:r>
            </w:hyperlink>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101.INS***</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101.SCH**</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Schema Linkbase Document</w:t>
            </w:r>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101.CAL**</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Calculation Linkbase Document</w:t>
            </w:r>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101.DEF**</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Definition Linkbase Document</w:t>
            </w:r>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101.LAB**</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Label Linkbase Document</w:t>
            </w:r>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101.PRE**</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Presentation Linkbase Document</w:t>
            </w:r>
          </w:p>
        </w:tc>
      </w:tr>
      <w:tr>
        <w:trPr/>
        <w:tc>
          <w:tcPr>
            <w:tcW w:w="1238"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104</w:t>
            </w:r>
          </w:p>
        </w:tc>
        <w:tc>
          <w:tcPr>
            <w:tcW w:w="8967"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bookmarkStart w:id="22" w:name="a_021"/>
      <w:bookmarkEnd w:id="22"/>
      <w:r>
        <w:rPr>
          <w:rFonts w:ascii="Times New Roman;Times;Serif" w:hAnsi="Times New Roman;Times;Serif"/>
          <w:b w:val="false"/>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on August 8, 2025.</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105"/>
        <w:gridCol w:w="3155"/>
      </w:tblGrid>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INC.</w:t>
            </w:r>
          </w:p>
          <w:p>
            <w:pPr>
              <w:pStyle w:val="TableContents"/>
              <w:bidi w:val="0"/>
              <w:spacing w:before="0" w:after="0"/>
              <w:ind w:left="0" w:right="0" w:hanging="0"/>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Seth C. Daggett</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sz w:val="20"/>
              </w:rPr>
            </w:pPr>
            <w:r>
              <w:rPr>
                <w:sz w:val="20"/>
              </w:rPr>
              <w:t>Seth C. Daggett</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Matthew J. Maki</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sz w:val="20"/>
              </w:rPr>
            </w:pPr>
            <w:r>
              <w:rPr>
                <w:sz w:val="20"/>
              </w:rPr>
              <w:t>Matthew J. Maki</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bl>
    <w:p>
      <w:pPr>
        <w:pStyle w:val="TextBody"/>
        <w:bidi w:val="0"/>
        <w:spacing w:before="0" w:after="0"/>
        <w:ind w:left="0" w:right="0" w:firstLine="600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x31-1.htm"/>
      <w:bookmarkStart w:id="24" w:name="ksex311"/>
      <w:bookmarkEnd w:id="23"/>
      <w:bookmarkEnd w:id="24"/>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Seth C. Daggett,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5260" w:type="dxa"/>
        <w:jc w:val="center"/>
        <w:tblInd w:w="0" w:type="dxa"/>
        <w:tblLayout w:type="fixed"/>
        <w:tblCellMar>
          <w:top w:w="0" w:type="dxa"/>
          <w:left w:w="0" w:type="dxa"/>
          <w:bottom w:w="0" w:type="dxa"/>
          <w:right w:w="0" w:type="dxa"/>
        </w:tblCellMar>
      </w:tblPr>
      <w:tblGrid>
        <w:gridCol w:w="75"/>
        <w:gridCol w:w="1490"/>
        <w:gridCol w:w="3620"/>
        <w:gridCol w:w="75"/>
      </w:tblGrid>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August 8, 2025</w:t>
            </w:r>
          </w:p>
        </w:tc>
        <w:tc>
          <w:tcPr>
            <w:tcW w:w="3620" w:type="dxa"/>
            <w:tcBorders>
              <w:bottom w:val="single" w:sz="8" w:space="0" w:color="000000"/>
            </w:tcBorders>
            <w:tcMar>
              <w:bottom w:w="28" w:type="dxa"/>
            </w:tcMar>
            <w:vAlign w:val="center"/>
          </w:tcPr>
          <w:p>
            <w:pPr>
              <w:pStyle w:val="TableContents"/>
              <w:bidi w:val="0"/>
              <w:spacing w:before="0" w:after="283"/>
              <w:jc w:val="left"/>
              <w:rPr/>
            </w:pPr>
            <w:r>
              <w:rPr/>
              <w:t>/s/ Seth C. Daggett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Seth C. Daggett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President and Chief Executive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 </w:t>
            </w:r>
            <w:r>
              <w:rPr/>
              <w:t>(</w:t>
            </w:r>
            <w:r>
              <w:rPr>
                <w:i/>
              </w:rPr>
              <w:t>Principal Executive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x31-2.htm"/>
      <w:bookmarkStart w:id="26" w:name="ksex312"/>
      <w:bookmarkEnd w:id="25"/>
      <w:bookmarkEnd w:id="2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Matthew J. Maki,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4450" w:type="dxa"/>
        <w:jc w:val="center"/>
        <w:tblInd w:w="0" w:type="dxa"/>
        <w:tblLayout w:type="fixed"/>
        <w:tblCellMar>
          <w:top w:w="0" w:type="dxa"/>
          <w:left w:w="0" w:type="dxa"/>
          <w:bottom w:w="0" w:type="dxa"/>
          <w:right w:w="0" w:type="dxa"/>
        </w:tblCellMar>
      </w:tblPr>
      <w:tblGrid>
        <w:gridCol w:w="75"/>
        <w:gridCol w:w="1490"/>
        <w:gridCol w:w="2810"/>
        <w:gridCol w:w="75"/>
      </w:tblGrid>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August 8, 2025</w:t>
            </w:r>
          </w:p>
        </w:tc>
        <w:tc>
          <w:tcPr>
            <w:tcW w:w="2810" w:type="dxa"/>
            <w:tcBorders>
              <w:bottom w:val="single" w:sz="8" w:space="0" w:color="000000"/>
            </w:tcBorders>
            <w:tcMar>
              <w:bottom w:w="28" w:type="dxa"/>
            </w:tcMar>
            <w:vAlign w:val="center"/>
          </w:tcPr>
          <w:p>
            <w:pPr>
              <w:pStyle w:val="TableContents"/>
              <w:bidi w:val="0"/>
              <w:spacing w:before="0" w:after="283"/>
              <w:jc w:val="left"/>
              <w:rPr/>
            </w:pPr>
            <w:r>
              <w:rPr/>
              <w:t>/s/ Matthew J. Maki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2810" w:type="dxa"/>
            <w:tcBorders/>
            <w:vAlign w:val="center"/>
          </w:tcPr>
          <w:p>
            <w:pPr>
              <w:pStyle w:val="TableContents"/>
              <w:bidi w:val="0"/>
              <w:spacing w:before="0" w:after="283"/>
              <w:jc w:val="left"/>
              <w:rPr/>
            </w:pPr>
            <w:r>
              <w:rPr/>
              <w:t>Matthew J. Maki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2810" w:type="dxa"/>
            <w:tcBorders/>
            <w:vAlign w:val="center"/>
          </w:tcPr>
          <w:p>
            <w:pPr>
              <w:pStyle w:val="TableContents"/>
              <w:bidi w:val="0"/>
              <w:spacing w:before="0" w:after="283"/>
              <w:jc w:val="left"/>
              <w:rPr/>
            </w:pPr>
            <w:r>
              <w:rPr/>
              <w:t xml:space="preserve">Chief Financial Officer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2810" w:type="dxa"/>
            <w:tcBorders/>
            <w:vAlign w:val="center"/>
          </w:tcPr>
          <w:p>
            <w:pPr>
              <w:pStyle w:val="TableContents"/>
              <w:bidi w:val="0"/>
              <w:spacing w:before="0" w:after="283"/>
              <w:jc w:val="left"/>
              <w:rPr/>
            </w:pPr>
            <w:r>
              <w:rPr/>
              <w:t> </w:t>
            </w:r>
            <w:r>
              <w:rPr/>
              <w:t>(</w:t>
            </w:r>
            <w:r>
              <w:rPr>
                <w:i/>
              </w:rPr>
              <w:t>Principal Financial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x32.htm"/>
      <w:bookmarkStart w:id="28" w:name="ksex32"/>
      <w:bookmarkEnd w:id="27"/>
      <w:bookmarkEnd w:id="28"/>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w:t>
        <w:br/>
        <w:t>18 U.S.C. SECTION 1350,</w:t>
        <w:br/>
        <w:t>AS ADOPTED PURSUANT TO</w:t>
        <w:b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NI Holdings, Inc. (the “Company”) on Form 10-Q for the period ended June 30, 2025, as filed with the Securities and Exchange Commission on the date hereof (the “Report”), we, Seth C. Daggett, President and Chief Executive Officer, and Matthew J. Maki, Chief Financial Officer, of the Company, certify, pursuant to 18 U.S.C. Section 1350, as adopted pursuant to Section 906 of the Sarbanes-Oxley Act of 2002, that, to our knowledge: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caps w:val="false"/>
          <w:smallCaps w:val="false"/>
        </w:rPr>
      </w:pPr>
      <w:r>
        <w:rPr>
          <w:caps w:val="false"/>
          <w:smallCaps w:val="false"/>
        </w:rPr>
        <w:t> </w:t>
      </w:r>
    </w:p>
    <w:tbl>
      <w:tblPr>
        <w:tblW w:w="5260" w:type="dxa"/>
        <w:jc w:val="center"/>
        <w:tblInd w:w="0" w:type="dxa"/>
        <w:tblLayout w:type="fixed"/>
        <w:tblCellMar>
          <w:top w:w="0" w:type="dxa"/>
          <w:left w:w="0" w:type="dxa"/>
          <w:bottom w:w="0" w:type="dxa"/>
          <w:right w:w="0" w:type="dxa"/>
        </w:tblCellMar>
      </w:tblPr>
      <w:tblGrid>
        <w:gridCol w:w="75"/>
        <w:gridCol w:w="1490"/>
        <w:gridCol w:w="3620"/>
        <w:gridCol w:w="75"/>
      </w:tblGrid>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August 8, 2025</w:t>
            </w:r>
          </w:p>
        </w:tc>
        <w:tc>
          <w:tcPr>
            <w:tcW w:w="3620" w:type="dxa"/>
            <w:tcBorders>
              <w:bottom w:val="single" w:sz="8" w:space="0" w:color="000000"/>
            </w:tcBorders>
            <w:tcMar>
              <w:bottom w:w="28" w:type="dxa"/>
            </w:tcMar>
            <w:vAlign w:val="center"/>
          </w:tcPr>
          <w:p>
            <w:pPr>
              <w:pStyle w:val="TableContents"/>
              <w:bidi w:val="0"/>
              <w:spacing w:before="0" w:after="283"/>
              <w:jc w:val="left"/>
              <w:rPr/>
            </w:pPr>
            <w:r>
              <w:rPr/>
              <w:t>/s/ Seth C. Daggett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Seth C. Daggett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President and Chief Executive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w:t>
            </w:r>
            <w:r>
              <w:rPr>
                <w:i/>
              </w:rPr>
              <w:t>Principal Executive Officer</w:t>
            </w: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August 8, 2025</w:t>
            </w:r>
          </w:p>
        </w:tc>
        <w:tc>
          <w:tcPr>
            <w:tcW w:w="3620" w:type="dxa"/>
            <w:tcBorders>
              <w:bottom w:val="single" w:sz="8" w:space="0" w:color="000000"/>
            </w:tcBorders>
            <w:tcMar>
              <w:bottom w:w="28" w:type="dxa"/>
            </w:tcMar>
            <w:vAlign w:val="center"/>
          </w:tcPr>
          <w:p>
            <w:pPr>
              <w:pStyle w:val="TableContents"/>
              <w:bidi w:val="0"/>
              <w:spacing w:before="0" w:after="283"/>
              <w:jc w:val="left"/>
              <w:rPr/>
            </w:pPr>
            <w:r>
              <w:rPr/>
              <w:t>/s/ Matthew J. Maki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Matthew J. Maki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 xml:space="preserve">Chief Financial Officer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w:t>
            </w:r>
            <w:r>
              <w:rPr>
                <w:i/>
              </w:rPr>
              <w:t>Principal Financial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23428</Words>
  <Characters>126173</Characters>
  <CharactersWithSpaces>155783</CharactersWithSpaces>
  <Paragraphs>15171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