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ind w:right="1740" w:firstLine="8"/>
        <w:spacing w:after="0" w:line="286" w:lineRule="auto"/>
        <w:tabs>
          <w:tab w:leader="none" w:pos="33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5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680" w:type="dxa"/>
            <w:vAlign w:val="bottom"/>
          </w:tcPr>
          <w:p>
            <w:pPr>
              <w:spacing w:after="0"/>
              <w:rPr>
                <w:sz w:val="17"/>
                <w:szCs w:val="17"/>
                <w:color w:val="auto"/>
              </w:rPr>
            </w:pPr>
          </w:p>
        </w:tc>
        <w:tc>
          <w:tcPr>
            <w:tcW w:w="46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3520" w:type="dxa"/>
            <w:vAlign w:val="bottom"/>
          </w:tcPr>
          <w:p>
            <w:pPr>
              <w:spacing w:after="0"/>
              <w:rPr>
                <w:sz w:val="17"/>
                <w:szCs w:val="17"/>
                <w:color w:val="auto"/>
              </w:rPr>
            </w:pPr>
          </w:p>
        </w:tc>
      </w:tr>
      <w:tr>
        <w:trPr>
          <w:trHeight w:val="412"/>
        </w:trPr>
        <w:tc>
          <w:tcPr>
            <w:tcW w:w="23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7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Commission file number 001-37973</w:t>
            </w:r>
          </w:p>
        </w:tc>
        <w:tc>
          <w:tcPr>
            <w:tcW w:w="3520" w:type="dxa"/>
            <w:vAlign w:val="bottom"/>
          </w:tcPr>
          <w:p>
            <w:pPr>
              <w:spacing w:after="0"/>
              <w:rPr>
                <w:sz w:val="24"/>
                <w:szCs w:val="24"/>
                <w:color w:val="auto"/>
              </w:rPr>
            </w:pPr>
          </w:p>
        </w:tc>
      </w:tr>
      <w:tr>
        <w:trPr>
          <w:trHeight w:val="75"/>
        </w:trPr>
        <w:tc>
          <w:tcPr>
            <w:tcW w:w="23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780" w:type="dxa"/>
            <w:vAlign w:val="bottom"/>
            <w:tcBorders>
              <w:top w:val="single" w:sz="8" w:color="auto"/>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520" w:type="dxa"/>
            <w:vAlign w:val="bottom"/>
            <w:tcBorders>
              <w:bottom w:val="single" w:sz="8" w:color="auto"/>
            </w:tcBorders>
          </w:tcPr>
          <w:p>
            <w:pPr>
              <w:spacing w:after="0"/>
              <w:rPr>
                <w:sz w:val="6"/>
                <w:szCs w:val="6"/>
                <w:color w:val="auto"/>
              </w:rPr>
            </w:pPr>
          </w:p>
        </w:tc>
      </w:tr>
      <w:tr>
        <w:trPr>
          <w:trHeight w:val="417"/>
        </w:trPr>
        <w:tc>
          <w:tcPr>
            <w:tcW w:w="2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 HOLDINGS, INC.</w:t>
            </w:r>
          </w:p>
        </w:tc>
        <w:tc>
          <w:tcPr>
            <w:tcW w:w="3520" w:type="dxa"/>
            <w:vAlign w:val="bottom"/>
          </w:tcPr>
          <w:p>
            <w:pPr>
              <w:spacing w:after="0"/>
              <w:rPr>
                <w:sz w:val="24"/>
                <w:szCs w:val="24"/>
                <w:color w:val="auto"/>
              </w:rPr>
            </w:pPr>
          </w:p>
        </w:tc>
      </w:tr>
      <w:tr>
        <w:trPr>
          <w:trHeight w:val="238"/>
        </w:trPr>
        <w:tc>
          <w:tcPr>
            <w:tcW w:w="2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520" w:type="dxa"/>
            <w:vAlign w:val="bottom"/>
          </w:tcPr>
          <w:p>
            <w:pPr>
              <w:spacing w:after="0"/>
              <w:rPr>
                <w:sz w:val="20"/>
                <w:szCs w:val="20"/>
                <w:color w:val="auto"/>
              </w:rPr>
            </w:pPr>
          </w:p>
        </w:tc>
      </w:tr>
      <w:tr>
        <w:trPr>
          <w:trHeight w:val="410"/>
        </w:trPr>
        <w:tc>
          <w:tcPr>
            <w:tcW w:w="7720" w:type="dxa"/>
            <w:vAlign w:val="bottom"/>
            <w:gridSpan w:val="7"/>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8"/>
              </w:rPr>
              <w:t>NORTH DAKOTA</w:t>
            </w:r>
          </w:p>
        </w:tc>
        <w:tc>
          <w:tcPr>
            <w:tcW w:w="352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81-2683619</w:t>
            </w:r>
          </w:p>
        </w:tc>
      </w:tr>
      <w:tr>
        <w:trPr>
          <w:trHeight w:val="216"/>
        </w:trPr>
        <w:tc>
          <w:tcPr>
            <w:tcW w:w="7720" w:type="dxa"/>
            <w:vAlign w:val="bottom"/>
            <w:gridSpan w:val="7"/>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7720" w:type="dxa"/>
            <w:vAlign w:val="bottom"/>
            <w:gridSpan w:val="7"/>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7720" w:type="dxa"/>
            <w:vAlign w:val="bottom"/>
            <w:gridSpan w:val="7"/>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8"/>
              </w:rPr>
              <w:t>1101 First Avenue North</w:t>
            </w:r>
          </w:p>
        </w:tc>
        <w:tc>
          <w:tcPr>
            <w:tcW w:w="3520" w:type="dxa"/>
            <w:vAlign w:val="bottom"/>
          </w:tcPr>
          <w:p>
            <w:pPr>
              <w:spacing w:after="0"/>
              <w:rPr>
                <w:sz w:val="24"/>
                <w:szCs w:val="24"/>
                <w:color w:val="auto"/>
              </w:rPr>
            </w:pPr>
          </w:p>
        </w:tc>
      </w:tr>
      <w:tr>
        <w:trPr>
          <w:trHeight w:val="216"/>
        </w:trPr>
        <w:tc>
          <w:tcPr>
            <w:tcW w:w="7720" w:type="dxa"/>
            <w:vAlign w:val="bottom"/>
            <w:gridSpan w:val="7"/>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Fargo, North Dakota</w:t>
            </w:r>
          </w:p>
        </w:tc>
        <w:tc>
          <w:tcPr>
            <w:tcW w:w="3520" w:type="dxa"/>
            <w:vAlign w:val="bottom"/>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58102</w:t>
            </w:r>
          </w:p>
        </w:tc>
      </w:tr>
      <w:tr>
        <w:trPr>
          <w:trHeight w:val="216"/>
        </w:trPr>
        <w:tc>
          <w:tcPr>
            <w:tcW w:w="7720" w:type="dxa"/>
            <w:vAlign w:val="bottom"/>
            <w:gridSpan w:val="7"/>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52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216"/>
        </w:trPr>
        <w:tc>
          <w:tcPr>
            <w:tcW w:w="2380" w:type="dxa"/>
            <w:vAlign w:val="bottom"/>
          </w:tcPr>
          <w:p>
            <w:pPr>
              <w:spacing w:after="0"/>
              <w:rPr>
                <w:sz w:val="18"/>
                <w:szCs w:val="18"/>
                <w:color w:val="auto"/>
              </w:rPr>
            </w:pPr>
          </w:p>
        </w:tc>
        <w:tc>
          <w:tcPr>
            <w:tcW w:w="3820" w:type="dxa"/>
            <w:vAlign w:val="bottom"/>
            <w:gridSpan w:val="4"/>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(701) 298-4200</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8"/>
        </w:trPr>
        <w:tc>
          <w:tcPr>
            <w:tcW w:w="2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5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00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41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NODK</w:t>
            </w:r>
          </w:p>
        </w:tc>
        <w:tc>
          <w:tcPr>
            <w:tcW w:w="100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9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32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2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r>
      <w:tr>
        <w:trPr>
          <w:trHeight w:val="519"/>
        </w:trPr>
        <w:tc>
          <w:tcPr>
            <w:tcW w:w="25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i</w:t>
            </w: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9" w:right="33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tabs>
          <w:tab w:leader="none" w:pos="8340" w:val="left"/>
          <w:tab w:leader="none" w:pos="90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7"/>
          <w:szCs w:val="17"/>
          <w:color w:val="auto"/>
        </w:rPr>
        <w:t>No</w:t>
      </w:r>
      <w:r>
        <w:rPr>
          <w:rFonts w:ascii="MS PGothic" w:cs="MS PGothic" w:eastAsia="MS PGothic" w:hAnsi="MS PGothic"/>
          <w:sz w:val="17"/>
          <w:szCs w:val="17"/>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on April 30, 2025 was 20,698,574. No preferred shares are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53"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60" w:type="dxa"/>
            <w:vAlign w:val="bottom"/>
            <w:gridSpan w:val="10"/>
          </w:tcPr>
          <w:p>
            <w:pPr>
              <w:ind w:left="1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0"/>
                <w:szCs w:val="20"/>
                <w:color w:val="auto"/>
              </w:rPr>
            </w:pPr>
          </w:p>
        </w:tc>
      </w:tr>
      <w:tr>
        <w:trPr>
          <w:trHeight w:val="392"/>
        </w:trPr>
        <w:tc>
          <w:tcPr>
            <w:tcW w:w="29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7"/>
              </w:rPr>
              <w:t>FORWARD-LOOKING STATEMENTS</w:t>
            </w:r>
          </w:p>
        </w:tc>
        <w:tc>
          <w:tcPr>
            <w:tcW w:w="762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30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PART I. - FINANCIAL INFORMATION</w:t>
            </w:r>
          </w:p>
        </w:tc>
        <w:tc>
          <w:tcPr>
            <w:tcW w:w="756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660" w:type="dxa"/>
            <w:vAlign w:val="bottom"/>
          </w:tcPr>
          <w:p>
            <w:pPr>
              <w:spacing w:after="0"/>
              <w:rPr>
                <w:sz w:val="24"/>
                <w:szCs w:val="24"/>
                <w:color w:val="auto"/>
              </w:rPr>
            </w:pPr>
          </w:p>
        </w:tc>
        <w:tc>
          <w:tcPr>
            <w:tcW w:w="21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Item 1. - Financial Statements</w:t>
            </w:r>
          </w:p>
        </w:tc>
        <w:tc>
          <w:tcPr>
            <w:tcW w:w="774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72"/>
        </w:trPr>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Consolidated Balance Sheets – March 31, 2025 (Unaudited) and December 31, 2024</w:t>
            </w:r>
          </w:p>
        </w:tc>
        <w:tc>
          <w:tcPr>
            <w:tcW w:w="316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(Unaudited) – Three months Ended March 31, 2025 and 2024</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7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(Loss) (Unaudited) – Three Months Ended March 31, 2025 and 2024</w:t>
            </w:r>
          </w:p>
        </w:tc>
        <w:tc>
          <w:tcPr>
            <w:tcW w:w="5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(Unaudited) – Three Months Ended March 31, 2025 and</w:t>
            </w:r>
          </w:p>
        </w:tc>
        <w:tc>
          <w:tcPr>
            <w:tcW w:w="680" w:type="dxa"/>
            <w:vAlign w:val="bottom"/>
          </w:tcPr>
          <w:p>
            <w:pPr>
              <w:spacing w:after="0"/>
              <w:rPr>
                <w:sz w:val="17"/>
                <w:szCs w:val="17"/>
                <w:color w:val="auto"/>
              </w:rPr>
            </w:pPr>
          </w:p>
        </w:tc>
      </w:tr>
      <w:tr>
        <w:trPr>
          <w:trHeight w:val="196"/>
        </w:trPr>
        <w:tc>
          <w:tcPr>
            <w:tcW w:w="1300" w:type="dxa"/>
            <w:vAlign w:val="bottom"/>
            <w:gridSpan w:val="2"/>
          </w:tcPr>
          <w:p>
            <w:pPr>
              <w:spacing w:after="0"/>
              <w:rPr>
                <w:sz w:val="17"/>
                <w:szCs w:val="17"/>
                <w:color w:val="auto"/>
              </w:rPr>
            </w:pPr>
          </w:p>
        </w:tc>
        <w:tc>
          <w:tcPr>
            <w:tcW w:w="1020" w:type="dxa"/>
            <w:vAlign w:val="bottom"/>
            <w:tcBorders>
              <w:top w:val="single" w:sz="8" w:color="0000EE"/>
            </w:tcBorders>
            <w:gridSpan w:val="4"/>
          </w:tcPr>
          <w:p>
            <w:pPr>
              <w:ind w:left="660"/>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 – Three Months Ended March 31, 2025 and 2024</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3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Consolidated Financial Statements</w:t>
            </w:r>
          </w:p>
        </w:tc>
        <w:tc>
          <w:tcPr>
            <w:tcW w:w="188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71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Item 2. - Management’s Discussion and Analysis of Financial Condition and Results of Operations</w:t>
            </w:r>
          </w:p>
        </w:tc>
        <w:tc>
          <w:tcPr>
            <w:tcW w:w="278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96"/>
        </w:trPr>
        <w:tc>
          <w:tcPr>
            <w:tcW w:w="660" w:type="dxa"/>
            <w:vAlign w:val="bottom"/>
          </w:tcPr>
          <w:p>
            <w:pPr>
              <w:spacing w:after="0"/>
              <w:rPr>
                <w:sz w:val="17"/>
                <w:szCs w:val="17"/>
                <w:color w:val="auto"/>
              </w:rPr>
            </w:pPr>
          </w:p>
        </w:tc>
        <w:tc>
          <w:tcPr>
            <w:tcW w:w="99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660" w:type="dxa"/>
            <w:vAlign w:val="bottom"/>
          </w:tcPr>
          <w:p>
            <w:pPr>
              <w:spacing w:after="0"/>
              <w:rPr>
                <w:sz w:val="17"/>
                <w:szCs w:val="17"/>
                <w:color w:val="auto"/>
              </w:rPr>
            </w:pPr>
          </w:p>
        </w:tc>
        <w:tc>
          <w:tcPr>
            <w:tcW w:w="49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494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6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72"/>
        </w:trPr>
        <w:tc>
          <w:tcPr>
            <w:tcW w:w="10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Part II. - 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6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99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 - Legal Proceedings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96"/>
        </w:trPr>
        <w:tc>
          <w:tcPr>
            <w:tcW w:w="66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 - Risk Factors</w:t>
            </w:r>
          </w:p>
        </w:tc>
        <w:tc>
          <w:tcPr>
            <w:tcW w:w="280" w:type="dxa"/>
            <w:vAlign w:val="bottom"/>
            <w:tcBorders>
              <w:top w:val="single" w:sz="8" w:color="0000EE"/>
            </w:tcBorders>
            <w:gridSpan w:val="3"/>
          </w:tcPr>
          <w:p>
            <w:pPr>
              <w:spacing w:after="0"/>
              <w:rPr>
                <w:sz w:val="17"/>
                <w:szCs w:val="17"/>
                <w:color w:val="auto"/>
              </w:rPr>
            </w:pPr>
          </w:p>
        </w:tc>
        <w:tc>
          <w:tcPr>
            <w:tcW w:w="792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660" w:type="dxa"/>
            <w:vAlign w:val="bottom"/>
          </w:tcPr>
          <w:p>
            <w:pPr>
              <w:spacing w:after="0"/>
              <w:rPr>
                <w:sz w:val="17"/>
                <w:szCs w:val="17"/>
                <w:color w:val="auto"/>
              </w:rPr>
            </w:pPr>
          </w:p>
        </w:tc>
        <w:tc>
          <w:tcPr>
            <w:tcW w:w="99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66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 Defaults upon Senior Securities</w:t>
            </w:r>
          </w:p>
        </w:tc>
        <w:tc>
          <w:tcPr>
            <w:tcW w:w="2060" w:type="dxa"/>
            <w:vAlign w:val="bottom"/>
            <w:tcBorders>
              <w:top w:val="single" w:sz="8" w:color="0000EE"/>
            </w:tcBorders>
            <w:gridSpan w:val="3"/>
          </w:tcPr>
          <w:p>
            <w:pPr>
              <w:spacing w:after="0"/>
              <w:rPr>
                <w:sz w:val="17"/>
                <w:szCs w:val="17"/>
                <w:color w:val="auto"/>
              </w:rPr>
            </w:pPr>
          </w:p>
        </w:tc>
        <w:tc>
          <w:tcPr>
            <w:tcW w:w="490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660" w:type="dxa"/>
            <w:vAlign w:val="bottom"/>
          </w:tcPr>
          <w:p>
            <w:pPr>
              <w:spacing w:after="0"/>
              <w:rPr>
                <w:sz w:val="17"/>
                <w:szCs w:val="17"/>
                <w:color w:val="auto"/>
              </w:rPr>
            </w:pPr>
          </w:p>
        </w:tc>
        <w:tc>
          <w:tcPr>
            <w:tcW w:w="99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4. - Mine Safety Disclosures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660" w:type="dxa"/>
            <w:vAlign w:val="bottom"/>
          </w:tcPr>
          <w:p>
            <w:pPr>
              <w:spacing w:after="0"/>
              <w:rPr>
                <w:sz w:val="17"/>
                <w:szCs w:val="17"/>
                <w:color w:val="auto"/>
              </w:rPr>
            </w:pPr>
          </w:p>
        </w:tc>
        <w:tc>
          <w:tcPr>
            <w:tcW w:w="2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Item 5. - Other Information</w:t>
            </w:r>
          </w:p>
        </w:tc>
        <w:tc>
          <w:tcPr>
            <w:tcW w:w="748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66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 - Exhibits</w:t>
            </w:r>
          </w:p>
        </w:tc>
        <w:tc>
          <w:tcPr>
            <w:tcW w:w="700" w:type="dxa"/>
            <w:vAlign w:val="bottom"/>
            <w:tcBorders>
              <w:top w:val="single" w:sz="8" w:color="0000EE"/>
            </w:tcBorders>
            <w:gridSpan w:val="5"/>
          </w:tcPr>
          <w:p>
            <w:pPr>
              <w:spacing w:after="0"/>
              <w:rPr>
                <w:sz w:val="17"/>
                <w:szCs w:val="17"/>
                <w:color w:val="auto"/>
              </w:rPr>
            </w:pPr>
          </w:p>
        </w:tc>
        <w:tc>
          <w:tcPr>
            <w:tcW w:w="794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66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9140" w:type="dxa"/>
            <w:vAlign w:val="bottom"/>
            <w:gridSpan w:val="2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bl>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ind w:left="3960"/>
        <w:spacing w:after="0"/>
        <w:rPr>
          <w:sz w:val="20"/>
          <w:szCs w:val="20"/>
          <w:color w:val="auto"/>
        </w:rPr>
      </w:pPr>
      <w:r>
        <w:rPr>
          <w:rFonts w:ascii="Times New Roman" w:cs="Times New Roman" w:eastAsia="Times New Roman" w:hAnsi="Times New Roman"/>
          <w:sz w:val="18"/>
          <w:szCs w:val="18"/>
          <w:b w:val="1"/>
          <w:bCs w:val="1"/>
          <w:color w:val="auto"/>
        </w:rPr>
        <w:t>CERTAIN IMPORTANT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as used in this Quarterly Report on Form 10-Q (“Form 10-Q”):</w:t>
      </w:r>
    </w:p>
    <w:p>
      <w:pPr>
        <w:spacing w:after="0" w:line="225" w:lineRule="exact"/>
        <w:rPr>
          <w:sz w:val="20"/>
          <w:szCs w:val="20"/>
          <w:color w:val="auto"/>
        </w:rPr>
      </w:pPr>
    </w:p>
    <w:p>
      <w:pPr>
        <w:ind w:left="660" w:right="1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 Holdings,” “the Company,” “we,” “us,” and “our” refer to NI Holdings, Inc., together with Nodak Insurance Company and its subsidiaries, Direct Auto Insurance Company, and Westminster American Insurance Company (sold on June 30, 2024), for periods discussed after completion of the conversion, and for periods discussed prior to completion of the conversion refer to Nodak Mutual Insurance Company and all of its subsidiaries and Battle Creek Mutual Insurance Company;</w:t>
      </w:r>
    </w:p>
    <w:p>
      <w:pPr>
        <w:spacing w:after="0" w:line="179"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“Nodak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Mutual Group” refers to Nodak Mutual Group, Inc., which is the majority shareholder of NI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Mutual” refers to Nodak Mutual Insurance Company, the predecessor company to Nodak Insurance Company prior to the conversion;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Insurance” refers to Nodak Insurance Company or Nodak Mutual Insurance Company interchangeably;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refers to the policyholders of Nodak Insurance, who are the named insureds under insurance policies issued by Nodak Insurance;</w:t>
      </w:r>
    </w:p>
    <w:p>
      <w:pPr>
        <w:spacing w:after="0" w:line="225"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“Battle Creek” refers to Battle Creek Mutual Insurance Company or Battle Creek Insurance Company interchangeably. Battle Creek Mutual Insurance Company became affiliated with Nodak Insurance in 2011 and, prior to January 2, 2024, was controlled by Nodak Insurance via a surplus note. The terms of the surplus note allowed Nodak Insurance to appoint two-thirds of the Battle Creek Mutual Insurance Company Board of Directors. As of January 2, 2024, the North Dakota Secretary of State approved the conversion of Battle Creek Mutual Insurance Company from a mutual insurance company to a stock insurance company. In accordance with the approved plan of conversion, the name of Battle Creek Mutual Insurance Company became Battle Creek Insurance Company, the surplus note was considered paid in full as of the conversion date, and Battle Creek became a wholly-owned subsidiary of Nodak Insurance;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Auto” refers to Direct Auto Insurance Company. Direct Auto is a wholly-owned subsidiary of NI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West” refers to American West Insurance Company. American West is a wholly-owned subsidiary of Nodak Insurance;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“Primero” refers to Primero Insurance Company. Primero is an indirect, wholly-owned subsidiary of Nodak Insurance;</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“Westminster” refers to Westminster American Insurance Company. Westminster was a wholly-owned subsidiary of NI Holdings until it was sold to Scott Insurance Holdings, LLC (“Scott Insurance Holdings”) on June 30, 2024;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Agency” refers to Nodak Agency, Inc. Nodak Agency is a wholly-owned subsidiary of Nodak Insurance.</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the Company’s statements about:</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operating and financial performance, business plans, and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reviews, capital allocation objectives, dividends, and share repurchases;</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and prospects of acquisitions, dispositions, and other business development activities, and our ability to successfully capitalize on these opportunities;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future pandemic and related economic conditions, including the potential impact on the Company's investments;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new markets successfully and capitalize on growth opportunities either through acquisitions or the expansion of our distribution network;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changes in the insurance industry, competition, and innovation and emerging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impact of, or changes to, existing or new government regulations or laws;</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macroeconomic, geopolitical, health and industry trends, pandemics, acts of war, and other large-scale crises;</w:t>
      </w:r>
    </w:p>
    <w:p>
      <w:pPr>
        <w:spacing w:after="0" w:line="161" w:lineRule="exact"/>
        <w:rPr>
          <w:rFonts w:ascii="Times New Roman" w:cs="Times New Roman" w:eastAsia="Times New Roman" w:hAnsi="Times New Roman"/>
          <w:sz w:val="18"/>
          <w:szCs w:val="18"/>
          <w:color w:val="auto"/>
        </w:rPr>
      </w:pPr>
    </w:p>
    <w:p>
      <w:pPr>
        <w:ind w:left="660" w:right="11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general economic conditions (including the impact of tariffs), domestic and global financial markets, interest rates, unemployment, or inflation, that could affect the performance of our insurance operations and/or investment portfolio;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future growth, including additional necessary capital, systems, and personnel.</w:t>
      </w:r>
    </w:p>
    <w:p>
      <w:pPr>
        <w:spacing w:after="0" w:line="22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Part II, Item 1A, “Risk Factors” of this Quarterly Report on Form 10-Q (“Form 10-Q”) and in the Part I, Item 1A, “Risk Factors” section in our Annual Report on Form 10-K for the year ended December 31, 2024 (“2024 Annual Report”). The occurrence of any of the risks identified in the Part I, Item 1A, “Risk Factors” section of the 2024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spacing w:after="0" w:line="19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Therefore, you are cautioned not to unduly rely on forward-looking statements, which speak only as of the date of this Form 10-Q.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par value)</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57,202</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50,930</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Fixed income securities, at fair value (net of allowance for expected credit losses of $0 at March 31, 2025</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December 31, 2024)</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314,303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307,712</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25,584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24,640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investments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09"/>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Premiums and agents' balances receivable (net of allowance for expected credit losses of $232 at March</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 2025, and $337 at December 31, 2024)</w:t>
            </w: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49,220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52,907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23,813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26,300</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Reinsurance premiums receivable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Reinsurance recoverables on losses (net of allowance for expected credit losses of $0 at March 31, 2025</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December 31, 2024)</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8,646</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12,561</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recoverable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7,255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7,324</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Receivable from Federal Crop Insurance Corporation</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11,474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13,223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11,185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11,097</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135,886</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137,288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Unearned premiums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122,063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126,498</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Reinsurance premiums payable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13,183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18,128</w:t>
            </w: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25,000,000 shares;</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23,000,000 shares; and outstanding: 2025 – 20,698,574 shares, 2024 – 20,673,268 shares</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95,783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95,796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Unearned employee stock ownership plan shares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207,997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201,584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 net of income taxes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(15,671)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(18,231)</w:t>
            </w:r>
          </w:p>
        </w:tc>
        <w:tc>
          <w:tcPr>
            <w:tcW w:w="0" w:type="dxa"/>
            <w:vAlign w:val="bottom"/>
          </w:tcPr>
          <w:p>
            <w:pPr>
              <w:spacing w:after="0"/>
              <w:rPr>
                <w:sz w:val="1"/>
                <w:szCs w:val="1"/>
                <w:color w:val="auto"/>
              </w:rPr>
            </w:pPr>
          </w:p>
        </w:tc>
      </w:tr>
      <w:tr>
        <w:trPr>
          <w:trHeight w:val="230"/>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 2025 – 2,255,946 shares, 2024 – 2,281,252 shares</w:t>
            </w:r>
          </w:p>
        </w:tc>
        <w:tc>
          <w:tcPr>
            <w:tcW w:w="1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(33,884)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(34,293)</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525,364</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526,545</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00" w:type="dxa"/>
            <w:vAlign w:val="bottom"/>
            <w:tcBorders>
              <w:bottom w:val="single" w:sz="8" w:color="auto"/>
            </w:tcBorders>
          </w:tcPr>
          <w:p>
            <w:pPr>
              <w:ind w:left="55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premiums earned</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67,497</w:t>
            </w:r>
          </w:p>
        </w:tc>
        <w:tc>
          <w:tcPr>
            <w:tcW w:w="10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69,884</w:t>
            </w: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 and other income</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2,755</w:t>
            </w:r>
          </w:p>
        </w:tc>
      </w:tr>
      <w:tr>
        <w:trPr>
          <w:trHeight w:val="230"/>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investment gains</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w:t>
            </w:r>
          </w:p>
        </w:tc>
      </w:tr>
      <w:tr>
        <w:trPr>
          <w:trHeight w:val="209"/>
        </w:trPr>
        <w:tc>
          <w:tcPr>
            <w:tcW w:w="80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74,499</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38,525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40,144</w:t>
            </w: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16,528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16,817</w:t>
            </w:r>
          </w:p>
        </w:tc>
      </w:tr>
      <w:tr>
        <w:trPr>
          <w:trHeight w:val="229"/>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8,705</w:t>
            </w:r>
          </w:p>
        </w:tc>
      </w:tr>
      <w:tr>
        <w:trPr>
          <w:trHeight w:val="210"/>
        </w:trPr>
        <w:tc>
          <w:tcPr>
            <w:tcW w:w="80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65,666</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549" w:right="339" w:bottom="1440" w:gutter="0" w:footer="0" w:header="0"/>
        </w:sectPr>
      </w:pPr>
    </w:p>
    <w:p>
      <w:pPr>
        <w:ind w:right="3240"/>
        <w:spacing w:after="0" w:line="255" w:lineRule="auto"/>
        <w:rPr>
          <w:sz w:val="20"/>
          <w:szCs w:val="20"/>
          <w:color w:val="auto"/>
        </w:rPr>
      </w:pPr>
      <w:r>
        <w:rPr>
          <w:rFonts w:ascii="Times New Roman" w:cs="Times New Roman" w:eastAsia="Times New Roman" w:hAnsi="Times New Roman"/>
          <w:sz w:val="18"/>
          <w:szCs w:val="18"/>
          <w:color w:val="auto"/>
        </w:rPr>
        <w:t>Income from continuing operations before income taxes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Net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5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7,749</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1,289</w:t>
            </w: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60" w:type="dxa"/>
            <w:vAlign w:val="bottom"/>
          </w:tcPr>
          <w:p>
            <w:pPr>
              <w:spacing w:after="0"/>
              <w:rPr>
                <w:sz w:val="20"/>
                <w:szCs w:val="20"/>
                <w:color w:val="auto"/>
              </w:rPr>
            </w:pPr>
          </w:p>
        </w:tc>
      </w:tr>
      <w:tr>
        <w:trPr>
          <w:trHeight w:val="191"/>
        </w:trPr>
        <w:tc>
          <w:tcPr>
            <w:tcW w:w="5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6,460</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6,935</w:t>
            </w:r>
          </w:p>
        </w:tc>
        <w:tc>
          <w:tcPr>
            <w:tcW w:w="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43"/>
        </w:trPr>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6,460</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60" w:type="dxa"/>
            <w:vAlign w:val="bottom"/>
          </w:tcPr>
          <w:p>
            <w:pPr>
              <w:spacing w:after="0"/>
              <w:rPr>
                <w:sz w:val="21"/>
                <w:szCs w:val="21"/>
                <w:color w:val="auto"/>
              </w:rPr>
            </w:pP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280" w:space="720"/>
            <w:col w:w="3240"/>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 from continuing operations:</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 data:</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used in basic per common share calculations</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21,014,923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20,932,774</w:t>
            </w: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securities</w:t>
            </w: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113,305</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used in diluted per common share calculations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21,096,130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21,046,079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Holding gains (losses)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Reclassification adjustment for net realized losses included in 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637"/>
        </w:trPr>
        <w:tc>
          <w:tcPr>
            <w:tcW w:w="32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3,313</w:t>
            </w:r>
          </w:p>
        </w:tc>
        <w:tc>
          <w:tcPr>
            <w:tcW w:w="32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(1,817)</w:t>
            </w:r>
          </w:p>
        </w:tc>
      </w:tr>
      <w:tr>
        <w:trPr>
          <w:trHeight w:val="234"/>
        </w:trPr>
        <w:tc>
          <w:tcPr>
            <w:tcW w:w="3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0"/>
                <w:szCs w:val="20"/>
                <w:color w:val="auto"/>
              </w:rPr>
            </w:pPr>
          </w:p>
        </w:tc>
      </w:tr>
    </w:tbl>
    <w:p>
      <w:pPr>
        <w:spacing w:after="0" w:line="20" w:lineRule="exact"/>
        <w:rPr>
          <w:sz w:val="20"/>
          <w:szCs w:val="20"/>
          <w:color w:val="auto"/>
        </w:rPr>
      </w:pPr>
    </w:p>
    <w:p>
      <w:pPr>
        <w:sectPr>
          <w:pgSz w:w="11900" w:h="16838" w:orient="portrait"/>
          <w:cols w:equalWidth="0" w:num="2">
            <w:col w:w="7280" w:space="720"/>
            <w:col w:w="3240"/>
          </w:cols>
          <w:pgMar w:left="320" w:top="765"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8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Other comprehensive income (loss), before income taxes</w:t>
            </w:r>
          </w:p>
        </w:tc>
        <w:tc>
          <w:tcPr>
            <w:tcW w:w="5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 (loss)</w:t>
            </w: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5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9,020</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5,019</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00" w:type="dxa"/>
            <w:vAlign w:val="bottom"/>
            <w:tcBorders>
              <w:bottom w:val="single" w:sz="8" w:color="auto"/>
            </w:tcBorders>
          </w:tcPr>
          <w:p>
            <w:pPr>
              <w:ind w:left="5560"/>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4"/>
          </w:tcPr>
          <w:p>
            <w:pPr>
              <w:jc w:val="right"/>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8"/>
                <w:szCs w:val="18"/>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 Net of</w:t>
            </w:r>
          </w:p>
        </w:tc>
        <w:tc>
          <w:tcPr>
            <w:tcW w:w="60" w:type="dxa"/>
            <w:vAlign w:val="bottom"/>
          </w:tcPr>
          <w:p>
            <w:pPr>
              <w:spacing w:after="0"/>
              <w:rPr>
                <w:sz w:val="18"/>
                <w:szCs w:val="18"/>
                <w:color w:val="auto"/>
              </w:rPr>
            </w:pPr>
          </w:p>
        </w:tc>
        <w:tc>
          <w:tcPr>
            <w:tcW w:w="11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4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60" w:type="dxa"/>
            <w:vAlign w:val="bottom"/>
          </w:tcPr>
          <w:p>
            <w:pPr>
              <w:spacing w:after="0"/>
              <w:rPr>
                <w:sz w:val="18"/>
                <w:szCs w:val="18"/>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8"/>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Plan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0" w:type="dxa"/>
            <w:vAlign w:val="bottom"/>
          </w:tcPr>
          <w:p>
            <w:pPr>
              <w:spacing w:after="0"/>
              <w:rPr>
                <w:sz w:val="20"/>
                <w:szCs w:val="20"/>
                <w:color w:val="auto"/>
              </w:rPr>
            </w:pPr>
          </w:p>
        </w:tc>
        <w:tc>
          <w:tcPr>
            <w:tcW w:w="13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178"/>
        </w:trPr>
        <w:tc>
          <w:tcPr>
            <w:tcW w:w="13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95,796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201,584</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(18,231)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(34,293)</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244,631</w:t>
            </w:r>
          </w:p>
        </w:tc>
        <w:tc>
          <w:tcPr>
            <w:tcW w:w="100" w:type="dxa"/>
            <w:vAlign w:val="bottom"/>
            <w:shd w:val="clear" w:color="auto" w:fill="CCEEFF"/>
          </w:tcPr>
          <w:p>
            <w:pPr>
              <w:spacing w:after="0"/>
              <w:rPr>
                <w:sz w:val="20"/>
                <w:szCs w:val="20"/>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Battle Creek</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demutualization</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tcPr>
          <w:p>
            <w:pPr>
              <w:spacing w:after="0"/>
              <w:rPr>
                <w:sz w:val="18"/>
                <w:szCs w:val="18"/>
                <w:color w:val="auto"/>
              </w:rPr>
            </w:pPr>
          </w:p>
        </w:tc>
      </w:tr>
      <w:tr>
        <w:trPr>
          <w:trHeight w:val="198"/>
        </w:trPr>
        <w:tc>
          <w:tcPr>
            <w:tcW w:w="1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2,560</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20"/>
                <w:szCs w:val="20"/>
                <w:color w:val="auto"/>
              </w:rPr>
            </w:pPr>
          </w:p>
        </w:tc>
      </w:tr>
      <w:tr>
        <w:trPr>
          <w:trHeight w:val="198"/>
        </w:trPr>
        <w:tc>
          <w:tcPr>
            <w:tcW w:w="1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r>
      <w:tr>
        <w:trPr>
          <w:trHeight w:val="198"/>
        </w:trPr>
        <w:tc>
          <w:tcPr>
            <w:tcW w:w="1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award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r>
      <w:tr>
        <w:trPr>
          <w:trHeight w:val="178"/>
        </w:trPr>
        <w:tc>
          <w:tcPr>
            <w:tcW w:w="13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95,783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207,997</w:t>
            </w:r>
          </w:p>
        </w:tc>
        <w:tc>
          <w:tcPr>
            <w:tcW w:w="120" w:type="dxa"/>
            <w:vAlign w:val="bottom"/>
          </w:tcPr>
          <w:p>
            <w:pPr>
              <w:spacing w:after="0"/>
              <w:rPr>
                <w:sz w:val="22"/>
                <w:szCs w:val="22"/>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(15,671)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(33,884)</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254,000</w:t>
            </w:r>
          </w:p>
        </w:tc>
        <w:tc>
          <w:tcPr>
            <w:tcW w:w="100" w:type="dxa"/>
            <w:vAlign w:val="bottom"/>
          </w:tcPr>
          <w:p>
            <w:pPr>
              <w:spacing w:after="0"/>
              <w:rPr>
                <w:sz w:val="22"/>
                <w:szCs w:val="22"/>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1"/>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87"/>
        </w:trPr>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1360" w:type="dxa"/>
            <w:vAlign w:val="bottom"/>
          </w:tcPr>
          <w:p>
            <w:pPr>
              <w:spacing w:after="0"/>
              <w:rPr>
                <w:sz w:val="18"/>
                <w:szCs w:val="18"/>
                <w:color w:val="auto"/>
              </w:rPr>
            </w:pPr>
          </w:p>
        </w:tc>
        <w:tc>
          <w:tcPr>
            <w:tcW w:w="10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8"/>
                <w:szCs w:val="18"/>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Loss, Net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60" w:type="dxa"/>
            <w:vAlign w:val="bottom"/>
          </w:tcPr>
          <w:p>
            <w:pPr>
              <w:spacing w:after="0"/>
              <w:rPr>
                <w:sz w:val="18"/>
                <w:szCs w:val="18"/>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8"/>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Plan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Income Taxes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178"/>
        </w:trPr>
        <w:tc>
          <w:tcPr>
            <w:tcW w:w="13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96,294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208,376</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(21,384)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(35,177)</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2,758</w:t>
            </w:r>
          </w:p>
        </w:tc>
        <w:tc>
          <w:tcPr>
            <w:tcW w:w="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250,399</w:t>
            </w:r>
          </w:p>
        </w:tc>
        <w:tc>
          <w:tcPr>
            <w:tcW w:w="100" w:type="dxa"/>
            <w:vAlign w:val="bottom"/>
            <w:shd w:val="clear" w:color="auto" w:fill="CCEEFF"/>
          </w:tcPr>
          <w:p>
            <w:pPr>
              <w:spacing w:after="0"/>
              <w:rPr>
                <w:sz w:val="20"/>
                <w:szCs w:val="20"/>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Battle Creek</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demutualization</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(2,758)</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tcPr>
          <w:p>
            <w:pPr>
              <w:spacing w:after="0"/>
              <w:rPr>
                <w:sz w:val="18"/>
                <w:szCs w:val="18"/>
                <w:color w:val="auto"/>
              </w:rPr>
            </w:pPr>
          </w:p>
        </w:tc>
      </w:tr>
      <w:tr>
        <w:trPr>
          <w:trHeight w:val="198"/>
        </w:trPr>
        <w:tc>
          <w:tcPr>
            <w:tcW w:w="1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(1,400)</w:t>
            </w:r>
          </w:p>
        </w:tc>
      </w:tr>
      <w:tr>
        <w:trPr>
          <w:trHeight w:val="198"/>
        </w:trPr>
        <w:tc>
          <w:tcPr>
            <w:tcW w:w="1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20"/>
                <w:szCs w:val="20"/>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r>
      <w:tr>
        <w:trPr>
          <w:trHeight w:val="198"/>
        </w:trPr>
        <w:tc>
          <w:tcPr>
            <w:tcW w:w="1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award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r>
      <w:tr>
        <w:trPr>
          <w:trHeight w:val="178"/>
        </w:trPr>
        <w:tc>
          <w:tcPr>
            <w:tcW w:w="13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96,320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218,451</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(23,858)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(34,599)</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255,846</w:t>
            </w:r>
          </w:p>
        </w:tc>
        <w:tc>
          <w:tcPr>
            <w:tcW w:w="100" w:type="dxa"/>
            <w:vAlign w:val="bottom"/>
          </w:tcPr>
          <w:p>
            <w:pPr>
              <w:spacing w:after="0"/>
              <w:rPr>
                <w:sz w:val="22"/>
                <w:szCs w:val="22"/>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3240" w:type="dxa"/>
            <w:vAlign w:val="bottom"/>
            <w:gridSpan w:val="7"/>
            <w:vMerge w:val="restart"/>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19"/>
                <w:szCs w:val="19"/>
                <w:color w:val="auto"/>
              </w:rPr>
            </w:pPr>
          </w:p>
        </w:tc>
        <w:tc>
          <w:tcPr>
            <w:tcW w:w="324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6,460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6,419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loss from discontinued operations, net of income taxes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flows from operating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investment gains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16,528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16,817</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(14,041)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(18,975)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3,687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0" w:type="dxa"/>
            <w:vAlign w:val="bottom"/>
          </w:tcPr>
          <w:p>
            <w:pPr>
              <w:spacing w:after="0"/>
              <w:rPr>
                <w:sz w:val="1"/>
                <w:szCs w:val="1"/>
                <w:color w:val="auto"/>
              </w:rPr>
            </w:pPr>
          </w:p>
        </w:tc>
      </w:tr>
      <w:tr>
        <w:trPr>
          <w:trHeight w:val="23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Reinsurance premiums receivable / payable</w:t>
            </w:r>
          </w:p>
        </w:tc>
        <w:tc>
          <w:tcPr>
            <w:tcW w:w="920" w:type="dxa"/>
            <w:vAlign w:val="bottom"/>
          </w:tcPr>
          <w:p>
            <w:pPr>
              <w:spacing w:after="0"/>
              <w:rPr>
                <w:sz w:val="19"/>
                <w:szCs w:val="19"/>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 recoverable / payable</w:t>
            </w:r>
          </w:p>
        </w:tc>
        <w:tc>
          <w:tcPr>
            <w:tcW w:w="920" w:type="dxa"/>
            <w:vAlign w:val="bottom"/>
          </w:tcPr>
          <w:p>
            <w:pPr>
              <w:spacing w:after="0"/>
              <w:rPr>
                <w:sz w:val="19"/>
                <w:szCs w:val="19"/>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Federal Crop Insurance Corporation receivable / payable</w:t>
            </w:r>
          </w:p>
        </w:tc>
        <w:tc>
          <w:tcPr>
            <w:tcW w:w="920" w:type="dxa"/>
            <w:vAlign w:val="bottom"/>
          </w:tcPr>
          <w:p>
            <w:pPr>
              <w:spacing w:after="0"/>
              <w:rPr>
                <w:sz w:val="19"/>
                <w:szCs w:val="19"/>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3,491</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9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Unearned premiums</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7,628</w:t>
            </w:r>
          </w:p>
        </w:tc>
        <w:tc>
          <w:tcPr>
            <w:tcW w:w="0" w:type="dxa"/>
            <w:vAlign w:val="bottom"/>
          </w:tcPr>
          <w:p>
            <w:pPr>
              <w:spacing w:after="0"/>
              <w:rPr>
                <w:sz w:val="1"/>
                <w:szCs w:val="1"/>
                <w:color w:val="auto"/>
              </w:rPr>
            </w:pPr>
          </w:p>
        </w:tc>
      </w:tr>
      <w:tr>
        <w:trPr>
          <w:trHeight w:val="23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cash flows from operating activities – continuing operations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Net cash flows from operating activities – discontinued operations</w:t>
            </w:r>
          </w:p>
        </w:tc>
        <w:tc>
          <w:tcPr>
            <w:tcW w:w="920" w:type="dxa"/>
            <w:vAlign w:val="bottom"/>
          </w:tcPr>
          <w:p>
            <w:pPr>
              <w:spacing w:after="0"/>
              <w:rPr>
                <w:sz w:val="19"/>
                <w:szCs w:val="19"/>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adjustments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maturities and sales of fixed income securities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6,374</w:t>
            </w:r>
          </w:p>
        </w:tc>
        <w:tc>
          <w:tcPr>
            <w:tcW w:w="0" w:type="dxa"/>
            <w:vAlign w:val="bottom"/>
          </w:tcPr>
          <w:p>
            <w:pPr>
              <w:spacing w:after="0"/>
              <w:rPr>
                <w:sz w:val="1"/>
                <w:szCs w:val="1"/>
                <w:color w:val="auto"/>
              </w:rPr>
            </w:pP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equity securities</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fixed income securities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0" w:type="dxa"/>
            <w:vAlign w:val="bottom"/>
          </w:tcPr>
          <w:p>
            <w:pPr>
              <w:spacing w:after="0"/>
              <w:rPr>
                <w:sz w:val="1"/>
                <w:szCs w:val="1"/>
                <w:color w:val="auto"/>
              </w:rPr>
            </w:pP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flows from investing activities – continuing operations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flows from investing activities – discontinued operations</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Pooling (payments) receipts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0" w:type="dxa"/>
            <w:vAlign w:val="bottom"/>
          </w:tcPr>
          <w:p>
            <w:pPr>
              <w:spacing w:after="0"/>
              <w:rPr>
                <w:sz w:val="1"/>
                <w:szCs w:val="1"/>
                <w:color w:val="auto"/>
              </w:rPr>
            </w:pP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repayments of finance leases</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vested award shares</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0"/>
        </w:trPr>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flows from financing activities – continuing operations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flows from financing activities – discontinued operations</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4,962</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6,272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12,342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(Increase) decrease in cash and cash equivalents – discontinued operations</w:t>
            </w: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0" w:type="dxa"/>
            <w:vAlign w:val="bottom"/>
          </w:tcPr>
          <w:p>
            <w:pPr>
              <w:spacing w:after="0"/>
              <w:rPr>
                <w:sz w:val="1"/>
                <w:szCs w:val="1"/>
                <w:color w:val="auto"/>
              </w:rPr>
            </w:pPr>
          </w:p>
        </w:tc>
      </w:tr>
      <w:tr>
        <w:trPr>
          <w:trHeight w:val="210"/>
        </w:trPr>
        <w:tc>
          <w:tcPr>
            <w:tcW w:w="8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increase (decrease) in cash and cash equivalents – continuing operations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 – continuing operations</w:t>
            </w:r>
          </w:p>
        </w:tc>
        <w:tc>
          <w:tcPr>
            <w:tcW w:w="920" w:type="dxa"/>
            <w:vAlign w:val="bottom"/>
          </w:tcPr>
          <w:p>
            <w:pPr>
              <w:spacing w:after="0"/>
              <w:rPr>
                <w:sz w:val="19"/>
                <w:szCs w:val="19"/>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50,930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41,037</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 – continuing operations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57,202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44,631</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and state income taxes paid (net of refunds received)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8000" w:type="dxa"/>
            <w:vAlign w:val="bottom"/>
            <w:tcBorders>
              <w:bottom w:val="single" w:sz="8" w:color="auto"/>
            </w:tcBorders>
          </w:tcPr>
          <w:p>
            <w:pPr>
              <w:ind w:left="5560"/>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NI Holdings is a North Dakota business corporation that is the stock holding company of Nodak Insurance and became such in connection with the Nodak conversion, whereby Nodak Mutual converted from a mutual to stock form of organization and the creation of a mutual holding company. The Nodak conversion was consummated on March 13, 2017. Immediately following the Nodak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Nodak conversion, NI Holdings conducted no business and had no assets or liabilities. As a result of the Nodak conversion, NI Holdings became the holding company for Nodak Insurance and its existing subsidiaries.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unaudited consolidated financial statements include the financial position and results of operations of NI Holdings and the following other entities: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Nodak Insurance Company</w:t>
      </w:r>
    </w:p>
    <w:p>
      <w:pPr>
        <w:spacing w:after="0" w:line="229" w:lineRule="exact"/>
        <w:rPr>
          <w:sz w:val="20"/>
          <w:szCs w:val="20"/>
          <w:color w:val="auto"/>
        </w:rPr>
      </w:pPr>
    </w:p>
    <w:p>
      <w:pPr>
        <w:ind w:right="720"/>
        <w:spacing w:after="0" w:line="312" w:lineRule="auto"/>
        <w:rPr>
          <w:sz w:val="20"/>
          <w:szCs w:val="20"/>
          <w:color w:val="auto"/>
        </w:rPr>
      </w:pPr>
      <w:r>
        <w:rPr>
          <w:rFonts w:ascii="Times New Roman" w:cs="Times New Roman" w:eastAsia="Times New Roman" w:hAnsi="Times New Roman"/>
          <w:sz w:val="17"/>
          <w:szCs w:val="17"/>
          <w:color w:val="auto"/>
        </w:rPr>
        <w:t>Nodak Insurance is the largest domestic property and casualty insurance company in North Dakota, offering private passenger auto, homeowners, farmowners, commercial multi-peril, crop hail, and Federal multi-peril crop insurance coverages through its captive agents in the state.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Nodak Agency,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Nodak Agency is an inactive shell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American West Insurance Company</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American West is a property and casualty insurance company licensed in eight states in the Midwest and Western regions of the United States (“U.S.”). American West began writing policies in 2002 and primarily writes private passenger auto, homeowners, and farm coverages in South Dakota. American West also writes private passenger auto coverage in North Dakota, as well as crop hail and Federal multi-peril crop insurance coverages in Minnesota and South Dakota.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Primero Insurance Company</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Primero is a wholly-owned subsidiary of Tri-State, Ltd. Tri-State, Ltd. is an inactive shell corporation 100% owned by Nodak Insurance. Primero is a property and casualty insurance company writing non-standard auto coverage in the states of Arizona, North Dakota, and South Dakota. Prior to December 31, 2024, Primero also wrote non-standard auto coverage in the state of Nevada. Primero was acquired by Nodak Insurance in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Battle Creek Insurance Company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Battle Creek is a property and casualty insurance company writing private passenger auto, homeowners, and farm coverages solely in the state of Nebraska. Battle Creek became affiliated with Nodak Insurance in 2011 and, prior to January 2, 2024, was controlled by Nodak Insurance via a surplus note. On January 2, 2024, Battle Creek issued 300,000 shares of its common stock to Nodak Insurance at a $10.00 per share par value and became a wholly-owned subsidiary of Nodak Insurance. Because we concluded that we controlled Battle Creek prior to January 2, 2024, we consolidated the financial statements of Battle Creek, and Battle Creek’s policyholders’ interest in Battle Creek was reflected as a non-controlling interest in shareholders’ equity in our Consolidated Balance Sheets and its net income or loss was excluded from net income or loss attributed to NI Holdings in our Consolidated Statements of Operations. Subsequent to January 2, 2024, Battle Creek is fully consolidated in our Consolidated Balance Sheets and Consolidated Statements of Operations and, as such, no longer reflected as a non-controlling interest.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Auto Insurance Company</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Direct Auto is a property and casualty insurance company licensed in Illinois. Direct Auto began writing non-standard auto coverage in 2007, and was acquired by NI Holdings on August 31, 2018, via a stock purchase agreement.</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Westminster American Insurance Company</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Westminster was a property and casualty insurance company underwriting commercial multi-peril insurance in 18 states and the District of Columbia. Westminster was sold to Scott Insurance Holdings on June 30, 2024. Subsequent to the date of sale, Westminster is reflected as discontinued operations within our Consolidated Balance Sheets and Consolidated Statements of Operations. For additional information see Part I, Item 1, Note 19 “Discontinued Operations” of this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Structure and Credit Ratings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Nodak Insurance markets and distributes its policies through its captive agents, while all other companies utilize the independent agent distribution channel. Additionally, all of the Company’s insurance subsidiary and affiliate companies, excluding Westminster, are rated “A” Excellent by A.M. Best Company, Inc. (“AM Best”), a global credit rating agency specializing in the insurance industry.</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same executive management team provides oversight and strategic direction for the entire organization. Nodak Insurance personnel provide common product oversight, pricing practices, and underwriting standards, as well as underwriting and claims administration, to Nodak Insurance, American West, and Battle Creek. Primero and Direct Auto personnel manage the day-to-day operations of their respective companies. Westminster personnel managed the day-to-day operations of their company prior to the date of sale.</w:t>
      </w:r>
    </w:p>
    <w:p>
      <w:pPr>
        <w:spacing w:after="0" w:line="176"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All material intercompany transactions and balances have been eliminated. These financial statements should be read in conjunction with the financial statements and notes thereto included in our 2024 Annual Report.</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Consolidated Balance Sheet at December 31, 2024, has been derived from the audited consolidated financial statements at that date but does not include all of the information and footnotes required by GAAP for complete financial statements.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preparation of the interim unaudited consolidated financial statements in conformity with GAAP requires management to make estimates and assumptions that affect the reported amounts of assets and liabilities and disclosure of contingent assets and liabilities at the date of the interim unaudited consolidated financial statements and the reported amounts of revenues, claims, and expenses during the reporting period.</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make estimates and assumptions that can have a significant effect on amounts and disclosures we report in our unaudited consolidated financial statements. The most significant estimates relate to our reserves for unpaid losses and loss adjustment expenses, earned premiums for crop insurance, valuation of investments, determination of credit impairments, valuation allowances for deferred income tax assets, deferred policy acquisition costs, as well as valuation and impairments of goodwill and other intangible assets. While we believe our estimates are appropriate, the ultimate amounts may differ from the estimates provided. We regularly review our methods for making these estimates as well as the continued appropriateness of the estimated amounts, and we reflect any adjustment we consider necessary in our current results of operations.</w:t>
      </w:r>
    </w:p>
    <w:p>
      <w:pPr>
        <w:spacing w:after="0" w:line="18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Operating results for the interim period ended March 31, 2025, are not necessarily indicative of the results that may be expected for the year ending December 31, 2025.</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2024 Annual Report describes the accounting policies and estimates that are critical to the understanding of our results of operations, financial condition, and liquidity. The accounting policies and estimation processes described in the 2024 Annual Report were consistently applied to the unaudited consolidated financial statements as of and for the three months ended March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7, 2024, NI Holdings entered into a Stock Purchase Agreement (“Purchase Agreement”) to sell its subsidiary, Westminster, to Scott Insurance Holdings, a privately owned Maryland limited liability company. Scott Insurance Holdings is affiliated with John Scott, Sr., the father of the president of Westminster, John Scott, Jr. The sale closed on June 30, 2024. The Purchase Agreement included a cash purchase price of $10,500, subject to certain post-closing adjustments, including a post-closing payment to NI Holdings for the amount by which the ending statutory surplus balance for Westminster exceeded $20,000. The post-closing payment received from Scott Insurance Holdings during the third quarter of 2024 was $1,772 and has been included as an adjustment to the purchase price for the calculation of the loss on the sale of Westminster. The sale of Westminster, which represented the majority of our Commercial segment in prior periods, was a strategic shift that has had a major effect on our operations and financial results. Therefore, Westminster has been reported as discontinued operations in the Consolidated Balance Sheets, Consolidated Statements of Operations, and Consolidated Statements of Cash Flows for all periods presented in this Form 10-Q. All current and prior periods reflected in this Form 10-Q have been presented as continuing and discontinued operations, unless otherwise noted. For additional information see Part I, Item 1, Note 19 “Discontinued Operations” of this Form 10-Q.</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Adopted</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For information regarding accounting pronouncements that the Company adopted during the periods presented, see Part II, Item 8, Note 2 “Recent Accounting Pronouncements” section of the 2024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Improvements to Income Tax Disclosures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guidance requires that an entity, on an annual basis, disclose additional income tax information, primarily related to the rate reconciliation and income taxes paid. The guidance is intended to enhance the transparency and decision usefulness of income tax disclosures. The amendments in this update are effective for annual periods beginning after December 15, 2024. We are currently evaluating the impact of the new standard on our consolidated financial statements, which is expected to result in enhanced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guidance is intended to improve disclosures about a public business entity's expenses and address requests from investors for more detailed information about the types of expenses in commonly presented expense captions. Such information should allow investors to better understand an entity's performance, assess future cash flows, and compare performance over time and with other entities. The amendments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statement of operations, and the total amount of an entity's selling expenses. The amendments are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3" w:name="page14"/>
    <w:bookmarkEnd w:id="13"/>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left="20" w:right="240"/>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 of fixed income securities, presented on a consolidated basis as of March 31, 2025, and December 31, 2024,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Cost or</w:t>
            </w:r>
          </w:p>
        </w:tc>
        <w:tc>
          <w:tcPr>
            <w:tcW w:w="1140" w:type="dxa"/>
            <w:vAlign w:val="bottom"/>
            <w:gridSpan w:val="4"/>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5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8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12,705</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12,608</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51,038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(5,669)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45,449</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129,759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(5,947)</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124,258</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75,477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(6,181)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69,640</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29,996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27,354</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31,871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31,829</w:t>
            </w:r>
          </w:p>
        </w:tc>
      </w:tr>
      <w:tr>
        <w:trPr>
          <w:trHeight w:val="230"/>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3,165</w:t>
            </w:r>
          </w:p>
        </w:tc>
      </w:tr>
      <w:tr>
        <w:trPr>
          <w:trHeight w:val="223"/>
        </w:trPr>
        <w:tc>
          <w:tcPr>
            <w:tcW w:w="5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334,582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Cost or</w:t>
            </w:r>
          </w:p>
        </w:tc>
        <w:tc>
          <w:tcPr>
            <w:tcW w:w="1140" w:type="dxa"/>
            <w:vAlign w:val="bottom"/>
            <w:gridSpan w:val="4"/>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8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4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12,601</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12,274</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48,559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(4,920)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43,823</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123,585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(7,517)</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116,274</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53,714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(4,981)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48,777</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30,062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(2,943)</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27,184</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59,046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(3,301)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56,131</w:t>
            </w:r>
          </w:p>
        </w:tc>
      </w:tr>
      <w:tr>
        <w:trPr>
          <w:trHeight w:val="230"/>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3,737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3,249</w:t>
            </w:r>
          </w:p>
        </w:tc>
      </w:tr>
      <w:tr>
        <w:trPr>
          <w:trHeight w:val="223"/>
        </w:trPr>
        <w:tc>
          <w:tcPr>
            <w:tcW w:w="5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331,304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 of fixed income securities by contractual maturity, presented on a consolidated basis, are shown below. Actual maturities could differ from contractual maturities because issuers may have the right to call or prepay these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7"/>
          </w:tcPr>
          <w:p>
            <w:pPr>
              <w:ind w:left="88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3"/>
        </w:trPr>
        <w:tc>
          <w:tcPr>
            <w:tcW w:w="8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10,970</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10,874</w:t>
            </w: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61,550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59,598</w:t>
            </w: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79,529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75,655</w:t>
            </w:r>
          </w:p>
        </w:tc>
      </w:tr>
      <w:tr>
        <w:trPr>
          <w:trHeight w:val="21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41,453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36,188</w:t>
            </w: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1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137,344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128,823</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3,736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3,165</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334,582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3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5,750</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55,882</w:t>
            </w:r>
          </w:p>
        </w:tc>
        <w:tc>
          <w:tcPr>
            <w:tcW w:w="0" w:type="dxa"/>
            <w:vAlign w:val="bottom"/>
          </w:tcPr>
          <w:p>
            <w:pPr>
              <w:spacing w:after="0"/>
              <w:rPr>
                <w:sz w:val="1"/>
                <w:szCs w:val="1"/>
                <w:color w:val="auto"/>
              </w:rPr>
            </w:pPr>
          </w:p>
        </w:tc>
      </w:tr>
      <w:tr>
        <w:trPr>
          <w:trHeight w:val="216"/>
        </w:trPr>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74,070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36,723</w:t>
            </w:r>
          </w:p>
        </w:tc>
        <w:tc>
          <w:tcPr>
            <w:tcW w:w="0" w:type="dxa"/>
            <w:vAlign w:val="bottom"/>
          </w:tcPr>
          <w:p>
            <w:pPr>
              <w:spacing w:after="0"/>
              <w:rPr>
                <w:sz w:val="1"/>
                <w:szCs w:val="1"/>
                <w:color w:val="auto"/>
              </w:rPr>
            </w:pPr>
          </w:p>
        </w:tc>
      </w:tr>
      <w:tr>
        <w:trPr>
          <w:trHeight w:val="216"/>
        </w:trPr>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132,092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3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3,249</w:t>
            </w:r>
          </w:p>
        </w:tc>
        <w:tc>
          <w:tcPr>
            <w:tcW w:w="0" w:type="dxa"/>
            <w:vAlign w:val="bottom"/>
          </w:tcPr>
          <w:p>
            <w:pPr>
              <w:spacing w:after="0"/>
              <w:rPr>
                <w:sz w:val="1"/>
                <w:szCs w:val="1"/>
                <w:color w:val="auto"/>
              </w:rPr>
            </w:pPr>
          </w:p>
        </w:tc>
      </w:tr>
      <w:tr>
        <w:trPr>
          <w:trHeight w:val="223"/>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3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92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0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14" w:name="page15"/>
    <w:bookmarkEnd w:id="14"/>
    <w:p>
      <w:pPr>
        <w:ind w:left="20" w:right="400"/>
        <w:spacing w:after="0" w:line="282" w:lineRule="auto"/>
        <w:rPr>
          <w:sz w:val="20"/>
          <w:szCs w:val="20"/>
          <w:color w:val="auto"/>
        </w:rPr>
      </w:pPr>
      <w:r>
        <w:rPr>
          <w:rFonts w:ascii="Times New Roman" w:cs="Times New Roman" w:eastAsia="Times New Roman" w:hAnsi="Times New Roman"/>
          <w:sz w:val="18"/>
          <w:szCs w:val="18"/>
          <w:color w:val="auto"/>
        </w:rPr>
        <w:t>Fixed income securities with a fair value of $4,469 at March 31, 2025, and $5,634 at December 31, 2024, were deposited with various state regulatory agencies as required by law. The Company has not pledged any assets to secure any obligations.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investment category and duration of the Company’s gross unrealized losses on fixed income securities, presented on a consolidated basis, are shown below. Investments with unrealized losses are categorized with a duration of greater than 12 months when all positions of a security have continually been in a loss position for at least 12 months.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0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8,535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31,964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(5,258)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40,499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18,191</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77,089</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(5,729)</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95,280</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(5,947)</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14,757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32,790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(5,993)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47,547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20,874</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(2,738)</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22,946</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7,676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9"/>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3,165</w:t>
            </w:r>
          </w:p>
        </w:tc>
        <w:tc>
          <w:tcPr>
            <w:tcW w:w="1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(571)</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3,165</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10"/>
        </w:trPr>
        <w:tc>
          <w:tcPr>
            <w:tcW w:w="39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177,795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226,315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39"/>
        </w:trPr>
        <w:tc>
          <w:tcPr>
            <w:tcW w:w="3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0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5,443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8,465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29,428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(4,777)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37,893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25,790</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76,364</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(7,036)</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102,154</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(7,517)</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20,827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23,159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(4,530)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43,986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19,442</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(2,893)</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20,851</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(2,943)</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20,579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(3,179)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31,505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r>
      <w:tr>
        <w:trPr>
          <w:trHeight w:val="230"/>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3,249</w:t>
            </w:r>
          </w:p>
        </w:tc>
        <w:tc>
          <w:tcPr>
            <w:tcW w:w="1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(488)</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3,249</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10"/>
        </w:trPr>
        <w:tc>
          <w:tcPr>
            <w:tcW w:w="39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176,398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249,258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We, along with our investment advisor, frequently review our investment portfolio for declines in fair value that could be indicative of credit losses, which are recognized through an allowance account. We consider a number of factors when determining if an allowance for credit losses is necessary, including payment and default history, credit spreads, credit ratings and rating actions, and probability of default. We determine the credit loss component of fixed income investments by utilizing discounted cash flow modeling to determine the present value of the security and comparing the present value with the amortized cost of the security. We have not recognized any credit losses for fixed income securities since adoption of the credit loss standard. Therefore, there was no beginning balance, activity, or ending balance of credit losses as of and during the three months ended March 31, 2025 and 2024. See Part II, Item 8, Note 3 “Summary of Significant Accounting Policies and Basis of Presentation” section of the 2024 Annual Report for additional information.</w:t>
      </w: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for continuing and discontinued operations consisted of the following:</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68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3,128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09"/>
        </w:trPr>
        <w:tc>
          <w:tcPr>
            <w:tcW w:w="8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gross investment income</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expenses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933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 continuing operations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 discontinued operations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investment gains for continuing and discontinued operations consisted of the following:</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68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income securities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gross realized gains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 excluding credit impairment losses: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income securities</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gross realized losses, excluding credit impairment losses</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22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net unrealized gains on equity securities</w:t>
            </w:r>
          </w:p>
        </w:tc>
        <w:tc>
          <w:tcPr>
            <w:tcW w:w="22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gains – continuing operations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gains – discontinued operations</w:t>
            </w:r>
          </w:p>
        </w:tc>
        <w:tc>
          <w:tcPr>
            <w:tcW w:w="22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gains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Non-cash investment transactions were $499 and $0 for the three months ended March 31, 2025 and 2024, respectively. The activity in the current year quarter consisted of one non-cash exchange of a fixed income security.</w:t>
      </w:r>
    </w:p>
    <w:p>
      <w:pPr>
        <w:spacing w:after="0" w:line="15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20" w:right="80"/>
        <w:spacing w:after="0" w:line="258"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assets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81"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ind w:left="1620" w:right="120" w:hanging="971"/>
        <w:spacing w:after="0" w:line="258" w:lineRule="auto"/>
        <w:tabs>
          <w:tab w:leader="none" w:pos="1600" w:val="left"/>
        </w:tabs>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 or liability. Level 2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43" w:lineRule="exact"/>
        <w:rPr>
          <w:sz w:val="20"/>
          <w:szCs w:val="20"/>
          <w:color w:val="auto"/>
        </w:rPr>
      </w:pPr>
    </w:p>
    <w:p>
      <w:pPr>
        <w:ind w:left="1620" w:right="48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 supported with little or no market activity).</w:t>
      </w: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are often calculated based on the characteristics of the asset, the economic and competitive environment, and other such factors. 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which could have been realized in a sale transaction on the dates indicated. The estimated fair value amounts have been measured as of their respective period-end and have not been re-evaluated or updated for purposes of our consolidated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Should the independent pricing service be unable to provide a fair value estimate, we would first attempt to obtain a fair value estimate from a second independent pricing service. If unsuccessful,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the Company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3 investment.</w:t>
      </w:r>
    </w:p>
    <w:p>
      <w:pPr>
        <w:spacing w:after="0" w:line="19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fair value estimates of our investments provided by the independent pricing service at each period-end were utilized, among other resources, in reaching a conclusion as to the fair value of our investments.</w:t>
      </w:r>
    </w:p>
    <w:p>
      <w:pPr>
        <w:spacing w:after="0" w:line="16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Management reviews the reasonableness of the pricing provided by the independent pricing service by employing various analytical procedures. We also use information from a second independent pricing service to further validate the reasonableness of the valuation of our fixed income portfolio. If, after this review, management does not believe the pricing for any security is a reasonable estimate of fair value, then it will seek to resolve the discrepancy through discussions with the independent pricing services. In its review, management did not identify any such discrepancies and no adjustments were made to the estimates provided by the independent pricing services for the three-month period ended March 31, 2025, or the year ended December 31, 2024. The classification within the fair value hierarchy is then confirmed based on the final conclusions from the pricing review.</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valuation of money market accounts and equity securities are generally based on Level 1 inputs, which use the market-approach valuation technique. The valuation of certain cash equivalents and our fixed income securities generally incorporates significant Level 2 inputs using the market and income approach techniques. We may assign a lower level to inputs typically considered to be Level 2 based on our assessment of liquidity and relative level of uncertainty surrounding inputs. There were no assets or liabilities classified at Level 3 at March 31, 2025, or December 31, 2024.</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53" w:right="359" w:bottom="1440" w:gutter="0" w:footer="0" w:header="0"/>
        </w:sectPr>
      </w:pPr>
    </w:p>
    <w:bookmarkStart w:id="17" w:name="page18"/>
    <w:bookmarkEnd w:id="17"/>
    <w:p>
      <w:pPr>
        <w:ind w:left="20" w:right="900"/>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assets which are measured on a recurring basis by the level within the fair value hierarchy in which fair value measurements fall: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gridSpan w:val="2"/>
          </w:tcPr>
          <w:p>
            <w:pPr>
              <w:spacing w:after="0"/>
              <w:rPr>
                <w:sz w:val="19"/>
                <w:szCs w:val="19"/>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12,608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12,608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45,449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45,449</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124,258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124,258</w:t>
            </w:r>
          </w:p>
        </w:tc>
        <w:tc>
          <w:tcPr>
            <w:tcW w:w="140" w:type="dxa"/>
            <w:vAlign w:val="bottom"/>
          </w:tcPr>
          <w:p>
            <w:pPr>
              <w:spacing w:after="0"/>
              <w:rPr>
                <w:sz w:val="18"/>
                <w:szCs w:val="18"/>
                <w:color w:val="auto"/>
              </w:rPr>
            </w:pPr>
          </w:p>
        </w:tc>
        <w:tc>
          <w:tcPr>
            <w:tcW w:w="9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69,640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69,640</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27,354</w:t>
            </w:r>
          </w:p>
        </w:tc>
        <w:tc>
          <w:tcPr>
            <w:tcW w:w="140" w:type="dxa"/>
            <w:vAlign w:val="bottom"/>
          </w:tcPr>
          <w:p>
            <w:pPr>
              <w:spacing w:after="0"/>
              <w:rPr>
                <w:sz w:val="18"/>
                <w:szCs w:val="18"/>
                <w:color w:val="auto"/>
              </w:rPr>
            </w:pPr>
          </w:p>
        </w:tc>
        <w:tc>
          <w:tcPr>
            <w:tcW w:w="9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31,829</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3,165</w:t>
            </w:r>
          </w:p>
        </w:tc>
        <w:tc>
          <w:tcPr>
            <w:tcW w:w="140" w:type="dxa"/>
            <w:vAlign w:val="bottom"/>
          </w:tcPr>
          <w:p>
            <w:pPr>
              <w:spacing w:after="0"/>
              <w:rPr>
                <w:sz w:val="19"/>
                <w:szCs w:val="19"/>
                <w:color w:val="auto"/>
              </w:rPr>
            </w:pPr>
          </w:p>
        </w:tc>
        <w:tc>
          <w:tcPr>
            <w:tcW w:w="9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314,303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4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 Common stock</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11,698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4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37,282</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314,303</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gridSpan w:val="2"/>
          </w:tcPr>
          <w:p>
            <w:pPr>
              <w:spacing w:after="0"/>
              <w:rPr>
                <w:sz w:val="19"/>
                <w:szCs w:val="19"/>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12,274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43,823</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116,274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116,274</w:t>
            </w:r>
          </w:p>
        </w:tc>
        <w:tc>
          <w:tcPr>
            <w:tcW w:w="140" w:type="dxa"/>
            <w:vAlign w:val="bottom"/>
          </w:tcPr>
          <w:p>
            <w:pPr>
              <w:spacing w:after="0"/>
              <w:rPr>
                <w:sz w:val="18"/>
                <w:szCs w:val="18"/>
                <w:color w:val="auto"/>
              </w:rPr>
            </w:pPr>
          </w:p>
        </w:tc>
        <w:tc>
          <w:tcPr>
            <w:tcW w:w="9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48,777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48,777</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27,184</w:t>
            </w:r>
          </w:p>
        </w:tc>
        <w:tc>
          <w:tcPr>
            <w:tcW w:w="140" w:type="dxa"/>
            <w:vAlign w:val="bottom"/>
          </w:tcPr>
          <w:p>
            <w:pPr>
              <w:spacing w:after="0"/>
              <w:rPr>
                <w:sz w:val="18"/>
                <w:szCs w:val="18"/>
                <w:color w:val="auto"/>
              </w:rPr>
            </w:pPr>
          </w:p>
        </w:tc>
        <w:tc>
          <w:tcPr>
            <w:tcW w:w="9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56,131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56,131</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3,249</w:t>
            </w:r>
          </w:p>
        </w:tc>
        <w:tc>
          <w:tcPr>
            <w:tcW w:w="140" w:type="dxa"/>
            <w:vAlign w:val="bottom"/>
          </w:tcPr>
          <w:p>
            <w:pPr>
              <w:spacing w:after="0"/>
              <w:rPr>
                <w:sz w:val="19"/>
                <w:szCs w:val="19"/>
                <w:color w:val="auto"/>
              </w:rPr>
            </w:pPr>
          </w:p>
        </w:tc>
        <w:tc>
          <w:tcPr>
            <w:tcW w:w="9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307,712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307,712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4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 Common stock</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10,950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4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35,590</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307,712</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liabilities measured at fair value on a recurring basis at March 31, 2025, or December 31, 2024.</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Reinsurance</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Company’s consolidated financial statements reflect the effects of assumed and ceded reinsurance transactions. Assumed reinsurance refers to the acceptance of certain insurance risks that other insurance companies have underwritten. Ceded reinsurance involves transferring certain insurance risks (along with the related written and earned premiums) the Company has underwritten to other insurance companies who agree to share these risks. The Company reinsures a portion of the risks it underwrites, through these ceded reinsurance agreements, in order to control its exposure to losses. Our ceded reinsurance is placed either on an automatic basis under general reinsurance contracts known as treaties or through facultative contracts placed on substantial individual risks. These contracts do not relieve the Company from its obligations to policyholders. Treaty reinsurance contracts are typically effective from January 1 through December 31 each year.</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three-month period ended March 31, 2025, the Company maintained property catastrophe reinsurance protection covering $117,000 in excess of a $20,000 retention. Our per risk excess of loss treaty provides coverage of $4,000 in excess of $1,000 for property risks and $11,000 in excess of $1,000 for casualty risks. Additionally, a property per-risk facultative contract is in place to provide coverage up to $20,000 in excess of $5,000 per property. Aggregate stop loss reinsurance agreements are also in place for both crop hail and multi-peril crop coverage. The crop hail aggregate attaches at a 100% net loss ratio providing 50 points of cover. The multi-peril crop aggregate attaches at a 105% net loss ratio providing 45 points of cover. In addition to the aggregate covers, underlying multi-peril crop reinsurance is provided through the Federal Crop Insurance Corporation (“FCIC”).</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 Company maintained property catastrophe reinsurance protection covering $133,000 in excess of a $20,000 retention. With the exception of Westminster, a per risk excess of loss treaty provides coverage of $4,000 in excess of $1,000 for property risks and $11,000 in excess of $1,000 for casualty risks. For Westminster, a per risk excess of loss treaty provided coverage of $3,000 in excess of $2,000 for property risks and $10,000 in excess of $2,000 for casualty risks until July 1, 2024. Additionally, a property per-risk facultative contract is in place to provide coverage up to $20,000 in excess of $5,000 per property. Aggregate stop loss reinsurance agreements are also in place for both crop hail and multi-peril crop coverage. The crop hail aggregate attaches at a 100% net loss ratio providing 50 points of cover. The multi-peril crop aggregate attaches at a 105% net loss ratio providing 45 points of cover. In addition to the aggregate covers, underlying multi-peril crop reinsurance is provided through the FCIC.</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Effective July 1, 2024, the Company’s reinsurance contracts were modified to exclude any Westminster losses occurring on or after that date, while maintaining all other existing limits, retentions, and attachment points.</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actively monitors and evaluates the financial condition of the reinsurers and develops estimates of the uncollectible amounts due from reinsurers, which would be recognized as credit losses through an allowance account developed using the current expected credit losses (“CECL”) model. See the Part II, Item 8, Note 3 “Summary of Significant Accounting Policies and Basis of Presentation” section of the 2024 Annual Report for additional information. Credit loss estimates are made based on periodic evaluation of balances due from reinsurers, changes in reinsurer credit standing, judgments regarding reinsurers’ solvency, known disputes, reporting characteristics of the underlying reinsured business, historical experience, current economic conditions, and the state of reinsurer relations in general. Collection risk is mitigated by entering into reinsurance arrangements only with reinsurers that have strong credit ratings and statutory surplus above certain levels. At March 31, 2025, and December 31, 2024, management has concluded that it is not necessary to record an allowance for expected credit losses related to reinsurance recoverables. All of our significant reinsurance partners are rated “A-” (Excellent) or better by AM Best or “A+” or better by Standard &amp; Poor’s, and there is no history of write-offs.</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9" w:name="page20"/>
    <w:bookmarkEnd w:id="19"/>
    <w:p>
      <w:pPr>
        <w:ind w:right="740"/>
        <w:spacing w:after="0" w:line="282" w:lineRule="auto"/>
        <w:rPr>
          <w:sz w:val="20"/>
          <w:szCs w:val="20"/>
          <w:color w:val="auto"/>
        </w:rPr>
      </w:pPr>
      <w:r>
        <w:rPr>
          <w:rFonts w:ascii="Times New Roman" w:cs="Times New Roman" w:eastAsia="Times New Roman" w:hAnsi="Times New Roman"/>
          <w:sz w:val="18"/>
          <w:szCs w:val="18"/>
          <w:color w:val="auto"/>
        </w:rPr>
        <w:t>A reconciliation of direct to net premiums on both a written and an earned basis, presented on a consolidated basis, including both continuing and discontinued operations,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14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r>
      <w:tr>
        <w:trPr>
          <w:trHeight w:val="223"/>
        </w:trPr>
        <w:tc>
          <w:tcPr>
            <w:tcW w:w="47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100" w:type="dxa"/>
            <w:vAlign w:val="bottom"/>
          </w:tcPr>
          <w:p>
            <w:pPr>
              <w:spacing w:after="0"/>
              <w:rPr>
                <w:sz w:val="19"/>
                <w:szCs w:val="19"/>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w:t>
            </w:r>
          </w:p>
        </w:tc>
        <w:tc>
          <w:tcPr>
            <w:tcW w:w="3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w:t>
            </w:r>
          </w:p>
        </w:tc>
        <w:tc>
          <w:tcPr>
            <w:tcW w:w="3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w:t>
            </w:r>
          </w:p>
        </w:tc>
        <w:tc>
          <w:tcPr>
            <w:tcW w:w="3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(4,704)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(4,703)</w:t>
            </w:r>
          </w:p>
        </w:tc>
      </w:tr>
      <w:tr>
        <w:trPr>
          <w:trHeight w:val="263"/>
        </w:trPr>
        <w:tc>
          <w:tcPr>
            <w:tcW w:w="47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336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63,062</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67,497</w:t>
            </w:r>
          </w:p>
        </w:tc>
        <w:tc>
          <w:tcPr>
            <w:tcW w:w="100" w:type="dxa"/>
            <w:vAlign w:val="bottom"/>
            <w:tcBorders>
              <w:bottom w:val="single" w:sz="8" w:color="CCEEFF"/>
            </w:tcBorders>
          </w:tcPr>
          <w:p>
            <w:pPr>
              <w:spacing w:after="0"/>
              <w:rPr>
                <w:sz w:val="22"/>
                <w:szCs w:val="22"/>
                <w:color w:val="auto"/>
              </w:rPr>
            </w:pPr>
          </w:p>
        </w:tc>
      </w:tr>
      <w:tr>
        <w:trPr>
          <w:trHeight w:val="197"/>
        </w:trPr>
        <w:tc>
          <w:tcPr>
            <w:tcW w:w="474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14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r>
      <w:tr>
        <w:trPr>
          <w:trHeight w:val="223"/>
        </w:trPr>
        <w:tc>
          <w:tcPr>
            <w:tcW w:w="47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100" w:type="dxa"/>
            <w:vAlign w:val="bottom"/>
            <w:gridSpan w:val="2"/>
          </w:tcPr>
          <w:p>
            <w:pPr>
              <w:spacing w:after="0"/>
              <w:rPr>
                <w:sz w:val="19"/>
                <w:szCs w:val="19"/>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w:t>
            </w:r>
          </w:p>
        </w:tc>
        <w:tc>
          <w:tcPr>
            <w:tcW w:w="3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w:t>
            </w:r>
          </w:p>
        </w:tc>
        <w:tc>
          <w:tcPr>
            <w:tcW w:w="3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8"/>
                <w:szCs w:val="18"/>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w:t>
            </w:r>
          </w:p>
        </w:tc>
        <w:tc>
          <w:tcPr>
            <w:tcW w:w="3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(9,807)</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(9,494)</w:t>
            </w:r>
          </w:p>
        </w:tc>
      </w:tr>
      <w:tr>
        <w:trPr>
          <w:trHeight w:val="223"/>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33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92,987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520"/>
        <w:spacing w:after="0" w:line="282" w:lineRule="auto"/>
        <w:rPr>
          <w:sz w:val="20"/>
          <w:szCs w:val="20"/>
          <w:color w:val="auto"/>
        </w:rPr>
      </w:pPr>
      <w:r>
        <w:rPr>
          <w:rFonts w:ascii="Times New Roman" w:cs="Times New Roman" w:eastAsia="Times New Roman" w:hAnsi="Times New Roman"/>
          <w:sz w:val="18"/>
          <w:szCs w:val="18"/>
          <w:color w:val="auto"/>
        </w:rPr>
        <w:t>The reconciliations of the Company’s direct to net premiums on both a written and an earned basis for the current and comparable prior year quarter, segregated between continuing and discontinued operations, are shown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18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80" w:type="dxa"/>
            <w:vAlign w:val="bottom"/>
          </w:tcPr>
          <w:p>
            <w:pPr>
              <w:spacing w:after="0"/>
              <w:rPr>
                <w:sz w:val="20"/>
                <w:szCs w:val="20"/>
                <w:color w:val="auto"/>
              </w:rPr>
            </w:pPr>
          </w:p>
        </w:tc>
        <w:tc>
          <w:tcPr>
            <w:tcW w:w="314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r>
      <w:tr>
        <w:trPr>
          <w:trHeight w:val="223"/>
        </w:trPr>
        <w:tc>
          <w:tcPr>
            <w:tcW w:w="4840" w:type="dxa"/>
            <w:vAlign w:val="bottom"/>
          </w:tcPr>
          <w:p>
            <w:pPr>
              <w:spacing w:after="0"/>
              <w:rPr>
                <w:sz w:val="19"/>
                <w:szCs w:val="19"/>
                <w:color w:val="auto"/>
              </w:rPr>
            </w:pPr>
          </w:p>
        </w:tc>
        <w:tc>
          <w:tcPr>
            <w:tcW w:w="16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100" w:type="dxa"/>
            <w:vAlign w:val="bottom"/>
          </w:tcPr>
          <w:p>
            <w:pPr>
              <w:spacing w:after="0"/>
              <w:rPr>
                <w:sz w:val="19"/>
                <w:szCs w:val="19"/>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 premium</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67,728</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72,161</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83,041</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75,398</w:t>
            </w:r>
          </w:p>
        </w:tc>
      </w:tr>
      <w:tr>
        <w:trPr>
          <w:trHeight w:val="216"/>
        </w:trPr>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Assumed premium</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Ceded premium</w:t>
            </w:r>
          </w:p>
        </w:tc>
        <w:tc>
          <w:tcPr>
            <w:tcW w:w="5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(4,704)</w:t>
            </w:r>
          </w:p>
        </w:tc>
        <w:tc>
          <w:tcPr>
            <w:tcW w:w="5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(4,703)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(5,666)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(5,665)</w:t>
            </w:r>
          </w:p>
        </w:tc>
      </w:tr>
      <w:tr>
        <w:trPr>
          <w:trHeight w:val="223"/>
        </w:trPr>
        <w:tc>
          <w:tcPr>
            <w:tcW w:w="48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1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00" w:type="dxa"/>
            <w:vAlign w:val="bottom"/>
          </w:tcPr>
          <w:p>
            <w:pPr>
              <w:spacing w:after="0"/>
              <w:rPr>
                <w:sz w:val="20"/>
                <w:szCs w:val="20"/>
                <w:color w:val="auto"/>
              </w:rPr>
            </w:pPr>
          </w:p>
        </w:tc>
        <w:tc>
          <w:tcPr>
            <w:tcW w:w="314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r>
      <w:tr>
        <w:trPr>
          <w:trHeight w:val="223"/>
        </w:trPr>
        <w:tc>
          <w:tcPr>
            <w:tcW w:w="4840" w:type="dxa"/>
            <w:vAlign w:val="bottom"/>
          </w:tcPr>
          <w:p>
            <w:pPr>
              <w:spacing w:after="0"/>
              <w:rPr>
                <w:sz w:val="19"/>
                <w:szCs w:val="19"/>
                <w:color w:val="auto"/>
              </w:rPr>
            </w:pPr>
          </w:p>
        </w:tc>
        <w:tc>
          <w:tcPr>
            <w:tcW w:w="164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Premiums Written</w:t>
            </w:r>
          </w:p>
        </w:tc>
        <w:tc>
          <w:tcPr>
            <w:tcW w:w="1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100" w:type="dxa"/>
            <w:vAlign w:val="bottom"/>
          </w:tcPr>
          <w:p>
            <w:pPr>
              <w:spacing w:after="0"/>
              <w:rPr>
                <w:sz w:val="19"/>
                <w:szCs w:val="19"/>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6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 premium</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19,616</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19,502</w:t>
            </w:r>
          </w:p>
        </w:tc>
      </w:tr>
      <w:tr>
        <w:trPr>
          <w:trHeight w:val="216"/>
        </w:trPr>
        <w:tc>
          <w:tcPr>
            <w:tcW w:w="4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Assumed premium</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Ceded premium</w:t>
            </w:r>
          </w:p>
        </w:tc>
        <w:tc>
          <w:tcPr>
            <w:tcW w:w="6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(3,829)</w:t>
            </w:r>
          </w:p>
        </w:tc>
      </w:tr>
      <w:tr>
        <w:trPr>
          <w:trHeight w:val="223"/>
        </w:trPr>
        <w:tc>
          <w:tcPr>
            <w:tcW w:w="48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 reconciliation of direct to net losses and loss adjustment expenses, presented on a consolidated basis, including both continuing and discontinued operations, is as follows:</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40,379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54,654</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(1,621)</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(2,490)</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52,209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553" w:right="339" w:bottom="1440" w:gutter="0" w:footer="0" w:header="0"/>
          <w:type w:val="continuous"/>
        </w:sectPr>
      </w:pP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20" w:name="page21"/>
    <w:bookmarkEnd w:id="20"/>
    <w:p>
      <w:pPr>
        <w:ind w:left="20" w:right="320"/>
        <w:spacing w:after="0" w:line="282" w:lineRule="auto"/>
        <w:rPr>
          <w:sz w:val="20"/>
          <w:szCs w:val="20"/>
          <w:color w:val="auto"/>
        </w:rPr>
      </w:pPr>
      <w:r>
        <w:rPr>
          <w:rFonts w:ascii="Times New Roman" w:cs="Times New Roman" w:eastAsia="Times New Roman" w:hAnsi="Times New Roman"/>
          <w:sz w:val="18"/>
          <w:szCs w:val="18"/>
          <w:color w:val="auto"/>
        </w:rPr>
        <w:t>The reconciliations for the current and comparable prior year quarter continuing and discontinued operations of direct to net losses and loss adjustment expenses are as follows:</w:t>
      </w:r>
    </w:p>
    <w:p>
      <w:pPr>
        <w:sectPr>
          <w:pgSz w:w="11900" w:h="16838" w:orient="portrait"/>
          <w:cols w:equalWidth="0" w:num="1">
            <w:col w:w="11200"/>
          </w:cols>
          <w:pgMar w:left="320" w:top="55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Intercompany Reinsurance Pooling Arrangement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7"/>
        </w:trPr>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40,379</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41,519</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(1,621)</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7"/>
        </w:trPr>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13,135</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7720" w:space="720"/>
            <w:col w:w="2760"/>
          </w:cols>
          <w:pgMar w:left="320" w:top="553" w:right="379" w:bottom="1440" w:gutter="0" w:footer="0" w:header="0"/>
          <w:type w:val="continuous"/>
        </w:sectPr>
      </w:pPr>
    </w:p>
    <w:p>
      <w:pPr>
        <w:spacing w:after="0" w:line="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Effective January 1, 2020, all of our insurance subsidiary and affiliate companies entered into an intercompany reinsurance pooling agreement.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 Subsequent to the June 30, 2024, date of sale, Westminster is no longer a member of the pool, and the pooling percentages for the remaining insurance subsidiaries were updated based on their respective surplus as a percentage of the pool as of December 31, 2023.</w:t>
      </w:r>
    </w:p>
    <w:p>
      <w:pPr>
        <w:spacing w:after="0" w:line="18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Policy Acquisition Costs</w:t>
      </w:r>
    </w:p>
    <w:p>
      <w:pPr>
        <w:spacing w:after="0" w:line="229" w:lineRule="exact"/>
        <w:rPr>
          <w:sz w:val="20"/>
          <w:szCs w:val="20"/>
          <w:color w:val="auto"/>
        </w:rPr>
      </w:pPr>
    </w:p>
    <w:p>
      <w:pPr>
        <w:ind w:left="20" w:right="20"/>
        <w:spacing w:after="0" w:line="261" w:lineRule="auto"/>
        <w:rPr>
          <w:sz w:val="20"/>
          <w:szCs w:val="20"/>
          <w:color w:val="auto"/>
        </w:rPr>
      </w:pPr>
      <w:r>
        <w:rPr>
          <w:rFonts w:ascii="Times New Roman" w:cs="Times New Roman" w:eastAsia="Times New Roman" w:hAnsi="Times New Roman"/>
          <w:sz w:val="18"/>
          <w:szCs w:val="18"/>
          <w:color w:val="auto"/>
        </w:rPr>
        <w:t>Expenses directly related to successfully acquired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presented on a consolidated basis, including both continuing and discontinued operations, shows the deferred policy acquisition costs and asset reconciliation:</w:t>
      </w:r>
    </w:p>
    <w:p>
      <w:pPr>
        <w:sectPr>
          <w:pgSz w:w="11900" w:h="16838" w:orient="portrait"/>
          <w:cols w:equalWidth="0" w:num="1">
            <w:col w:w="11200"/>
          </w:cols>
          <w:pgMar w:left="320" w:top="55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Deferral of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w w:val="92"/>
              </w:rPr>
              <w:t>26,300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34,120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14,041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23,108</w:t>
            </w: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(16,528)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(20,663)</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2"/>
              </w:rPr>
              <w:t>23,813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36,565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760"/>
          </w:cols>
          <w:pgMar w:left="320" w:top="553" w:right="37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type w:val="continuous"/>
        </w:sectPr>
      </w:pPr>
    </w:p>
    <w:bookmarkStart w:id="21" w:name="page22"/>
    <w:bookmarkEnd w:id="21"/>
    <w:p>
      <w:pPr>
        <w:ind w:left="20" w:right="420"/>
        <w:spacing w:after="0" w:line="282" w:lineRule="auto"/>
        <w:rPr>
          <w:sz w:val="20"/>
          <w:szCs w:val="20"/>
          <w:color w:val="auto"/>
        </w:rPr>
      </w:pPr>
      <w:r>
        <w:rPr>
          <w:rFonts w:ascii="Times New Roman" w:cs="Times New Roman" w:eastAsia="Times New Roman" w:hAnsi="Times New Roman"/>
          <w:sz w:val="18"/>
          <w:szCs w:val="18"/>
          <w:color w:val="auto"/>
        </w:rPr>
        <w:t>The tables for the current and comparable prior year quarter continuing and discontinued operations showing the deferred policy acquisition costs and assets reconciliation are shown below:</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Deferral of policy acquisition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Deferral of policy acquisition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4"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Unpaid Losses and Loss Adjustment Expenses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r>
      <w:tr>
        <w:trPr>
          <w:trHeight w:val="407"/>
        </w:trPr>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26,300</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26,790</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14,041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18,975</w:t>
            </w:r>
          </w:p>
        </w:tc>
        <w:tc>
          <w:tcPr>
            <w:tcW w:w="6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(16,528)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(16,817)</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r>
      <w:tr>
        <w:trPr>
          <w:trHeight w:val="407"/>
        </w:trPr>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6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(3,846)</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7720" w:space="720"/>
            <w:col w:w="2800"/>
          </w:cols>
          <w:pgMar w:left="320" w:top="553"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liability for unpaid losses and loss adjustment expenses is summarized as follows for both continuing and discontinued operations:</w:t>
      </w:r>
    </w:p>
    <w:p>
      <w:pPr>
        <w:spacing w:after="0" w:line="235"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27305</wp:posOffset>
            </wp:positionV>
            <wp:extent cx="19888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8" w:lineRule="exact"/>
        <w:rPr>
          <w:sz w:val="20"/>
          <w:szCs w:val="20"/>
          <w:color w:val="auto"/>
        </w:rPr>
      </w:pPr>
    </w:p>
    <w:p>
      <w:pPr>
        <w:ind w:left="856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3" w:lineRule="exact"/>
        <w:rPr>
          <w:sz w:val="20"/>
          <w:szCs w:val="20"/>
          <w:color w:val="auto"/>
        </w:rPr>
      </w:pPr>
    </w:p>
    <w:p>
      <w:pPr>
        <w:ind w:left="140" w:right="3100"/>
        <w:spacing w:after="0" w:line="250"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balance, beginning of period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137,288</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217,119</w:t>
            </w:r>
          </w:p>
        </w:tc>
      </w:tr>
      <w:tr>
        <w:trPr>
          <w:trHeight w:val="234"/>
        </w:trPr>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48,969</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168,150</w:t>
            </w:r>
          </w:p>
        </w:tc>
      </w:tr>
    </w:tbl>
    <w:p>
      <w:pPr>
        <w:spacing w:after="0" w:line="20" w:lineRule="exact"/>
        <w:rPr>
          <w:sz w:val="20"/>
          <w:szCs w:val="20"/>
          <w:color w:val="auto"/>
        </w:rPr>
      </w:pPr>
    </w:p>
    <w:p>
      <w:pPr>
        <w:sectPr>
          <w:pgSz w:w="11900" w:h="16838" w:orient="portrait"/>
          <w:cols w:equalWidth="0" w:num="2">
            <w:col w:w="7280" w:space="720"/>
            <w:col w:w="3240"/>
          </w:cols>
          <w:pgMar w:left="320" w:top="55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37,107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50,925</w:t>
            </w:r>
          </w:p>
        </w:tc>
      </w:tr>
      <w:tr>
        <w:trPr>
          <w:trHeight w:val="23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1,284</w:t>
            </w:r>
          </w:p>
        </w:tc>
      </w:tr>
      <w:tr>
        <w:trPr>
          <w:trHeight w:val="210"/>
        </w:trPr>
        <w:tc>
          <w:tcPr>
            <w:tcW w:w="800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incurred</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38,525</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10,375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12,940</w:t>
            </w:r>
          </w:p>
        </w:tc>
      </w:tr>
      <w:tr>
        <w:trPr>
          <w:trHeight w:val="23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25,637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31,897</w:t>
            </w:r>
          </w:p>
        </w:tc>
      </w:tr>
      <w:tr>
        <w:trPr>
          <w:trHeight w:val="210"/>
        </w:trPr>
        <w:tc>
          <w:tcPr>
            <w:tcW w:w="8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paid</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36,012</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44,837</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5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right="3100"/>
        <w:spacing w:after="0" w:line="250"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135,886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225,006</w:t>
            </w:r>
          </w:p>
        </w:tc>
      </w:tr>
      <w:tr>
        <w:trPr>
          <w:trHeight w:val="234"/>
        </w:trPr>
        <w:tc>
          <w:tcPr>
            <w:tcW w:w="4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8,646</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49,484</w:t>
            </w:r>
          </w:p>
        </w:tc>
      </w:tr>
      <w:tr>
        <w:trPr>
          <w:trHeight w:val="223"/>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175,522</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553" w:right="339" w:bottom="1440" w:gutter="0" w:footer="0" w:header="0"/>
          <w:type w:val="continuous"/>
        </w:sectPr>
      </w:pP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22" w:name="page23"/>
    <w:bookmarkEnd w:id="22"/>
    <w:p>
      <w:pPr>
        <w:ind w:right="20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the Company’s incurred reported losses and loss adjustment expense included $1,418 of net unfavorable development on prior accident years. This was primarily attributable to unfavorable development for the Direct Auto non-standard auto business. During the three months ended March 31, 2024, the Company’s incurred reported losses and loss adjustment expenses included $1,284 of net unfavorable development on prior accident years, primarily attributable to unfavorable development for the Direct Auto non-standard auto business partially offset by favorable development for Battle Creek, American West, and Nodak Insurance. During 2024, Westminster was sold and all associated liabilities were included in the sale.</w:t>
      </w:r>
    </w:p>
    <w:p>
      <w:pPr>
        <w:spacing w:after="0" w:line="187"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Changes in unpaid losses and loss adjustment expense reserves are generally the result of ongoing analysis of recent loss development trends. As additional information becomes known regarding individual claims, original estimates are increased or decreased accordingly.</w:t>
      </w:r>
    </w:p>
    <w:p>
      <w:pPr>
        <w:spacing w:after="0" w:line="162" w:lineRule="exact"/>
        <w:rPr>
          <w:sz w:val="20"/>
          <w:szCs w:val="20"/>
          <w:color w:val="auto"/>
        </w:rPr>
      </w:pPr>
    </w:p>
    <w:p>
      <w:pPr>
        <w:ind w:left="20" w:right="620"/>
        <w:spacing w:after="0" w:line="282" w:lineRule="auto"/>
        <w:rPr>
          <w:sz w:val="20"/>
          <w:szCs w:val="20"/>
          <w:color w:val="auto"/>
        </w:rPr>
      </w:pPr>
      <w:r>
        <w:rPr>
          <w:rFonts w:ascii="Times New Roman" w:cs="Times New Roman" w:eastAsia="Times New Roman" w:hAnsi="Times New Roman"/>
          <w:sz w:val="18"/>
          <w:szCs w:val="18"/>
          <w:color w:val="auto"/>
        </w:rPr>
        <w:t>The tables for the current and comparable prior year quarter continuing and discontinued operations showing the liability for unpaid losses and loss adjustment expense are shown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spacing w:after="0"/>
              <w:rPr>
                <w:sz w:val="19"/>
                <w:szCs w:val="19"/>
                <w:color w:val="auto"/>
              </w:rPr>
            </w:pPr>
          </w:p>
        </w:tc>
        <w:tc>
          <w:tcPr>
            <w:tcW w:w="30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Liability for unpaid losses and loss adjustment expenses</w:t>
            </w:r>
          </w:p>
        </w:tc>
        <w:tc>
          <w:tcPr>
            <w:tcW w:w="3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137,288</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119,184</w:t>
            </w:r>
          </w:p>
        </w:tc>
        <w:tc>
          <w:tcPr>
            <w:tcW w:w="0" w:type="dxa"/>
            <w:vAlign w:val="bottom"/>
          </w:tcPr>
          <w:p>
            <w:pPr>
              <w:spacing w:after="0"/>
              <w:rPr>
                <w:sz w:val="1"/>
                <w:szCs w:val="1"/>
                <w:color w:val="auto"/>
              </w:rPr>
            </w:pPr>
          </w:p>
        </w:tc>
      </w:tr>
      <w:tr>
        <w:trPr>
          <w:trHeight w:val="230"/>
        </w:trPr>
        <w:tc>
          <w:tcPr>
            <w:tcW w:w="4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6,460</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balance, beginning of period</w:t>
            </w:r>
          </w:p>
        </w:tc>
        <w:tc>
          <w:tcPr>
            <w:tcW w:w="3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124,727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Incurred related to:</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year</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38,888</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Prior years</w:t>
            </w:r>
          </w:p>
        </w:tc>
        <w:tc>
          <w:tcPr>
            <w:tcW w:w="3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incurred</w:t>
            </w:r>
          </w:p>
        </w:tc>
        <w:tc>
          <w:tcPr>
            <w:tcW w:w="30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 related to:</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year</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11,702</w:t>
            </w:r>
          </w:p>
        </w:tc>
        <w:tc>
          <w:tcPr>
            <w:tcW w:w="0" w:type="dxa"/>
            <w:vAlign w:val="bottom"/>
          </w:tcPr>
          <w:p>
            <w:pPr>
              <w:spacing w:after="0"/>
              <w:rPr>
                <w:sz w:val="1"/>
                <w:szCs w:val="1"/>
                <w:color w:val="auto"/>
              </w:rPr>
            </w:pPr>
          </w:p>
        </w:tc>
      </w:tr>
      <w:tr>
        <w:trPr>
          <w:trHeight w:val="230"/>
        </w:trPr>
        <w:tc>
          <w:tcPr>
            <w:tcW w:w="4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Prior years</w:t>
            </w: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26,981</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paid</w:t>
            </w:r>
          </w:p>
        </w:tc>
        <w:tc>
          <w:tcPr>
            <w:tcW w:w="3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end of period:</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Liability for unpaid losses and loss adjustment expenses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135,886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120,531</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3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6,346</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balance, end of period</w:t>
            </w:r>
          </w:p>
        </w:tc>
        <w:tc>
          <w:tcPr>
            <w:tcW w:w="30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08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9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Liability for unpaid losses and loss adjustment expenses</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97,935</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1100" w:type="dxa"/>
            <w:vAlign w:val="bottom"/>
          </w:tcPr>
          <w:p>
            <w:pPr>
              <w:spacing w:after="0"/>
              <w:rPr>
                <w:sz w:val="19"/>
                <w:szCs w:val="19"/>
                <w:color w:val="auto"/>
              </w:rPr>
            </w:pP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42,509</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balance, beginning of period</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Incurred related to:</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year</w:t>
            </w:r>
          </w:p>
        </w:tc>
        <w:tc>
          <w:tcPr>
            <w:tcW w:w="110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12,037</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Prior years</w:t>
            </w: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r>
      <w:tr>
        <w:trPr>
          <w:trHeight w:val="209"/>
        </w:trPr>
        <w:tc>
          <w:tcPr>
            <w:tcW w:w="8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incurred</w:t>
            </w:r>
          </w:p>
        </w:tc>
        <w:tc>
          <w:tcPr>
            <w:tcW w:w="1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 related to:</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year</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1,238</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Prior years</w:t>
            </w:r>
          </w:p>
        </w:tc>
        <w:tc>
          <w:tcPr>
            <w:tcW w:w="1100" w:type="dxa"/>
            <w:vAlign w:val="bottom"/>
          </w:tcPr>
          <w:p>
            <w:pPr>
              <w:spacing w:after="0"/>
              <w:rPr>
                <w:sz w:val="19"/>
                <w:szCs w:val="19"/>
                <w:color w:val="auto"/>
              </w:rPr>
            </w:pP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4,916</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paid</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end of period:</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Liability for unpaid losses and loss adjustment expenses</w:t>
            </w:r>
          </w:p>
        </w:tc>
        <w:tc>
          <w:tcPr>
            <w:tcW w:w="110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104,475</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43,138</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balance, end of period</w:t>
            </w: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48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Cost:</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34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  Estimated Useful Life</w:t>
            </w:r>
          </w:p>
        </w:tc>
        <w:tc>
          <w:tcPr>
            <w:tcW w:w="0" w:type="dxa"/>
            <w:vAlign w:val="bottom"/>
          </w:tcPr>
          <w:p>
            <w:pPr>
              <w:spacing w:after="0"/>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1,249</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1,249</w:t>
            </w:r>
          </w:p>
        </w:tc>
        <w:tc>
          <w:tcPr>
            <w:tcW w:w="1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12,507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12,497</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43 years</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data processing equipment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0" w:type="dxa"/>
            <w:vAlign w:val="bottom"/>
          </w:tcPr>
          <w:p>
            <w:pPr>
              <w:spacing w:after="0"/>
              <w:rPr>
                <w:sz w:val="1"/>
                <w:szCs w:val="1"/>
                <w:color w:val="auto"/>
              </w:rPr>
            </w:pPr>
          </w:p>
        </w:tc>
      </w:tr>
      <w:tr>
        <w:trPr>
          <w:trHeight w:val="229"/>
        </w:trPr>
        <w:tc>
          <w:tcPr>
            <w:tcW w:w="160" w:type="dxa"/>
            <w:vAlign w:val="bottom"/>
            <w:shd w:val="clear" w:color="auto" w:fill="CCEEFF"/>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Automobiles</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 years</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cost</w:t>
            </w:r>
          </w:p>
        </w:tc>
        <w:tc>
          <w:tcPr>
            <w:tcW w:w="1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(11,860)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(11,685)</w:t>
            </w: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Depreciation expense was $173 and $243 for the three months ended March 31, 2025 and 2024, respectively. Depreciation expense for continuing operations was $173 and $154 for the three months ended March 31, 2025 and 2024, respectively.</w:t>
      </w:r>
    </w:p>
    <w:p>
      <w:pPr>
        <w:spacing w:after="0" w:line="15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carrying amount of the Company’s goodwill and related impairment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9"/>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r>
      <w:tr>
        <w:trPr>
          <w:trHeight w:val="187"/>
        </w:trPr>
        <w:tc>
          <w:tcPr>
            <w:tcW w:w="3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Auto</w:t>
            </w:r>
          </w:p>
        </w:tc>
        <w:tc>
          <w:tcPr>
            <w:tcW w:w="12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Auto</w:t>
            </w:r>
          </w:p>
        </w:tc>
        <w:tc>
          <w:tcPr>
            <w:tcW w:w="80" w:type="dxa"/>
            <w:vAlign w:val="bottom"/>
          </w:tcPr>
          <w:p>
            <w:pPr>
              <w:spacing w:after="0"/>
              <w:rPr>
                <w:sz w:val="20"/>
                <w:szCs w:val="20"/>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beginning of period</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Impairment recognized during the period</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(2,628)</w:t>
            </w:r>
          </w:p>
        </w:tc>
      </w:tr>
      <w:tr>
        <w:trPr>
          <w:trHeight w:val="223"/>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end of period</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3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3" w:right="339" w:bottom="1440" w:gutter="0" w:footer="0" w:header="0"/>
        </w:sectPr>
      </w:pPr>
    </w:p>
    <w:bookmarkStart w:id="24" w:name="page25"/>
    <w:bookmarkEnd w:id="24"/>
    <w:p>
      <w:pPr>
        <w:ind w:left="20" w:right="40" w:hanging="11"/>
        <w:spacing w:after="0" w:line="266" w:lineRule="auto"/>
        <w:rPr>
          <w:sz w:val="20"/>
          <w:szCs w:val="20"/>
          <w:color w:val="auto"/>
        </w:rPr>
      </w:pPr>
      <w:r>
        <w:rPr>
          <w:rFonts w:ascii="Times New Roman" w:cs="Times New Roman" w:eastAsia="Times New Roman" w:hAnsi="Times New Roman"/>
          <w:sz w:val="18"/>
          <w:szCs w:val="18"/>
          <w:color w:val="auto"/>
        </w:rPr>
        <w:t>We performed a quantitative assessment of the goodwill related to the Primero acquisition during the fourth quarter of 2024, which is allocated to our Non-Standard Auto segment, and concluded that the goodwill was fully impaired as of December 31, 2024, resulting in a non-cash impairment charge of $2,628. See the Part II, Item 8, Note 10 “Goodwill and Other Intangibles” section of the 2024 Annual Report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gross and net carrying value of the Company’s other intangible assets were $100 at March 31, 2025, and December 31, 2024, and consist of the state insurance license for Direct Auto, which has an indefinite life.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determined during our reviews that the other indefinite-lived intangible assets were not impaired as of March 31, 2025, or December 31, 2024.</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was $0 and $106 for the three months ended March 31, 2025 and 2024, respectively. Amortization expense for continuing operations was $0 for the three months ended March 31, 2025 and 2024.</w:t>
      </w:r>
    </w:p>
    <w:p>
      <w:pPr>
        <w:spacing w:after="0" w:line="158"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Royalties, Dividends, and Affiliations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Dakota Farm Bureau</w:t>
      </w:r>
    </w:p>
    <w:p>
      <w:pPr>
        <w:spacing w:after="0" w:line="229" w:lineRule="exact"/>
        <w:rPr>
          <w:sz w:val="20"/>
          <w:szCs w:val="20"/>
          <w:color w:val="auto"/>
        </w:rPr>
      </w:pPr>
    </w:p>
    <w:p>
      <w:pPr>
        <w:ind w:left="20" w:right="420"/>
        <w:spacing w:after="0" w:line="261" w:lineRule="auto"/>
        <w:rPr>
          <w:sz w:val="20"/>
          <w:szCs w:val="20"/>
          <w:color w:val="auto"/>
        </w:rPr>
      </w:pPr>
      <w:r>
        <w:rPr>
          <w:rFonts w:ascii="Times New Roman" w:cs="Times New Roman" w:eastAsia="Times New Roman" w:hAnsi="Times New Roman"/>
          <w:sz w:val="18"/>
          <w:szCs w:val="18"/>
          <w:color w:val="auto"/>
        </w:rPr>
        <w:t>Nodak Insurance was organized by the North Dakota Farm Bureau (“NDFB”) to provide insurance protection for its members. We have a royalty agreement with the NDFB that recognizes the use of their trademark and provides royalties to the NDFB based on the premiums written on Nodak Insurance’s policies. Royalties paid to the NDFB were $440 and $403 during the three months ended March 31, 2025 and 2024, respectively. Royalty amounts payable of $163 and $146 were accrued as a liability to the NDFB at March 31, 2025, and December 31,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 December 31, 2024, exceeded the amount of statutory capital and surplus necessary to satisfy risk-based capital requirements by a significant margin. For information regarding the availability of subsidiaries to pay dividends to NI Holdings during 2024, see Part II, Item 8, Note 11 “Royalties, Dividends, and Affiliations” section of the 2024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Battle Creek</w:t>
      </w:r>
    </w:p>
    <w:p>
      <w:pPr>
        <w:spacing w:after="0" w:line="229" w:lineRule="exact"/>
        <w:rPr>
          <w:sz w:val="20"/>
          <w:szCs w:val="20"/>
          <w:color w:val="auto"/>
        </w:rPr>
      </w:pPr>
    </w:p>
    <w:p>
      <w:pPr>
        <w:jc w:val="both"/>
        <w:ind w:left="20" w:right="100"/>
        <w:spacing w:after="0" w:line="266" w:lineRule="auto"/>
        <w:rPr>
          <w:sz w:val="20"/>
          <w:szCs w:val="20"/>
          <w:color w:val="auto"/>
        </w:rPr>
      </w:pPr>
      <w:r>
        <w:rPr>
          <w:rFonts w:ascii="Times New Roman" w:cs="Times New Roman" w:eastAsia="Times New Roman" w:hAnsi="Times New Roman"/>
          <w:sz w:val="18"/>
          <w:szCs w:val="18"/>
          <w:color w:val="auto"/>
        </w:rPr>
        <w:t>Prior to January 2, 2024, we consolidated the financial statements of Battle Creek, and Battle Creek’s policyholders’ interest in Battle Creek was reflected as a non-controlling interest in shareholders’ equity in our Consolidated Balance Sheets. Subsequent to January 2, 2024, Battle Creek is fully consolidated in our Consolidated Balance Sheets. See the Part I, Item 1, Note 1 “Organization” section of this Form 10-Q for additional information.</w:t>
      </w:r>
    </w:p>
    <w:p>
      <w:pPr>
        <w:spacing w:after="0" w:line="172"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229" w:lineRule="exact"/>
        <w:rPr>
          <w:sz w:val="20"/>
          <w:szCs w:val="20"/>
          <w:color w:val="auto"/>
        </w:rPr>
      </w:pPr>
    </w:p>
    <w:p>
      <w:pPr>
        <w:ind w:left="20" w:right="20"/>
        <w:spacing w:after="0" w:line="261" w:lineRule="auto"/>
        <w:rPr>
          <w:sz w:val="20"/>
          <w:szCs w:val="20"/>
          <w:color w:val="auto"/>
        </w:rPr>
      </w:pPr>
      <w:r>
        <w:rPr>
          <w:rFonts w:ascii="Times New Roman" w:cs="Times New Roman" w:eastAsia="Times New Roman" w:hAnsi="Times New Roman"/>
          <w:sz w:val="18"/>
          <w:szCs w:val="18"/>
          <w:color w:val="auto"/>
        </w:rPr>
        <w:t>Nodak Insurance sponsors a 401(k) plan with an automatic and matching contribution for eligible employees at Nodak Insurance, Primero, and Direct Auto. Nodak Insurance also contributes an additional elective amount of employee compensation as a profit-sharing contribution for eligible employees. Westminster also sponsored a separate 401(k) plan until the company was sold on June 30, 2024. American West and Battle Creek have no employees. The Company reported expenses related to these plans totaling $320 and $346 during the three months ended March 31, 2025 and 2024,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associated with the plans are deducted from the eligible employee accounts.</w:t>
      </w:r>
    </w:p>
    <w:p>
      <w:pPr>
        <w:spacing w:after="0" w:line="225" w:lineRule="exact"/>
        <w:rPr>
          <w:sz w:val="20"/>
          <w:szCs w:val="20"/>
          <w:color w:val="auto"/>
        </w:rPr>
      </w:pPr>
    </w:p>
    <w:p>
      <w:pPr>
        <w:ind w:left="20" w:right="80"/>
        <w:spacing w:after="0" w:line="258" w:lineRule="auto"/>
        <w:rPr>
          <w:sz w:val="20"/>
          <w:szCs w:val="20"/>
          <w:color w:val="auto"/>
        </w:rPr>
      </w:pPr>
      <w:r>
        <w:rPr>
          <w:rFonts w:ascii="Times New Roman" w:cs="Times New Roman" w:eastAsia="Times New Roman" w:hAnsi="Times New Roman"/>
          <w:sz w:val="18"/>
          <w:szCs w:val="18"/>
          <w:color w:val="auto"/>
        </w:rPr>
        <w:t>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over the key executives’ allowable 401(k) contribution. The plan also allows employee-directed deferral of key executives’ compensation or incentive payments. The Company reported expenses related to this plan totaling $134 and $198 during the three months ended March 31, 2025 and 2024, respectively.</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5" w:name="page26"/>
    <w:bookmarkEnd w:id="25"/>
    <w:p>
      <w:pPr>
        <w:ind w:right="200"/>
        <w:spacing w:after="0" w:line="282" w:lineRule="auto"/>
        <w:rPr>
          <w:sz w:val="20"/>
          <w:szCs w:val="20"/>
          <w:color w:val="auto"/>
        </w:rPr>
      </w:pPr>
      <w:r>
        <w:rPr>
          <w:rFonts w:ascii="Times New Roman" w:cs="Times New Roman" w:eastAsia="Times New Roman" w:hAnsi="Times New Roman"/>
          <w:sz w:val="18"/>
          <w:szCs w:val="18"/>
          <w:color w:val="auto"/>
        </w:rPr>
        <w:t>In connection with our initial public offering (“IPO”) in March 2017, the Company established its Employee Stock Ownership Plan (the “ESOP”) within the meaning of Internal Revenue Code Section 4975(e)(7) and invests solely in common stock of the Company.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Upon establishment of the ESOP,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IPO, which resulted in the ESOP Trust owning approximately 1.0% of the Company’s authorized shares. The ESOP has purchased the shares for investment and not for resale.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Direct Auto, and Westminster do not participate in the ESOP.</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establishment of the ESOP, the Company created a contra-equity account on the Consolidated Balance Sheet equal to the ESOP’s basis in the shares. The basis of those shares was set at $10.00 per share as part of the IPO. As shares are released from the ESOP suspense account, the contra-equity account is credited, which reduces the impact of the contra-equity account on the Company’s Consolidated Balance Sheets over time. The Company records compensation expense related to the shares released, equal to the number of shares released from the suspense account multiplied by the average market value of the Company’s stock during the period.</w:t>
      </w:r>
    </w:p>
    <w:p>
      <w:pPr>
        <w:spacing w:after="0" w:line="183"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Company recognized compensation expense related to the ESOP of $89 and $84 during the three months ended March 31, 2025 and 2024, respectively, related to the ESOP.</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Through March 31, 2025, and December 31, 2024, the Company had released and allocated 194,520 ESOP shares to participants, with a remainder of 45,480 ESOP shares in suspense at March 31, 2025 and December 31, 2024. Using the Company’s quarter-end market price of $14.26 per share, the fair value of the unearned ESOP shares was $649 at March 31, 2025.</w:t>
      </w:r>
    </w:p>
    <w:p>
      <w:pPr>
        <w:spacing w:after="0" w:line="172"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w:t>
      </w:r>
    </w:p>
    <w:p>
      <w:pPr>
        <w:spacing w:after="0" w:line="229" w:lineRule="exact"/>
        <w:rPr>
          <w:sz w:val="20"/>
          <w:szCs w:val="20"/>
          <w:color w:val="auto"/>
        </w:rPr>
      </w:pPr>
    </w:p>
    <w:p>
      <w:pPr>
        <w:ind w:left="20" w:right="20"/>
        <w:spacing w:after="0" w:line="266" w:lineRule="auto"/>
        <w:rPr>
          <w:sz w:val="20"/>
          <w:szCs w:val="20"/>
          <w:color w:val="auto"/>
        </w:rPr>
      </w:pPr>
      <w:r>
        <w:rPr>
          <w:rFonts w:ascii="Times New Roman" w:cs="Times New Roman" w:eastAsia="Times New Roman" w:hAnsi="Times New Roman"/>
          <w:sz w:val="18"/>
          <w:szCs w:val="18"/>
          <w:color w:val="auto"/>
        </w:rPr>
        <w:t>NI Holdings has a $3,000 line of credit with Wells Fargo Bank, N.A. The terms of the line of credit include a floating interest rate of 2.50% above the daily simple secured overnight financing rate. There were no outstanding amounts during the three months ended March 31, 2025, or the year ended December 31, 2024. This line of credit is scheduled to expire on December 13, 2025.</w:t>
      </w:r>
    </w:p>
    <w:p>
      <w:pPr>
        <w:spacing w:after="0" w:line="172"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8"/>
          <w:szCs w:val="18"/>
          <w:color w:val="auto"/>
        </w:rPr>
        <w:t>We record any change to a previously recorded valuation allowance as a result of re-measuring existing temporary differences and loss carryforwards as a component of income tax expense (benefit) from continuing operations. The valuation allowance against certain deferred income tax assets was $2,093 and $2,506 at March 31, 2025 and December 31, 2024, respectively.</w:t>
      </w:r>
    </w:p>
    <w:p>
      <w:pPr>
        <w:spacing w:after="0" w:line="176" w:lineRule="exact"/>
        <w:rPr>
          <w:sz w:val="20"/>
          <w:szCs w:val="20"/>
          <w:color w:val="auto"/>
        </w:rPr>
      </w:pPr>
    </w:p>
    <w:p>
      <w:pPr>
        <w:ind w:left="20" w:right="500"/>
        <w:spacing w:after="0" w:line="312" w:lineRule="auto"/>
        <w:rPr>
          <w:sz w:val="20"/>
          <w:szCs w:val="20"/>
          <w:color w:val="auto"/>
        </w:rPr>
      </w:pPr>
      <w:r>
        <w:rPr>
          <w:rFonts w:ascii="Times New Roman" w:cs="Times New Roman" w:eastAsia="Times New Roman" w:hAnsi="Times New Roman"/>
          <w:sz w:val="17"/>
          <w:szCs w:val="17"/>
          <w:color w:val="auto"/>
        </w:rPr>
        <w:t>At March 31, 2025, and December 31, 2024, we had no unrecognized tax benefits, no accrued interest and penalties, and no significant uncertain tax positions. No interest and penalties were recognized during the three-month period ended March 31, 2025, or the year ended December 31, 2024.</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6" w:name="page27"/>
    <w:bookmarkEnd w:id="26"/>
    <w:p>
      <w:pPr>
        <w:ind w:right="40"/>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months ended March 31, 2025, was 16.6%, which was impacted by the $413 change in the recorded valuation allowance noted above. The effective tax rate for continuing operations was 21.5% for the three months ended March 31, 2024. Federal income taxes were allocated to discontinued operations at a 21.0% effective tax rate for the three months ended March 31, 2024.</w:t>
      </w:r>
    </w:p>
    <w:p>
      <w:pPr>
        <w:spacing w:after="0" w:line="172"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Primero leases a facility in Spearfish, South Dakota under a non-cancellable operating lease expiring in 2028. Direct Auto leases a facility in Chicago, Illinois under a non-cancellable operating lease expiring in 2029. Nodak Insurance leases a facility in Fargo, North Dakota under a non-cancellable operating lease expiring in 2029. In addition, Nodak Insurance leases server equipment under a non-cancellable finance lease expiring in 2026.</w:t>
      </w:r>
    </w:p>
    <w:p>
      <w:pPr>
        <w:spacing w:after="0" w:line="1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determine whether a contract is or contains a lease at the inception of the contract. A contract will be deemed to be or contain a lease if the contract conveys the right to control and directs the use of identified property or equipment for a period of time in exchange for consideration. We generally must also have the right to obtain substantially all of the economic benefits from the use of the property and equipment. Lease assets and liabilities are recognized at the lease commencement date based on the present value of lease payments over the lease term. To determine the present value of lease payments not yet paid, we estimate incremental borrowing rates based on the floating interest rate on our Line of Credit with Wells Fargo Bank, N.A. at the lease commencement date, as rates are not implicitly stated in most leases. Lease liabilities are included in accrued expenses and other liabilities and right-of-use assets are included in other assets in the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expenses of $115 and $122 related to these leases during the three months ended March 31, 2025 and 2024,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information regarding the Company’s leases are as follows:</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300" w:type="dxa"/>
            <w:vAlign w:val="bottom"/>
          </w:tcPr>
          <w:p>
            <w:pPr>
              <w:spacing w:after="0"/>
              <w:rPr>
                <w:sz w:val="24"/>
                <w:szCs w:val="24"/>
                <w:color w:val="auto"/>
              </w:rPr>
            </w:pPr>
          </w:p>
        </w:tc>
        <w:tc>
          <w:tcPr>
            <w:tcW w:w="3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 March 31,</w:t>
            </w:r>
          </w:p>
        </w:tc>
      </w:tr>
      <w:tr>
        <w:trPr>
          <w:trHeight w:val="223"/>
        </w:trPr>
        <w:tc>
          <w:tcPr>
            <w:tcW w:w="73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cost</w:t>
            </w: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 cost:</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73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Finance lease cost</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730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8"/>
                <w:szCs w:val="18"/>
                <w:color w:val="auto"/>
              </w:rPr>
              <w:t>Total lease cost</w:t>
            </w: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22"/>
                <w:szCs w:val="22"/>
                <w:color w:val="auto"/>
              </w:rPr>
            </w:pPr>
          </w:p>
        </w:tc>
      </w:tr>
      <w:tr>
        <w:trPr>
          <w:trHeight w:val="196"/>
        </w:trPr>
        <w:tc>
          <w:tcPr>
            <w:tcW w:w="7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 on leases: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payments included in operating cash flows from operating leases</w:t>
            </w: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payments included in operating cash flows from finance leases</w:t>
            </w:r>
          </w:p>
        </w:tc>
        <w:tc>
          <w:tcPr>
            <w:tcW w:w="1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payments included in financing cash flows from finance leases</w:t>
            </w:r>
          </w:p>
        </w:tc>
        <w:tc>
          <w:tcPr>
            <w:tcW w:w="1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4.47%</w:t>
            </w:r>
          </w:p>
        </w:tc>
        <w:tc>
          <w:tcPr>
            <w:tcW w:w="4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1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8.50%</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1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 years</w:t>
            </w:r>
          </w:p>
        </w:tc>
        <w:tc>
          <w:tcPr>
            <w:tcW w:w="420" w:type="dxa"/>
            <w:vAlign w:val="bottom"/>
          </w:tcPr>
          <w:p>
            <w:pPr>
              <w:spacing w:after="0"/>
              <w:rPr>
                <w:sz w:val="18"/>
                <w:szCs w:val="18"/>
                <w:color w:val="auto"/>
              </w:rPr>
            </w:pPr>
          </w:p>
        </w:tc>
        <w:tc>
          <w:tcPr>
            <w:tcW w:w="14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5.1 years</w:t>
            </w:r>
          </w:p>
        </w:tc>
      </w:tr>
      <w:tr>
        <w:trPr>
          <w:trHeight w:val="21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remaining lease term in years – finance leases</w:t>
            </w:r>
          </w:p>
        </w:tc>
        <w:tc>
          <w:tcPr>
            <w:tcW w:w="1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 years</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2.6 years</w:t>
            </w: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contractual maturities of the Company’s lease liabilities for each of the five years in the period ending December 31, 2029, and thereafter, reconciled to our lease liability at March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2025 (nine months remaining)</w:t>
            </w:r>
          </w:p>
        </w:tc>
        <w:tc>
          <w:tcPr>
            <w:tcW w:w="2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2029</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 at March 31, 2025</w:t>
            </w: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27" w:name="page28"/>
    <w:bookmarkEnd w:id="27"/>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from time to time, party to routine litigation incidental to the normal course of our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 Contingent liabilities arising from litigation, income taxes, and other matters are not considered to be material to our financial position.</w:t>
      </w:r>
    </w:p>
    <w:p>
      <w:pPr>
        <w:sectPr>
          <w:pgSz w:w="11900" w:h="16838" w:orient="portrait"/>
          <w:cols w:equalWidth="0" w:num="1">
            <w:col w:w="11140"/>
          </w:cols>
          <w:pgMar w:left="320" w:top="765" w:right="439" w:bottom="1440" w:gutter="0" w:footer="0" w:header="0"/>
        </w:sectPr>
      </w:pPr>
    </w:p>
    <w:p>
      <w:pPr>
        <w:spacing w:after="0" w:line="176"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and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number of common stock shares outstanding were as follows: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outstanding,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right="2260"/>
        <w:spacing w:after="0" w:line="265" w:lineRule="auto"/>
        <w:rPr>
          <w:sz w:val="20"/>
          <w:szCs w:val="20"/>
          <w:color w:val="auto"/>
        </w:rPr>
      </w:pPr>
      <w:r>
        <w:rPr>
          <w:rFonts w:ascii="Times New Roman" w:cs="Times New Roman" w:eastAsia="Times New Roman" w:hAnsi="Times New Roman"/>
          <w:sz w:val="17"/>
          <w:szCs w:val="17"/>
          <w:color w:val="auto"/>
        </w:rPr>
        <w:t>Treasury shares repurchased through stock repurchase authorization Issuance of treasury shares for 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Shares outstanding,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r>
      <w:tr>
        <w:trPr>
          <w:trHeight w:val="191"/>
        </w:trPr>
        <w:tc>
          <w:tcPr>
            <w:tcW w:w="14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20,673,268</w:t>
            </w:r>
          </w:p>
        </w:tc>
        <w:tc>
          <w:tcPr>
            <w:tcW w:w="200" w:type="dxa"/>
            <w:vAlign w:val="bottom"/>
          </w:tcPr>
          <w:p>
            <w:pPr>
              <w:spacing w:after="0"/>
              <w:rPr>
                <w:sz w:val="16"/>
                <w:szCs w:val="16"/>
                <w:color w:val="auto"/>
              </w:rPr>
            </w:pP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20,599,908</w:t>
            </w:r>
          </w:p>
        </w:tc>
        <w:tc>
          <w:tcPr>
            <w:tcW w:w="20" w:type="dxa"/>
            <w:vAlign w:val="bottom"/>
          </w:tcPr>
          <w:p>
            <w:pPr>
              <w:spacing w:after="0"/>
              <w:rPr>
                <w:sz w:val="16"/>
                <w:szCs w:val="16"/>
                <w:color w:val="auto"/>
              </w:rPr>
            </w:pPr>
          </w:p>
        </w:tc>
      </w:tr>
      <w:tr>
        <w:trPr>
          <w:trHeight w:val="229"/>
        </w:trPr>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25,306</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29,546</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20,698,574</w:t>
            </w:r>
          </w:p>
        </w:tc>
        <w:tc>
          <w:tcPr>
            <w:tcW w:w="200" w:type="dxa"/>
            <w:vAlign w:val="bottom"/>
          </w:tcPr>
          <w:p>
            <w:pPr>
              <w:spacing w:after="0"/>
              <w:rPr>
                <w:sz w:val="19"/>
                <w:szCs w:val="19"/>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20,629,454</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140"/>
          </w:cols>
          <w:pgMar w:left="320" w:top="765" w:right="439" w:bottom="1440" w:gutter="0" w:footer="0" w:header="0"/>
          <w:type w:val="continuous"/>
        </w:sect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changes in the number of common shares outstanding excludes certain non-forfeitable stock award shares that are included in the weighted average common shares outstanding used in basic earnings per common share calculations.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May 9, 2022, our Board of Directors approved an authorization for the repurchase of up to approximately $10,000 of the Company’s outstanding common stock. During the three months ended March 31, 2025, we did not repurchase any shares of our common stock. During the three months ended March 31, 2024, we did not repurchase any shares of our common stock. At March 31, 2025, $2,052 remains available under this authorization.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this treasury stock is a reduction of shareholders’ equity within our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Company’s Articles of Incorporation provide authority to issue up to five million shares of preferred stock. No preferred shares are issued or outstanding.</w:t>
      </w:r>
    </w:p>
    <w:p>
      <w:pPr>
        <w:spacing w:after="0" w:line="158"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NI Holdings, Inc. 2020 Stock and Incentive Plan (the “Plan”) is designed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total aggregate number of shares of common stock that may be issued under the Plan shall not exceed 1,000,000 shares,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Compensation Committee has awarded RSUs to non-employee directors and select executives. RSUs are promises to issue actual shares of common stock at the end of a vesting period. The RSUs granted to executives under the Plan are based on salary. RSUs granted prior to 2024 vest equally over a five-year period. Effective for executive grants beginning in 2024, the RSUs vest equally over a three-year period. As approved by the Compensation Committee, all executive share-based compensation granted in 2025 was awarded as RSUs. The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costs for RSUs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ectPr>
          <w:pgSz w:w="11900" w:h="16838" w:orient="portrait"/>
          <w:cols w:equalWidth="0" w:num="1">
            <w:col w:w="11240"/>
          </w:cols>
          <w:pgMar w:left="320" w:top="765"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outstanding and unearned RSUs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granted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RSUs earned during 2024</w:t>
      </w:r>
    </w:p>
    <w:p>
      <w:pPr>
        <w:ind w:left="140"/>
        <w:spacing w:after="0" w:line="201" w:lineRule="auto"/>
        <w:rPr>
          <w:sz w:val="20"/>
          <w:szCs w:val="20"/>
          <w:color w:val="auto"/>
        </w:rPr>
      </w:pPr>
      <w:r>
        <w:rPr>
          <w:rFonts w:ascii="Times New Roman" w:cs="Times New Roman" w:eastAsia="Times New Roman" w:hAnsi="Times New Roman"/>
          <w:sz w:val="18"/>
          <w:szCs w:val="18"/>
          <w:color w:val="auto"/>
        </w:rPr>
        <w:t xml:space="preserve">Forfeitures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Units outstanding and unearned at December 31, 2024</w:t>
      </w:r>
    </w:p>
    <w:p>
      <w:pPr>
        <w:spacing w:after="0" w:line="2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granted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earned during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Grant-Date</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16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RSUs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191"/>
        </w:trPr>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146,580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15.37</w:t>
            </w:r>
          </w:p>
        </w:tc>
        <w:tc>
          <w:tcPr>
            <w:tcW w:w="20" w:type="dxa"/>
            <w:vAlign w:val="bottom"/>
          </w:tcPr>
          <w:p>
            <w:pPr>
              <w:spacing w:after="0"/>
              <w:rPr>
                <w:sz w:val="16"/>
                <w:szCs w:val="16"/>
                <w:color w:val="auto"/>
              </w:rPr>
            </w:pPr>
          </w:p>
        </w:tc>
      </w:tr>
      <w:tr>
        <w:trPr>
          <w:trHeight w:val="216"/>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119,398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14.67</w:t>
            </w:r>
          </w:p>
        </w:tc>
      </w:tr>
      <w:tr>
        <w:trPr>
          <w:trHeight w:val="234"/>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(69,420)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14.82</w:t>
            </w:r>
          </w:p>
        </w:tc>
      </w:tr>
      <w:tr>
        <w:trPr>
          <w:trHeight w:val="270"/>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(92,160)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15.18</w:t>
            </w:r>
          </w:p>
        </w:tc>
      </w:tr>
      <w:tr>
        <w:trPr>
          <w:trHeight w:val="209"/>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104,398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15.11</w:t>
            </w:r>
          </w:p>
        </w:tc>
      </w:tr>
      <w:tr>
        <w:trPr>
          <w:trHeight w:val="407"/>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127,254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14.26</w:t>
            </w:r>
          </w:p>
        </w:tc>
      </w:tr>
      <w:tr>
        <w:trPr>
          <w:trHeight w:val="248"/>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(27,513)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14.77</w:t>
            </w:r>
          </w:p>
        </w:tc>
      </w:tr>
      <w:tr>
        <w:trPr>
          <w:trHeight w:val="223"/>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14.62</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765" w:right="339" w:bottom="1440" w:gutter="0" w:footer="0" w:header="0"/>
          <w:type w:val="continuous"/>
        </w:sectPr>
      </w:pPr>
    </w:p>
    <w:p>
      <w:pPr>
        <w:spacing w:after="0" w:line="38" w:lineRule="exact"/>
        <w:rPr>
          <w:sz w:val="20"/>
          <w:szCs w:val="20"/>
          <w:color w:val="auto"/>
        </w:rPr>
      </w:pPr>
    </w:p>
    <w:p>
      <w:pPr>
        <w:ind w:right="280" w:firstLine="8"/>
        <w:spacing w:after="0" w:line="223" w:lineRule="auto"/>
        <w:tabs>
          <w:tab w:leader="none" w:pos="212" w:val="left"/>
        </w:tabs>
        <w:numPr>
          <w:ilvl w:val="0"/>
          <w:numId w:val="2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RSU forfeitures primarily related to the execution of the separation agreement with the former Chief Executive Officer and former Senior Vice President of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impact of RSU activity to the Company’s financial results:</w:t>
            </w: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4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compensation expense</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463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(105)</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74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 compensation expense, net of income taxes</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358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At March 31, 2025, there was $2,093 of unrecognized compensation cost related to outstanding RSUs. That cost is expected to be recognized over a weighted-average period of 2.66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Compensation Committee has awarded PSUs to select executives. PSUs are promises to issue actual shares of common stock at the end of a vesting period, if certain performance conditions are met. The PSUs granted to employees under the Plan are based on salary and, prior to 2024, include a three-year adjusted book value cumulative growth target with threshold and stretch goals. For grants made in 2024, the performance metric is calculated based on an adjusted return on equity over a three-year period, with annual resets. There were no PSUs granted in 2025.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costs for PSUs based on the grant date fair value over the performance period of the awards. Estimated forfeitures are included in the determination of compensation costs. The current cost estimates represent the Company’s forecasted performance against cumulative growth targets.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outstanding PSUs is presented below:</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8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16"/>
        </w:trPr>
        <w:tc>
          <w:tcPr>
            <w:tcW w:w="8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8220" w:type="dxa"/>
            <w:vAlign w:val="bottom"/>
          </w:tcPr>
          <w:p>
            <w:pPr>
              <w:spacing w:after="0"/>
              <w:rPr>
                <w:sz w:val="20"/>
                <w:szCs w:val="20"/>
                <w:color w:val="auto"/>
              </w:rPr>
            </w:pPr>
          </w:p>
        </w:tc>
        <w:tc>
          <w:tcPr>
            <w:tcW w:w="14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6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10"/>
        </w:trPr>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outstanding at January 1, 2024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PSUs granted during 2024 (at target)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w:t>
            </w: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 earned during 2024</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22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9"/>
                <w:szCs w:val="29"/>
                <w:color w:val="auto"/>
                <w:vertAlign w:val="superscript"/>
              </w:rPr>
              <w:t>(1)</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(147,173)</w:t>
            </w:r>
          </w:p>
        </w:tc>
        <w:tc>
          <w:tcPr>
            <w:tcW w:w="16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16.14</w:t>
            </w:r>
          </w:p>
        </w:tc>
      </w:tr>
      <w:tr>
        <w:trPr>
          <w:trHeight w:val="270"/>
        </w:trPr>
        <w:tc>
          <w:tcPr>
            <w:tcW w:w="8220" w:type="dxa"/>
            <w:vAlign w:val="bottom"/>
            <w:shd w:val="clear" w:color="auto" w:fill="CCEEFF"/>
          </w:tcPr>
          <w:p>
            <w:pPr>
              <w:ind w:left="140"/>
              <w:spacing w:after="0" w:line="270" w:lineRule="exact"/>
              <w:rPr>
                <w:sz w:val="20"/>
                <w:szCs w:val="20"/>
                <w:color w:val="auto"/>
              </w:rPr>
            </w:pPr>
            <w:r>
              <w:rPr>
                <w:rFonts w:ascii="Times New Roman" w:cs="Times New Roman" w:eastAsia="Times New Roman" w:hAnsi="Times New Roman"/>
                <w:sz w:val="18"/>
                <w:szCs w:val="18"/>
                <w:color w:val="auto"/>
              </w:rPr>
              <w:t xml:space="preserve">Forfeitures </w:t>
            </w:r>
            <w:r>
              <w:rPr>
                <w:rFonts w:ascii="Times New Roman" w:cs="Times New Roman" w:eastAsia="Times New Roman" w:hAnsi="Times New Roman"/>
                <w:sz w:val="29"/>
                <w:szCs w:val="29"/>
                <w:color w:val="auto"/>
                <w:vertAlign w:val="superscript"/>
              </w:rPr>
              <w:t>(2)</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(120,100)</w:t>
            </w:r>
          </w:p>
        </w:tc>
        <w:tc>
          <w:tcPr>
            <w:tcW w:w="1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15.23</w:t>
            </w:r>
          </w:p>
        </w:tc>
      </w:tr>
      <w:tr>
        <w:trPr>
          <w:trHeight w:val="209"/>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Units outstanding at December 31,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26,327</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w:t>
            </w:r>
          </w:p>
        </w:tc>
      </w:tr>
      <w:tr>
        <w:trPr>
          <w:trHeight w:val="210"/>
        </w:trPr>
        <w:tc>
          <w:tcPr>
            <w:tcW w:w="8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PSUs granted during 2025 (at target)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 earned during 2025</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22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9"/>
                <w:szCs w:val="29"/>
                <w:color w:val="auto"/>
                <w:vertAlign w:val="superscript"/>
              </w:rPr>
              <w:t>(1)</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(2,173)</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14.19</w:t>
            </w:r>
          </w:p>
        </w:tc>
      </w:tr>
      <w:tr>
        <w:trPr>
          <w:trHeight w:val="22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Units outstanding at March 31, 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17.79</w:t>
            </w:r>
          </w:p>
        </w:tc>
      </w:tr>
      <w:tr>
        <w:trPr>
          <w:trHeight w:val="20"/>
        </w:trPr>
        <w:tc>
          <w:tcPr>
            <w:tcW w:w="8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the change in PSUs issued based upon the attainment of performance goals established by the Company.</w:t>
      </w:r>
    </w:p>
    <w:p>
      <w:pPr>
        <w:spacing w:after="0" w:line="42" w:lineRule="exact"/>
        <w:rPr>
          <w:rFonts w:ascii="Times New Roman" w:cs="Times New Roman" w:eastAsia="Times New Roman" w:hAnsi="Times New Roman"/>
          <w:sz w:val="27"/>
          <w:szCs w:val="27"/>
          <w:color w:val="auto"/>
          <w:vertAlign w:val="superscript"/>
        </w:rPr>
      </w:pPr>
    </w:p>
    <w:p>
      <w:pPr>
        <w:ind w:right="220" w:firstLine="8"/>
        <w:spacing w:after="0" w:line="213" w:lineRule="auto"/>
        <w:tabs>
          <w:tab w:leader="none" w:pos="212" w:val="left"/>
        </w:tabs>
        <w:numPr>
          <w:ilvl w:val="0"/>
          <w:numId w:val="2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PSU forfeitures primarily related to the execution of the separation agreements with the former Chief Executive Officer and former Senior Vice President of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impact of PSU activity to the Company’s financial results:</w:t>
            </w: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4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 compensation expense</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74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 compensation expense, net of income taxes</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cost estimates for PSU grants represent initial target awards until we can reasonably forecast the financial performance of each PSU award grant. At the end of the performance period, we will reflect a performance adjustment, which may be either an increase or decrease from the initial target awards. The actual number of shares to be issued at the end of the performance period will range from 0% to 200% of the initial target awards. During the year ended December 31, 2024, the previously recognized compensation expense related to the PSU awards granted during 2024 was reduced as a result of a performance adjustment, and the compensation expense related to the PSU awards granted during 2023 was eliminated due to the Company's expectation that the threshold performance goal will not be met.</w:t>
      </w:r>
    </w:p>
    <w:p>
      <w:pPr>
        <w:spacing w:after="0" w:line="18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At March 31, 2025, there was $207 of unrecognized compensation cost related to outstanding PSUs. That cost is expected to be recognized over a weighted-average period of 1.91 years.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Allowance for Expected Credit Losses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Receivable</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balances of premiums and agents’ balances receivable, net of the allowance for expected credit losses as of March 31, 2025 and 2024, and the changes in the allowance for expected credit losses for the three months ended March 31, 2025 and 2024, for continuing and discontinued operations.</w:t>
      </w:r>
    </w:p>
    <w:p>
      <w:pPr>
        <w:sectPr>
          <w:pgSz w:w="11900" w:h="16838" w:orient="portrait"/>
          <w:cols w:equalWidth="0" w:num="1">
            <w:col w:w="11200"/>
          </w:cols>
          <w:pgMar w:left="320" w:top="54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74" w:lineRule="exact"/>
        <w:rPr>
          <w:sz w:val="20"/>
          <w:szCs w:val="20"/>
          <w:color w:val="auto"/>
        </w:rPr>
      </w:pPr>
    </w:p>
    <w:p>
      <w:pPr>
        <w:ind w:left="180" w:right="760"/>
        <w:spacing w:after="0" w:line="312" w:lineRule="auto"/>
        <w:rPr>
          <w:sz w:val="20"/>
          <w:szCs w:val="20"/>
          <w:color w:val="auto"/>
        </w:rPr>
      </w:pPr>
      <w:r>
        <w:rPr>
          <w:rFonts w:ascii="Times New Roman" w:cs="Times New Roman" w:eastAsia="Times New Roman" w:hAnsi="Times New Roman"/>
          <w:sz w:val="17"/>
          <w:szCs w:val="17"/>
          <w:color w:val="auto"/>
        </w:rPr>
        <w:t>Current period charge for expected credit losses Write-offs of uncollectible premiums receivable</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74" w:lineRule="exact"/>
        <w:rPr>
          <w:sz w:val="20"/>
          <w:szCs w:val="20"/>
          <w:color w:val="auto"/>
        </w:rPr>
      </w:pPr>
    </w:p>
    <w:p>
      <w:pPr>
        <w:ind w:left="180" w:right="760"/>
        <w:spacing w:after="0" w:line="312" w:lineRule="auto"/>
        <w:rPr>
          <w:sz w:val="20"/>
          <w:szCs w:val="20"/>
          <w:color w:val="auto"/>
        </w:rPr>
      </w:pPr>
      <w:r>
        <w:rPr>
          <w:rFonts w:ascii="Times New Roman" w:cs="Times New Roman" w:eastAsia="Times New Roman" w:hAnsi="Times New Roman"/>
          <w:sz w:val="17"/>
          <w:szCs w:val="17"/>
          <w:color w:val="auto"/>
        </w:rPr>
        <w:t>Current period charge for expected credit losses Write-offs of uncollectible premiums receivable</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 of and For the Three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of and For the Three Months</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Ended March 31, 2025</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Ended March 31, 2024</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Receivable, Net of</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Receivable, Net of</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 w:type="dxa"/>
            <w:vAlign w:val="bottom"/>
          </w:tcPr>
          <w:p>
            <w:pPr>
              <w:spacing w:after="0"/>
              <w:rPr>
                <w:sz w:val="18"/>
                <w:szCs w:val="18"/>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80" w:type="dxa"/>
            <w:vAlign w:val="bottom"/>
          </w:tcPr>
          <w:p>
            <w:pPr>
              <w:spacing w:after="0"/>
              <w:rPr>
                <w:sz w:val="18"/>
                <w:szCs w:val="18"/>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Expected Credit</w:t>
            </w:r>
          </w:p>
        </w:tc>
        <w:tc>
          <w:tcPr>
            <w:tcW w:w="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9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52,907</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56,154</w:t>
            </w: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line="20" w:lineRule="exact"/>
              <w:rPr>
                <w:sz w:val="1"/>
                <w:szCs w:val="1"/>
                <w:color w:val="auto"/>
              </w:rPr>
            </w:pPr>
          </w:p>
        </w:tc>
      </w:tr>
      <w:tr>
        <w:trPr>
          <w:trHeight w:val="39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49,220</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59,979</w:t>
            </w: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As of and For the Three Months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As of and For the Three Months</w:t>
            </w:r>
          </w:p>
        </w:tc>
        <w:tc>
          <w:tcPr>
            <w:tcW w:w="0" w:type="dxa"/>
            <w:vAlign w:val="bottom"/>
          </w:tcPr>
          <w:p>
            <w:pPr>
              <w:spacing w:after="0"/>
              <w:rPr>
                <w:sz w:val="1"/>
                <w:szCs w:val="1"/>
                <w:color w:val="auto"/>
              </w:rPr>
            </w:pPr>
          </w:p>
        </w:tc>
      </w:tr>
      <w:tr>
        <w:trPr>
          <w:trHeight w:val="238"/>
        </w:trPr>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Ended March 31, 2025</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Ended March 31, 2024</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600" w:type="dxa"/>
            <w:vAlign w:val="bottom"/>
            <w:gridSpan w:val="3"/>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Agents’ Balances</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 Net of</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Receivable, Net of</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80" w:type="dxa"/>
            <w:vAlign w:val="bottom"/>
          </w:tcPr>
          <w:p>
            <w:pPr>
              <w:spacing w:after="0"/>
              <w:rPr>
                <w:sz w:val="18"/>
                <w:szCs w:val="18"/>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Expected Credit</w:t>
            </w:r>
          </w:p>
        </w:tc>
        <w:tc>
          <w:tcPr>
            <w:tcW w:w="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0" w:type="dxa"/>
            <w:vAlign w:val="bottom"/>
          </w:tcPr>
          <w:p>
            <w:pPr>
              <w:spacing w:after="0"/>
              <w:rPr>
                <w:sz w:val="1"/>
                <w:szCs w:val="1"/>
                <w:color w:val="auto"/>
              </w:rPr>
            </w:pPr>
          </w:p>
        </w:tc>
      </w:tr>
      <w:tr>
        <w:trPr>
          <w:trHeight w:val="238"/>
        </w:trPr>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9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17,904</w:t>
            </w: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19,727</w:t>
            </w: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-3385820</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-3076575</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-2785745</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-2493645</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-1071245</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-762000</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-471170</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-179070</wp:posOffset>
            </wp:positionV>
            <wp:extent cx="713232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720"/>
            <w:col w:w="6080"/>
          </w:cols>
          <w:pgMar w:left="320" w:top="549" w:right="37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type w:val="continuous"/>
        </w:sectPr>
      </w:pPr>
    </w:p>
    <w:bookmarkStart w:id="31" w:name="page32"/>
    <w:bookmarkEnd w:id="31"/>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7, 2024, we entered into a definitive agreement to sell our subsidiary, Westminster, to Scott Insurance Holdings, for a cash purchase price of</w:t>
      </w:r>
    </w:p>
    <w:p>
      <w:pPr>
        <w:spacing w:after="0" w:line="2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$10,500, as well as a $1,772 post-closing adjustment pursuant to the purchase agreement, for a net amount of $12,272. The sale closed on June 30, 2024, and we reported an after-tax loss on the sale of discontinued operations of $11,148. For additional information see Part I, Item 1, Note 2 “Basis of Presentation and Accounting Policies” of this Form 10-Q.</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Statements of Cash Flows presents operating, investing, and financing cash flows of the discontinued operations separately.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operating results of discontinued operations were as follows for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800" w:type="dxa"/>
            <w:vAlign w:val="bottom"/>
            <w:gridSpan w:val="7"/>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37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3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46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15,673</w:t>
            </w: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and other income</w:t>
            </w:r>
          </w:p>
        </w:tc>
        <w:tc>
          <w:tcPr>
            <w:tcW w:w="3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3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3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7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3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12,065</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3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3,846</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3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37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7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common share from discontinued operations:</w:t>
            </w:r>
          </w:p>
        </w:tc>
        <w:tc>
          <w:tcPr>
            <w:tcW w:w="3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6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97"/>
        </w:trPr>
        <w:tc>
          <w:tcPr>
            <w:tcW w:w="472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37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720" w:type="dxa"/>
            <w:vAlign w:val="bottom"/>
            <w:vMerge w:val="restart"/>
          </w:tcPr>
          <w:p>
            <w:pPr>
              <w:jc w:val="right"/>
              <w:ind w:right="2650"/>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7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32" w:name="page33"/>
    <w:bookmarkEnd w:id="32"/>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five reportable operating segments of our continuing operations, which consist of Private Passenger Auto, Non-Standard Auto, Home and Farm, Crop, and All Other (which primarily consists of commercial, assumed reinsurance, and our excess liability business). Prior to the sale of Westminster on June 30, 2024, we also reported a Commercial segment that consisted primarily of Westminster’s balances and results. Subsequent to the sale, Westminster is reported as part of discontinued operations, which is not included in our segment information. The commercial business that remains a part of our continuing operations has been included in the All Other segment for the current and prior periods presented. We operate only in the U.S., and no single customer or agent provides 10 percent or more of our revenues. The following tables provide available information of these segments for the three-months ended March 31, 2025 and 2024.</w:t>
      </w:r>
    </w:p>
    <w:p>
      <w:pPr>
        <w:spacing w:after="0" w:line="18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chief operating decision maker is our President and Chief Executive Officer (“CEO”). The primary profitability measurement used by the CEO to review segment operating results is underwriting gain (loss). The CEO uses segment underwriting gain (loss) to allocate resources (including employee, financial and capital resources) for each segment predominantly in the annual planning process. Segment underwriting gain (loss) is used to monitor segment results compared to prior period, forecasted results, and the annual plan. For purposes of evaluating profitability of the Non-Standard Auto segment, we combine the policy fees paid by the insured with the underwriting gain or loss as its primary profitability measure. As a result, these fees are allocated to the Non-Standard Auto segment (included in fee and other income) in the tables below. The remaining fee and other income amounts are not allocated to any segment.</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assign or allocate all line items in our Consolidated Statement of Operations or Consolidated Balance Sheets to our operating segments. Those line items include net investment income, net investment gains, fee and other income excluding Non-Standard Auto, and income tax expense within the Unaudited Consolidated Statement of Operations. For the Consolidated Balance Sheets, those items include cash and investments, property and equipment, other assets, accrued expenses and other liabilities, income taxes recoverable, and shareholders’ equity.</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Private</w:t>
            </w:r>
          </w:p>
        </w:tc>
        <w:tc>
          <w:tcPr>
            <w:tcW w:w="136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1200" w:type="dxa"/>
            <w:vAlign w:val="bottom"/>
            <w:gridSpan w:val="3"/>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Home and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6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Passenger Auto</w:t>
            </w:r>
          </w:p>
        </w:tc>
        <w:tc>
          <w:tcPr>
            <w:tcW w:w="240" w:type="dxa"/>
            <w:vAlign w:val="bottom"/>
          </w:tcPr>
          <w:p>
            <w:pPr>
              <w:spacing w:after="0"/>
              <w:rPr>
                <w:sz w:val="20"/>
                <w:szCs w:val="20"/>
                <w:color w:val="auto"/>
              </w:rPr>
            </w:pPr>
          </w:p>
        </w:tc>
        <w:tc>
          <w:tcPr>
            <w:tcW w:w="112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Auto</w:t>
            </w:r>
          </w:p>
        </w:tc>
        <w:tc>
          <w:tcPr>
            <w:tcW w:w="18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Farm</w:t>
            </w:r>
          </w:p>
        </w:tc>
        <w:tc>
          <w:tcPr>
            <w:tcW w:w="20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Crop</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(1,170)</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(2,790)</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(4,703)</w:t>
            </w:r>
          </w:p>
        </w:tc>
      </w:tr>
      <w:tr>
        <w:trPr>
          <w:trHeight w:val="210"/>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23,721</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67,497</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13,498</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14,538</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9,932</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40,379</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(1,621)</w:t>
            </w:r>
          </w:p>
        </w:tc>
      </w:tr>
      <w:tr>
        <w:trPr>
          <w:trHeight w:val="209"/>
        </w:trPr>
        <w:tc>
          <w:tcPr>
            <w:tcW w:w="37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28,972</w:t>
            </w:r>
          </w:p>
        </w:tc>
        <w:tc>
          <w:tcPr>
            <w:tcW w:w="100" w:type="dxa"/>
            <w:vAlign w:val="bottom"/>
            <w:shd w:val="clear" w:color="auto" w:fill="CCEEFF"/>
          </w:tcPr>
          <w:p>
            <w:pPr>
              <w:spacing w:after="0"/>
              <w:rPr>
                <w:sz w:val="18"/>
                <w:szCs w:val="18"/>
                <w:color w:val="auto"/>
              </w:rPr>
            </w:pPr>
          </w:p>
        </w:tc>
      </w:tr>
      <w:tr>
        <w:trPr>
          <w:trHeight w:val="209"/>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6,324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5,037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16,528</w:t>
            </w:r>
          </w:p>
        </w:tc>
      </w:tr>
      <w:tr>
        <w:trPr>
          <w:trHeight w:val="270"/>
        </w:trPr>
        <w:tc>
          <w:tcPr>
            <w:tcW w:w="37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 underwriting and general expenses </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2,892</w:t>
            </w:r>
          </w:p>
        </w:tc>
        <w:tc>
          <w:tcPr>
            <w:tcW w:w="240" w:type="dxa"/>
            <w:vAlign w:val="bottom"/>
          </w:tcPr>
          <w:p>
            <w:pPr>
              <w:spacing w:after="0"/>
              <w:rPr>
                <w:sz w:val="23"/>
                <w:szCs w:val="23"/>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1,957</w:t>
            </w:r>
          </w:p>
        </w:tc>
        <w:tc>
          <w:tcPr>
            <w:tcW w:w="18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2,796</w:t>
            </w:r>
          </w:p>
        </w:tc>
        <w:tc>
          <w:tcPr>
            <w:tcW w:w="200" w:type="dxa"/>
            <w:vAlign w:val="bottom"/>
          </w:tcPr>
          <w:p>
            <w:pPr>
              <w:spacing w:after="0"/>
              <w:rPr>
                <w:sz w:val="23"/>
                <w:szCs w:val="2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8,632</w:t>
            </w:r>
          </w:p>
        </w:tc>
      </w:tr>
      <w:tr>
        <w:trPr>
          <w:trHeight w:val="210"/>
        </w:trPr>
        <w:tc>
          <w:tcPr>
            <w:tcW w:w="37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7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Borders>
              <w:bottom w:val="single" w:sz="8" w:color="CCEEFF"/>
            </w:tcBorders>
          </w:tcPr>
          <w:p>
            <w:pPr>
              <w:spacing w:after="0"/>
              <w:rPr>
                <w:sz w:val="18"/>
                <w:szCs w:val="18"/>
                <w:color w:val="auto"/>
              </w:rPr>
            </w:pPr>
          </w:p>
        </w:tc>
      </w:tr>
      <w:tr>
        <w:trPr>
          <w:trHeight w:val="209"/>
        </w:trPr>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r>
        <w:trPr>
          <w:trHeight w:val="209"/>
        </w:trPr>
        <w:tc>
          <w:tcPr>
            <w:tcW w:w="3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2,838</w:t>
            </w: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gains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w:t>
            </w:r>
          </w:p>
        </w:tc>
      </w:tr>
      <w:tr>
        <w:trPr>
          <w:trHeight w:val="210"/>
        </w:trPr>
        <w:tc>
          <w:tcPr>
            <w:tcW w:w="37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w:t>
            </w:r>
          </w:p>
        </w:tc>
      </w:tr>
      <w:tr>
        <w:trPr>
          <w:trHeight w:val="223"/>
        </w:trPr>
        <w:tc>
          <w:tcPr>
            <w:tcW w:w="37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and loss adjustment expense ratio</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79.6%</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92.2%</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125.0%</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74.3%</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March 31, 2025: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26,159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9,676</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10,446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2,909</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49,220</w:t>
            </w:r>
          </w:p>
        </w:tc>
      </w:tr>
      <w:tr>
        <w:trPr>
          <w:trHeight w:val="216"/>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6,362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23,813</w:t>
            </w:r>
          </w:p>
        </w:tc>
      </w:tr>
      <w:tr>
        <w:trPr>
          <w:trHeight w:val="216"/>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2,228</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1,706</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8,646</w:t>
            </w:r>
          </w:p>
        </w:tc>
      </w:tr>
      <w:tr>
        <w:trPr>
          <w:trHeight w:val="198"/>
        </w:trPr>
        <w:tc>
          <w:tcPr>
            <w:tcW w:w="376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Receivable from Federal Crop Insurance</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Corporation</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11,474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11,474</w:t>
            </w:r>
          </w:p>
        </w:tc>
      </w:tr>
      <w:tr>
        <w:trPr>
          <w:trHeight w:val="216"/>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28,726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77,321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19,467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135,886</w:t>
            </w:r>
          </w:p>
        </w:tc>
      </w:tr>
      <w:tr>
        <w:trPr>
          <w:trHeight w:val="234"/>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Unearned premiums</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38,266</w:t>
            </w:r>
          </w:p>
        </w:tc>
        <w:tc>
          <w:tcPr>
            <w:tcW w:w="24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22,996</w:t>
            </w: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53,358</w:t>
            </w:r>
          </w:p>
        </w:tc>
        <w:tc>
          <w:tcPr>
            <w:tcW w:w="2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7,443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122,063</w:t>
            </w:r>
          </w:p>
        </w:tc>
      </w:tr>
    </w:tbl>
    <w:p>
      <w:pPr>
        <w:spacing w:after="0" w:line="179"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underwriting and general expenses for each segment include expenses related to compensation, vendor services, and other administrative items.</w:t>
      </w:r>
    </w:p>
    <w:p>
      <w:pPr>
        <w:spacing w:after="0" w:line="333"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560"/>
              <w:spacing w:after="0" w:line="188" w:lineRule="exact"/>
              <w:rPr>
                <w:sz w:val="20"/>
                <w:szCs w:val="20"/>
                <w:color w:val="auto"/>
              </w:rPr>
            </w:pPr>
            <w:r>
              <w:rPr>
                <w:rFonts w:ascii="Times New Roman" w:cs="Times New Roman" w:eastAsia="Times New Roman" w:hAnsi="Times New Roman"/>
                <w:sz w:val="18"/>
                <w:szCs w:val="18"/>
                <w:b w:val="1"/>
                <w:bCs w:val="1"/>
                <w:color w:val="auto"/>
              </w:rPr>
              <w:t>Private</w:t>
            </w:r>
          </w:p>
        </w:tc>
        <w:tc>
          <w:tcPr>
            <w:tcW w:w="12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80" w:type="dxa"/>
            <w:vAlign w:val="bottom"/>
          </w:tcPr>
          <w:p>
            <w:pPr>
              <w:spacing w:after="0"/>
              <w:rPr>
                <w:sz w:val="16"/>
                <w:szCs w:val="16"/>
                <w:color w:val="auto"/>
              </w:rPr>
            </w:pPr>
          </w:p>
        </w:tc>
        <w:tc>
          <w:tcPr>
            <w:tcW w:w="1140" w:type="dxa"/>
            <w:vAlign w:val="bottom"/>
            <w:gridSpan w:val="3"/>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Home and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8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Passenger Auto</w:t>
            </w:r>
          </w:p>
        </w:tc>
        <w:tc>
          <w:tcPr>
            <w:tcW w:w="220" w:type="dxa"/>
            <w:vAlign w:val="bottom"/>
          </w:tcPr>
          <w:p>
            <w:pPr>
              <w:spacing w:after="0"/>
              <w:rPr>
                <w:sz w:val="20"/>
                <w:szCs w:val="20"/>
                <w:color w:val="auto"/>
              </w:rPr>
            </w:pPr>
          </w:p>
        </w:tc>
        <w:tc>
          <w:tcPr>
            <w:tcW w:w="10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Auto</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Farm</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Crop</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(5,665)</w:t>
            </w:r>
          </w:p>
        </w:tc>
      </w:tr>
      <w:tr>
        <w:trPr>
          <w:trHeight w:val="210"/>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22,102</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69,884</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11,409</w:t>
            </w:r>
          </w:p>
        </w:tc>
        <w:tc>
          <w:tcPr>
            <w:tcW w:w="22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16,869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41,519</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9"/>
                <w:szCs w:val="19"/>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(1,108)</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(1,420)</w:t>
            </w:r>
          </w:p>
        </w:tc>
      </w:tr>
      <w:tr>
        <w:trPr>
          <w:trHeight w:val="209"/>
        </w:trPr>
        <w:tc>
          <w:tcPr>
            <w:tcW w:w="37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29,740</w:t>
            </w:r>
          </w:p>
        </w:tc>
        <w:tc>
          <w:tcPr>
            <w:tcW w:w="100" w:type="dxa"/>
            <w:vAlign w:val="bottom"/>
            <w:shd w:val="clear" w:color="auto" w:fill="CCEEFF"/>
          </w:tcPr>
          <w:p>
            <w:pPr>
              <w:spacing w:after="0"/>
              <w:rPr>
                <w:sz w:val="18"/>
                <w:szCs w:val="18"/>
                <w:color w:val="auto"/>
              </w:rPr>
            </w:pPr>
          </w:p>
        </w:tc>
      </w:tr>
      <w:tr>
        <w:trPr>
          <w:trHeight w:val="209"/>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8,288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16,817</w:t>
            </w:r>
          </w:p>
        </w:tc>
      </w:tr>
      <w:tr>
        <w:trPr>
          <w:trHeight w:val="270"/>
        </w:trPr>
        <w:tc>
          <w:tcPr>
            <w:tcW w:w="37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 underwriting and general expenses </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2,982</w:t>
            </w:r>
          </w:p>
        </w:tc>
        <w:tc>
          <w:tcPr>
            <w:tcW w:w="220" w:type="dxa"/>
            <w:vAlign w:val="bottom"/>
          </w:tcPr>
          <w:p>
            <w:pPr>
              <w:spacing w:after="0"/>
              <w:rPr>
                <w:sz w:val="23"/>
                <w:szCs w:val="23"/>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990</w:t>
            </w:r>
          </w:p>
        </w:tc>
        <w:tc>
          <w:tcPr>
            <w:tcW w:w="1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8,705</w:t>
            </w:r>
          </w:p>
        </w:tc>
      </w:tr>
      <w:tr>
        <w:trPr>
          <w:trHeight w:val="210"/>
        </w:trPr>
        <w:tc>
          <w:tcPr>
            <w:tcW w:w="37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00" w:type="dxa"/>
            <w:vAlign w:val="bottom"/>
            <w:tcBorders>
              <w:bottom w:val="single" w:sz="8" w:color="CCEEFF"/>
            </w:tcBorders>
          </w:tcPr>
          <w:p>
            <w:pPr>
              <w:spacing w:after="0"/>
              <w:rPr>
                <w:sz w:val="18"/>
                <w:szCs w:val="18"/>
                <w:color w:val="auto"/>
              </w:rPr>
            </w:pPr>
          </w:p>
        </w:tc>
      </w:tr>
      <w:tr>
        <w:trPr>
          <w:trHeight w:val="210"/>
        </w:trPr>
        <w:tc>
          <w:tcPr>
            <w:tcW w:w="3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r>
      <w:tr>
        <w:trPr>
          <w:trHeight w:val="209"/>
        </w:trPr>
        <w:tc>
          <w:tcPr>
            <w:tcW w:w="3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2,755</w:t>
            </w: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gains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w:t>
            </w:r>
          </w:p>
        </w:tc>
      </w:tr>
      <w:tr>
        <w:trPr>
          <w:trHeight w:val="210"/>
        </w:trPr>
        <w:tc>
          <w:tcPr>
            <w:tcW w:w="37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1,898</w:t>
            </w:r>
          </w:p>
        </w:tc>
      </w:tr>
      <w:tr>
        <w:trPr>
          <w:trHeight w:val="223"/>
        </w:trPr>
        <w:tc>
          <w:tcPr>
            <w:tcW w:w="37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and loss adjustment expense ratio</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w:t>
            </w:r>
          </w:p>
        </w:tc>
        <w:tc>
          <w:tcPr>
            <w:tcW w:w="22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r>
      <w:tr>
        <w:trPr>
          <w:trHeight w:val="216"/>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82.9%</w:t>
            </w:r>
          </w:p>
        </w:tc>
        <w:tc>
          <w:tcPr>
            <w:tcW w:w="22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w:t>
            </w:r>
          </w:p>
        </w:tc>
      </w:tr>
      <w:tr>
        <w:trPr>
          <w:trHeight w:val="216"/>
        </w:trPr>
        <w:tc>
          <w:tcPr>
            <w:tcW w:w="3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March 31, 2024:</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24,562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22,720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10,269</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59,979</w:t>
            </w:r>
          </w:p>
        </w:tc>
      </w:tr>
      <w:tr>
        <w:trPr>
          <w:trHeight w:val="216"/>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12,978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28,948</w:t>
            </w:r>
          </w:p>
        </w:tc>
      </w:tr>
      <w:tr>
        <w:trPr>
          <w:trHeight w:val="216"/>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3,255</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6,346</w:t>
            </w:r>
          </w:p>
        </w:tc>
      </w:tr>
      <w:tr>
        <w:trPr>
          <w:trHeight w:val="198"/>
        </w:trPr>
        <w:tc>
          <w:tcPr>
            <w:tcW w:w="378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Receivable from Federal Crop Insurance</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Corporation</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13,913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13,913</w:t>
            </w:r>
          </w:p>
        </w:tc>
      </w:tr>
      <w:tr>
        <w:trPr>
          <w:trHeight w:val="216"/>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2,728</w:t>
            </w:r>
          </w:p>
        </w:tc>
      </w:tr>
      <w:tr>
        <w:trPr>
          <w:trHeight w:val="216"/>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65,228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9,477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120,531</w:t>
            </w:r>
          </w:p>
        </w:tc>
      </w:tr>
      <w:tr>
        <w:trPr>
          <w:trHeight w:val="234"/>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Unearned premiums</w:t>
            </w: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36,095</w:t>
            </w:r>
          </w:p>
        </w:tc>
        <w:tc>
          <w:tcPr>
            <w:tcW w:w="22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42,641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48,751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6,240</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133,727</w:t>
            </w:r>
          </w:p>
        </w:tc>
      </w:tr>
    </w:tbl>
    <w:p>
      <w:pPr>
        <w:spacing w:after="0" w:line="179" w:lineRule="exact"/>
        <w:rPr>
          <w:sz w:val="20"/>
          <w:szCs w:val="20"/>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underwriting and general expenses for each segment include expenses related to compensation, vendor services, and other administrative items.</w:t>
      </w:r>
    </w:p>
    <w:p>
      <w:pPr>
        <w:spacing w:after="0" w:line="333"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discussion is intended to provide a more comprehensive review of our operating results and financial condition than can be obtained from reading the unaudited consolidated financial statements alone. Unless otherwise noted, the information in the following discussion is being presented for our continuing operations. This discussion should be read in conjunction with the unaudited consolidated financial statements and the notes thereto included in Part I, Item 1, “Financial Statements.” Some of the information contained in this discussion and analysis or set forth elsewhere in this Form 10-Q constitutes forward-looking statements that involve risks and uncertainties. Please see “Forward-Looking Statements” included elsewhere in this Form 10-Q. Part I, Item 1A, “Risk Factors” included in our 2024 Annual Report should also be reviewed for a discussion of important factors that could cause actual results to differ materially from the results described, or implied by, the forward-looking statements contained 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included in Item 2 herein, except per share data, are in thousands.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First Quarter Consolidated Results of Operations</w:t>
      </w:r>
    </w:p>
    <w:p>
      <w:pPr>
        <w:spacing w:after="0" w:line="22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$6,460, or $0.31 per share basic and $0.31 per share diluted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earned of $67,497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of $2,838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unfavorable prior year reserve development of $1,418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gain of $3,812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ratio of 94.4%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flows of $9,888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First Quarter Consolidated Financial Condition</w:t>
      </w:r>
    </w:p>
    <w:p>
      <w:pPr>
        <w:spacing w:after="0" w:line="229"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and investments of $398,901</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of $525,364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losses and loss adjustment expenses of $135,886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liabilities of $271,364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equity of $254,000</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net income from continuing operations was $6,460 and $6,935 for the three months ended March 31, 2025 and 2024,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The major components of our revenues and net income for the two periods are shown below:</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premiums earned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67,497</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69,884</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Fee and other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investment 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investment gains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revenues</w:t>
            </w:r>
          </w:p>
        </w:tc>
        <w:tc>
          <w:tcPr>
            <w:tcW w:w="7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premiums earned</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67,497</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69,884</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38,525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40,144</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deferred policy acquisition costs and other underwriting and general expenses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25,522</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Underwriting gain</w:t>
            </w:r>
          </w:p>
        </w:tc>
        <w:tc>
          <w:tcPr>
            <w:tcW w:w="7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and other 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investment income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2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investment gains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09"/>
        </w:trPr>
        <w:tc>
          <w:tcPr>
            <w:tcW w:w="772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23"/>
        </w:trPr>
        <w:tc>
          <w:tcPr>
            <w:tcW w:w="77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Premiums Earned</w:t>
            </w: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 premium</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72,161</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75,398</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Assumed premium</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Ceded premium</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(5,665)</w:t>
            </w:r>
          </w:p>
        </w:tc>
        <w:tc>
          <w:tcPr>
            <w:tcW w:w="0" w:type="dxa"/>
            <w:vAlign w:val="bottom"/>
          </w:tcPr>
          <w:p>
            <w:pPr>
              <w:spacing w:after="0"/>
              <w:rPr>
                <w:sz w:val="1"/>
                <w:szCs w:val="1"/>
                <w:color w:val="auto"/>
              </w:rPr>
            </w:pPr>
          </w:p>
        </w:tc>
      </w:tr>
      <w:tr>
        <w:trPr>
          <w:trHeight w:val="223"/>
        </w:trPr>
        <w:tc>
          <w:tcPr>
            <w:tcW w:w="77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premiums earned for the three months ended March 31, 2025, decreased $2,387, or 3.4%, compared to the three months ended March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22,658</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22,102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24,989</w:t>
            </w:r>
          </w:p>
        </w:tc>
        <w:tc>
          <w:tcPr>
            <w:tcW w:w="0" w:type="dxa"/>
            <w:vAlign w:val="bottom"/>
          </w:tcPr>
          <w:p>
            <w:pPr>
              <w:spacing w:after="0"/>
              <w:rPr>
                <w:sz w:val="1"/>
                <w:szCs w:val="1"/>
                <w:color w:val="auto"/>
              </w:rPr>
            </w:pPr>
          </w:p>
        </w:tc>
      </w:tr>
      <w:tr>
        <w:trPr>
          <w:trHeight w:val="216"/>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21,414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2,928</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45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520" w:type="dxa"/>
            <w:vAlign w:val="bottom"/>
            <w:vMerge w:val="restart"/>
          </w:tcPr>
          <w:p>
            <w:pPr>
              <w:jc w:val="right"/>
              <w:ind w:right="265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9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Below are comments regarding significant changes in net premiums earned by business segment:</w:t>
      </w:r>
    </w:p>
    <w:p>
      <w:pPr>
        <w:spacing w:after="0" w:line="22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Private Passenger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three months ended March 31, 2025, increased $556, or 2.5%,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Results were driven by new business growth in North Dakota as well as significant rate increases in South Dakota, and Nebraska, partially offset by lower new business and retention levels in South Dakota and Nebraska as a result of underwriting actions taken.</w:t>
      </w:r>
    </w:p>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Non-Standard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three months ended March 31, 2025, decreased $6,736, or 27.0%, compared to the same period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decrease was driven by strategic decisions to exit Nevada and significantly reduce written premium in the Chicago market in recent periods to improve profitability. We anticipate that this strategic shift away from Nevada and Chicago will result in a continued reduction of net premiums earned for Non-Standard Auto in the near term.</w:t>
      </w:r>
    </w:p>
    <w:p>
      <w:pPr>
        <w:spacing w:after="0" w:line="176"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Home and Farm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three months ended March 31, 2025, increased $2,307, or 10.8%, compared to the same period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were driven by new business growth in North Dakota, rate increases, and increased insured property values. These increases were partially offset by lower retention rates and new business levels in Nebraska as a result of underwriting actions taken to improve profitability.</w:t>
      </w:r>
    </w:p>
    <w:p>
      <w:pPr>
        <w:spacing w:after="0" w:line="17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Crop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first quarter of any year are typically the result of prior crop year premium adjustments that correspond to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settlement of prior crop year claims. The majority of crop insurance premiums are generally written in the second quarter and earned ratably over the remainder of the calendar year.</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All 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three months ended March 31, 2025, increased $313, or 10.7%, compared to the same period in 2024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rate increases for the North Dakota commercial lines of business.</w:t>
      </w:r>
    </w:p>
    <w:p>
      <w:pPr>
        <w:sectPr>
          <w:pgSz w:w="11900" w:h="16838" w:orient="portrait"/>
          <w:cols w:equalWidth="0" w:num="1">
            <w:col w:w="11200"/>
          </w:cols>
          <w:pgMar w:left="320" w:top="553" w:right="379" w:bottom="1440" w:gutter="0" w:footer="0" w:header="0"/>
        </w:sectPr>
      </w:pP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9" w:lineRule="exact"/>
        <w:rPr>
          <w:sz w:val="20"/>
          <w:szCs w:val="20"/>
          <w:color w:val="auto"/>
        </w:rPr>
      </w:pPr>
    </w:p>
    <w:p>
      <w:pPr>
        <w:jc w:val="right"/>
        <w:ind w:right="4060"/>
        <w:spacing w:after="0"/>
        <w:rPr>
          <w:sz w:val="20"/>
          <w:szCs w:val="20"/>
          <w:color w:val="auto"/>
        </w:rPr>
      </w:pPr>
      <w:r>
        <w:rPr>
          <w:rFonts w:ascii="Times New Roman" w:cs="Times New Roman" w:eastAsia="Times New Roman" w:hAnsi="Times New Roman"/>
          <w:sz w:val="18"/>
          <w:szCs w:val="18"/>
          <w:color w:val="auto"/>
        </w:rPr>
        <w:t>Total net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07"/>
        </w:trPr>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40,379</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41,519</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(1,621)</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760"/>
          </w:cols>
          <w:pgMar w:left="320" w:top="553" w:right="37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type w:val="continuous"/>
        </w:sectPr>
      </w:pPr>
    </w:p>
    <w:bookmarkStart w:id="38" w:name="page39"/>
    <w:bookmarkEnd w:id="38"/>
    <w:p>
      <w:pPr>
        <w:ind w:right="180"/>
        <w:spacing w:after="0" w:line="282" w:lineRule="auto"/>
        <w:rPr>
          <w:sz w:val="20"/>
          <w:szCs w:val="20"/>
          <w:color w:val="auto"/>
        </w:rPr>
      </w:pPr>
      <w:r>
        <w:rPr>
          <w:rFonts w:ascii="Times New Roman" w:cs="Times New Roman" w:eastAsia="Times New Roman" w:hAnsi="Times New Roman"/>
          <w:sz w:val="18"/>
          <w:szCs w:val="18"/>
          <w:color w:val="auto"/>
        </w:rPr>
        <w:t>Our net losses and loss adjustment expenses for the three months ended March 31, 2025, decreased $1,619, or 4.0%, compared to the three months ended March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6060" w:type="dxa"/>
            <w:vAlign w:val="bottom"/>
            <w:tcBorders>
              <w:bottom w:val="single" w:sz="8" w:color="CCEEFF"/>
            </w:tcBorders>
          </w:tcPr>
          <w:p>
            <w:pPr>
              <w:spacing w:after="0"/>
              <w:rPr>
                <w:sz w:val="19"/>
                <w:szCs w:val="19"/>
                <w:color w:val="auto"/>
              </w:rPr>
            </w:pPr>
          </w:p>
        </w:tc>
        <w:tc>
          <w:tcPr>
            <w:tcW w:w="23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13,495</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11,293</w:t>
            </w:r>
          </w:p>
        </w:tc>
      </w:tr>
      <w:tr>
        <w:trPr>
          <w:trHeight w:val="216"/>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16,869</w:t>
            </w:r>
          </w:p>
        </w:tc>
      </w:tr>
      <w:tr>
        <w:trPr>
          <w:trHeight w:val="216"/>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12,181</w:t>
            </w:r>
          </w:p>
        </w:tc>
      </w:tr>
      <w:tr>
        <w:trPr>
          <w:trHeight w:val="216"/>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(1,557)</w:t>
            </w:r>
          </w:p>
        </w:tc>
      </w:tr>
      <w:tr>
        <w:trPr>
          <w:trHeight w:val="230"/>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1,358</w:t>
            </w:r>
          </w:p>
        </w:tc>
      </w:tr>
      <w:tr>
        <w:trPr>
          <w:trHeight w:val="223"/>
        </w:trPr>
        <w:tc>
          <w:tcPr>
            <w:tcW w:w="60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net losses and loss adjustment expenses</w:t>
            </w:r>
          </w:p>
        </w:tc>
        <w:tc>
          <w:tcPr>
            <w:tcW w:w="23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8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and loss adjustment expense ratio:</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100.5%</w:t>
            </w:r>
          </w:p>
        </w:tc>
      </w:tr>
      <w:tr>
        <w:trPr>
          <w:trHeight w:val="229"/>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r>
      <w:tr>
        <w:trPr>
          <w:trHeight w:val="223"/>
        </w:trPr>
        <w:tc>
          <w:tcPr>
            <w:tcW w:w="84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loss and loss adjustment expense ratio</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Below are comments regarding significant changes in the net losses and loss adjustment expenses, and the net loss and loss adjustment expense ratios, by business segment:</w:t>
      </w:r>
    </w:p>
    <w:p>
      <w:pPr>
        <w:spacing w:after="0" w:line="15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Private Passenger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increased 8.5 percentage points in the three-month period ended March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2024. This increase was driven by unfavorable prior year development on loss reserves in the current year quarter due to higher severity.</w:t>
      </w:r>
    </w:p>
    <w:p>
      <w:pPr>
        <w:spacing w:after="0" w:line="17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Non-Standard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increased 12.1 percentage points in the three-month period ended March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2024. This increase was primarily driven by significant strategic reductions in net earned premium and unfavorable prior year development on liability loss reserves in the current year quarter.</w:t>
      </w:r>
    </w:p>
    <w:p>
      <w:pPr>
        <w:spacing w:after="0" w:line="17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Home and Farm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decreased 15.6 percentage points in the three-month period ended March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2024. This decrease was driven by earned premium growth as well as lower frequency of large farm losses in the current quarter compared to the first quarter of 2024.</w:t>
      </w:r>
    </w:p>
    <w:p>
      <w:pPr>
        <w:spacing w:after="0" w:line="171"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i w:val="1"/>
          <w:iCs w:val="1"/>
          <w:color w:val="auto"/>
        </w:rPr>
        <w:t xml:space="preserve">Crop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net losses and loss adjustment expenses during the first quarter of any year are typically the result of the current year settlement of prior crop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claims. The majority of crop insurance losses and loss adjustment expenses are generally incurred in the last three quarters of the calendar year.</w:t>
      </w:r>
    </w:p>
    <w:p>
      <w:pPr>
        <w:spacing w:after="0" w:line="13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All 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decreased 9.3 percentage points in the three-month period ended March 31,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2024. This decrease was driven by favorable loss development related to the continued run-off of our participation in an assumed domestic and international reinsurance pool of business.</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and General Expenses and Expense Ratio</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6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30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16,528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16,817</w:t>
            </w:r>
          </w:p>
        </w:tc>
      </w:tr>
      <w:tr>
        <w:trPr>
          <w:trHeight w:val="229"/>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8,705</w:t>
            </w:r>
          </w:p>
        </w:tc>
        <w:tc>
          <w:tcPr>
            <w:tcW w:w="80" w:type="dxa"/>
            <w:vAlign w:val="bottom"/>
            <w:shd w:val="clear" w:color="auto" w:fill="CCEEFF"/>
          </w:tcPr>
          <w:p>
            <w:pPr>
              <w:spacing w:after="0"/>
              <w:rPr>
                <w:sz w:val="19"/>
                <w:szCs w:val="19"/>
                <w:color w:val="auto"/>
              </w:rPr>
            </w:pPr>
          </w:p>
        </w:tc>
      </w:tr>
      <w:tr>
        <w:trPr>
          <w:trHeight w:val="263"/>
        </w:trPr>
        <w:tc>
          <w:tcPr>
            <w:tcW w:w="6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underwriting and general expenses</w:t>
            </w:r>
          </w:p>
        </w:tc>
        <w:tc>
          <w:tcPr>
            <w:tcW w:w="21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25,522</w:t>
            </w:r>
          </w:p>
        </w:tc>
        <w:tc>
          <w:tcPr>
            <w:tcW w:w="100" w:type="dxa"/>
            <w:vAlign w:val="bottom"/>
            <w:tcBorders>
              <w:bottom w:val="single" w:sz="8" w:color="CCEEFF"/>
            </w:tcBorders>
            <w:gridSpan w:val="2"/>
          </w:tcPr>
          <w:p>
            <w:pPr>
              <w:spacing w:after="0"/>
              <w:rPr>
                <w:sz w:val="22"/>
                <w:szCs w:val="22"/>
                <w:color w:val="auto"/>
              </w:rPr>
            </w:pPr>
          </w:p>
        </w:tc>
      </w:tr>
      <w:tr>
        <w:trPr>
          <w:trHeight w:val="196"/>
        </w:trPr>
        <w:tc>
          <w:tcPr>
            <w:tcW w:w="63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6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Expense ratio</w:t>
            </w: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21"/>
                <w:szCs w:val="21"/>
                <w:color w:val="auto"/>
              </w:rPr>
            </w:pPr>
          </w:p>
        </w:tc>
      </w:tr>
      <w:tr>
        <w:trPr>
          <w:trHeight w:val="20"/>
        </w:trPr>
        <w:tc>
          <w:tcPr>
            <w:tcW w:w="6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expense ratio is calculated by dividing other underwriting and general expenses and amortization of deferred policy acquisition costs by net premiums earned. The expense ratio measures a company’s operational efficiency in producing, underwriting, and administering its insurance business. The overall expense ratio increased 0.8 percentage points in the three-month period ended March 31, 2025, compared to the same period in 2024. The increase was driven by generally consistent expenses compared to lower net premiums earned in the current quarter as a result of the strategic reduction of written premium in our Non-Standard Auto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Gain (Loss) and Combined Ratio</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598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gain (loss):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1,785</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3,789</w:t>
            </w:r>
          </w:p>
        </w:tc>
      </w:tr>
      <w:tr>
        <w:trPr>
          <w:trHeight w:val="216"/>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(2,183)</w:t>
            </w: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2,537</w:t>
            </w:r>
          </w:p>
        </w:tc>
      </w:tr>
      <w:tr>
        <w:trPr>
          <w:trHeight w:val="216"/>
        </w:trPr>
        <w:tc>
          <w:tcPr>
            <w:tcW w:w="5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59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underwriting gain (loss)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8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w:t>
            </w:r>
          </w:p>
        </w:tc>
      </w:tr>
      <w:tr>
        <w:trPr>
          <w:trHeight w:val="216"/>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w:t>
            </w: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w:t>
            </w:r>
          </w:p>
        </w:tc>
      </w:tr>
      <w:tr>
        <w:trPr>
          <w:trHeight w:val="216"/>
        </w:trPr>
        <w:tc>
          <w:tcPr>
            <w:tcW w:w="8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w:t>
            </w:r>
          </w:p>
        </w:tc>
      </w:tr>
      <w:tr>
        <w:trPr>
          <w:trHeight w:val="230"/>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w:t>
            </w:r>
          </w:p>
        </w:tc>
      </w:tr>
      <w:tr>
        <w:trPr>
          <w:trHeight w:val="223"/>
        </w:trPr>
        <w:tc>
          <w:tcPr>
            <w:tcW w:w="84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Combined ratio</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total underwriting gain decreased $406 to a gain of $3,812 for the three-month period ended March 31, 2025, from a gain of $4,218 for the three-month period ended March 31, 2024. These results were driven by the factors discussed in the Loss and Loss Adjustment Expenses the Underwriting and General Expenses and Expense Ratio sections above.</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overall combined ratio increased 0.5 percentage points in the three-month period ended March 31, 2025, compared to the same period in 2024. These results were driven by the factors discussed in the Loss and Loss Adjustment Expenses and the Underwriting and General Expenses and Expense Ratio sections above.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Fee and Other Income</w:t>
      </w:r>
    </w:p>
    <w:p>
      <w:pPr>
        <w:spacing w:after="0" w:line="2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We had fee and other income of $230 for the three months ended March 31, 2025, compared to $404 for the three months ended March 31, 2024. Fee income is largely attributable to the Non-Standard Auto segment and is a key component in measuring its profitability. Fee and other income on this business decreased to $221 for the three months ended March 31, 2025, from $350 for the three months ended March 31, 2024, driven by the strategic reduction in written premium within this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shows our average cash and invested assets, net investment income, and return on average cash and invested assets for the reported periods: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98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358,634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2,838</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2,755</w:t>
            </w:r>
          </w:p>
        </w:tc>
      </w:tr>
      <w:tr>
        <w:trPr>
          <w:trHeight w:val="216"/>
        </w:trPr>
        <w:tc>
          <w:tcPr>
            <w:tcW w:w="59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return on average cash and invested assets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return on average cash and invested assets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bl>
    <w:p>
      <w:pPr>
        <w:spacing w:after="0" w:line="19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Net investment income increased $83 for the three months ended March 31, 2025, compared to the three months ended March 31, 2024. This increase was primarily driven by earning relatively consistent yields on a higher average invested assets, partially offset by higher investment expenses.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Gross and net return on average cash and invested assets decreased year-over-year, primarily driven by lower returns on high dividend yield equities as well as cash and other short-term investments, partially offset by higher returns on the average fixed income securities balance (measured at fair value). The increase in average cash and invested assets was driven by increases in cash and investments from the generation of positive operating cash flows during 2024 and the first quarter of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tc>
        <w:tc>
          <w:tcPr>
            <w:tcW w:w="2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gains (losses) consisted of the following:</w:t>
            </w:r>
          </w:p>
        </w:tc>
        <w:tc>
          <w:tcPr>
            <w:tcW w:w="2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28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503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8"/>
                <w:szCs w:val="18"/>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 excluding credit impairment losses</w:t>
            </w:r>
          </w:p>
        </w:tc>
        <w:tc>
          <w:tcPr>
            <w:tcW w:w="2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2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326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unrealized gains on equity securities</w:t>
            </w:r>
          </w:p>
        </w:tc>
        <w:tc>
          <w:tcPr>
            <w:tcW w:w="2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r>
      <w:tr>
        <w:trPr>
          <w:trHeight w:val="223"/>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gains</w:t>
            </w:r>
          </w:p>
        </w:tc>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869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net realized gains of $326 for the three months ended March 31, 2025, compared to net realized losses of $91 for the three months ended March 31, 2024, which were the result of routine portfolio management decisions. No credit impairment losses were reported during any of the periods presented.</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experienced an increase in net unrealized gains on equity securities of $543 and $1,547 during the three months ended March 31, 2025 and 2024, respectively, driven by the impact of changes in fair value attributable to favorable equity markets during these periods.</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fixed income securities are classified as available for sale because we will, from time to time, execute sales of securities that are not impaired, consistent with our investment goals and policies. The fixed income portion of the portfolio experienced net unrealized gains of $3,313 during the three months ended March 31, 2025, compared to net unrealized losses of $1,531 during the three months ended March 31, 2024. The change was primarily the result of changes in U.S. interest rates. The change in the fair value of fixed income securities is not reflected in net income; rather it is reflected as a separate component (net of income taxes) of other comprehensive income.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we had pre-tax income of $7,749 compared to a pre-tax income of $8,833 for the three months ended March 31, 2024. This change was attributable to the higher underwriting loss in the Non-Standard Auto segment, and less favorable market conditions for equity investments, partially offset by earned premium growth in our other segments, higher net investment income, and lower frequency of large loss experience in the Home and Farm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recorded income tax expense of $1,289 for the three months ended March 31, 2025, compared to income tax expense of $1,898 for the three months ended March 31, 2024. Our effective tax rate for the first quarter of 2025 was 16.6% compared to an effective tax rate of 21.5% for the first quarter of 2024. The current quarter effective tax rate was impacted by a change in our valuation allowance against deferred income tax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we had net income of $6,460 compared to net income of $6,935 for the three months ended March 31, 2024. This change was attributable to the higher underwriting loss in the Non-Standard Auto segment, and less favorable market conditions for equity investments, partially offset by earned premium growth in our other segments, higher net investment income, and lower frequency of large loss experience in the Home and Farm segment, and reductions in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Return on Average Equity</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we had annualized return on average equity of 10.4% compared to 12.1% for the three months ended March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equity is calculated as the average between beginning and ending equity for the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both the use of estimates and judgment relative to the application of appropriate accounting policies. We are required to make estimates and assumptions in certain circumstances that affect amounts reported in the unaudited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or that reported results of operations will not be materially and adversely affected by the need to make accounting adjustments to reflect changes in these estimates and assumptions from time to time. Our critical accounting policies are more fully described in Part II, Item 7, “Management's Discussion and Analysis of Financial Condition and Results of Operations” presented in our 2024 Annual Report. There have been no changes in our critical accounting policies from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expect to generate sufficient funds from our operations and maintain a high degree of liquidity in our investment portfolio to meet the demands of claim settlements and operating expenses for the foreseeable future. Our primary sources of funds are premium collections, investment earnings, and fixed income maturities.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also have a $3,000 line of credit with Wells Fargo Bank, N.A. The terms of the line of credit include a floating interest rate of 2.50% above the daily simple secured overnight financing rate. There were no outstanding amounts during the three months ended March 31, 2025, or the year ended December 31, 2024. This line of credit is scheduled to expire on December 13,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cash and cash equivalents for continuing and discontinued operations for the three months ended March 31, 2025 and 2024, were as follows:</w:t>
      </w:r>
    </w:p>
    <w:p>
      <w:pPr>
        <w:sectPr>
          <w:pgSz w:w="11900" w:h="16838" w:orient="portrait"/>
          <w:cols w:equalWidth="0" w:num="1">
            <w:col w:w="11220"/>
          </w:cols>
          <w:pgMar w:left="320" w:top="54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9,888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16,663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(4,143)</w:t>
            </w: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12,342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780"/>
          </w:cols>
          <w:pgMar w:left="320" w:top="549" w:right="359" w:bottom="1440" w:gutter="0" w:footer="0" w:header="0"/>
          <w:type w:val="continuous"/>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type w:val="continuous"/>
        </w:sectPr>
      </w:pPr>
    </w:p>
    <w:bookmarkStart w:id="42" w:name="page43"/>
    <w:bookmarkEnd w:id="42"/>
    <w:p>
      <w:pPr>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net cash provided by operating activities totaled $9,888 compared to $16,663 in the prior year quarter. This change was primarily driven by lower levels of cash received for premiums in the current year quarter and positive cash flows from discontinued operations in the prior year quarter, partially offset by lower levels of loss and loss adjustment expense payments in the current year quarter.</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net cash used by investing activities totaled $3,459 compared to $4,143 in the prior year quarter. The relatively consistent cash outflows in the current year quarter compared to the prior year quarter were attributable to the investment of excess cash from operations.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net cash used by financing activities totaled $157 compared to $178 a year ago. This decrease in cash used was attributable to a reduction in the issuance of vested award shares in the current year quarter.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holding company, a principal source of long-term liquidity will be dividend payments from our directly-owned subsidiaries.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investment gains), less any prior dividends paid during such twelve-month period. In addition, any insurance company other than a life insurance company may carry forward net income from the preceding two calendar years, not including realized investment gains, less any dividends actually paid during those two calendar years. Dividends in excess of this amount are considered “extraordinary” and are subject to the approval of the North Dakota Insurance Department.</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amount available for payment of dividends from Nodak Insurance to NI Holdings during 2025 without the prior approval of the North Dakota Insurance Department is approximately $8,273 as of December 31, 2024. No dividends were declared or paid by Nodak Insurance during the three months ended March 31, 2025, or the year ended December 31, 2024.</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amount available for payment of dividends from Direct Auto to NI Holdings during 2025 without the prior approval of the North Dakota Insurance Department is approximately $3,146 as of December 31, 2024. No dividends were declared or paid by Direct Auto during the three months ended March 31, 2025, or the year ended December 31, 2024.</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Prior to the payment of any dividend, we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Westminster was sold on June 30, 2024, and therefore no dividends are available to be paid to NI Holdings subsequent to that date. No dividends were declared or paid by Westminster during the year ended December 31, 2024. See Part I, Item 1, Note 19 “Discontinued Operations” of this Form 10-Q for additional information.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Company’s assessment of market risk as of March 31, 2025, indicates there have been no material changes in the quantitative and qualitative disclosures from those in Part II, Item 7A, “Quantitative and Qualitative Disclosures About Market Risk” in our 2024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Chief Executive Officer and Chief Financial Officer have reviewed and evaluated the effectiveness of the Company’s disclosure controls and procedures (as required by Rules 13a-15(b) and 15d-15(b) under the Exchange Act) as of the end of the period covered by this report. Based on that evaluation, the Chief Executive Officer and Chief Financial Officer have concluded that the Company’s disclosure controls and procedures, as of the end of the period covered by this report, were designed and functioning effectively to provide reasonable assurance that the information required to be disclosed in our periodic reports filed under the Exchange Act is recorded, processed, summarized, and reported within the time periods specified in the rules and forms of the Securities and Exchange Commission (“SEC”), and that such material information is accumulated and communicated to the Chief Executive Officer and Chief Financial Officer to allow timely decisions regarding required disclosures.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periodically review our system of internal control over financial reporting to identify opportunities to improve our controls and increase efficiency, while ensuring that we maintain an effective internal control environment. 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PART II.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are party to litigation in the normal course of business. Based upon information presently available to us, we do not consider any litigation to be material. However, given the inherent uncertainties of litigation, we cannot assure you that our results of operations and financial condition will not be materially adversely affected by any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assessment of our risk factors from those set forth in Part I, Item 1A, “Risk Factors” in our 2024 Annual Report, except as indicated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policies, including tariffs, could adversely impact our financial condition and operating results.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maintain reserves to cover estimated unpaid losses and expenses necessary to settle claims. The reserves for losses and loss adjustment expenses that we have established are estimates of amounts needed to pay reported and unreported claims and related expenses, based on facts and circumstances known to us at the time we established the reserves. Reserves are actuarially projected based on historical claims information, industry statistics, anticipated trends, and other factors. Changes in U.S. trade policy, including recently announced tariffs, could have a material adverse impact on our business, financial condition, and results of operations. The imposition of new tariffs or increases in existing tariffs on goods imported from other countries could result in increased costs for raw materials, components, or finished goods and adversely impact loss severity. In addition, tariffs or other trade restrictions may lead to continuing uncertainty and volatility in U.S. and global financial and economic conditions and commodity markets, declining consumer confidence, significant inflation, and diminished expectations for the economy. Such conditions could have a material adverse impact on our business, results of operations and cash flows. We are unable to predict the ultimate result and duration of any tariff actions by the U.S. government or countermeasures that may be taken by other nations.</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included in Item 2 herein, except per share data, are in thousands.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sold any unregistered securities within the past three years.</w:t>
      </w:r>
    </w:p>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repurchase its own stock. To date, the Company has used the net proceeds from the IPO to fund these share repurchases.</w:t>
      </w:r>
    </w:p>
    <w:p>
      <w:pPr>
        <w:spacing w:after="0" w:line="162"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year ended December 31, 2023, we repurchased an additional 548,549 shares of our common stock for $7,278, including the effect from applicable excise taxes. During the year ended December 31, 2024, or the three months ended March 31, 2025, we did not repurchase any shares of our common stock. At March 31, 2025, $2,052 remains available under this authorization.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activity during the three months ended March 31, 2025, is presented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Maximum Approximate</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9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Dollar Value of Shares</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00" w:type="dxa"/>
            <w:vAlign w:val="bottom"/>
          </w:tcPr>
          <w:p>
            <w:pPr>
              <w:spacing w:after="0"/>
              <w:rPr>
                <w:sz w:val="18"/>
                <w:szCs w:val="18"/>
                <w:color w:val="auto"/>
              </w:rPr>
            </w:pPr>
          </w:p>
        </w:tc>
        <w:tc>
          <w:tcPr>
            <w:tcW w:w="18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That May Yet Be</w:t>
            </w:r>
          </w:p>
        </w:tc>
      </w:tr>
      <w:tr>
        <w:trPr>
          <w:trHeight w:val="221"/>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Average Price</w:t>
            </w: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as Part of Publicly</w:t>
            </w:r>
          </w:p>
        </w:tc>
        <w:tc>
          <w:tcPr>
            <w:tcW w:w="100" w:type="dxa"/>
            <w:vAlign w:val="bottom"/>
          </w:tcPr>
          <w:p>
            <w:pPr>
              <w:spacing w:after="0"/>
              <w:rPr>
                <w:sz w:val="19"/>
                <w:szCs w:val="19"/>
                <w:color w:val="auto"/>
              </w:rPr>
            </w:pPr>
          </w:p>
        </w:tc>
        <w:tc>
          <w:tcPr>
            <w:tcW w:w="18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Purchased Under the</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Shares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Paid</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Announced Plans</w:t>
            </w:r>
          </w:p>
        </w:tc>
        <w:tc>
          <w:tcPr>
            <w:tcW w:w="100" w:type="dxa"/>
            <w:vAlign w:val="bottom"/>
          </w:tcPr>
          <w:p>
            <w:pPr>
              <w:spacing w:after="0"/>
              <w:rPr>
                <w:sz w:val="18"/>
                <w:szCs w:val="18"/>
                <w:color w:val="auto"/>
              </w:rPr>
            </w:pPr>
          </w:p>
        </w:tc>
        <w:tc>
          <w:tcPr>
            <w:tcW w:w="1800" w:type="dxa"/>
            <w:vAlign w:val="bottom"/>
            <w:gridSpan w:val="3"/>
          </w:tcPr>
          <w:p>
            <w:pPr>
              <w:jc w:val="center"/>
              <w:ind w:right="260"/>
              <w:spacing w:after="0" w:line="216" w:lineRule="exact"/>
              <w:rPr>
                <w:sz w:val="20"/>
                <w:szCs w:val="20"/>
                <w:color w:val="auto"/>
              </w:rPr>
            </w:pPr>
            <w:r>
              <w:rPr>
                <w:rFonts w:ascii="Times New Roman" w:cs="Times New Roman" w:eastAsia="Times New Roman" w:hAnsi="Times New Roman"/>
                <w:sz w:val="16"/>
                <w:szCs w:val="16"/>
                <w:color w:val="auto"/>
              </w:rPr>
              <w:t xml:space="preserve">Plans or Programs </w:t>
            </w:r>
            <w:r>
              <w:rPr>
                <w:rFonts w:ascii="Times New Roman" w:cs="Times New Roman" w:eastAsia="Times New Roman" w:hAnsi="Times New Roman"/>
                <w:sz w:val="25"/>
                <w:szCs w:val="25"/>
                <w:color w:val="auto"/>
                <w:vertAlign w:val="superscript"/>
              </w:rPr>
              <w:t>(2)</w:t>
            </w:r>
          </w:p>
        </w:tc>
      </w:tr>
      <w:tr>
        <w:trPr>
          <w:trHeight w:val="270"/>
        </w:trPr>
        <w:tc>
          <w:tcPr>
            <w:tcW w:w="40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Period in 2025</w:t>
            </w:r>
          </w:p>
        </w:tc>
        <w:tc>
          <w:tcPr>
            <w:tcW w:w="13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Purchased</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jc w:val="center"/>
              <w:ind w:right="360"/>
              <w:spacing w:after="0" w:line="270" w:lineRule="exact"/>
              <w:rPr>
                <w:sz w:val="20"/>
                <w:szCs w:val="20"/>
                <w:color w:val="auto"/>
              </w:rPr>
            </w:pPr>
            <w:r>
              <w:rPr>
                <w:rFonts w:ascii="Times New Roman" w:cs="Times New Roman" w:eastAsia="Times New Roman" w:hAnsi="Times New Roman"/>
                <w:sz w:val="18"/>
                <w:szCs w:val="18"/>
                <w:color w:val="auto"/>
                <w:w w:val="95"/>
              </w:rPr>
              <w:t>Per Share</w:t>
            </w:r>
            <w:r>
              <w:rPr>
                <w:rFonts w:ascii="Times New Roman" w:cs="Times New Roman" w:eastAsia="Times New Roman" w:hAnsi="Times New Roman"/>
                <w:sz w:val="29"/>
                <w:szCs w:val="29"/>
                <w:color w:val="auto"/>
                <w:w w:val="95"/>
                <w:vertAlign w:val="superscript"/>
              </w:rPr>
              <w:t>(3)</w:t>
            </w:r>
          </w:p>
        </w:tc>
        <w:tc>
          <w:tcPr>
            <w:tcW w:w="1780" w:type="dxa"/>
            <w:vAlign w:val="bottom"/>
            <w:gridSpan w:val="2"/>
          </w:tcPr>
          <w:p>
            <w:pPr>
              <w:jc w:val="center"/>
              <w:ind w:right="200"/>
              <w:spacing w:after="0" w:line="270" w:lineRule="exact"/>
              <w:rPr>
                <w:sz w:val="20"/>
                <w:szCs w:val="20"/>
                <w:color w:val="auto"/>
              </w:rPr>
            </w:pPr>
            <w:r>
              <w:rPr>
                <w:rFonts w:ascii="Times New Roman" w:cs="Times New Roman" w:eastAsia="Times New Roman" w:hAnsi="Times New Roman"/>
                <w:sz w:val="18"/>
                <w:szCs w:val="18"/>
                <w:color w:val="auto"/>
                <w:w w:val="95"/>
              </w:rPr>
              <w:t xml:space="preserve">or Programs </w:t>
            </w:r>
            <w:r>
              <w:rPr>
                <w:rFonts w:ascii="Times New Roman" w:cs="Times New Roman" w:eastAsia="Times New Roman" w:hAnsi="Times New Roman"/>
                <w:sz w:val="29"/>
                <w:szCs w:val="29"/>
                <w:color w:val="auto"/>
                <w:w w:val="95"/>
                <w:vertAlign w:val="superscript"/>
              </w:rPr>
              <w:t>(1)</w:t>
            </w:r>
          </w:p>
        </w:tc>
        <w:tc>
          <w:tcPr>
            <w:tcW w:w="100" w:type="dxa"/>
            <w:vAlign w:val="bottom"/>
          </w:tcPr>
          <w:p>
            <w:pPr>
              <w:spacing w:after="0"/>
              <w:rPr>
                <w:sz w:val="23"/>
                <w:szCs w:val="23"/>
                <w:color w:val="auto"/>
              </w:rPr>
            </w:pPr>
          </w:p>
        </w:tc>
        <w:tc>
          <w:tcPr>
            <w:tcW w:w="18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31, 2025</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 28, 2025</w:t>
            </w:r>
          </w:p>
        </w:tc>
        <w:tc>
          <w:tcPr>
            <w:tcW w:w="138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31, 2025</w:t>
            </w:r>
          </w:p>
        </w:tc>
        <w:tc>
          <w:tcPr>
            <w:tcW w:w="13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shd w:val="clear" w:color="auto" w:fill="CCEEFF"/>
          </w:tcPr>
          <w:p>
            <w:pPr>
              <w:spacing w:after="0"/>
              <w:rPr>
                <w:sz w:val="19"/>
                <w:szCs w:val="19"/>
                <w:color w:val="auto"/>
              </w:rPr>
            </w:pPr>
          </w:p>
        </w:tc>
      </w:tr>
      <w:tr>
        <w:trPr>
          <w:trHeight w:val="223"/>
        </w:trPr>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580" w:type="dxa"/>
            <w:vAlign w:val="bottom"/>
            <w:tcBorders>
              <w:top w:val="single" w:sz="8" w:color="auto"/>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740" w:hanging="328"/>
        <w:spacing w:after="0" w:line="195" w:lineRule="auto"/>
        <w:tabs>
          <w:tab w:leader="none" w:pos="66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purchased pursuant to the May 9, 2022, publicly announced share repurchase authorization of up to approximately $10,000 of the Company’s outstanding common stock.</w:t>
      </w:r>
    </w:p>
    <w:p>
      <w:pPr>
        <w:spacing w:after="0" w:line="1" w:lineRule="exact"/>
        <w:rPr>
          <w:rFonts w:ascii="Times New Roman" w:cs="Times New Roman" w:eastAsia="Times New Roman" w:hAnsi="Times New Roman"/>
          <w:sz w:val="30"/>
          <w:szCs w:val="30"/>
          <w:color w:val="auto"/>
          <w:vertAlign w:val="superscript"/>
        </w:rPr>
      </w:pPr>
    </w:p>
    <w:p>
      <w:pPr>
        <w:ind w:left="660" w:right="360" w:hanging="328"/>
        <w:spacing w:after="0" w:line="187" w:lineRule="auto"/>
        <w:tabs>
          <w:tab w:leader="none" w:pos="66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Maximum dollar value of shares that may yet be purchased consist of up to approximately $2,052 under the May 9, 2022, publicly announced share repurchase authorization.</w:t>
      </w:r>
    </w:p>
    <w:p>
      <w:pPr>
        <w:spacing w:after="0" w:line="1" w:lineRule="exact"/>
        <w:rPr>
          <w:rFonts w:ascii="Times New Roman" w:cs="Times New Roman" w:eastAsia="Times New Roman" w:hAnsi="Times New Roman"/>
          <w:sz w:val="30"/>
          <w:szCs w:val="30"/>
          <w:color w:val="auto"/>
          <w:vertAlign w:val="superscript"/>
        </w:rPr>
      </w:pPr>
    </w:p>
    <w:p>
      <w:pPr>
        <w:ind w:left="660" w:right="300" w:hanging="328"/>
        <w:spacing w:after="0" w:line="187" w:lineRule="auto"/>
        <w:tabs>
          <w:tab w:leader="none" w:pos="660"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Inflation Reduction Act of 2022 imposed a 1% excise tax on the net value of certain share repurchases made after December 31, 2022. All dollar amounts presented exclude such excise taxes, as applicable.</w:t>
      </w: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Plans</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During the first quarter of 2025, none of our directors or executive officers (as defined in Rule 16a-1(f) under the Exchange Act) adopted or terminated any “Rule 10b5-1 trading arrangement” or “non-Rule 10b5-1 trading arrangement” (as each term is defined in Item 408(a) of Regulation S-K).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62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EXHIBIT NO.</w:t>
            </w:r>
          </w:p>
        </w:tc>
        <w:tc>
          <w:tcPr>
            <w:tcW w:w="100" w:type="dxa"/>
            <w:vAlign w:val="bottom"/>
            <w:tcBorders>
              <w:top w:val="single" w:sz="8" w:color="auto"/>
            </w:tcBorders>
          </w:tcPr>
          <w:p>
            <w:pPr>
              <w:spacing w:after="0"/>
              <w:rPr>
                <w:sz w:val="22"/>
                <w:szCs w:val="22"/>
                <w:color w:val="auto"/>
              </w:rPr>
            </w:pPr>
          </w:p>
        </w:tc>
        <w:tc>
          <w:tcPr>
            <w:tcW w:w="9520" w:type="dxa"/>
            <w:vAlign w:val="bottom"/>
            <w:tcBorders>
              <w:top w:val="single" w:sz="8" w:color="auto"/>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421"/>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r>
      <w:tr>
        <w:trPr>
          <w:trHeight w:val="176"/>
        </w:trPr>
        <w:tc>
          <w:tcPr>
            <w:tcW w:w="1620" w:type="dxa"/>
            <w:vAlign w:val="bottom"/>
            <w:tcBorders>
              <w:left w:val="single" w:sz="8" w:color="auto"/>
              <w:right w:val="single" w:sz="8" w:color="auto"/>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8940" w:type="dxa"/>
            <w:vAlign w:val="bottom"/>
            <w:tcBorders>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w w:val="99"/>
              </w:rPr>
              <w:t>Amended and Restated Employment Agreement dated as of March 1, 2025, between Matthew J. Maki and Nodak Insurance</w:t>
            </w:r>
          </w:p>
        </w:tc>
        <w:tc>
          <w:tcPr>
            <w:tcW w:w="580" w:type="dxa"/>
            <w:vAlign w:val="bottom"/>
            <w:tcBorders>
              <w:right w:val="single" w:sz="8" w:color="auto"/>
            </w:tcBorders>
            <w:gridSpan w:val="3"/>
          </w:tcPr>
          <w:p>
            <w:pPr>
              <w:spacing w:after="0"/>
              <w:rPr>
                <w:sz w:val="15"/>
                <w:szCs w:val="15"/>
                <w:color w:val="auto"/>
              </w:rPr>
            </w:pPr>
          </w:p>
        </w:tc>
      </w:tr>
      <w:tr>
        <w:trPr>
          <w:trHeight w:val="196"/>
        </w:trPr>
        <w:tc>
          <w:tcPr>
            <w:tcW w:w="162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520" w:type="dxa"/>
            <w:vAlign w:val="bottom"/>
            <w:tcBorders>
              <w:right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Company and NI Holdings, Inc.</w:t>
            </w:r>
          </w:p>
        </w:tc>
      </w:tr>
      <w:tr>
        <w:trPr>
          <w:trHeight w:val="203"/>
        </w:trPr>
        <w:tc>
          <w:tcPr>
            <w:tcW w:w="162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00" w:type="dxa"/>
            <w:vAlign w:val="bottom"/>
            <w:tcBorders>
              <w:top w:val="single" w:sz="8" w:color="0000EE"/>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r>
      <w:tr>
        <w:trPr>
          <w:trHeight w:val="176"/>
        </w:trPr>
        <w:tc>
          <w:tcPr>
            <w:tcW w:w="1620" w:type="dxa"/>
            <w:vAlign w:val="bottom"/>
            <w:tcBorders>
              <w:left w:val="single" w:sz="8" w:color="auto"/>
              <w:right w:val="single" w:sz="8" w:color="auto"/>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5"/>
                <w:szCs w:val="15"/>
                <w:color w:val="auto"/>
              </w:rPr>
            </w:pPr>
          </w:p>
        </w:tc>
        <w:tc>
          <w:tcPr>
            <w:tcW w:w="9520" w:type="dxa"/>
            <w:vAlign w:val="bottom"/>
            <w:tcBorders>
              <w:right w:val="single" w:sz="8" w:color="auto"/>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w:t>
            </w:r>
          </w:p>
        </w:tc>
      </w:tr>
      <w:tr>
        <w:trPr>
          <w:trHeight w:val="196"/>
        </w:trPr>
        <w:tc>
          <w:tcPr>
            <w:tcW w:w="162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9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1934, as Adopted Pursuant to Section 302 of the Sarbanes-Oxley Act of 2002.</w:t>
            </w:r>
          </w:p>
        </w:tc>
        <w:tc>
          <w:tcPr>
            <w:tcW w:w="560" w:type="dxa"/>
            <w:vAlign w:val="bottom"/>
            <w:tcBorders>
              <w:right w:val="single" w:sz="8" w:color="auto"/>
            </w:tcBorders>
            <w:gridSpan w:val="2"/>
          </w:tcPr>
          <w:p>
            <w:pPr>
              <w:spacing w:after="0"/>
              <w:rPr>
                <w:sz w:val="17"/>
                <w:szCs w:val="17"/>
                <w:color w:val="auto"/>
              </w:rPr>
            </w:pPr>
          </w:p>
        </w:tc>
      </w:tr>
      <w:tr>
        <w:trPr>
          <w:trHeight w:val="203"/>
        </w:trPr>
        <w:tc>
          <w:tcPr>
            <w:tcW w:w="162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00" w:type="dxa"/>
            <w:vAlign w:val="bottom"/>
            <w:tcBorders>
              <w:top w:val="single" w:sz="8" w:color="0000EE"/>
              <w:bottom w:val="single" w:sz="8" w:color="auto"/>
            </w:tcBorders>
          </w:tcPr>
          <w:p>
            <w:pPr>
              <w:spacing w:after="0"/>
              <w:rPr>
                <w:sz w:val="17"/>
                <w:szCs w:val="17"/>
                <w:color w:val="auto"/>
              </w:rPr>
            </w:pPr>
          </w:p>
        </w:tc>
        <w:tc>
          <w:tcPr>
            <w:tcW w:w="2000" w:type="dxa"/>
            <w:vAlign w:val="bottom"/>
            <w:tcBorders>
              <w:top w:val="single" w:sz="8" w:color="0000EE"/>
              <w:bottom w:val="single" w:sz="8" w:color="auto"/>
            </w:tcBorders>
          </w:tcPr>
          <w:p>
            <w:pPr>
              <w:spacing w:after="0"/>
              <w:rPr>
                <w:sz w:val="17"/>
                <w:szCs w:val="17"/>
                <w:color w:val="auto"/>
              </w:rPr>
            </w:pPr>
          </w:p>
        </w:tc>
        <w:tc>
          <w:tcPr>
            <w:tcW w:w="860" w:type="dxa"/>
            <w:vAlign w:val="bottom"/>
            <w:tcBorders>
              <w:top w:val="single" w:sz="8" w:color="0000EE"/>
              <w:bottom w:val="single" w:sz="8" w:color="auto"/>
            </w:tcBorders>
          </w:tcPr>
          <w:p>
            <w:pPr>
              <w:spacing w:after="0"/>
              <w:rPr>
                <w:sz w:val="17"/>
                <w:szCs w:val="17"/>
                <w:color w:val="auto"/>
              </w:rPr>
            </w:pPr>
          </w:p>
        </w:tc>
        <w:tc>
          <w:tcPr>
            <w:tcW w:w="460" w:type="dxa"/>
            <w:vAlign w:val="bottom"/>
            <w:tcBorders>
              <w:top w:val="single" w:sz="8" w:color="0000EE"/>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r>
      <w:tr>
        <w:trPr>
          <w:trHeight w:val="175"/>
        </w:trPr>
        <w:tc>
          <w:tcPr>
            <w:tcW w:w="1620" w:type="dxa"/>
            <w:vAlign w:val="bottom"/>
            <w:tcBorders>
              <w:left w:val="single" w:sz="8" w:color="auto"/>
              <w:right w:val="single" w:sz="8" w:color="auto"/>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5"/>
                <w:szCs w:val="15"/>
                <w:color w:val="auto"/>
              </w:rPr>
            </w:pPr>
          </w:p>
        </w:tc>
        <w:tc>
          <w:tcPr>
            <w:tcW w:w="9520" w:type="dxa"/>
            <w:vAlign w:val="bottom"/>
            <w:tcBorders>
              <w:right w:val="single" w:sz="8" w:color="auto"/>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w:t>
            </w:r>
          </w:p>
        </w:tc>
      </w:tr>
      <w:tr>
        <w:trPr>
          <w:trHeight w:val="196"/>
        </w:trPr>
        <w:tc>
          <w:tcPr>
            <w:tcW w:w="162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3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c>
          <w:tcPr>
            <w:tcW w:w="160" w:type="dxa"/>
            <w:vAlign w:val="bottom"/>
            <w:tcBorders>
              <w:right w:val="single" w:sz="8" w:color="auto"/>
            </w:tcBorders>
          </w:tcPr>
          <w:p>
            <w:pPr>
              <w:spacing w:after="0"/>
              <w:rPr>
                <w:sz w:val="17"/>
                <w:szCs w:val="17"/>
                <w:color w:val="auto"/>
              </w:rPr>
            </w:pPr>
          </w:p>
        </w:tc>
      </w:tr>
      <w:tr>
        <w:trPr>
          <w:trHeight w:val="203"/>
        </w:trPr>
        <w:tc>
          <w:tcPr>
            <w:tcW w:w="162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00" w:type="dxa"/>
            <w:vAlign w:val="bottom"/>
            <w:tcBorders>
              <w:top w:val="single" w:sz="8" w:color="0000EE"/>
              <w:bottom w:val="single" w:sz="8" w:color="auto"/>
            </w:tcBorders>
          </w:tcPr>
          <w:p>
            <w:pPr>
              <w:spacing w:after="0"/>
              <w:rPr>
                <w:sz w:val="17"/>
                <w:szCs w:val="17"/>
                <w:color w:val="auto"/>
              </w:rPr>
            </w:pPr>
          </w:p>
        </w:tc>
        <w:tc>
          <w:tcPr>
            <w:tcW w:w="2000" w:type="dxa"/>
            <w:vAlign w:val="bottom"/>
            <w:tcBorders>
              <w:top w:val="single" w:sz="8" w:color="0000EE"/>
              <w:bottom w:val="single" w:sz="8" w:color="auto"/>
            </w:tcBorders>
          </w:tcPr>
          <w:p>
            <w:pPr>
              <w:spacing w:after="0"/>
              <w:rPr>
                <w:sz w:val="17"/>
                <w:szCs w:val="17"/>
                <w:color w:val="auto"/>
              </w:rPr>
            </w:pPr>
          </w:p>
        </w:tc>
        <w:tc>
          <w:tcPr>
            <w:tcW w:w="860" w:type="dxa"/>
            <w:vAlign w:val="bottom"/>
            <w:tcBorders>
              <w:top w:val="single" w:sz="8" w:color="0000EE"/>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r>
      <w:tr>
        <w:trPr>
          <w:trHeight w:val="176"/>
        </w:trPr>
        <w:tc>
          <w:tcPr>
            <w:tcW w:w="1620" w:type="dxa"/>
            <w:vAlign w:val="bottom"/>
            <w:tcBorders>
              <w:left w:val="single" w:sz="8" w:color="auto"/>
              <w:right w:val="single" w:sz="8" w:color="auto"/>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5"/>
                <w:szCs w:val="15"/>
                <w:color w:val="auto"/>
              </w:rPr>
            </w:pPr>
          </w:p>
        </w:tc>
        <w:tc>
          <w:tcPr>
            <w:tcW w:w="890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and Principal Financial Officer Pursuant to 18 U.S.C. Section 1350, as Adopted</w:t>
            </w:r>
          </w:p>
        </w:tc>
        <w:tc>
          <w:tcPr>
            <w:tcW w:w="620" w:type="dxa"/>
            <w:vAlign w:val="bottom"/>
            <w:tcBorders>
              <w:right w:val="single" w:sz="8" w:color="auto"/>
            </w:tcBorders>
            <w:gridSpan w:val="4"/>
          </w:tcPr>
          <w:p>
            <w:pPr>
              <w:spacing w:after="0"/>
              <w:rPr>
                <w:sz w:val="15"/>
                <w:szCs w:val="15"/>
                <w:color w:val="auto"/>
              </w:rPr>
            </w:pPr>
          </w:p>
        </w:tc>
      </w:tr>
      <w:tr>
        <w:trPr>
          <w:trHeight w:val="196"/>
        </w:trPr>
        <w:tc>
          <w:tcPr>
            <w:tcW w:w="162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520" w:type="dxa"/>
            <w:vAlign w:val="bottom"/>
            <w:tcBorders>
              <w:right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r>
      <w:tr>
        <w:trPr>
          <w:trHeight w:val="203"/>
        </w:trPr>
        <w:tc>
          <w:tcPr>
            <w:tcW w:w="162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00" w:type="dxa"/>
            <w:vAlign w:val="bottom"/>
            <w:tcBorders>
              <w:top w:val="single" w:sz="8" w:color="0000EE"/>
              <w:bottom w:val="single" w:sz="8" w:color="auto"/>
            </w:tcBorders>
          </w:tcPr>
          <w:p>
            <w:pPr>
              <w:spacing w:after="0"/>
              <w:rPr>
                <w:sz w:val="17"/>
                <w:szCs w:val="17"/>
                <w:color w:val="auto"/>
              </w:rPr>
            </w:pPr>
          </w:p>
        </w:tc>
        <w:tc>
          <w:tcPr>
            <w:tcW w:w="2000" w:type="dxa"/>
            <w:vAlign w:val="bottom"/>
            <w:tcBorders>
              <w:top w:val="single" w:sz="8" w:color="0000EE"/>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r>
      <w:tr>
        <w:trPr>
          <w:trHeight w:val="198"/>
        </w:trPr>
        <w:tc>
          <w:tcPr>
            <w:tcW w:w="162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7"/>
                <w:szCs w:val="17"/>
                <w:color w:val="auto"/>
              </w:rPr>
            </w:pPr>
          </w:p>
        </w:tc>
        <w:tc>
          <w:tcPr>
            <w:tcW w:w="9520" w:type="dxa"/>
            <w:vAlign w:val="bottom"/>
            <w:tcBorders>
              <w:right w:val="single" w:sz="8" w:color="auto"/>
            </w:tcBorders>
            <w:gridSpan w:val="9"/>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62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5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183"/>
        </w:trPr>
        <w:tc>
          <w:tcPr>
            <w:tcW w:w="162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r>
      <w:tr>
        <w:trPr>
          <w:trHeight w:val="234"/>
        </w:trPr>
        <w:tc>
          <w:tcPr>
            <w:tcW w:w="1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0"/>
                <w:szCs w:val="20"/>
                <w:color w:val="auto"/>
              </w:rPr>
            </w:pPr>
          </w:p>
        </w:tc>
        <w:tc>
          <w:tcPr>
            <w:tcW w:w="95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Linkbase Document</w:t>
            </w:r>
          </w:p>
        </w:tc>
      </w:tr>
      <w:tr>
        <w:trPr>
          <w:trHeight w:val="164"/>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r>
      <w:tr>
        <w:trPr>
          <w:trHeight w:val="234"/>
        </w:trPr>
        <w:tc>
          <w:tcPr>
            <w:tcW w:w="1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0"/>
                <w:szCs w:val="20"/>
                <w:color w:val="auto"/>
              </w:rPr>
            </w:pPr>
          </w:p>
        </w:tc>
        <w:tc>
          <w:tcPr>
            <w:tcW w:w="95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164"/>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r>
      <w:tr>
        <w:trPr>
          <w:trHeight w:val="234"/>
        </w:trPr>
        <w:tc>
          <w:tcPr>
            <w:tcW w:w="1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0"/>
                <w:szCs w:val="20"/>
                <w:color w:val="auto"/>
              </w:rPr>
            </w:pPr>
          </w:p>
        </w:tc>
        <w:tc>
          <w:tcPr>
            <w:tcW w:w="95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64"/>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r>
      <w:tr>
        <w:trPr>
          <w:trHeight w:val="234"/>
        </w:trPr>
        <w:tc>
          <w:tcPr>
            <w:tcW w:w="1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0"/>
                <w:szCs w:val="20"/>
                <w:color w:val="auto"/>
              </w:rPr>
            </w:pPr>
          </w:p>
        </w:tc>
        <w:tc>
          <w:tcPr>
            <w:tcW w:w="95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164"/>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r>
      <w:tr>
        <w:trPr>
          <w:trHeight w:val="234"/>
        </w:trPr>
        <w:tc>
          <w:tcPr>
            <w:tcW w:w="1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0"/>
                <w:szCs w:val="20"/>
                <w:color w:val="auto"/>
              </w:rPr>
            </w:pPr>
          </w:p>
        </w:tc>
        <w:tc>
          <w:tcPr>
            <w:tcW w:w="95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164"/>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r>
      <w:tr>
        <w:trPr>
          <w:trHeight w:val="234"/>
        </w:trPr>
        <w:tc>
          <w:tcPr>
            <w:tcW w:w="16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952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64"/>
        </w:trPr>
        <w:tc>
          <w:tcPr>
            <w:tcW w:w="1620" w:type="dxa"/>
            <w:vAlign w:val="bottom"/>
            <w:tcBorders>
              <w:left w:val="single" w:sz="8" w:color="auto"/>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r>
    </w:tbl>
    <w:p>
      <w:pPr>
        <w:spacing w:after="0" w:line="198" w:lineRule="exact"/>
        <w:rPr>
          <w:sz w:val="20"/>
          <w:szCs w:val="20"/>
          <w:color w:val="auto"/>
        </w:rPr>
      </w:pPr>
    </w:p>
    <w:p>
      <w:pPr>
        <w:ind w:left="420" w:hanging="412"/>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rFonts w:ascii="Times New Roman" w:cs="Times New Roman" w:eastAsia="Times New Roman" w:hAnsi="Times New Roman"/>
          <w:sz w:val="18"/>
          <w:szCs w:val="18"/>
          <w:color w:val="auto"/>
        </w:rPr>
      </w:pPr>
    </w:p>
    <w:p>
      <w:pPr>
        <w:ind w:firstLine="8"/>
        <w:spacing w:after="0" w:line="266" w:lineRule="auto"/>
        <w:tabs>
          <w:tab w:leader="none" w:pos="5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76" w:lineRule="exact"/>
        <w:rPr>
          <w:sz w:val="20"/>
          <w:szCs w:val="20"/>
          <w:color w:val="auto"/>
        </w:rPr>
      </w:pPr>
    </w:p>
    <w:p>
      <w:pPr>
        <w:ind w:left="420" w:hanging="412"/>
        <w:spacing w:after="0"/>
        <w:tabs>
          <w:tab w:leader="none" w:pos="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7" w:name="page48"/>
    <w:bookmarkEnd w:id="47"/>
    <w:p>
      <w:pPr>
        <w:ind w:left="508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May 9, 2025.</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NI HOLDINGS, INC.</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Seth C. Daggett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70548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Seth C. Daggett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Matthew J.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70548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Matthew J. Maki</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0" w:lineRule="exact"/>
        <w:rPr>
          <w:sz w:val="20"/>
          <w:szCs w:val="20"/>
          <w:color w:val="auto"/>
        </w:rPr>
      </w:pPr>
    </w:p>
    <w:p>
      <w:pPr>
        <w:spacing w:after="0" w:line="3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553" w:right="1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3"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EMPLOYMENT AGREEMENT </w:t>
      </w:r>
      <w:r>
        <w:rPr>
          <w:rFonts w:ascii="Times New Roman" w:cs="Times New Roman" w:eastAsia="Times New Roman" w:hAnsi="Times New Roman"/>
          <w:sz w:val="18"/>
          <w:szCs w:val="18"/>
          <w:color w:val="auto"/>
        </w:rPr>
        <w:t>(“Agreement”) is made effective as of the 1st day of March, 2025 (the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between 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Holdings, Inc., a North Dakota business corporation,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NODAK Insurance Company, a North Dakota insurance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Matt Maki, an adult individual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25"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Corporation, the Company, and Executive desire to enter into an agreement providing for the terms of Executive’s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with the Corporation and the Company.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hereto, intending to be legally bound, agree as follows:</w:t>
      </w:r>
    </w:p>
    <w:p>
      <w:pPr>
        <w:spacing w:after="0" w:line="225" w:lineRule="exact"/>
        <w:rPr>
          <w:sz w:val="20"/>
          <w:szCs w:val="20"/>
          <w:color w:val="auto"/>
        </w:rPr>
      </w:pPr>
    </w:p>
    <w:p>
      <w:pPr>
        <w:ind w:right="220" w:firstLine="656"/>
        <w:spacing w:after="0" w:line="286" w:lineRule="auto"/>
        <w:tabs>
          <w:tab w:leader="none" w:pos="109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Employment</w:t>
      </w:r>
      <w:r>
        <w:rPr>
          <w:rFonts w:ascii="Times New Roman" w:cs="Times New Roman" w:eastAsia="Times New Roman" w:hAnsi="Times New Roman"/>
          <w:sz w:val="18"/>
          <w:szCs w:val="18"/>
          <w:color w:val="auto"/>
        </w:rPr>
        <w:t>. The Corporation and the Company employ Executive and Executive hereby accepts employment with the Corporation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on the terms and conditions set forth in this Agreement.</w:t>
      </w:r>
    </w:p>
    <w:p>
      <w:pPr>
        <w:spacing w:after="0" w:line="154" w:lineRule="exact"/>
        <w:rPr>
          <w:rFonts w:ascii="Times New Roman" w:cs="Times New Roman" w:eastAsia="Times New Roman" w:hAnsi="Times New Roman"/>
          <w:sz w:val="18"/>
          <w:szCs w:val="18"/>
          <w:color w:val="auto"/>
        </w:rPr>
      </w:pPr>
    </w:p>
    <w:p>
      <w:pPr>
        <w:ind w:firstLine="656"/>
        <w:spacing w:after="0" w:line="255" w:lineRule="auto"/>
        <w:tabs>
          <w:tab w:leader="none" w:pos="109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Duties of Employee</w:t>
      </w:r>
      <w:r>
        <w:rPr>
          <w:rFonts w:ascii="Times New Roman" w:cs="Times New Roman" w:eastAsia="Times New Roman" w:hAnsi="Times New Roman"/>
          <w:sz w:val="18"/>
          <w:szCs w:val="18"/>
          <w:color w:val="auto"/>
        </w:rPr>
        <w:t>. Executive shall serve as Chief Financial Officer of the Corporation and the Company and shall report directly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of the Corporation and the Company. Executive shall devote his full time, attention and energies to the business of the Corporation and the Company during the Employment Period (as defined in Section 3 of this Agreement); provided, however, that this Section 2 shall not be construed as preventing Executive from (a) engaging in activities incident or necessary to personal investments, (b) acting as a member of the board of directors of any non-profit association or corporation, or (c) being involved in any other business activity with the prior approval of the Board of Directors of the Corporation (the “</w:t>
      </w:r>
      <w:r>
        <w:rPr>
          <w:rFonts w:ascii="Times New Roman" w:cs="Times New Roman" w:eastAsia="Times New Roman" w:hAnsi="Times New Roman"/>
          <w:sz w:val="18"/>
          <w:szCs w:val="18"/>
          <w:i w:val="1"/>
          <w:iCs w:val="1"/>
          <w:color w:val="auto"/>
        </w:rPr>
        <w:t>Corporation Board</w:t>
      </w:r>
      <w:r>
        <w:rPr>
          <w:rFonts w:ascii="Times New Roman" w:cs="Times New Roman" w:eastAsia="Times New Roman" w:hAnsi="Times New Roman"/>
          <w:sz w:val="18"/>
          <w:szCs w:val="18"/>
          <w:color w:val="auto"/>
        </w:rPr>
        <w:t>”). Executive shall not engage in any business or commercial activities, duties or pursuits which compete with the business or commercial activities of the Corporation or the Company, nor may Executive serve as a director or officer or in any other capacity in a company which competes with the Corporation or the Company.</w:t>
      </w:r>
    </w:p>
    <w:p>
      <w:pPr>
        <w:spacing w:after="0" w:line="184"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 of Agreement.</w:t>
      </w:r>
    </w:p>
    <w:p>
      <w:pPr>
        <w:spacing w:after="0" w:line="227" w:lineRule="exact"/>
        <w:rPr>
          <w:rFonts w:ascii="Times New Roman" w:cs="Times New Roman" w:eastAsia="Times New Roman" w:hAnsi="Times New Roman"/>
          <w:sz w:val="18"/>
          <w:szCs w:val="18"/>
          <w:color w:val="auto"/>
        </w:rPr>
      </w:pPr>
    </w:p>
    <w:p>
      <w:pPr>
        <w:ind w:left="660" w:right="100" w:firstLine="644"/>
        <w:spacing w:after="0" w:line="281" w:lineRule="auto"/>
        <w:tabs>
          <w:tab w:leader="none" w:pos="1822"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Employment Period</w:t>
      </w:r>
      <w:r>
        <w:rPr>
          <w:rFonts w:ascii="Times New Roman" w:cs="Times New Roman" w:eastAsia="Times New Roman" w:hAnsi="Times New Roman"/>
          <w:sz w:val="17"/>
          <w:szCs w:val="17"/>
          <w:color w:val="auto"/>
        </w:rPr>
        <w:t>. This Agreement shall be for a period (the “</w:t>
      </w:r>
      <w:r>
        <w:rPr>
          <w:rFonts w:ascii="Times New Roman" w:cs="Times New Roman" w:eastAsia="Times New Roman" w:hAnsi="Times New Roman"/>
          <w:sz w:val="17"/>
          <w:szCs w:val="17"/>
          <w:i w:val="1"/>
          <w:iCs w:val="1"/>
          <w:color w:val="auto"/>
        </w:rPr>
        <w:t>Employment Period</w:t>
      </w:r>
      <w:r>
        <w:rPr>
          <w:rFonts w:ascii="Times New Roman" w:cs="Times New Roman" w:eastAsia="Times New Roman" w:hAnsi="Times New Roman"/>
          <w:sz w:val="17"/>
          <w:szCs w:val="17"/>
          <w:color w:val="auto"/>
        </w:rPr>
        <w:t>”) beginning on the Effective Date, and if not previously terminated pursuant to the terms of this Agreement, continuing until the first anniversary hereof; provided, however, that on a daily basis, one additional day shall be added to the term of this Agreement, so that the Employment Period shall always be one (1) year, unless either the Executive or the Corporation shall have provided the other with written notice of its intention to cease extending the term of this Agreement.</w:t>
      </w:r>
    </w:p>
    <w:p>
      <w:pPr>
        <w:spacing w:after="0" w:line="166" w:lineRule="exact"/>
        <w:rPr>
          <w:rFonts w:ascii="Times New Roman" w:cs="Times New Roman" w:eastAsia="Times New Roman" w:hAnsi="Times New Roman"/>
          <w:sz w:val="17"/>
          <w:szCs w:val="17"/>
          <w:color w:val="auto"/>
        </w:rPr>
      </w:pPr>
    </w:p>
    <w:p>
      <w:pPr>
        <w:ind w:left="660" w:right="120" w:firstLine="644"/>
        <w:spacing w:after="0" w:line="266" w:lineRule="auto"/>
        <w:tabs>
          <w:tab w:leader="none" w:pos="183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contained to the contrary, nothing in this Agreement shall mandate or prohibit a continuation of Executive’s employment following the expiration of the term of this Agreement upon such terms as the Corporation Board and Executive may mutually agree.</w:t>
      </w:r>
    </w:p>
    <w:p>
      <w:pPr>
        <w:spacing w:after="0" w:line="175" w:lineRule="exact"/>
        <w:rPr>
          <w:rFonts w:ascii="Times New Roman" w:cs="Times New Roman" w:eastAsia="Times New Roman" w:hAnsi="Times New Roman"/>
          <w:sz w:val="18"/>
          <w:szCs w:val="18"/>
          <w:color w:val="auto"/>
        </w:rPr>
      </w:pPr>
    </w:p>
    <w:p>
      <w:pPr>
        <w:ind w:left="660" w:right="200" w:firstLine="644"/>
        <w:spacing w:after="0" w:line="282" w:lineRule="auto"/>
        <w:tabs>
          <w:tab w:leader="none" w:pos="182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Notwithstanding the provisions of Section 3(a) of this Agreement, this Agreement may be terminated by the Corporation and the Company for Cause (as defined herein). As used in this Agreement, “</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shall mean any of the following:</w:t>
      </w:r>
    </w:p>
    <w:p>
      <w:pPr>
        <w:spacing w:after="0" w:line="161" w:lineRule="exact"/>
        <w:rPr>
          <w:rFonts w:ascii="Times New Roman" w:cs="Times New Roman" w:eastAsia="Times New Roman" w:hAnsi="Times New Roman"/>
          <w:sz w:val="18"/>
          <w:szCs w:val="18"/>
          <w:color w:val="auto"/>
        </w:rPr>
      </w:pPr>
    </w:p>
    <w:p>
      <w:pPr>
        <w:ind w:left="1300" w:right="120" w:firstLine="652"/>
        <w:spacing w:after="0" w:line="266" w:lineRule="auto"/>
        <w:tabs>
          <w:tab w:leader="none" w:pos="2433"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willfully fails or refuses to substantially perform the Executive’s responsibilities under this Agreement, after demand for substantial performance has been given by the Corporation Board that specifically identifies how the Executive has failed to perform such responsibilities;</w:t>
      </w:r>
    </w:p>
    <w:p>
      <w:pPr>
        <w:spacing w:after="0" w:line="17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engages in gross misconduct which is materially and demonstrably injurious to the Corporation or the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violates any of the Corporation’s or Company’s policies relating to sexual harassment;</w:t>
      </w:r>
    </w:p>
    <w:p>
      <w:pPr>
        <w:spacing w:after="0" w:line="223"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is convicted of a felony or pleads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w:t>
      </w:r>
    </w:p>
    <w:p>
      <w:pPr>
        <w:spacing w:after="0" w:line="227"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materially breaches Section 6 of this Agreement;</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jc w:val="both"/>
        <w:ind w:left="644" w:right="480" w:firstLine="652"/>
        <w:spacing w:after="0" w:line="266" w:lineRule="auto"/>
        <w:tabs>
          <w:tab w:leader="none" w:pos="186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engages in any act of fraud (including misappropriation of the Corporation’s or the Company’s funds or property) in connection with the business of the Corporation or the Company which is materially and demonstrably injurious to the Corporation or the Company; or</w:t>
      </w:r>
    </w:p>
    <w:p>
      <w:pPr>
        <w:spacing w:after="0" w:line="175" w:lineRule="exact"/>
        <w:rPr>
          <w:rFonts w:ascii="Times New Roman" w:cs="Times New Roman" w:eastAsia="Times New Roman" w:hAnsi="Times New Roman"/>
          <w:sz w:val="18"/>
          <w:szCs w:val="18"/>
          <w:color w:val="auto"/>
        </w:rPr>
      </w:pPr>
    </w:p>
    <w:p>
      <w:pPr>
        <w:ind w:left="644" w:right="560" w:firstLine="652"/>
        <w:spacing w:after="0" w:line="282" w:lineRule="auto"/>
        <w:tabs>
          <w:tab w:leader="none" w:pos="191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is disqualified or barred by any governmental or self-regulatory authority from serving in the capacity contemplated by this Agreement.</w:t>
      </w:r>
    </w:p>
    <w:p>
      <w:pPr>
        <w:spacing w:after="0" w:line="162" w:lineRule="exact"/>
        <w:rPr>
          <w:sz w:val="20"/>
          <w:szCs w:val="20"/>
          <w:color w:val="auto"/>
        </w:rPr>
      </w:pPr>
    </w:p>
    <w:p>
      <w:pPr>
        <w:ind w:left="644" w:right="200" w:firstLine="648"/>
        <w:spacing w:after="0" w:line="282" w:lineRule="auto"/>
        <w:rPr>
          <w:sz w:val="20"/>
          <w:szCs w:val="20"/>
          <w:color w:val="auto"/>
        </w:rPr>
      </w:pPr>
      <w:r>
        <w:rPr>
          <w:rFonts w:ascii="Times New Roman" w:cs="Times New Roman" w:eastAsia="Times New Roman" w:hAnsi="Times New Roman"/>
          <w:sz w:val="18"/>
          <w:szCs w:val="18"/>
          <w:color w:val="auto"/>
        </w:rPr>
        <w:t>If this Agreement is terminated for Cause, all of Executive’s rights under this Agreement shall cease as of the effective date of such termination, except that:</w:t>
      </w:r>
    </w:p>
    <w:p>
      <w:pPr>
        <w:spacing w:after="0" w:line="162" w:lineRule="exact"/>
        <w:rPr>
          <w:sz w:val="20"/>
          <w:szCs w:val="20"/>
          <w:color w:val="auto"/>
        </w:rPr>
      </w:pPr>
    </w:p>
    <w:p>
      <w:pPr>
        <w:ind w:left="1784" w:hanging="488"/>
        <w:spacing w:after="0"/>
        <w:tabs>
          <w:tab w:leader="none" w:pos="17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to Executive the unpaid portion, if any, of his Annual Base Salary through the date of termination;</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644" w:right="160" w:firstLine="652"/>
        <w:spacing w:after="0" w:line="282" w:lineRule="auto"/>
        <w:tabs>
          <w:tab w:leader="none" w:pos="182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to Executive such post-employment benefits, if any, as may be provided for under the terms of the employee benefit plans of the Company then in effect.</w:t>
      </w:r>
    </w:p>
    <w:p>
      <w:pPr>
        <w:spacing w:after="0" w:line="161" w:lineRule="exact"/>
        <w:rPr>
          <w:rFonts w:ascii="Times New Roman" w:cs="Times New Roman" w:eastAsia="Times New Roman" w:hAnsi="Times New Roman"/>
          <w:sz w:val="18"/>
          <w:szCs w:val="18"/>
          <w:color w:val="auto"/>
        </w:rPr>
      </w:pPr>
    </w:p>
    <w:p>
      <w:pPr>
        <w:ind w:left="4" w:right="20" w:firstLine="644"/>
        <w:spacing w:after="0" w:line="261" w:lineRule="auto"/>
        <w:tabs>
          <w:tab w:leader="none" w:pos="117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Notwithstanding the provisions of Section 3(a) of this Agreement, this Agreement shall terminate automatically upon Executive’s death and Executive’s rights under this Agreement shall cease as of the date of such termination, except that (i) the Company shall pay to Executive’s spouse, personal representative, or estate the unpaid portion, if any, of his Annual Base Salary through date of death and (ii) the Company shall provide to Executive’s dependents any benefits due under the Company’s employee benefit plans.</w:t>
      </w:r>
    </w:p>
    <w:p>
      <w:pPr>
        <w:spacing w:after="0" w:line="179" w:lineRule="exact"/>
        <w:rPr>
          <w:rFonts w:ascii="Times New Roman" w:cs="Times New Roman" w:eastAsia="Times New Roman" w:hAnsi="Times New Roman"/>
          <w:sz w:val="18"/>
          <w:szCs w:val="18"/>
          <w:color w:val="auto"/>
        </w:rPr>
      </w:pPr>
    </w:p>
    <w:p>
      <w:pPr>
        <w:ind w:left="4" w:right="20" w:firstLine="644"/>
        <w:spacing w:after="0" w:line="261" w:lineRule="auto"/>
        <w:tabs>
          <w:tab w:leader="none" w:pos="11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Executive, the Corporation and the Company agree that if Executive becomes Disabled, within the meaning of Section 409A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and the regulations thereunder, and becomes eligible for employer-provided short-term and/or long-term disability benefits, or worker’s compensation benefits, then the Company’s obligation to pay Executive his Annual Base Salary shall be reduced by the amount of the disability or worker’s compensation benefits received by Executive.</w:t>
      </w:r>
    </w:p>
    <w:p>
      <w:pPr>
        <w:spacing w:after="0" w:line="180" w:lineRule="exact"/>
        <w:rPr>
          <w:sz w:val="20"/>
          <w:szCs w:val="20"/>
          <w:color w:val="auto"/>
        </w:rPr>
      </w:pPr>
    </w:p>
    <w:p>
      <w:pPr>
        <w:ind w:left="4" w:right="100" w:firstLine="648"/>
        <w:spacing w:after="0" w:line="256" w:lineRule="auto"/>
        <w:rPr>
          <w:sz w:val="20"/>
          <w:szCs w:val="20"/>
          <w:color w:val="auto"/>
        </w:rPr>
      </w:pPr>
      <w:r>
        <w:rPr>
          <w:rFonts w:ascii="Times New Roman" w:cs="Times New Roman" w:eastAsia="Times New Roman" w:hAnsi="Times New Roman"/>
          <w:sz w:val="18"/>
          <w:szCs w:val="18"/>
          <w:color w:val="auto"/>
        </w:rPr>
        <w:t>Executive, the Corporation and the Company agree that if, in the judgment of the Corporation Board, Executive is unable, as a result of illness or injury, to perform the essential functions of his position on a full-time basis with or without a reasonable accommodation and without posing a direct threat to himself or others for a period of six months, the Company will suffer an undue hardship in continuing Executive’s employment as set forth in this Agreement. Accordingly, this Agreement shall terminate at the end of the six-month period, and all of Executive’s rights under this Agreement shall cease, with the exception of any unpaid Annual Base Salary through the date of termination and those rights which Executive may have under the Company’s employee benefit plans.</w:t>
      </w:r>
    </w:p>
    <w:p>
      <w:pPr>
        <w:spacing w:after="0" w:line="187" w:lineRule="exact"/>
        <w:rPr>
          <w:sz w:val="20"/>
          <w:szCs w:val="20"/>
          <w:color w:val="auto"/>
        </w:rPr>
      </w:pPr>
    </w:p>
    <w:p>
      <w:pPr>
        <w:jc w:val="both"/>
        <w:ind w:left="4" w:firstLine="644"/>
        <w:spacing w:after="0" w:line="261" w:lineRule="auto"/>
        <w:tabs>
          <w:tab w:leader="none" w:pos="114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from Other Positions</w:t>
      </w:r>
      <w:r>
        <w:rPr>
          <w:rFonts w:ascii="Times New Roman" w:cs="Times New Roman" w:eastAsia="Times New Roman" w:hAnsi="Times New Roman"/>
          <w:sz w:val="18"/>
          <w:szCs w:val="18"/>
          <w:color w:val="auto"/>
        </w:rPr>
        <w:t>. In the event Executive’s employment under this Agreement is terminated for any reason, if Executive is then serving in any other capacity, such as an officer or director for any of the Corporation, the Company or any their respective affiliates or subsidiaries, such service shall also be deemed to immediately terminate and Executive shall be deemed to have resigned from all such other positions.</w:t>
      </w:r>
    </w:p>
    <w:p>
      <w:pPr>
        <w:spacing w:after="0" w:line="175" w:lineRule="exact"/>
        <w:rPr>
          <w:rFonts w:ascii="Times New Roman" w:cs="Times New Roman" w:eastAsia="Times New Roman" w:hAnsi="Times New Roman"/>
          <w:sz w:val="18"/>
          <w:szCs w:val="18"/>
          <w:color w:val="auto"/>
        </w:rPr>
      </w:pPr>
    </w:p>
    <w:p>
      <w:pPr>
        <w:ind w:left="444" w:hanging="444"/>
        <w:spacing w:after="0"/>
        <w:tabs>
          <w:tab w:leader="none" w:pos="4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Employment Period Compensation, Benefits and Expenses.</w:t>
      </w:r>
    </w:p>
    <w:p>
      <w:pPr>
        <w:spacing w:after="0" w:line="229" w:lineRule="exact"/>
        <w:rPr>
          <w:rFonts w:ascii="Times New Roman" w:cs="Times New Roman" w:eastAsia="Times New Roman" w:hAnsi="Times New Roman"/>
          <w:sz w:val="18"/>
          <w:szCs w:val="18"/>
          <w:color w:val="auto"/>
        </w:rPr>
      </w:pPr>
    </w:p>
    <w:p>
      <w:pPr>
        <w:ind w:left="4" w:right="20" w:firstLine="644"/>
        <w:spacing w:after="0" w:line="256" w:lineRule="auto"/>
        <w:tabs>
          <w:tab w:leader="none" w:pos="116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 For services performed by Executive under this Agreement, the Company shall pay Executive an annual base salary during the Employment Period at the rate of $435,000 per year, minus applicable withholdings and deductions, payable at the same times as salaries are payable to other executive employees of the Company (the “</w:t>
      </w:r>
      <w:r>
        <w:rPr>
          <w:rFonts w:ascii="Times New Roman" w:cs="Times New Roman" w:eastAsia="Times New Roman" w:hAnsi="Times New Roman"/>
          <w:sz w:val="18"/>
          <w:szCs w:val="18"/>
          <w:i w:val="1"/>
          <w:iCs w:val="1"/>
          <w:color w:val="auto"/>
        </w:rPr>
        <w:t>Annual Base Salary</w:t>
      </w:r>
      <w:r>
        <w:rPr>
          <w:rFonts w:ascii="Times New Roman" w:cs="Times New Roman" w:eastAsia="Times New Roman" w:hAnsi="Times New Roman"/>
          <w:sz w:val="18"/>
          <w:szCs w:val="18"/>
          <w:color w:val="auto"/>
        </w:rPr>
        <w:t>”). The Annual Base Salary shall be reviewed annually by the Corporation Board and the Corporation Board may, from time to time, increase Executive’s Annual Base Salary, and any and all such increases shall be deemed to constitute amendments to this Section 4(a) to reflect the increased amounts, effective as of the date established for such increases.</w:t>
      </w:r>
    </w:p>
    <w:p>
      <w:pPr>
        <w:spacing w:after="0" w:line="187" w:lineRule="exact"/>
        <w:rPr>
          <w:rFonts w:ascii="Times New Roman" w:cs="Times New Roman" w:eastAsia="Times New Roman" w:hAnsi="Times New Roman"/>
          <w:sz w:val="18"/>
          <w:szCs w:val="18"/>
          <w:color w:val="auto"/>
        </w:rPr>
      </w:pPr>
    </w:p>
    <w:p>
      <w:pPr>
        <w:ind w:left="4" w:right="160" w:firstLine="644"/>
        <w:spacing w:after="0" w:line="282" w:lineRule="auto"/>
        <w:tabs>
          <w:tab w:leader="none" w:pos="117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The Executive shall participate in any equity incentive plan and short-term performance plan generally made available to executive officers of the Company.</w:t>
      </w:r>
    </w:p>
    <w:p>
      <w:pPr>
        <w:spacing w:after="0" w:line="161" w:lineRule="exact"/>
        <w:rPr>
          <w:rFonts w:ascii="Times New Roman" w:cs="Times New Roman" w:eastAsia="Times New Roman" w:hAnsi="Times New Roman"/>
          <w:sz w:val="18"/>
          <w:szCs w:val="18"/>
          <w:color w:val="auto"/>
        </w:rPr>
      </w:pPr>
    </w:p>
    <w:p>
      <w:pPr>
        <w:jc w:val="both"/>
        <w:ind w:left="4" w:right="340" w:firstLine="644"/>
        <w:spacing w:after="0" w:line="266" w:lineRule="auto"/>
        <w:tabs>
          <w:tab w:leader="none" w:pos="116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Vacations, Holidays, etc</w:t>
      </w:r>
      <w:r>
        <w:rPr>
          <w:rFonts w:ascii="Times New Roman" w:cs="Times New Roman" w:eastAsia="Times New Roman" w:hAnsi="Times New Roman"/>
          <w:sz w:val="18"/>
          <w:szCs w:val="18"/>
          <w:color w:val="auto"/>
        </w:rPr>
        <w:t>. During the term of this Agreement, Executive shall be entitled to paid annual vacation in accordance with the policies as established from time to time by the Company. Executive shall also be entitled to all paid holidays, sick days and personal days provided by the Company to its regular full-time employees and senior executive officers.</w:t>
      </w:r>
    </w:p>
    <w:p>
      <w:pPr>
        <w:spacing w:after="0" w:line="28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53" w:right="339" w:bottom="1440" w:gutter="0" w:footer="0" w:header="0"/>
        </w:sectPr>
      </w:pPr>
    </w:p>
    <w:bookmarkStart w:id="50" w:name="page51"/>
    <w:bookmarkEnd w:id="50"/>
    <w:p>
      <w:pPr>
        <w:ind w:left="660" w:right="80" w:firstLine="644"/>
        <w:spacing w:after="0" w:line="266" w:lineRule="auto"/>
        <w:tabs>
          <w:tab w:leader="none" w:pos="183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 During the term of this Agreement, Executive shall be entitled to participate in or receive the benefits of any employee benefit plan currently in effect at the Company, subject to the eligibility and terms of each such plan, until such time that the Company authorizes a change in such benefits.</w:t>
      </w:r>
    </w:p>
    <w:p>
      <w:pPr>
        <w:spacing w:after="0" w:line="175" w:lineRule="exact"/>
        <w:rPr>
          <w:rFonts w:ascii="Times New Roman" w:cs="Times New Roman" w:eastAsia="Times New Roman" w:hAnsi="Times New Roman"/>
          <w:sz w:val="18"/>
          <w:szCs w:val="18"/>
          <w:color w:val="auto"/>
        </w:rPr>
      </w:pPr>
    </w:p>
    <w:p>
      <w:pPr>
        <w:ind w:left="660" w:right="220" w:firstLine="644"/>
        <w:spacing w:after="0" w:line="266" w:lineRule="auto"/>
        <w:tabs>
          <w:tab w:leader="none" w:pos="182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During the term of this Agreement, Executive shall be entitled to receive prompt reimbursement for all customary and usual expenses incurred by him, which are properly accounted for, in accordance with the policies and procedures established by the Company.</w:t>
      </w:r>
    </w:p>
    <w:p>
      <w:pPr>
        <w:spacing w:after="0" w:line="171"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in Event of Termination of Employment.</w:t>
      </w:r>
    </w:p>
    <w:p>
      <w:pPr>
        <w:spacing w:after="0" w:line="229" w:lineRule="exact"/>
        <w:rPr>
          <w:rFonts w:ascii="Times New Roman" w:cs="Times New Roman" w:eastAsia="Times New Roman" w:hAnsi="Times New Roman"/>
          <w:sz w:val="18"/>
          <w:szCs w:val="18"/>
          <w:color w:val="auto"/>
        </w:rPr>
      </w:pPr>
    </w:p>
    <w:p>
      <w:pPr>
        <w:ind w:left="660" w:right="20" w:firstLine="644"/>
        <w:spacing w:after="0" w:line="261" w:lineRule="auto"/>
        <w:tabs>
          <w:tab w:leader="none" w:pos="182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terminates his employment with the Company without Good Reason (as defined below), Executive’s rights under this Agreement shall cease as of the date of such termination, except that (i) the Company shall pay to Executive the unpaid portion, if any, of his Annual Base Salary through date of termination, and (ii) the Company shall provide to Executive’s dependents any benefits due under the Company’s employee benefit plans then in effect.</w:t>
      </w:r>
    </w:p>
    <w:p>
      <w:pPr>
        <w:spacing w:after="0" w:line="179" w:lineRule="exact"/>
        <w:rPr>
          <w:rFonts w:ascii="Times New Roman" w:cs="Times New Roman" w:eastAsia="Times New Roman" w:hAnsi="Times New Roman"/>
          <w:sz w:val="18"/>
          <w:szCs w:val="18"/>
          <w:color w:val="auto"/>
        </w:rPr>
      </w:pPr>
    </w:p>
    <w:p>
      <w:pPr>
        <w:ind w:left="660" w:right="120" w:firstLine="644"/>
        <w:spacing w:after="0" w:line="266" w:lineRule="auto"/>
        <w:tabs>
          <w:tab w:leader="none" w:pos="183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is involuntarily terminated by the Corporation and the Company without Cause (other than for death or Disability), or the Executive voluntarily terminates employment for Good Reason (as defined below), Executive shall be entitled to receive the compensation and benefits set forth below:</w:t>
      </w:r>
    </w:p>
    <w:p>
      <w:pPr>
        <w:spacing w:after="0" w:line="175" w:lineRule="exact"/>
        <w:rPr>
          <w:rFonts w:ascii="Times New Roman" w:cs="Times New Roman" w:eastAsia="Times New Roman" w:hAnsi="Times New Roman"/>
          <w:sz w:val="18"/>
          <w:szCs w:val="18"/>
          <w:color w:val="auto"/>
        </w:rPr>
      </w:pPr>
    </w:p>
    <w:p>
      <w:pPr>
        <w:ind w:left="1300" w:right="220" w:firstLine="652"/>
        <w:spacing w:after="0" w:line="258" w:lineRule="auto"/>
        <w:tabs>
          <w:tab w:leader="none" w:pos="2433"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be entitled to receive an amount equal to (A) his Annual Base Salary plus (B) the target short-term incentive bonus for the year in which he is involuntarily terminated without Cause (other than for death or Disability), or the Executive voluntarily terminates employment for Good Reason. Such annual amount shall be multiplied by the number of full calendar months remaining in the Employment Period divided by twelve (12). The resulting amount shall be paid by the Company in one lump sum following Executive’s execution of the release (provided such release is not rescinded) described in Section 7.</w:t>
      </w:r>
    </w:p>
    <w:p>
      <w:pPr>
        <w:spacing w:after="0" w:line="183" w:lineRule="exact"/>
        <w:rPr>
          <w:rFonts w:ascii="Times New Roman" w:cs="Times New Roman" w:eastAsia="Times New Roman" w:hAnsi="Times New Roman"/>
          <w:sz w:val="18"/>
          <w:szCs w:val="18"/>
          <w:color w:val="auto"/>
        </w:rPr>
      </w:pPr>
    </w:p>
    <w:p>
      <w:pPr>
        <w:ind w:left="1300" w:firstLine="652"/>
        <w:spacing w:after="0" w:line="258" w:lineRule="auto"/>
        <w:tabs>
          <w:tab w:leader="none" w:pos="2473"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 such event, Executive shall, for the remaining Employment Period, continue to participate in any benefit plans of the Company that provide health (including medical and dental) coverage, upon terms no less favorable than the most favorable terms provided to senior executives of the Company during such period. In the event that the Company is unable to provide such coverage by reason of Executive no longer being an employee, the Company shall provide Executive an amount equal to the total after-tax cost to Employee, for each month that is then remaining in the Employment Period, of obtaining such coverage.</w:t>
      </w:r>
    </w:p>
    <w:p>
      <w:pPr>
        <w:spacing w:after="0" w:line="181" w:lineRule="exact"/>
        <w:rPr>
          <w:rFonts w:ascii="Times New Roman" w:cs="Times New Roman" w:eastAsia="Times New Roman" w:hAnsi="Times New Roman"/>
          <w:sz w:val="18"/>
          <w:szCs w:val="18"/>
          <w:color w:val="auto"/>
        </w:rPr>
      </w:pPr>
    </w:p>
    <w:p>
      <w:pPr>
        <w:ind w:left="660" w:right="20" w:firstLine="644"/>
        <w:spacing w:after="0" w:line="277" w:lineRule="auto"/>
        <w:tabs>
          <w:tab w:leader="none" w:pos="1823"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Good Reason</w:t>
      </w:r>
      <w:r>
        <w:rPr>
          <w:rFonts w:ascii="Times New Roman" w:cs="Times New Roman" w:eastAsia="Times New Roman" w:hAnsi="Times New Roman"/>
          <w:sz w:val="17"/>
          <w:szCs w:val="17"/>
          <w:color w:val="auto"/>
        </w:rPr>
        <w:t>” shall mean (i) a material diminution in salary, (ii) a material diminution in authority, duties or responsibilities, (iii) a reassignment which assigns full-time employment duties to Executive at a location more than twenty (20) miles from the Company’s principal executive office on the date of this Agreement, in all cases after notice from Executive to the Company within ninety (90) days after the initial existence of any such condition that the condition constitutes Good Reason and the failure of the Company to cure such situation within thirty (30) days after said notice, or (iv) a change in Executive’s title accompanied by any of the circumstances described in clauses (i), (ii) or (iii) above.</w:t>
      </w:r>
    </w:p>
    <w:p>
      <w:pPr>
        <w:spacing w:after="0" w:line="169" w:lineRule="exact"/>
        <w:rPr>
          <w:rFonts w:ascii="Times New Roman" w:cs="Times New Roman" w:eastAsia="Times New Roman" w:hAnsi="Times New Roman"/>
          <w:sz w:val="17"/>
          <w:szCs w:val="17"/>
          <w:color w:val="auto"/>
        </w:rPr>
      </w:pPr>
    </w:p>
    <w:p>
      <w:pPr>
        <w:jc w:val="both"/>
        <w:ind w:left="660" w:firstLine="644"/>
        <w:spacing w:after="0" w:line="261" w:lineRule="auto"/>
        <w:tabs>
          <w:tab w:leader="none" w:pos="183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 be required to mitigate the amount of any payment provided for in this Section 5 by seeking other employment or otherwise, nor shall the amount of payment or the benefit provided for in this Section 5 be reduced by any compensation earned by Executive as the result of employment by another employer or by reason of Executive’s receipt of or right to receive any retirement or other benefits after the date of termination of employment or otherwise,</w:t>
      </w:r>
    </w:p>
    <w:p>
      <w:pPr>
        <w:spacing w:after="0" w:line="175" w:lineRule="exact"/>
        <w:rPr>
          <w:rFonts w:ascii="Times New Roman" w:cs="Times New Roman" w:eastAsia="Times New Roman" w:hAnsi="Times New Roman"/>
          <w:sz w:val="18"/>
          <w:szCs w:val="18"/>
          <w:color w:val="auto"/>
        </w:rPr>
      </w:pPr>
    </w:p>
    <w:p>
      <w:pPr>
        <w:ind w:right="140" w:firstLine="656"/>
        <w:spacing w:after="0" w:line="254" w:lineRule="auto"/>
        <w:tabs>
          <w:tab w:leader="none" w:pos="109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Unauthorized Disclosure</w:t>
      </w:r>
      <w:r>
        <w:rPr>
          <w:rFonts w:ascii="Times New Roman" w:cs="Times New Roman" w:eastAsia="Times New Roman" w:hAnsi="Times New Roman"/>
          <w:sz w:val="18"/>
          <w:szCs w:val="18"/>
          <w:color w:val="auto"/>
        </w:rPr>
        <w:t>. During the term of his employment hereunder, or at any later time, Executive shall not, without the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the Corporation Board or a person authorized thereby (except as may be required pursuant to a subpoena or other legal process), knowingly disclose to any person, other than an employee of the Company or a person to whom disclosure is reasonably necessary or appropriate in connection with the performance by Executive of his duties as an executive of the Company, any material confidential information obtained by him while in the employ of the Company with respect to any of the Company’s, the Corporation’s or any of their subsidiaries’ services, products, improvements, formulas, designs or styles, processes, customers, methods of business or any business practices the disclosure of which could be or will be damaging to the Company or the Corporation; provided, however, that confidential information shall not include any information known generally to the public (other than as a result of unauthorized disclosure by Executive or any person with the assistance, consent or direction of Executive) or any information of a type not otherwise considered confidential by persons engaged in the same business or a business similar to that conducted by the Company or any information that must be disclosed as required by law.</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1" w:name="page52"/>
    <w:bookmarkEnd w:id="51"/>
    <w:p>
      <w:pPr>
        <w:ind w:right="200" w:firstLine="656"/>
        <w:spacing w:after="0" w:line="257" w:lineRule="auto"/>
        <w:tabs>
          <w:tab w:leader="none" w:pos="10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Requirement of Release</w:t>
      </w:r>
      <w:r>
        <w:rPr>
          <w:rFonts w:ascii="Times New Roman" w:cs="Times New Roman" w:eastAsia="Times New Roman" w:hAnsi="Times New Roman"/>
          <w:sz w:val="18"/>
          <w:szCs w:val="18"/>
          <w:color w:val="auto"/>
        </w:rPr>
        <w:t>. Notwithstanding anything herein to the contrary, Executive’s entitlement to any payments under Section 5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contingent upon Executive’s prior agreement with and signature to a complete release agreement in the form as mutually agreed by the parties, which release is not rescinded by Executive. Such release agreement shall be executed, if at all, and the applicable payments and benefits contingent upon the execution of such agreement shall be provided or commence being provided, if at all, within sixty (60) days following the date of termination; provided, however, that if such sixty (60) day period begins in one taxable year and ends in a second taxable year, the payments and benefits will be provided or commence being provided, if at all, in the second taxable year.</w:t>
      </w:r>
    </w:p>
    <w:p>
      <w:pPr>
        <w:spacing w:after="0" w:line="182" w:lineRule="exact"/>
        <w:rPr>
          <w:rFonts w:ascii="Times New Roman" w:cs="Times New Roman" w:eastAsia="Times New Roman" w:hAnsi="Times New Roman"/>
          <w:sz w:val="18"/>
          <w:szCs w:val="18"/>
          <w:color w:val="auto"/>
        </w:rPr>
      </w:pPr>
    </w:p>
    <w:p>
      <w:pPr>
        <w:ind w:right="40" w:firstLine="656"/>
        <w:spacing w:after="0" w:line="268" w:lineRule="auto"/>
        <w:tabs>
          <w:tab w:leader="none" w:pos="10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Except as otherwise provided in this Agreement, any notice required or permitted to be given under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properly given if in writing and if mailed by United States registered or certified mail, postage prepaid with return receipt requested, to Executive’s address, in the case of notices to Executive, and to the principal executive office of the Company, in the case of notice to the Company.</w:t>
      </w:r>
    </w:p>
    <w:p>
      <w:pPr>
        <w:spacing w:after="0" w:line="170" w:lineRule="exact"/>
        <w:rPr>
          <w:rFonts w:ascii="Times New Roman" w:cs="Times New Roman" w:eastAsia="Times New Roman" w:hAnsi="Times New Roman"/>
          <w:sz w:val="18"/>
          <w:szCs w:val="18"/>
          <w:color w:val="auto"/>
        </w:rPr>
      </w:pPr>
    </w:p>
    <w:p>
      <w:pPr>
        <w:ind w:right="60" w:firstLine="656"/>
        <w:spacing w:after="0" w:line="262" w:lineRule="auto"/>
        <w:tabs>
          <w:tab w:leader="none" w:pos="10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color w:val="auto"/>
        </w:rPr>
        <w:t>. No provision of this Agreement may be modified, waived or discharged unless such waiver, modification or discharge is agreed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and signed by Executive and an executive officer of the Corporation and the Company specifically designated by the respective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76"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This Agreement shall not be assignable by any party, except by the Company to any successor in interest to its business.</w:t>
      </w:r>
    </w:p>
    <w:p>
      <w:pPr>
        <w:spacing w:after="0" w:line="225" w:lineRule="exact"/>
        <w:rPr>
          <w:rFonts w:ascii="Times New Roman" w:cs="Times New Roman" w:eastAsia="Times New Roman" w:hAnsi="Times New Roman"/>
          <w:sz w:val="18"/>
          <w:szCs w:val="18"/>
          <w:color w:val="auto"/>
        </w:rPr>
      </w:pPr>
    </w:p>
    <w:p>
      <w:pPr>
        <w:ind w:right="540" w:firstLine="656"/>
        <w:spacing w:after="0" w:line="286" w:lineRule="auto"/>
        <w:tabs>
          <w:tab w:leader="none" w:pos="118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contains the entire agreement of the parties relating to the subject matter of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supersedes and replaces any prior written or oral agreements between them respecting the within subject matter.</w:t>
      </w:r>
    </w:p>
    <w:p>
      <w:pPr>
        <w:spacing w:after="0" w:line="154"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Binding Agreement.</w:t>
      </w:r>
    </w:p>
    <w:p>
      <w:pPr>
        <w:spacing w:after="0" w:line="229" w:lineRule="exact"/>
        <w:rPr>
          <w:rFonts w:ascii="Times New Roman" w:cs="Times New Roman" w:eastAsia="Times New Roman" w:hAnsi="Times New Roman"/>
          <w:sz w:val="18"/>
          <w:szCs w:val="18"/>
          <w:color w:val="auto"/>
        </w:rPr>
      </w:pPr>
    </w:p>
    <w:p>
      <w:pPr>
        <w:ind w:left="660" w:right="40" w:firstLine="644"/>
        <w:spacing w:after="0" w:line="256" w:lineRule="auto"/>
        <w:tabs>
          <w:tab w:leader="none" w:pos="181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and the Company will require any successor (whether direct or indirect, by purchase, merger, consolidation, or otherwise) to all or substantially all of the business and/or assets of the Corporation or the Company to expressly assume and agree to perform this Agreement in the same manner and to the same extent that the Corporation and Company would be required to perform it if no such succession had taken place. As used in this Agreement, “Corporation” and “Company” shall mean the Corporation and the Company as defined previously and any successor to their respective business and/or assets as aforesaid which assumes and agrees to perform this Agreement by operation of law or otherwise.</w:t>
      </w:r>
    </w:p>
    <w:p>
      <w:pPr>
        <w:spacing w:after="0" w:line="187" w:lineRule="exact"/>
        <w:rPr>
          <w:rFonts w:ascii="Times New Roman" w:cs="Times New Roman" w:eastAsia="Times New Roman" w:hAnsi="Times New Roman"/>
          <w:sz w:val="18"/>
          <w:szCs w:val="18"/>
          <w:color w:val="auto"/>
        </w:rPr>
      </w:pPr>
    </w:p>
    <w:p>
      <w:pPr>
        <w:ind w:left="660" w:right="140" w:firstLine="644"/>
        <w:spacing w:after="0" w:line="258" w:lineRule="auto"/>
        <w:tabs>
          <w:tab w:leader="none" w:pos="182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and be enforceable by Executive’s personal or legal representatives, executors, administrators, heirs, distributees, devisees or legatees. If Executive should die following termination of Executive’s employment without Cause, and any amounts would be payable to Executive under this Agreement if Executive had continued to live, all such amounts shall be paid in accordance with the terms of this Agreement to Executive’s devisee, legatee, or other designee, or, if there is no such designee, to Executive’s estate.</w:t>
      </w:r>
    </w:p>
    <w:p>
      <w:pPr>
        <w:spacing w:after="0" w:line="179" w:lineRule="exact"/>
        <w:rPr>
          <w:rFonts w:ascii="Times New Roman" w:cs="Times New Roman" w:eastAsia="Times New Roman" w:hAnsi="Times New Roman"/>
          <w:sz w:val="18"/>
          <w:szCs w:val="18"/>
          <w:color w:val="auto"/>
        </w:rPr>
      </w:pPr>
    </w:p>
    <w:p>
      <w:pPr>
        <w:ind w:right="220" w:firstLine="656"/>
        <w:spacing w:after="0" w:line="286" w:lineRule="auto"/>
        <w:tabs>
          <w:tab w:leader="none" w:pos="118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Validity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which shall remain in full force and effect.</w:t>
      </w:r>
    </w:p>
    <w:p>
      <w:pPr>
        <w:spacing w:after="0" w:line="154" w:lineRule="exact"/>
        <w:rPr>
          <w:rFonts w:ascii="Times New Roman" w:cs="Times New Roman" w:eastAsia="Times New Roman" w:hAnsi="Times New Roman"/>
          <w:sz w:val="18"/>
          <w:szCs w:val="18"/>
          <w:color w:val="auto"/>
        </w:rPr>
      </w:pPr>
    </w:p>
    <w:p>
      <w:pPr>
        <w:ind w:right="220" w:firstLine="656"/>
        <w:spacing w:after="0" w:line="286" w:lineRule="auto"/>
        <w:tabs>
          <w:tab w:leader="none" w:pos="118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Applicable Law</w:t>
      </w:r>
      <w:r>
        <w:rPr>
          <w:rFonts w:ascii="Times New Roman" w:cs="Times New Roman" w:eastAsia="Times New Roman" w:hAnsi="Times New Roman"/>
          <w:sz w:val="18"/>
          <w:szCs w:val="18"/>
          <w:color w:val="auto"/>
        </w:rPr>
        <w:t>. This Agreement shall be governed by and construed in accordance with the laws of the State of North Dakota,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 to its conflict of laws principles.</w:t>
      </w:r>
    </w:p>
    <w:p>
      <w:pPr>
        <w:spacing w:after="0" w:line="154" w:lineRule="exact"/>
        <w:rPr>
          <w:rFonts w:ascii="Times New Roman" w:cs="Times New Roman" w:eastAsia="Times New Roman" w:hAnsi="Times New Roman"/>
          <w:sz w:val="18"/>
          <w:szCs w:val="18"/>
          <w:color w:val="auto"/>
        </w:rPr>
      </w:pPr>
    </w:p>
    <w:p>
      <w:pPr>
        <w:ind w:right="120" w:firstLine="656"/>
        <w:spacing w:after="0" w:line="286" w:lineRule="auto"/>
        <w:tabs>
          <w:tab w:leader="none" w:pos="118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section headings of this Agreement are for convenience only and shall not control or affect the meaning or construction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 the scope or intent of any of the provisions of this Agreement.</w:t>
      </w:r>
    </w:p>
    <w:p>
      <w:pPr>
        <w:spacing w:after="0" w:line="154"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on Payments.</w:t>
      </w:r>
    </w:p>
    <w:p>
      <w:pPr>
        <w:spacing w:after="0" w:line="229" w:lineRule="exact"/>
        <w:rPr>
          <w:rFonts w:ascii="Times New Roman" w:cs="Times New Roman" w:eastAsia="Times New Roman" w:hAnsi="Times New Roman"/>
          <w:sz w:val="18"/>
          <w:szCs w:val="18"/>
          <w:color w:val="auto"/>
        </w:rPr>
      </w:pPr>
    </w:p>
    <w:p>
      <w:pPr>
        <w:ind w:left="660" w:firstLine="644"/>
        <w:spacing w:after="0" w:line="256" w:lineRule="auto"/>
        <w:tabs>
          <w:tab w:leader="none" w:pos="182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in the event the payments and benefits payable hereunder to or on behalf of Executive, when added to all other amounts and benefits payable to or on behalf of Executive, would result in the imposition of an excise tax under Section 4999 of the Code, the amounts and benefits payable hereunder shall be reduced to such extent as may be necessary to avoid such imposition. All calculations required to be made under this subsection will be made by the Company’s independent public accountants, subject to the right of Executive’s representative to review the same. The parties recognize that the actual implementation of the provisions of this subsection are complex and agree to deal with each other in good faith to resolve any questions or disagreements arising hereunder.</w:t>
      </w:r>
    </w:p>
    <w:p>
      <w:pPr>
        <w:spacing w:after="0" w:line="187" w:lineRule="exact"/>
        <w:rPr>
          <w:rFonts w:ascii="Times New Roman" w:cs="Times New Roman" w:eastAsia="Times New Roman" w:hAnsi="Times New Roman"/>
          <w:sz w:val="18"/>
          <w:szCs w:val="18"/>
          <w:color w:val="auto"/>
        </w:rPr>
      </w:pPr>
    </w:p>
    <w:p>
      <w:pPr>
        <w:ind w:left="660" w:right="840" w:firstLine="644"/>
        <w:spacing w:after="0" w:line="282" w:lineRule="auto"/>
        <w:tabs>
          <w:tab w:leader="none" w:pos="182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to the Executive pursuant to this Agreement or otherwise, are subject to and conditioned upon their compliance with applicable laws and any regulations promulgated thereunder.</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2" w:name="page53"/>
    <w:bookmarkEnd w:id="52"/>
    <w:p>
      <w:pPr>
        <w:ind w:firstLine="656"/>
        <w:spacing w:after="0" w:line="254" w:lineRule="auto"/>
        <w:tabs>
          <w:tab w:leader="none" w:pos="118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Recovery of Bonuses and Incentive Compensation</w:t>
      </w:r>
      <w:r>
        <w:rPr>
          <w:rFonts w:ascii="Times New Roman" w:cs="Times New Roman" w:eastAsia="Times New Roman" w:hAnsi="Times New Roman"/>
          <w:sz w:val="18"/>
          <w:szCs w:val="18"/>
          <w:color w:val="auto"/>
        </w:rPr>
        <w:t>. Notwithstanding anything in this Agreement to the contrary, all bonuses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compensation, but not Annual Base Salary or payments due Executive under Section 5, paid hereunder (whether in equity or in cash) shall be subject to recovery by the Corporation in the event that such bonuses or incentive compensation are based on materially inaccurate financial statements or other materially inaccurate performance metric criteria; provided that except as set forth in the next sentence, a determination as to the recovery of a bonus or incentive compensation shall be made within twenty-four (24) months following the date such bonus or incentive compensation was paid. Notwithstanding anything to the contrary herein, all compensation payable to Executive shall be subject to any policy adopted by the Corporation designed to comply with Section 10D of the Securities Exchange Act of 1934, as amended, related rules and the listing standards of The Nasdaq Stock Market, including, but not limited to, the Corporation’s Incentive Compensation Recovery Policy, originally adopted on December 1, 2023. In the event that the Corporation Board determines that a bonus or incentive compensation payment to Executive is recoverable, in its sole discretion, Executive shall reimburse all or a portion of such bonus or incentive compensation, to the fullest extent permitted by law, as soon as practicable following written notice to Executive by the Corporation of the same.</w:t>
      </w:r>
    </w:p>
    <w:p>
      <w:pPr>
        <w:spacing w:after="0" w:line="182"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Application of Code Section 409A.</w:t>
      </w:r>
    </w:p>
    <w:p>
      <w:pPr>
        <w:spacing w:after="0" w:line="229" w:lineRule="exact"/>
        <w:rPr>
          <w:rFonts w:ascii="Times New Roman" w:cs="Times New Roman" w:eastAsia="Times New Roman" w:hAnsi="Times New Roman"/>
          <w:sz w:val="18"/>
          <w:szCs w:val="18"/>
          <w:color w:val="auto"/>
        </w:rPr>
      </w:pPr>
    </w:p>
    <w:p>
      <w:pPr>
        <w:ind w:left="660" w:right="20" w:firstLine="644"/>
        <w:spacing w:after="0" w:line="252" w:lineRule="auto"/>
        <w:tabs>
          <w:tab w:leader="none" w:pos="182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the receipt of any benefits under this Agreement as a result of a termination of employment shall be subject to satisfaction of the condition precedent that Executive undergo a “separation from service” within the meaning of Treas. Reg. § 1.409A-1(h) or any successor thereto. In addition, if Executive is deemed to be a “specified employee” within the meaning of that term under Code Section 409A(a)(2)(B), then with regard to any payment or the provisions of any benefit that is required to be delayed pursuant to Code Section 409A(a)(2)(B), such payment or benefit shall not be made or provided prior to the earlier of (i) the expiration of the six (6) month period measured from the date of Executive’s “separation from service” (as such term is defined in Treas. Reg. § 1.409A-1(h)), or (ii) the date of Executive’s death (the “</w:t>
      </w:r>
      <w:r>
        <w:rPr>
          <w:rFonts w:ascii="Times New Roman" w:cs="Times New Roman" w:eastAsia="Times New Roman" w:hAnsi="Times New Roman"/>
          <w:sz w:val="18"/>
          <w:szCs w:val="18"/>
          <w:i w:val="1"/>
          <w:iCs w:val="1"/>
          <w:color w:val="auto"/>
        </w:rPr>
        <w:t>Delay Period</w:t>
      </w:r>
      <w:r>
        <w:rPr>
          <w:rFonts w:ascii="Times New Roman" w:cs="Times New Roman" w:eastAsia="Times New Roman" w:hAnsi="Times New Roman"/>
          <w:sz w:val="18"/>
          <w:szCs w:val="18"/>
          <w:color w:val="auto"/>
        </w:rPr>
        <w:t>”). Within ten (10) days following the expiration of the Delay Period, all payments and benefits delayed pursuant to this Section (whether they would have otherwise been payable in a single sum or in installments in the absence of such delay) shall be paid or reimbursed to Executive in a lump sum, and any remaining payments and benefits due under this Agreement shall be paid or provided in accordance with the normal payment dates specified for them herein. Notwithstanding the foregoing, to the extent that the foregoing applies to the provision of any ongoing welfare benefits to Executive that would not be required to be delayed if the premiums therefore were paid by Executive, Executive shall pay the full costs of premiums for such welfare benefits during the Delay Period and the Company shall pay Executive an amount equal to the amount of such premiums paid by Executive during the Delay Period within ten (10) days after the conclusion of such Delay Period.</w:t>
      </w:r>
    </w:p>
    <w:p>
      <w:pPr>
        <w:spacing w:after="0" w:line="197" w:lineRule="exact"/>
        <w:rPr>
          <w:rFonts w:ascii="Times New Roman" w:cs="Times New Roman" w:eastAsia="Times New Roman" w:hAnsi="Times New Roman"/>
          <w:sz w:val="18"/>
          <w:szCs w:val="18"/>
          <w:color w:val="auto"/>
        </w:rPr>
      </w:pPr>
    </w:p>
    <w:p>
      <w:pPr>
        <w:ind w:left="660" w:firstLine="644"/>
        <w:spacing w:after="0" w:line="256" w:lineRule="auto"/>
        <w:tabs>
          <w:tab w:leader="none" w:pos="183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the extent any expense reimbursement or other in-kind benefit is determined to be subject to Code Section 409A, the amount of any such expenses eligible for reimbursement or in-kind benefits in one calendar year shall not affect the expenses eligible for reimbursement or in-kind benefits in any other taxable year (except under any lifetime limit applicable to expenses for medical care), in no event shall any expenses be reimbursed or in-kind benefits be provided after the last day of the calendar year following the calendar year in which Executive incurred such expenses or received such benefits, and in no event shall any right to reimbursement or in-kind benefits be subject to liquidation or exchange for another benefit.</w:t>
      </w:r>
    </w:p>
    <w:p>
      <w:pPr>
        <w:spacing w:after="0" w:line="187" w:lineRule="exact"/>
        <w:rPr>
          <w:rFonts w:ascii="Times New Roman" w:cs="Times New Roman" w:eastAsia="Times New Roman" w:hAnsi="Times New Roman"/>
          <w:sz w:val="18"/>
          <w:szCs w:val="18"/>
          <w:color w:val="auto"/>
        </w:rPr>
      </w:pPr>
    </w:p>
    <w:p>
      <w:pPr>
        <w:ind w:left="660" w:firstLine="644"/>
        <w:spacing w:after="0" w:line="258" w:lineRule="auto"/>
        <w:tabs>
          <w:tab w:leader="none" w:pos="181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made pursuant to Section 5, to the extent of payments made from the date of termination through March 15th of the calendar year following such date, are intended to constitute separate payments for purposes of Treas. Reg. §1.409A-2(b)(2) and thus payable pursuant to the “short-term deferral” rule set forth in Treas. Reg. §1.409A-1(b)(4); to the extent such payments are made following said March 15th, they are intended to constitute separate payments for purposes of Treas. Reg. §1.409A-2(b)(2) made upon an involuntary termination from service and payable pursuant to Treas. Reg. §1.409A-1(b)(9)(iii), to the maximum extent permitted by said provision.</w:t>
      </w:r>
    </w:p>
    <w:p>
      <w:pPr>
        <w:spacing w:after="0" w:line="183" w:lineRule="exact"/>
        <w:rPr>
          <w:rFonts w:ascii="Times New Roman" w:cs="Times New Roman" w:eastAsia="Times New Roman" w:hAnsi="Times New Roman"/>
          <w:sz w:val="18"/>
          <w:szCs w:val="18"/>
          <w:color w:val="auto"/>
        </w:rPr>
      </w:pPr>
    </w:p>
    <w:p>
      <w:pPr>
        <w:ind w:left="660" w:right="500" w:firstLine="644"/>
        <w:spacing w:after="0" w:line="282" w:lineRule="auto"/>
        <w:tabs>
          <w:tab w:leader="none" w:pos="182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it is determined that any benefits described in Section 5(a)(ii) are taxable to Executive, they are intended to be payable pursuant to Treas. Reg. §1.409A-1(b)(9)(v), to the maximum extent permitted by said provision.</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NODAK INSURANCE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Seth C. Daggett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Seth C. Daggett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NI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Seth C. Daggett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Seth C. Daggett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MATT MAKI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/s/ Matthew J. Maki</w:t>
      </w:r>
    </w:p>
    <w:p>
      <w:pPr>
        <w:spacing w:after="0" w:line="3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26035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49"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Seth C. Daggett, certify that:</w:t>
      </w:r>
    </w:p>
    <w:p>
      <w:pPr>
        <w:spacing w:after="0" w:line="225"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60" w:hanging="656"/>
        <w:spacing w:after="0" w:line="266" w:lineRule="auto"/>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May 9, 2025</w:t>
            </w:r>
          </w:p>
        </w:tc>
        <w:tc>
          <w:tcPr>
            <w:tcW w:w="156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C. Daggett</w:t>
            </w:r>
          </w:p>
        </w:tc>
        <w:tc>
          <w:tcPr>
            <w:tcW w:w="1300" w:type="dxa"/>
            <w:vAlign w:val="bottom"/>
          </w:tcPr>
          <w:p>
            <w:pPr>
              <w:spacing w:after="0"/>
              <w:rPr>
                <w:sz w:val="20"/>
                <w:szCs w:val="20"/>
                <w:color w:val="auto"/>
              </w:rPr>
            </w:pPr>
          </w:p>
        </w:tc>
      </w:tr>
      <w:tr>
        <w:trPr>
          <w:trHeight w:val="191"/>
        </w:trPr>
        <w:tc>
          <w:tcPr>
            <w:tcW w:w="4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Seth C. Daggett</w:t>
            </w:r>
          </w:p>
        </w:tc>
        <w:tc>
          <w:tcPr>
            <w:tcW w:w="1300" w:type="dxa"/>
            <w:vAlign w:val="bottom"/>
          </w:tcPr>
          <w:p>
            <w:pPr>
              <w:spacing w:after="0"/>
              <w:rPr>
                <w:sz w:val="16"/>
                <w:szCs w:val="16"/>
                <w:color w:val="auto"/>
              </w:rPr>
            </w:pPr>
          </w:p>
        </w:tc>
      </w:tr>
      <w:tr>
        <w:trPr>
          <w:trHeight w:val="214"/>
        </w:trPr>
        <w:tc>
          <w:tcPr>
            <w:tcW w:w="4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300" w:type="dxa"/>
            <w:vAlign w:val="bottom"/>
          </w:tcPr>
          <w:p>
            <w:pPr>
              <w:spacing w:after="0"/>
              <w:rPr>
                <w:sz w:val="18"/>
                <w:szCs w:val="18"/>
                <w:color w:val="auto"/>
              </w:rPr>
            </w:pPr>
          </w:p>
        </w:tc>
      </w:tr>
      <w:tr>
        <w:trPr>
          <w:trHeight w:val="236"/>
        </w:trPr>
        <w:tc>
          <w:tcPr>
            <w:tcW w:w="4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345"/>
        </w:trPr>
        <w:tc>
          <w:tcPr>
            <w:tcW w:w="4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52</w:t>
            </w:r>
          </w:p>
        </w:tc>
        <w:tc>
          <w:tcPr>
            <w:tcW w:w="3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Maki, certify that:</w:t>
      </w:r>
    </w:p>
    <w:p>
      <w:pPr>
        <w:spacing w:after="0" w:line="225"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60" w:hanging="656"/>
        <w:spacing w:after="0" w:line="266"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58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May 9, 2025</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J. Maki</w:t>
            </w:r>
          </w:p>
        </w:tc>
      </w:tr>
      <w:tr>
        <w:trPr>
          <w:trHeight w:val="191"/>
        </w:trPr>
        <w:tc>
          <w:tcPr>
            <w:tcW w:w="3480" w:type="dxa"/>
            <w:vAlign w:val="bottom"/>
          </w:tcPr>
          <w:p>
            <w:pPr>
              <w:spacing w:after="0"/>
              <w:rPr>
                <w:sz w:val="16"/>
                <w:szCs w:val="16"/>
                <w:color w:val="auto"/>
              </w:rPr>
            </w:pP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Maki</w:t>
            </w:r>
          </w:p>
        </w:tc>
      </w:tr>
      <w:tr>
        <w:trPr>
          <w:trHeight w:val="234"/>
        </w:trPr>
        <w:tc>
          <w:tcPr>
            <w:tcW w:w="34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ind w:left="6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NI Holdings, Inc. (the “Company”) on Form 10-Q for the period ended March 31, 2025, as filed with the Securities and Exchange Commission on the date hereof (the “Report”), we, Seth C. Daggett, President and Chief Executive Officer, and Matthew J. Maki, Chief Financial Officer, of the Company, certify, pursuant to 18 U.S.C. Section 1350, as adopted pursuant to Section 906 of the Sarbanes-Oxley Act of 2002, that, to our knowledge:</w:t>
      </w:r>
    </w:p>
    <w:p>
      <w:pPr>
        <w:spacing w:after="0" w:line="180"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May 9, 2025</w:t>
            </w:r>
          </w:p>
        </w:tc>
        <w:tc>
          <w:tcPr>
            <w:tcW w:w="156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C. Daggett</w:t>
            </w:r>
          </w:p>
        </w:tc>
        <w:tc>
          <w:tcPr>
            <w:tcW w:w="1300" w:type="dxa"/>
            <w:vAlign w:val="bottom"/>
          </w:tcPr>
          <w:p>
            <w:pPr>
              <w:spacing w:after="0"/>
              <w:rPr>
                <w:sz w:val="20"/>
                <w:szCs w:val="20"/>
                <w:color w:val="auto"/>
              </w:rPr>
            </w:pPr>
          </w:p>
        </w:tc>
      </w:tr>
      <w:tr>
        <w:trPr>
          <w:trHeight w:val="191"/>
        </w:trPr>
        <w:tc>
          <w:tcPr>
            <w:tcW w:w="4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Seth C. Daggett</w:t>
            </w:r>
          </w:p>
        </w:tc>
        <w:tc>
          <w:tcPr>
            <w:tcW w:w="1300" w:type="dxa"/>
            <w:vAlign w:val="bottom"/>
          </w:tcPr>
          <w:p>
            <w:pPr>
              <w:spacing w:after="0"/>
              <w:rPr>
                <w:sz w:val="16"/>
                <w:szCs w:val="16"/>
                <w:color w:val="auto"/>
              </w:rPr>
            </w:pPr>
          </w:p>
        </w:tc>
      </w:tr>
      <w:tr>
        <w:trPr>
          <w:trHeight w:val="214"/>
        </w:trPr>
        <w:tc>
          <w:tcPr>
            <w:tcW w:w="4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300" w:type="dxa"/>
            <w:vAlign w:val="bottom"/>
          </w:tcPr>
          <w:p>
            <w:pPr>
              <w:spacing w:after="0"/>
              <w:rPr>
                <w:sz w:val="18"/>
                <w:szCs w:val="18"/>
                <w:color w:val="auto"/>
              </w:rPr>
            </w:pPr>
          </w:p>
        </w:tc>
      </w:tr>
      <w:tr>
        <w:trPr>
          <w:trHeight w:val="236"/>
        </w:trPr>
        <w:tc>
          <w:tcPr>
            <w:tcW w:w="4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648"/>
        </w:trPr>
        <w:tc>
          <w:tcPr>
            <w:tcW w:w="450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May 9, 2025</w:t>
            </w:r>
          </w:p>
        </w:tc>
        <w:tc>
          <w:tcPr>
            <w:tcW w:w="156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J. Maki</w:t>
            </w:r>
          </w:p>
        </w:tc>
        <w:tc>
          <w:tcPr>
            <w:tcW w:w="1300" w:type="dxa"/>
            <w:vAlign w:val="bottom"/>
          </w:tcPr>
          <w:p>
            <w:pPr>
              <w:spacing w:after="0"/>
              <w:rPr>
                <w:sz w:val="24"/>
                <w:szCs w:val="24"/>
                <w:color w:val="auto"/>
              </w:rPr>
            </w:pPr>
          </w:p>
        </w:tc>
      </w:tr>
      <w:tr>
        <w:trPr>
          <w:trHeight w:val="191"/>
        </w:trPr>
        <w:tc>
          <w:tcPr>
            <w:tcW w:w="4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Maki</w:t>
            </w:r>
          </w:p>
        </w:tc>
        <w:tc>
          <w:tcPr>
            <w:tcW w:w="1300" w:type="dxa"/>
            <w:vAlign w:val="bottom"/>
          </w:tcPr>
          <w:p>
            <w:pPr>
              <w:spacing w:after="0"/>
              <w:rPr>
                <w:sz w:val="16"/>
                <w:szCs w:val="16"/>
                <w:color w:val="auto"/>
              </w:rPr>
            </w:pPr>
          </w:p>
        </w:tc>
      </w:tr>
      <w:tr>
        <w:trPr>
          <w:trHeight w:val="214"/>
        </w:trPr>
        <w:tc>
          <w:tcPr>
            <w:tcW w:w="4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300" w:type="dxa"/>
            <w:vAlign w:val="bottom"/>
          </w:tcPr>
          <w:p>
            <w:pPr>
              <w:spacing w:after="0"/>
              <w:rPr>
                <w:sz w:val="18"/>
                <w:szCs w:val="18"/>
                <w:color w:val="auto"/>
              </w:rPr>
            </w:pPr>
          </w:p>
        </w:tc>
      </w:tr>
      <w:tr>
        <w:trPr>
          <w:trHeight w:val="236"/>
        </w:trPr>
        <w:tc>
          <w:tcPr>
            <w:tcW w:w="4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776"/>
        </w:trPr>
        <w:tc>
          <w:tcPr>
            <w:tcW w:w="4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c>
          <w:tcPr>
            <w:tcW w:w="3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1."/>
      <w:numFmt w:val="decimal"/>
      <w:start w:val="3"/>
    </w:lvl>
  </w:abstractNum>
  <w:abstractNum w:abstractNumId="7">
    <w:nsid w:val="2CA88611"/>
    <w:multiLevelType w:val="hybridMultilevel"/>
    <w:lvl w:ilvl="0">
      <w:lvlJc w:val="left"/>
      <w:lvlText w:val="%1."/>
      <w:numFmt w:val="decimal"/>
      <w:start w:val="4"/>
    </w:lvl>
  </w:abstractNum>
  <w:abstractNum w:abstractNumId="8">
    <w:nsid w:val="836C40E"/>
    <w:multiLevelType w:val="hybridMultilevel"/>
    <w:lvl w:ilvl="0">
      <w:lvlJc w:val="left"/>
      <w:lvlText w:val="%1."/>
      <w:numFmt w:val="decimal"/>
      <w:start w:val="5"/>
    </w:lvl>
  </w:abstractNum>
  <w:abstractNum w:abstractNumId="9">
    <w:nsid w:val="2901D82"/>
    <w:multiLevelType w:val="hybridMultilevel"/>
    <w:lvl w:ilvl="0">
      <w:lvlJc w:val="left"/>
      <w:lvlText w:val="%1."/>
      <w:numFmt w:val="decimal"/>
      <w:start w:val="6"/>
    </w:lvl>
  </w:abstractNum>
  <w:abstractNum w:abstractNumId="10">
    <w:nsid w:val="3A95F874"/>
    <w:multiLevelType w:val="hybridMultilevel"/>
    <w:lvl w:ilvl="0">
      <w:lvlJc w:val="left"/>
      <w:lvlText w:val="%1."/>
      <w:numFmt w:val="decimal"/>
      <w:start w:val="7"/>
    </w:lvl>
  </w:abstractNum>
  <w:abstractNum w:abstractNumId="11">
    <w:nsid w:val="8138641"/>
    <w:multiLevelType w:val="hybridMultilevel"/>
    <w:lvl w:ilvl="0">
      <w:lvlJc w:val="left"/>
      <w:lvlText w:val="%1."/>
      <w:numFmt w:val="decimal"/>
      <w:start w:val="9"/>
    </w:lvl>
  </w:abstractNum>
  <w:abstractNum w:abstractNumId="12">
    <w:nsid w:val="1E7FF521"/>
    <w:multiLevelType w:val="hybridMultilevel"/>
    <w:lvl w:ilvl="0">
      <w:lvlJc w:val="left"/>
      <w:lvlText w:val="%1."/>
      <w:numFmt w:val="decimal"/>
      <w:start w:val="10"/>
    </w:lvl>
  </w:abstractNum>
  <w:abstractNum w:abstractNumId="13">
    <w:nsid w:val="7C3DBD3D"/>
    <w:multiLevelType w:val="hybridMultilevel"/>
    <w:lvl w:ilvl="0">
      <w:lvlJc w:val="left"/>
      <w:lvlText w:val="%1."/>
      <w:numFmt w:val="decimal"/>
      <w:start w:val="11"/>
    </w:lvl>
  </w:abstractNum>
  <w:abstractNum w:abstractNumId="14">
    <w:nsid w:val="737B8DDC"/>
    <w:multiLevelType w:val="hybridMultilevel"/>
    <w:lvl w:ilvl="0">
      <w:lvlJc w:val="left"/>
      <w:lvlText w:val="%1."/>
      <w:numFmt w:val="decimal"/>
      <w:start w:val="12"/>
    </w:lvl>
  </w:abstractNum>
  <w:abstractNum w:abstractNumId="15">
    <w:nsid w:val="6CEAF087"/>
    <w:multiLevelType w:val="hybridMultilevel"/>
    <w:lvl w:ilvl="0">
      <w:lvlJc w:val="left"/>
      <w:lvlText w:val="%1."/>
      <w:numFmt w:val="decimal"/>
      <w:start w:val="13"/>
    </w:lvl>
  </w:abstractNum>
  <w:abstractNum w:abstractNumId="16">
    <w:nsid w:val="22221A70"/>
    <w:multiLevelType w:val="hybridMultilevel"/>
    <w:lvl w:ilvl="0">
      <w:lvlJc w:val="left"/>
      <w:lvlText w:val="%1."/>
      <w:numFmt w:val="decimal"/>
      <w:start w:val="14"/>
    </w:lvl>
  </w:abstractNum>
  <w:abstractNum w:abstractNumId="17">
    <w:nsid w:val="4516DDE9"/>
    <w:multiLevelType w:val="hybridMultilevel"/>
    <w:lvl w:ilvl="0">
      <w:lvlJc w:val="left"/>
      <w:lvlText w:val="%1."/>
      <w:numFmt w:val="decimal"/>
      <w:start w:val="15"/>
    </w:lvl>
  </w:abstractNum>
  <w:abstractNum w:abstractNumId="18">
    <w:nsid w:val="3006C83E"/>
    <w:multiLevelType w:val="hybridMultilevel"/>
    <w:lvl w:ilvl="0">
      <w:lvlJc w:val="left"/>
      <w:lvlText w:val="%1."/>
      <w:numFmt w:val="decimal"/>
      <w:start w:val="16"/>
    </w:lvl>
  </w:abstractNum>
  <w:abstractNum w:abstractNumId="19">
    <w:nsid w:val="614FD4A1"/>
    <w:multiLevelType w:val="hybridMultilevel"/>
    <w:lvl w:ilvl="0">
      <w:lvlJc w:val="left"/>
      <w:lvlText w:val="%1."/>
      <w:numFmt w:val="decimal"/>
      <w:start w:val="17"/>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8"/>
    </w:lvl>
  </w:abstractNum>
  <w:abstractNum w:abstractNumId="23">
    <w:nsid w:val="5072367"/>
    <w:multiLevelType w:val="hybridMultilevel"/>
    <w:lvl w:ilvl="0">
      <w:lvlJc w:val="left"/>
      <w:lvlText w:val="%1."/>
      <w:numFmt w:val="decimal"/>
      <w:start w:val="19"/>
    </w:lvl>
  </w:abstractNum>
  <w:abstractNum w:abstractNumId="24">
    <w:nsid w:val="3804823E"/>
    <w:multiLevelType w:val="hybridMultilevel"/>
    <w:lvl w:ilvl="0">
      <w:lvlJc w:val="left"/>
      <w:lvlText w:val="%1."/>
      <w:numFmt w:val="decimal"/>
      <w:start w:val="20"/>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5">
    <w:nsid w:val="70A64E2A"/>
    <w:multiLevelType w:val="hybridMultilevel"/>
    <w:lvl w:ilvl="0">
      <w:lvlJc w:val="left"/>
      <w:lvlText w:val="(%1)"/>
      <w:numFmt w:val="lowerRoman"/>
      <w:start w:val="6"/>
    </w:lvl>
  </w:abstractNum>
  <w:abstractNum w:abstractNumId="36">
    <w:nsid w:val="6A2342EC"/>
    <w:multiLevelType w:val="hybridMultilevel"/>
    <w:lvl w:ilvl="0">
      <w:lvlJc w:val="left"/>
      <w:lvlText w:val="(%1)"/>
      <w:numFmt w:val="lowerRoman"/>
      <w:start w:val="1"/>
    </w:lvl>
  </w:abstractNum>
  <w:abstractNum w:abstractNumId="37">
    <w:nsid w:val="2A487CB0"/>
    <w:multiLevelType w:val="hybridMultilevel"/>
    <w:lvl w:ilvl="0">
      <w:lvlJc w:val="left"/>
      <w:lvlText w:val="%1"/>
      <w:numFmt w:val="lowerLetter"/>
      <w:start w:val="1"/>
    </w:lvl>
    <w:lvl w:ilvl="1">
      <w:lvlJc w:val="left"/>
      <w:lvlText w:val="(%2)"/>
      <w:numFmt w:val="lowerLetter"/>
      <w:start w:val="35"/>
    </w:lvl>
  </w:abstractNum>
  <w:abstractNum w:abstractNumId="38">
    <w:nsid w:val="1D4ED43B"/>
    <w:multiLevelType w:val="hybridMultilevel"/>
    <w:lvl w:ilvl="0">
      <w:lvlJc w:val="left"/>
      <w:lvlText w:val="(%1)"/>
      <w:numFmt w:val="lowerLetter"/>
      <w:start w:val="4"/>
    </w:lvl>
    <w:lvl w:ilvl="1">
      <w:lvlJc w:val="left"/>
      <w:lvlText w:val="%2"/>
      <w:numFmt w:val="lowerLetter"/>
      <w:start w:val="1"/>
    </w:lvl>
  </w:abstractNum>
  <w:abstractNum w:abstractNumId="39">
    <w:nsid w:val="725A06FB"/>
    <w:multiLevelType w:val="hybridMultilevel"/>
    <w:lvl w:ilvl="0">
      <w:lvlJc w:val="left"/>
      <w:lvlText w:val="%1"/>
      <w:numFmt w:val="decimal"/>
      <w:start w:val="1"/>
    </w:lvl>
    <w:lvl w:ilvl="1">
      <w:lvlJc w:val="left"/>
      <w:lvlText w:val="(%2)"/>
      <w:numFmt w:val="lowerLetter"/>
      <w:start w:val="6"/>
    </w:lvl>
  </w:abstractNum>
  <w:abstractNum w:abstractNumId="40">
    <w:nsid w:val="2CD89A32"/>
    <w:multiLevelType w:val="hybridMultilevel"/>
    <w:lvl w:ilvl="0">
      <w:lvlJc w:val="left"/>
      <w:lvlText w:val="%1."/>
      <w:numFmt w:val="decimal"/>
      <w:start w:val="4"/>
    </w:lvl>
    <w:lvl w:ilvl="1">
      <w:lvlJc w:val="left"/>
      <w:lvlText w:val="(%2)"/>
      <w:numFmt w:val="lowerLetter"/>
      <w:start w:val="1"/>
    </w:lvl>
  </w:abstractNum>
  <w:abstractNum w:abstractNumId="41">
    <w:nsid w:val="57E4CCA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2">
    <w:nsid w:val="7A6D8D3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3">
    <w:nsid w:val="4B588F54"/>
    <w:multiLevelType w:val="hybridMultilevel"/>
    <w:lvl w:ilvl="0">
      <w:lvlJc w:val="left"/>
      <w:lvlText w:val="%1."/>
      <w:numFmt w:val="decimal"/>
      <w:start w:val="7"/>
    </w:lvl>
    <w:lvl w:ilvl="1">
      <w:lvlJc w:val="left"/>
      <w:lvlText w:val="(%2)"/>
      <w:numFmt w:val="lowerLetter"/>
      <w:start w:val="1"/>
    </w:lvl>
  </w:abstractNum>
  <w:abstractNum w:abstractNumId="44">
    <w:nsid w:val="542289EC"/>
    <w:multiLevelType w:val="hybridMultilevel"/>
    <w:lvl w:ilvl="0">
      <w:lvlJc w:val="left"/>
      <w:lvlText w:val="%1."/>
      <w:numFmt w:val="decimal"/>
      <w:start w:val="17"/>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2025-05-09T15:22:03Z</dcterms:created>
  <dcterms:modified xsi:type="dcterms:W3CDTF">2025-05-09T15:22:03Z</dcterms:modified>
</cp:coreProperties>
</file>