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nodk-20260331.htm"/>
      <w:bookmarkStart w:id="1" w:name="ksnodk20260331"/>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20" w:after="20"/>
        <w:jc w:val="left"/>
        <w:rPr>
          <w:bdr w:val="single" w:sz="6" w:space="1" w:color="000000"/>
        </w:rPr>
      </w:pPr>
      <w:r>
        <w:rPr>
          <w:bdr w:val="single" w:sz="6" w:space="1" w:color="000000"/>
        </w:rPr>
        <w:t> </w:t>
      </w:r>
    </w:p>
    <w:p>
      <w:pPr>
        <w:pStyle w:val="TextBody"/>
        <w:bidi w:val="0"/>
        <w:spacing w:before="60" w:after="6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20" w:after="20"/>
        <w:jc w:val="left"/>
        <w:rPr>
          <w:bdr w:val="single" w:sz="6" w:space="1" w:color="000000"/>
        </w:rPr>
      </w:pPr>
      <w:r>
        <w:rPr>
          <w:bdr w:val="single" w:sz="6" w:space="1" w:color="000000"/>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2026</w:t>
      </w:r>
    </w:p>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001-37973</w:t>
      </w:r>
    </w:p>
    <w:p>
      <w:pPr>
        <w:pStyle w:val="TextBody"/>
        <w:bidi w:val="0"/>
        <w:spacing w:before="20" w:after="20"/>
        <w:jc w:val="left"/>
        <w:rPr>
          <w:bdr w:val="single" w:sz="6" w:space="1" w:color="000000"/>
        </w:rPr>
      </w:pPr>
      <w:r>
        <w:rPr>
          <w:bdr w:val="single" w:sz="6" w:space="1" w:color="000000"/>
        </w:rPr>
        <w:t> </w:t>
      </w:r>
    </w:p>
    <w:p>
      <w:pPr>
        <w:pStyle w:val="TextBody"/>
        <w:bidi w:val="0"/>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Dakota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81-2683619</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29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1101 First Avenue North</w:t>
              <w:br/>
              <w:t>Fargo, North Dakota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58102</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 298-4200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3410"/>
        <w:gridCol w:w="1655"/>
        <w:gridCol w:w="3710"/>
      </w:tblGrid>
      <w:tr>
        <w:trPr/>
        <w:tc>
          <w:tcPr>
            <w:tcW w:w="34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165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Symbol(s)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3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w:t>
            </w:r>
          </w:p>
        </w:tc>
        <w:tc>
          <w:tcPr>
            <w:tcW w:w="16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NODK </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Registrant’s common stock outstanding on April 30, 2026 was 20,481,437. No preferred shares are issued or outstanding.</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0"/>
              <w:jc w:val="left"/>
              <w:rPr/>
            </w:pPr>
            <w:hyperlink w:anchor="a_001">
              <w:r>
                <w:rPr>
                  <w:rStyle w:val="InternetLink"/>
                </w:rPr>
                <w:t>FORWARD-LOOKING STATEMENTS</w:t>
              </w:r>
            </w:hyperlink>
          </w:p>
        </w:tc>
        <w:tc>
          <w:tcPr>
            <w:tcW w:w="275" w:type="dxa"/>
            <w:tcBorders/>
            <w:vAlign w:val="center"/>
          </w:tcPr>
          <w:p>
            <w:pPr>
              <w:pStyle w:val="TableContents"/>
              <w:bidi w:val="0"/>
              <w:spacing w:before="0" w:after="283"/>
              <w:ind w:left="0" w:right="0" w:hanging="0"/>
              <w:jc w:val="right"/>
              <w:rPr/>
            </w:pPr>
            <w:r>
              <w:rPr/>
              <w:t>2</w:t>
            </w:r>
          </w:p>
        </w:tc>
      </w:tr>
      <w:tr>
        <w:trPr/>
        <w:tc>
          <w:tcPr>
            <w:tcW w:w="9930" w:type="dxa"/>
            <w:tcBorders/>
            <w:vAlign w:val="center"/>
          </w:tcPr>
          <w:p>
            <w:pPr>
              <w:pStyle w:val="TableContents"/>
              <w:bidi w:val="0"/>
              <w:spacing w:before="0" w:after="283"/>
              <w:jc w:val="left"/>
              <w:rPr/>
            </w:pPr>
            <w:hyperlink w:anchor="a_002">
              <w:r>
                <w:rPr>
                  <w:rStyle w:val="InternetLink"/>
                </w:rPr>
                <w:t>PART I. - FINANCIAL INFORMATION</w:t>
              </w:r>
            </w:hyperlink>
          </w:p>
        </w:tc>
        <w:tc>
          <w:tcPr>
            <w:tcW w:w="275" w:type="dxa"/>
            <w:tcBorders/>
            <w:vAlign w:val="center"/>
          </w:tcPr>
          <w:p>
            <w:pPr>
              <w:pStyle w:val="TableContents"/>
              <w:bidi w:val="0"/>
              <w:spacing w:before="0" w:after="283"/>
              <w:ind w:left="0" w:right="0" w:hanging="720"/>
              <w:jc w:val="right"/>
              <w:rPr/>
            </w:pPr>
            <w:r>
              <w:rPr/>
              <w:t>3</w:t>
            </w:r>
          </w:p>
        </w:tc>
      </w:tr>
      <w:tr>
        <w:trPr/>
        <w:tc>
          <w:tcPr>
            <w:tcW w:w="9930" w:type="dxa"/>
            <w:tcBorders/>
            <w:vAlign w:val="center"/>
          </w:tcPr>
          <w:p>
            <w:pPr>
              <w:pStyle w:val="TableContents"/>
              <w:bidi w:val="0"/>
              <w:spacing w:before="0" w:after="283"/>
              <w:jc w:val="left"/>
              <w:rPr/>
            </w:pPr>
            <w:hyperlink w:anchor="a_003">
              <w:r>
                <w:rPr>
                  <w:rStyle w:val="InternetLink"/>
                </w:rPr>
                <w:t>Item 1. - Financial Statements</w:t>
              </w:r>
            </w:hyperlink>
          </w:p>
        </w:tc>
        <w:tc>
          <w:tcPr>
            <w:tcW w:w="275" w:type="dxa"/>
            <w:tcBorders/>
            <w:vAlign w:val="center"/>
          </w:tcPr>
          <w:p>
            <w:pPr>
              <w:pStyle w:val="TableContents"/>
              <w:bidi w:val="0"/>
              <w:spacing w:before="0" w:after="283"/>
              <w:ind w:left="0" w:right="0" w:hanging="720"/>
              <w:jc w:val="right"/>
              <w:rPr/>
            </w:pPr>
            <w:r>
              <w:rPr/>
              <w:t>3</w:t>
            </w:r>
          </w:p>
        </w:tc>
      </w:tr>
      <w:tr>
        <w:trPr/>
        <w:tc>
          <w:tcPr>
            <w:tcW w:w="9930" w:type="dxa"/>
            <w:tcBorders/>
            <w:vAlign w:val="center"/>
          </w:tcPr>
          <w:p>
            <w:pPr>
              <w:pStyle w:val="TableContents"/>
              <w:bidi w:val="0"/>
              <w:spacing w:before="0" w:after="283"/>
              <w:jc w:val="left"/>
              <w:rPr/>
            </w:pPr>
            <w:hyperlink w:anchor="a_004">
              <w:r>
                <w:rPr>
                  <w:rStyle w:val="InternetLink"/>
                </w:rPr>
                <w:t>Consolidated Balance Sheets – March 31, 2026 (Unaudited) and December 31, 2025</w:t>
              </w:r>
            </w:hyperlink>
          </w:p>
        </w:tc>
        <w:tc>
          <w:tcPr>
            <w:tcW w:w="275" w:type="dxa"/>
            <w:tcBorders/>
            <w:vAlign w:val="center"/>
          </w:tcPr>
          <w:p>
            <w:pPr>
              <w:pStyle w:val="TableContents"/>
              <w:bidi w:val="0"/>
              <w:spacing w:before="0" w:after="283"/>
              <w:ind w:left="0" w:right="0" w:hanging="720"/>
              <w:jc w:val="right"/>
              <w:rPr/>
            </w:pPr>
            <w:r>
              <w:rPr/>
              <w:t>3</w:t>
            </w:r>
          </w:p>
        </w:tc>
      </w:tr>
      <w:tr>
        <w:trPr/>
        <w:tc>
          <w:tcPr>
            <w:tcW w:w="9930" w:type="dxa"/>
            <w:tcBorders/>
            <w:vAlign w:val="center"/>
          </w:tcPr>
          <w:p>
            <w:pPr>
              <w:pStyle w:val="TableContents"/>
              <w:bidi w:val="0"/>
              <w:spacing w:before="0" w:after="283"/>
              <w:jc w:val="left"/>
              <w:rPr/>
            </w:pPr>
            <w:hyperlink w:anchor="a_005">
              <w:r>
                <w:rPr>
                  <w:rStyle w:val="InternetLink"/>
                </w:rPr>
                <w:t>Consolidated Statements of Operations (Unaudited) – Three months Ended March 31, 2026 and 2025</w:t>
              </w:r>
            </w:hyperlink>
          </w:p>
        </w:tc>
        <w:tc>
          <w:tcPr>
            <w:tcW w:w="275" w:type="dxa"/>
            <w:tcBorders/>
            <w:vAlign w:val="center"/>
          </w:tcPr>
          <w:p>
            <w:pPr>
              <w:pStyle w:val="TableContents"/>
              <w:bidi w:val="0"/>
              <w:spacing w:before="0" w:after="283"/>
              <w:ind w:left="0" w:right="0" w:hanging="720"/>
              <w:jc w:val="right"/>
              <w:rPr/>
            </w:pPr>
            <w:r>
              <w:rPr/>
              <w:t>4</w:t>
            </w:r>
          </w:p>
        </w:tc>
      </w:tr>
      <w:tr>
        <w:trPr/>
        <w:tc>
          <w:tcPr>
            <w:tcW w:w="9930" w:type="dxa"/>
            <w:tcBorders/>
            <w:vAlign w:val="center"/>
          </w:tcPr>
          <w:p>
            <w:pPr>
              <w:pStyle w:val="TableContents"/>
              <w:bidi w:val="0"/>
              <w:spacing w:before="0" w:after="283"/>
              <w:jc w:val="left"/>
              <w:rPr/>
            </w:pPr>
            <w:hyperlink w:anchor="a_006">
              <w:r>
                <w:rPr>
                  <w:rStyle w:val="InternetLink"/>
                </w:rPr>
                <w:t>Consolidated Statements of Comprehensive Income (Loss) (Unaudited) – Three Months Ended March 31, 2026 and 2025</w:t>
              </w:r>
            </w:hyperlink>
          </w:p>
        </w:tc>
        <w:tc>
          <w:tcPr>
            <w:tcW w:w="275" w:type="dxa"/>
            <w:tcBorders/>
            <w:vAlign w:val="center"/>
          </w:tcPr>
          <w:p>
            <w:pPr>
              <w:pStyle w:val="TableContents"/>
              <w:bidi w:val="0"/>
              <w:spacing w:before="0" w:after="283"/>
              <w:ind w:left="0" w:right="0" w:hanging="720"/>
              <w:jc w:val="right"/>
              <w:rPr/>
            </w:pPr>
            <w:r>
              <w:rPr/>
              <w:t>5</w:t>
            </w:r>
          </w:p>
        </w:tc>
      </w:tr>
      <w:tr>
        <w:trPr/>
        <w:tc>
          <w:tcPr>
            <w:tcW w:w="9930" w:type="dxa"/>
            <w:tcBorders/>
            <w:vAlign w:val="center"/>
          </w:tcPr>
          <w:p>
            <w:pPr>
              <w:pStyle w:val="TableContents"/>
              <w:bidi w:val="0"/>
              <w:spacing w:before="0" w:after="283"/>
              <w:jc w:val="left"/>
              <w:rPr/>
            </w:pPr>
            <w:hyperlink w:anchor="a_007">
              <w:r>
                <w:rPr>
                  <w:rStyle w:val="InternetLink"/>
                </w:rPr>
                <w:t>Consolidated Statements of Changes in Shareholders’ Equity (Unaudited) – Three Months Ended March 31, 2026 and 2025</w:t>
              </w:r>
            </w:hyperlink>
          </w:p>
        </w:tc>
        <w:tc>
          <w:tcPr>
            <w:tcW w:w="275" w:type="dxa"/>
            <w:tcBorders/>
            <w:vAlign w:val="center"/>
          </w:tcPr>
          <w:p>
            <w:pPr>
              <w:pStyle w:val="TableContents"/>
              <w:bidi w:val="0"/>
              <w:spacing w:before="0" w:after="283"/>
              <w:ind w:left="0" w:right="0" w:hanging="720"/>
              <w:jc w:val="right"/>
              <w:rPr/>
            </w:pPr>
            <w:r>
              <w:rPr/>
              <w:t>6</w:t>
            </w:r>
          </w:p>
        </w:tc>
      </w:tr>
      <w:tr>
        <w:trPr/>
        <w:tc>
          <w:tcPr>
            <w:tcW w:w="9930" w:type="dxa"/>
            <w:tcBorders/>
            <w:vAlign w:val="center"/>
          </w:tcPr>
          <w:p>
            <w:pPr>
              <w:pStyle w:val="TableContents"/>
              <w:bidi w:val="0"/>
              <w:spacing w:before="0" w:after="283"/>
              <w:jc w:val="left"/>
              <w:rPr/>
            </w:pPr>
            <w:hyperlink w:anchor="a_008">
              <w:r>
                <w:rPr>
                  <w:rStyle w:val="InternetLink"/>
                </w:rPr>
                <w:t>Consolidated Statements of Cash Flows (Unaudited) – Three Months Ended March 31, 2026 and 2025</w:t>
              </w:r>
            </w:hyperlink>
          </w:p>
        </w:tc>
        <w:tc>
          <w:tcPr>
            <w:tcW w:w="275" w:type="dxa"/>
            <w:tcBorders/>
            <w:vAlign w:val="center"/>
          </w:tcPr>
          <w:p>
            <w:pPr>
              <w:pStyle w:val="TableContents"/>
              <w:bidi w:val="0"/>
              <w:spacing w:before="0" w:after="283"/>
              <w:ind w:left="0" w:right="0" w:hanging="720"/>
              <w:jc w:val="right"/>
              <w:rPr/>
            </w:pPr>
            <w:r>
              <w:rPr/>
              <w:t>7</w:t>
            </w:r>
          </w:p>
        </w:tc>
      </w:tr>
      <w:tr>
        <w:trPr/>
        <w:tc>
          <w:tcPr>
            <w:tcW w:w="9930" w:type="dxa"/>
            <w:tcBorders/>
            <w:vAlign w:val="center"/>
          </w:tcPr>
          <w:p>
            <w:pPr>
              <w:pStyle w:val="TableContents"/>
              <w:bidi w:val="0"/>
              <w:spacing w:before="0" w:after="283"/>
              <w:jc w:val="left"/>
              <w:rPr/>
            </w:pPr>
            <w:hyperlink w:anchor="a_009">
              <w:r>
                <w:rPr>
                  <w:rStyle w:val="InternetLink"/>
                </w:rPr>
                <w:t>Notes to Unaudited Consolidated Financial Statements</w:t>
              </w:r>
            </w:hyperlink>
          </w:p>
        </w:tc>
        <w:tc>
          <w:tcPr>
            <w:tcW w:w="275" w:type="dxa"/>
            <w:tcBorders/>
            <w:vAlign w:val="center"/>
          </w:tcPr>
          <w:p>
            <w:pPr>
              <w:pStyle w:val="TableContents"/>
              <w:bidi w:val="0"/>
              <w:spacing w:before="0" w:after="283"/>
              <w:ind w:left="0" w:right="0" w:hanging="720"/>
              <w:jc w:val="right"/>
              <w:rPr/>
            </w:pPr>
            <w:r>
              <w:rPr/>
              <w:t>8</w:t>
            </w:r>
          </w:p>
        </w:tc>
      </w:tr>
      <w:tr>
        <w:trPr/>
        <w:tc>
          <w:tcPr>
            <w:tcW w:w="9930" w:type="dxa"/>
            <w:tcBorders/>
            <w:vAlign w:val="center"/>
          </w:tcPr>
          <w:p>
            <w:pPr>
              <w:pStyle w:val="TableContents"/>
              <w:bidi w:val="0"/>
              <w:spacing w:before="0" w:after="283"/>
              <w:jc w:val="left"/>
              <w:rPr/>
            </w:pPr>
            <w:hyperlink w:anchor="a_010">
              <w:r>
                <w:rPr>
                  <w:rStyle w:val="InternetLink"/>
                </w:rPr>
                <w:t>Item 2. - Management’s Discussion and Analysis of Financial Condition and Results of Operations</w:t>
              </w:r>
            </w:hyperlink>
          </w:p>
        </w:tc>
        <w:tc>
          <w:tcPr>
            <w:tcW w:w="275" w:type="dxa"/>
            <w:tcBorders/>
            <w:vAlign w:val="center"/>
          </w:tcPr>
          <w:p>
            <w:pPr>
              <w:pStyle w:val="TableContents"/>
              <w:bidi w:val="0"/>
              <w:spacing w:before="0" w:after="283"/>
              <w:ind w:left="0" w:right="0" w:hanging="720"/>
              <w:jc w:val="right"/>
              <w:rPr/>
            </w:pPr>
            <w:r>
              <w:rPr/>
              <w:t>28</w:t>
            </w:r>
          </w:p>
        </w:tc>
      </w:tr>
      <w:tr>
        <w:trPr/>
        <w:tc>
          <w:tcPr>
            <w:tcW w:w="9930" w:type="dxa"/>
            <w:tcBorders/>
            <w:vAlign w:val="center"/>
          </w:tcPr>
          <w:p>
            <w:pPr>
              <w:pStyle w:val="TableContents"/>
              <w:bidi w:val="0"/>
              <w:spacing w:before="0" w:after="283"/>
              <w:jc w:val="left"/>
              <w:rPr/>
            </w:pPr>
            <w:hyperlink w:anchor="a_011">
              <w:r>
                <w:rPr>
                  <w:rStyle w:val="InternetLink"/>
                </w:rPr>
                <w:t>Item 3. - Quantitative and Qualitative Disclosures about Market Risk</w:t>
              </w:r>
            </w:hyperlink>
          </w:p>
        </w:tc>
        <w:tc>
          <w:tcPr>
            <w:tcW w:w="275" w:type="dxa"/>
            <w:tcBorders/>
            <w:vAlign w:val="center"/>
          </w:tcPr>
          <w:p>
            <w:pPr>
              <w:pStyle w:val="TableContents"/>
              <w:bidi w:val="0"/>
              <w:spacing w:before="0" w:after="283"/>
              <w:ind w:left="0" w:right="0" w:hanging="720"/>
              <w:jc w:val="right"/>
              <w:rPr/>
            </w:pPr>
            <w:r>
              <w:rPr/>
              <w:t>36</w:t>
            </w:r>
          </w:p>
        </w:tc>
      </w:tr>
      <w:tr>
        <w:trPr/>
        <w:tc>
          <w:tcPr>
            <w:tcW w:w="9930" w:type="dxa"/>
            <w:tcBorders/>
            <w:vAlign w:val="center"/>
          </w:tcPr>
          <w:p>
            <w:pPr>
              <w:pStyle w:val="TableContents"/>
              <w:bidi w:val="0"/>
              <w:spacing w:before="0" w:after="283"/>
              <w:jc w:val="left"/>
              <w:rPr/>
            </w:pPr>
            <w:hyperlink w:anchor="a_012">
              <w:r>
                <w:rPr>
                  <w:rStyle w:val="InternetLink"/>
                </w:rPr>
                <w:t>Item 4. - Controls and Procedures</w:t>
              </w:r>
            </w:hyperlink>
          </w:p>
        </w:tc>
        <w:tc>
          <w:tcPr>
            <w:tcW w:w="275" w:type="dxa"/>
            <w:tcBorders/>
            <w:vAlign w:val="center"/>
          </w:tcPr>
          <w:p>
            <w:pPr>
              <w:pStyle w:val="TableContents"/>
              <w:bidi w:val="0"/>
              <w:spacing w:before="0" w:after="283"/>
              <w:jc w:val="right"/>
              <w:rPr/>
            </w:pPr>
            <w:r>
              <w:rPr/>
              <w:t>36</w:t>
            </w:r>
          </w:p>
        </w:tc>
      </w:tr>
      <w:tr>
        <w:trPr/>
        <w:tc>
          <w:tcPr>
            <w:tcW w:w="9930" w:type="dxa"/>
            <w:tcBorders/>
            <w:vAlign w:val="center"/>
          </w:tcPr>
          <w:p>
            <w:pPr>
              <w:pStyle w:val="TableContents"/>
              <w:bidi w:val="0"/>
              <w:spacing w:before="0" w:after="283"/>
              <w:jc w:val="left"/>
              <w:rPr/>
            </w:pPr>
            <w:hyperlink w:anchor="a_013">
              <w:r>
                <w:rPr>
                  <w:rStyle w:val="InternetLink"/>
                </w:rPr>
                <w:t>Part II. - OTHER INFORMATION</w:t>
              </w:r>
            </w:hyperlink>
          </w:p>
        </w:tc>
        <w:tc>
          <w:tcPr>
            <w:tcW w:w="275" w:type="dxa"/>
            <w:tcBorders/>
            <w:vAlign w:val="center"/>
          </w:tcPr>
          <w:p>
            <w:pPr>
              <w:pStyle w:val="TableContents"/>
              <w:bidi w:val="0"/>
              <w:spacing w:before="0" w:after="283"/>
              <w:ind w:left="0" w:right="0" w:hanging="720"/>
              <w:jc w:val="right"/>
              <w:rPr/>
            </w:pPr>
            <w:r>
              <w:rPr/>
              <w:t>37</w:t>
            </w:r>
          </w:p>
        </w:tc>
      </w:tr>
      <w:tr>
        <w:trPr/>
        <w:tc>
          <w:tcPr>
            <w:tcW w:w="9930" w:type="dxa"/>
            <w:tcBorders/>
            <w:vAlign w:val="center"/>
          </w:tcPr>
          <w:p>
            <w:pPr>
              <w:pStyle w:val="TableContents"/>
              <w:bidi w:val="0"/>
              <w:spacing w:before="0" w:after="283"/>
              <w:jc w:val="left"/>
              <w:rPr/>
            </w:pPr>
            <w:hyperlink w:anchor="a_014">
              <w:r>
                <w:rPr>
                  <w:rStyle w:val="InternetLink"/>
                </w:rPr>
                <w:t>Item 1. - Legal Proceedings</w:t>
              </w:r>
            </w:hyperlink>
          </w:p>
        </w:tc>
        <w:tc>
          <w:tcPr>
            <w:tcW w:w="275" w:type="dxa"/>
            <w:tcBorders/>
            <w:vAlign w:val="center"/>
          </w:tcPr>
          <w:p>
            <w:pPr>
              <w:pStyle w:val="TableContents"/>
              <w:bidi w:val="0"/>
              <w:spacing w:before="0" w:after="283"/>
              <w:ind w:left="0" w:right="0" w:hanging="720"/>
              <w:jc w:val="right"/>
              <w:rPr/>
            </w:pPr>
            <w:r>
              <w:rPr/>
              <w:t>37</w:t>
            </w:r>
          </w:p>
        </w:tc>
      </w:tr>
      <w:tr>
        <w:trPr/>
        <w:tc>
          <w:tcPr>
            <w:tcW w:w="9930" w:type="dxa"/>
            <w:tcBorders/>
            <w:vAlign w:val="center"/>
          </w:tcPr>
          <w:p>
            <w:pPr>
              <w:pStyle w:val="TableContents"/>
              <w:bidi w:val="0"/>
              <w:spacing w:before="0" w:after="283"/>
              <w:jc w:val="left"/>
              <w:rPr/>
            </w:pPr>
            <w:hyperlink w:anchor="a_015">
              <w:r>
                <w:rPr>
                  <w:rStyle w:val="InternetLink"/>
                </w:rPr>
                <w:t>Item 1A. - Risk Factors</w:t>
              </w:r>
            </w:hyperlink>
          </w:p>
        </w:tc>
        <w:tc>
          <w:tcPr>
            <w:tcW w:w="275" w:type="dxa"/>
            <w:tcBorders/>
            <w:vAlign w:val="center"/>
          </w:tcPr>
          <w:p>
            <w:pPr>
              <w:pStyle w:val="TableContents"/>
              <w:bidi w:val="0"/>
              <w:spacing w:before="0" w:after="283"/>
              <w:ind w:left="0" w:right="0" w:hanging="720"/>
              <w:jc w:val="right"/>
              <w:rPr/>
            </w:pPr>
            <w:r>
              <w:rPr/>
              <w:t>37</w:t>
            </w:r>
          </w:p>
        </w:tc>
      </w:tr>
      <w:tr>
        <w:trPr/>
        <w:tc>
          <w:tcPr>
            <w:tcW w:w="9930" w:type="dxa"/>
            <w:tcBorders/>
            <w:vAlign w:val="center"/>
          </w:tcPr>
          <w:p>
            <w:pPr>
              <w:pStyle w:val="TableContents"/>
              <w:bidi w:val="0"/>
              <w:spacing w:before="0" w:after="283"/>
              <w:jc w:val="left"/>
              <w:rPr/>
            </w:pPr>
            <w:hyperlink w:anchor="a_016">
              <w:r>
                <w:rPr>
                  <w:rStyle w:val="InternetLink"/>
                </w:rPr>
                <w:t>Item 2. - Unregistered Sales of Equity Securities and Use of Proceeds</w:t>
              </w:r>
            </w:hyperlink>
          </w:p>
        </w:tc>
        <w:tc>
          <w:tcPr>
            <w:tcW w:w="275" w:type="dxa"/>
            <w:tcBorders/>
            <w:vAlign w:val="center"/>
          </w:tcPr>
          <w:p>
            <w:pPr>
              <w:pStyle w:val="TableContents"/>
              <w:bidi w:val="0"/>
              <w:spacing w:before="0" w:after="283"/>
              <w:ind w:left="0" w:right="0" w:hanging="720"/>
              <w:jc w:val="right"/>
              <w:rPr/>
            </w:pPr>
            <w:r>
              <w:rPr/>
              <w:t>38</w:t>
            </w:r>
          </w:p>
        </w:tc>
      </w:tr>
      <w:tr>
        <w:trPr/>
        <w:tc>
          <w:tcPr>
            <w:tcW w:w="9930" w:type="dxa"/>
            <w:tcBorders/>
            <w:vAlign w:val="center"/>
          </w:tcPr>
          <w:p>
            <w:pPr>
              <w:pStyle w:val="TableContents"/>
              <w:bidi w:val="0"/>
              <w:spacing w:before="0" w:after="283"/>
              <w:jc w:val="left"/>
              <w:rPr/>
            </w:pPr>
            <w:hyperlink w:anchor="a_017">
              <w:r>
                <w:rPr>
                  <w:rStyle w:val="InternetLink"/>
                </w:rPr>
                <w:t>Item 3. - Defaults upon Senior Securities</w:t>
              </w:r>
            </w:hyperlink>
          </w:p>
        </w:tc>
        <w:tc>
          <w:tcPr>
            <w:tcW w:w="275" w:type="dxa"/>
            <w:tcBorders/>
            <w:vAlign w:val="center"/>
          </w:tcPr>
          <w:p>
            <w:pPr>
              <w:pStyle w:val="TableContents"/>
              <w:bidi w:val="0"/>
              <w:spacing w:before="0" w:after="283"/>
              <w:ind w:left="0" w:right="0" w:hanging="720"/>
              <w:jc w:val="right"/>
              <w:rPr/>
            </w:pPr>
            <w:r>
              <w:rPr/>
              <w:t>39</w:t>
            </w:r>
          </w:p>
        </w:tc>
      </w:tr>
      <w:tr>
        <w:trPr/>
        <w:tc>
          <w:tcPr>
            <w:tcW w:w="9930" w:type="dxa"/>
            <w:tcBorders/>
            <w:vAlign w:val="center"/>
          </w:tcPr>
          <w:p>
            <w:pPr>
              <w:pStyle w:val="TableContents"/>
              <w:bidi w:val="0"/>
              <w:spacing w:before="0" w:after="283"/>
              <w:jc w:val="left"/>
              <w:rPr/>
            </w:pPr>
            <w:hyperlink w:anchor="a_018">
              <w:r>
                <w:rPr>
                  <w:rStyle w:val="InternetLink"/>
                </w:rPr>
                <w:t>Item 4. - Mine Safety Disclosures</w:t>
              </w:r>
            </w:hyperlink>
          </w:p>
        </w:tc>
        <w:tc>
          <w:tcPr>
            <w:tcW w:w="275" w:type="dxa"/>
            <w:tcBorders/>
            <w:vAlign w:val="center"/>
          </w:tcPr>
          <w:p>
            <w:pPr>
              <w:pStyle w:val="TableContents"/>
              <w:bidi w:val="0"/>
              <w:spacing w:before="0" w:after="283"/>
              <w:ind w:left="0" w:right="0" w:hanging="720"/>
              <w:jc w:val="right"/>
              <w:rPr/>
            </w:pPr>
            <w:r>
              <w:rPr/>
              <w:t>39</w:t>
            </w:r>
          </w:p>
        </w:tc>
      </w:tr>
      <w:tr>
        <w:trPr/>
        <w:tc>
          <w:tcPr>
            <w:tcW w:w="9930" w:type="dxa"/>
            <w:tcBorders/>
            <w:vAlign w:val="center"/>
          </w:tcPr>
          <w:p>
            <w:pPr>
              <w:pStyle w:val="TableContents"/>
              <w:bidi w:val="0"/>
              <w:spacing w:before="0" w:after="283"/>
              <w:jc w:val="left"/>
              <w:rPr/>
            </w:pPr>
            <w:hyperlink w:anchor="a_019">
              <w:r>
                <w:rPr>
                  <w:rStyle w:val="InternetLink"/>
                </w:rPr>
                <w:t>Item 5. - Other Information</w:t>
              </w:r>
            </w:hyperlink>
          </w:p>
        </w:tc>
        <w:tc>
          <w:tcPr>
            <w:tcW w:w="275" w:type="dxa"/>
            <w:tcBorders/>
            <w:vAlign w:val="center"/>
          </w:tcPr>
          <w:p>
            <w:pPr>
              <w:pStyle w:val="TableContents"/>
              <w:bidi w:val="0"/>
              <w:spacing w:before="0" w:after="283"/>
              <w:ind w:left="0" w:right="0" w:hanging="720"/>
              <w:jc w:val="right"/>
              <w:rPr/>
            </w:pPr>
            <w:r>
              <w:rPr/>
              <w:t>39</w:t>
            </w:r>
          </w:p>
        </w:tc>
      </w:tr>
      <w:tr>
        <w:trPr/>
        <w:tc>
          <w:tcPr>
            <w:tcW w:w="9930" w:type="dxa"/>
            <w:tcBorders/>
            <w:vAlign w:val="center"/>
          </w:tcPr>
          <w:p>
            <w:pPr>
              <w:pStyle w:val="TableContents"/>
              <w:bidi w:val="0"/>
              <w:spacing w:before="0" w:after="283"/>
              <w:jc w:val="left"/>
              <w:rPr/>
            </w:pPr>
            <w:hyperlink w:anchor="a_020">
              <w:r>
                <w:rPr>
                  <w:rStyle w:val="InternetLink"/>
                </w:rPr>
                <w:t>Item 6. - Exhibits</w:t>
              </w:r>
            </w:hyperlink>
          </w:p>
        </w:tc>
        <w:tc>
          <w:tcPr>
            <w:tcW w:w="275" w:type="dxa"/>
            <w:tcBorders/>
            <w:vAlign w:val="center"/>
          </w:tcPr>
          <w:p>
            <w:pPr>
              <w:pStyle w:val="TableContents"/>
              <w:bidi w:val="0"/>
              <w:spacing w:before="0" w:after="283"/>
              <w:ind w:left="0" w:right="0" w:hanging="720"/>
              <w:jc w:val="right"/>
              <w:rPr/>
            </w:pPr>
            <w:r>
              <w:rPr/>
              <w:t>39</w:t>
            </w:r>
          </w:p>
        </w:tc>
      </w:tr>
      <w:tr>
        <w:trPr/>
        <w:tc>
          <w:tcPr>
            <w:tcW w:w="9930" w:type="dxa"/>
            <w:tcBorders/>
            <w:vAlign w:val="center"/>
          </w:tcPr>
          <w:p>
            <w:pPr>
              <w:pStyle w:val="TableContents"/>
              <w:bidi w:val="0"/>
              <w:spacing w:before="0" w:after="283"/>
              <w:jc w:val="left"/>
              <w:rPr/>
            </w:pPr>
            <w:hyperlink w:anchor="a_021">
              <w:r>
                <w:rPr>
                  <w:rStyle w:val="InternetLink"/>
                </w:rPr>
                <w:t>Signatures</w:t>
              </w:r>
            </w:hyperlink>
          </w:p>
        </w:tc>
        <w:tc>
          <w:tcPr>
            <w:tcW w:w="275" w:type="dxa"/>
            <w:tcBorders/>
            <w:vAlign w:val="center"/>
          </w:tcPr>
          <w:p>
            <w:pPr>
              <w:pStyle w:val="TableContents"/>
              <w:bidi w:val="0"/>
              <w:spacing w:before="0" w:after="283"/>
              <w:jc w:val="right"/>
              <w:rPr/>
            </w:pPr>
            <w:r>
              <w:rPr/>
              <w:t>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as used in this Quarterly Report on Form 10-Q (“Form 10-Q”):</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NI Holdings,” “the Company,” “we,” “us,” and “our” refer to NI Holdings, Inc., together with Nodak Insurance Company and its subsidiaries, and Direct Auto Insurance Company, for periods discussed after completion of the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“Nodak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Nodak Mutual Group” refers to Nodak Mutual Group, Inc., which is the majority shareholder of NI Holdings;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Nodak Mutual Insurance Company” is the predecessor company to Nodak Insurance Company prior to the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Nodak Insurance” refers to Nodak Insurance Company or Nodak Mutual Insurance Company interchangeably;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Battle Creek” refers to Battle Creek Insurance Company. Battle Creek is a wholly-owned subsidiary of Nodak Insurance;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Direct Auto” refers to Direct Auto Insurance Company. Direct Auto is a wholly-owned subsidiary of NI Holdings;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American West” refers to American West Insurance Company. American West is a wholly-owned subsidiary of Nodak Insurance;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Primero” refers to Primero Insurance Company. Primero is an indirect, wholly-owned subsidiary of Nodak Insurance;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Nodak Agency” refers to Nodak Agency, Inc. Nodak Agency is a wholly-owned subsidiary of Nodak Insurance.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left"/>
              <w:rPr/>
            </w:pPr>
            <w:r>
              <w:rPr/>
              <w:t>our anticipated operating and financial performance, business plans, and prospects;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left"/>
              <w:rPr/>
            </w:pPr>
            <w:r>
              <w:rPr/>
              <w:t>strategic reviews, capital allocation objectives, dividends, and share repurchases;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plans for and prospects of acquisitions, dispositions, and other business development activities, and our ability to successfully capitalize on these opportunities;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impact of a future pandemic and related economic conditions, including the potential impact on the Company's investments;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enter new markets successfully and capitalize on growth opportunities either through acquisitions or the expansion of our distribution network;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cyclical changes in the insurance industry, competition, innovation, and emerging technologies;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pPr>
            <w:r>
              <w:rPr/>
              <w:t>expectations for the impact of, or changes to, existing or new government regulations or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anticipate and respond to macroeconomic, geopolitical, health and industry trends, pandemics, acts of war, government shutdowns, and other large-scale crises;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developments in general economic conditions (including the impact of tariffs and changes in tax laws), domestic and global financial markets, interest rates, unemployment, or inflation, that could affect the performance of our insurance operations and/or investment portfolio;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effectively manage future growth, including additional necessary capital, systems, and personnel.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Quarterly Report on Form 10-Q (“Form 10-Q”) and in the Part I, Item 1A, “Risk Factors” section in our Annual Report on Form 10-K for the year ended December 31, 2025 (“2025 Annual Report”). The occurrence of any of the risks identified in the Part I, Item 1A, “Risk Factors” section of the 2025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 -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par value)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58"/>
        <w:gridCol w:w="60"/>
        <w:gridCol w:w="239"/>
        <w:gridCol w:w="1053"/>
        <w:gridCol w:w="95"/>
        <w:gridCol w:w="60"/>
        <w:gridCol w:w="241"/>
        <w:gridCol w:w="1387"/>
        <w:gridCol w:w="112"/>
      </w:tblGrid>
      <w:tr>
        <w:trPr/>
        <w:tc>
          <w:tcPr>
            <w:tcW w:w="6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2" w:type="dxa"/>
            <w:gridSpan w:val="2"/>
            <w:tcBorders/>
            <w:shd w:fill="FFFFFF" w:val="clear"/>
            <w:vAlign w:val="center"/>
          </w:tcPr>
          <w:p>
            <w:pPr>
              <w:pStyle w:val="TableContents"/>
              <w:bidi w:val="0"/>
              <w:spacing w:before="0" w:after="283"/>
              <w:jc w:val="center"/>
              <w:rPr/>
            </w:pPr>
            <w:r>
              <w:rPr/>
              <w:t>(Unaudited)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216"/>
              <w:jc w:val="left"/>
              <w:rPr/>
            </w:pPr>
            <w:r>
              <w:rPr/>
              <w:t> </w:t>
            </w:r>
          </w:p>
        </w:tc>
      </w:tr>
      <w:tr>
        <w:trPr/>
        <w:tc>
          <w:tcPr>
            <w:tcW w:w="6958"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1053" w:type="dxa"/>
            <w:tcBorders/>
            <w:shd w:fill="FFFFFF" w:val="clear"/>
            <w:vAlign w:val="center"/>
          </w:tcPr>
          <w:p>
            <w:pPr>
              <w:pStyle w:val="TableContents"/>
              <w:bidi w:val="0"/>
              <w:spacing w:before="0" w:after="283"/>
              <w:jc w:val="right"/>
              <w:rPr/>
            </w:pPr>
            <w:r>
              <w:rPr/>
              <w:t>57,717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387" w:type="dxa"/>
            <w:tcBorders/>
            <w:shd w:fill="FFFFFF" w:val="clear"/>
            <w:vAlign w:val="center"/>
          </w:tcPr>
          <w:p>
            <w:pPr>
              <w:pStyle w:val="TableContents"/>
              <w:bidi w:val="0"/>
              <w:spacing w:before="0" w:after="283"/>
              <w:jc w:val="right"/>
              <w:rPr/>
            </w:pPr>
            <w:r>
              <w:rPr/>
              <w:t>51,715</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Fixed income securities, at fair value (net of allowance for expected credit losses of $0 at March 31, 2026 and December 31, 2025)</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289,780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301,393</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Equity securities, at fair value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25,792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23,951</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Other investments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1,621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pPr>
            <w:r>
              <w:rPr/>
              <w:t>1,621</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Total cash and investments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374,910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378,680</w:t>
            </w:r>
          </w:p>
        </w:tc>
        <w:tc>
          <w:tcPr>
            <w:tcW w:w="112" w:type="dxa"/>
            <w:tcBorders/>
            <w:shd w:fill="FFFFFF" w:val="clear"/>
            <w:vAlign w:val="center"/>
          </w:tcPr>
          <w:p>
            <w:pPr>
              <w:pStyle w:val="TableContents"/>
              <w:bidi w:val="0"/>
              <w:spacing w:before="0" w:after="283"/>
              <w:ind w:left="0" w:right="0" w:hanging="216"/>
              <w:jc w:val="left"/>
              <w:rPr/>
            </w:pPr>
            <w:r>
              <w:rPr/>
              <w:t> </w:t>
            </w:r>
          </w:p>
        </w:tc>
      </w:tr>
      <w:tr>
        <w:trPr/>
        <w:tc>
          <w:tcPr>
            <w:tcW w:w="6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Premiums and agents' balances receivable (net of allowance for expected credit losses of $298 at March 31, 2026, and $334 at December 31, 2025)</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40,210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41,575</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Deferred policy acquisition costs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19,110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19,209</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Reinsurance recoverables on losses (net of allowance for expected credit losses of $0 at March 31, 2026 and December 31, 2025)</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9,951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11,957</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Income tax recoverable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8,945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11,490</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Accrued investment income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2,270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2,462</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6,616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6,759</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5,422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6,145</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Receivable from Federal Crop Insurance Corporation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12,786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15,605</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pPr>
            <w:r>
              <w:rPr/>
              <w:t>11,889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FFFFFF" w:val="clear"/>
            <w:tcMar>
              <w:bottom w:w="28" w:type="dxa"/>
            </w:tcMar>
            <w:vAlign w:val="center"/>
          </w:tcPr>
          <w:p>
            <w:pPr>
              <w:pStyle w:val="TableContents"/>
              <w:bidi w:val="0"/>
              <w:spacing w:before="0" w:after="283"/>
              <w:jc w:val="right"/>
              <w:rPr/>
            </w:pPr>
            <w:r>
              <w:rPr/>
              <w:t>12,120</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pPr>
            <w:r>
              <w:rPr/>
              <w:t>492,109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jc w:val="right"/>
              <w:rPr/>
            </w:pPr>
            <w:r>
              <w:rPr/>
              <w:t>506,002</w:t>
            </w:r>
          </w:p>
        </w:tc>
        <w:tc>
          <w:tcPr>
            <w:tcW w:w="112" w:type="dxa"/>
            <w:tcBorders/>
            <w:shd w:fill="CCEEFF" w:val="clear"/>
            <w:vAlign w:val="center"/>
          </w:tcPr>
          <w:p>
            <w:pPr>
              <w:pStyle w:val="TableContents"/>
              <w:bidi w:val="0"/>
              <w:spacing w:before="0" w:after="283"/>
              <w:ind w:left="0" w:right="0" w:hanging="216"/>
              <w:jc w:val="left"/>
              <w:rPr/>
            </w:pPr>
            <w:r>
              <w:rPr/>
              <w:t> </w:t>
            </w:r>
          </w:p>
        </w:tc>
      </w:tr>
      <w:tr>
        <w:trPr/>
        <w:tc>
          <w:tcPr>
            <w:tcW w:w="6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216"/>
              <w:jc w:val="left"/>
              <w:rPr/>
            </w:pPr>
            <w:r>
              <w:rPr/>
              <w:t> </w:t>
            </w:r>
          </w:p>
        </w:tc>
      </w:tr>
      <w:tr>
        <w:trPr/>
        <w:tc>
          <w:tcPr>
            <w:tcW w:w="6958"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1053" w:type="dxa"/>
            <w:tcBorders/>
            <w:shd w:fill="FFFFFF" w:val="clear"/>
            <w:vAlign w:val="center"/>
          </w:tcPr>
          <w:p>
            <w:pPr>
              <w:pStyle w:val="TableContents"/>
              <w:bidi w:val="0"/>
              <w:spacing w:before="0" w:after="283"/>
              <w:jc w:val="right"/>
              <w:rPr/>
            </w:pPr>
            <w:r>
              <w:rPr/>
              <w:t>123,594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387" w:type="dxa"/>
            <w:tcBorders/>
            <w:shd w:fill="FFFFFF" w:val="clear"/>
            <w:vAlign w:val="center"/>
          </w:tcPr>
          <w:p>
            <w:pPr>
              <w:pStyle w:val="TableContents"/>
              <w:bidi w:val="0"/>
              <w:spacing w:before="0" w:after="283"/>
              <w:jc w:val="right"/>
              <w:rPr/>
            </w:pPr>
            <w:r>
              <w:rPr/>
              <w:t>137,855</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103,636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106,498</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Reinsurance premiums payable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1,719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878</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12,964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pPr>
            <w:r>
              <w:rPr/>
              <w:t>20,434</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241,913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265,665</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216"/>
              <w:jc w:val="left"/>
              <w:rPr/>
            </w:pPr>
            <w:r>
              <w:rPr/>
              <w:t> </w:t>
            </w:r>
          </w:p>
        </w:tc>
      </w:tr>
      <w:tr>
        <w:trPr/>
        <w:tc>
          <w:tcPr>
            <w:tcW w:w="6958"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Common stock, $0.01 par value, authorized: 25,000,000 shares; issued: 23,000,000 shares; and outstanding: 2026 – 20,520,028 shares, 2025 – 20,554,144 shares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230</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95,643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95,932</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Unearned employee stock ownership plan shares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(212</w:t>
            </w:r>
          </w:p>
        </w:tc>
        <w:tc>
          <w:tcPr>
            <w:tcW w:w="112" w:type="dxa"/>
            <w:tcBorders/>
            <w:shd w:fill="CCEEFF" w:val="clear"/>
            <w:vAlign w:val="center"/>
          </w:tcPr>
          <w:p>
            <w:pPr>
              <w:pStyle w:val="TableContents"/>
              <w:bidi w:val="0"/>
              <w:spacing w:before="0" w:after="283"/>
              <w:jc w:val="left"/>
              <w:rPr/>
            </w:pPr>
            <w:r>
              <w:rPr/>
              <w:t>)</w:t>
            </w:r>
          </w:p>
        </w:tc>
      </w:tr>
      <w:tr>
        <w:trPr/>
        <w:tc>
          <w:tcPr>
            <w:tcW w:w="6958"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203,478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191,074</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Accumulated other comprehensive loss, net of income taxes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(12,500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(10,595</w:t>
            </w:r>
          </w:p>
        </w:tc>
        <w:tc>
          <w:tcPr>
            <w:tcW w:w="112" w:type="dxa"/>
            <w:tcBorders/>
            <w:shd w:fill="CCEEFF" w:val="clear"/>
            <w:vAlign w:val="center"/>
          </w:tcPr>
          <w:p>
            <w:pPr>
              <w:pStyle w:val="TableContents"/>
              <w:bidi w:val="0"/>
              <w:spacing w:before="0" w:after="283"/>
              <w:jc w:val="left"/>
              <w:rPr/>
            </w:pPr>
            <w:r>
              <w:rPr/>
              <w:t>)</w:t>
            </w:r>
          </w:p>
        </w:tc>
      </w:tr>
      <w:tr>
        <w:trPr/>
        <w:tc>
          <w:tcPr>
            <w:tcW w:w="6958" w:type="dxa"/>
            <w:tcBorders/>
            <w:shd w:fill="FFFFFF" w:val="clear"/>
            <w:vAlign w:val="center"/>
          </w:tcPr>
          <w:p>
            <w:pPr>
              <w:pStyle w:val="TableContents"/>
              <w:bidi w:val="0"/>
              <w:spacing w:before="0" w:after="283"/>
              <w:jc w:val="left"/>
              <w:rPr/>
            </w:pPr>
            <w:r>
              <w:rPr/>
              <w:t>Treasury stock, at cost, 2026 – 2,458,807 shares, 2025 – 2,424,691 shares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pPr>
            <w:r>
              <w:rPr/>
              <w:t>(36,443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FFFFFF" w:val="clear"/>
            <w:tcMar>
              <w:bottom w:w="28" w:type="dxa"/>
            </w:tcMar>
            <w:vAlign w:val="center"/>
          </w:tcPr>
          <w:p>
            <w:pPr>
              <w:pStyle w:val="TableContents"/>
              <w:bidi w:val="0"/>
              <w:spacing w:before="0" w:after="283"/>
              <w:jc w:val="right"/>
              <w:rPr/>
            </w:pPr>
            <w:r>
              <w:rPr/>
              <w:t>(36,092</w:t>
            </w:r>
          </w:p>
        </w:tc>
        <w:tc>
          <w:tcPr>
            <w:tcW w:w="112" w:type="dxa"/>
            <w:tcBorders/>
            <w:shd w:fill="FFFFFF" w:val="clear"/>
            <w:vAlign w:val="center"/>
          </w:tcPr>
          <w:p>
            <w:pPr>
              <w:pStyle w:val="TableContents"/>
              <w:bidi w:val="0"/>
              <w:spacing w:before="0" w:after="283"/>
              <w:jc w:val="left"/>
              <w:rPr/>
            </w:pPr>
            <w:r>
              <w:rPr/>
              <w:t>)</w:t>
            </w:r>
          </w:p>
        </w:tc>
      </w:tr>
      <w:tr>
        <w:trPr/>
        <w:tc>
          <w:tcPr>
            <w:tcW w:w="6958"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250,196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pPr>
            <w:r>
              <w:rPr/>
              <w:t>240,337</w:t>
            </w:r>
          </w:p>
        </w:tc>
        <w:tc>
          <w:tcPr>
            <w:tcW w:w="112" w:type="dxa"/>
            <w:tcBorders/>
            <w:shd w:fill="CCEEFF" w:val="clear"/>
            <w:vAlign w:val="center"/>
          </w:tcPr>
          <w:p>
            <w:pPr>
              <w:pStyle w:val="TableContents"/>
              <w:bidi w:val="0"/>
              <w:spacing w:before="0" w:after="283"/>
              <w:jc w:val="left"/>
              <w:rPr/>
            </w:pPr>
            <w:r>
              <w:rPr/>
              <w:t> </w:t>
            </w:r>
          </w:p>
        </w:tc>
      </w:tr>
      <w:tr>
        <w:trPr/>
        <w:tc>
          <w:tcPr>
            <w:tcW w:w="6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58"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pPr>
            <w:r>
              <w:rPr/>
              <w:t>492,109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jc w:val="right"/>
              <w:rPr/>
            </w:pPr>
            <w:r>
              <w:rPr/>
              <w:t>506,002</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Consolidated Statements of Operations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70"/>
        <w:gridCol w:w="60"/>
        <w:gridCol w:w="140"/>
        <w:gridCol w:w="1100"/>
        <w:gridCol w:w="60"/>
        <w:gridCol w:w="60"/>
        <w:gridCol w:w="140"/>
        <w:gridCol w:w="1100"/>
        <w:gridCol w:w="75"/>
      </w:tblGrid>
      <w:tr>
        <w:trPr/>
        <w:tc>
          <w:tcPr>
            <w:tcW w:w="7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7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24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55,113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67,497</w:t>
            </w:r>
          </w:p>
        </w:tc>
        <w:tc>
          <w:tcPr>
            <w:tcW w:w="75" w:type="dxa"/>
            <w:tcBorders/>
            <w:shd w:fill="FFFFFF" w:val="clear"/>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2,838</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Net investment gains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869</w:t>
            </w:r>
          </w:p>
        </w:tc>
        <w:tc>
          <w:tcPr>
            <w:tcW w:w="75" w:type="dxa"/>
            <w:tcBorders/>
            <w:shd w:fill="FFFFFF" w:val="clear"/>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Fee and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59,602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71,434</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7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38,525</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16,528</w:t>
            </w:r>
          </w:p>
        </w:tc>
        <w:tc>
          <w:tcPr>
            <w:tcW w:w="75" w:type="dxa"/>
            <w:tcBorders/>
            <w:shd w:fill="FFFFFF" w:val="clear"/>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8,632</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63,685</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7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Income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7,749</w:t>
            </w:r>
          </w:p>
        </w:tc>
        <w:tc>
          <w:tcPr>
            <w:tcW w:w="75" w:type="dxa"/>
            <w:tcBorders/>
            <w:shd w:fill="FFFFFF" w:val="clear"/>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1,289</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12,508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6,460</w:t>
            </w:r>
          </w:p>
        </w:tc>
        <w:tc>
          <w:tcPr>
            <w:tcW w:w="75" w:type="dxa"/>
            <w:tcBorders/>
            <w:shd w:fill="FFFFFF" w:val="clear"/>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0.31</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0.31</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7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7470" w:type="dxa"/>
            <w:tcBorders/>
            <w:shd w:fill="FFFFFF" w:val="clear"/>
            <w:vAlign w:val="center"/>
          </w:tcPr>
          <w:p>
            <w:pPr>
              <w:pStyle w:val="TableContents"/>
              <w:bidi w:val="0"/>
              <w:spacing w:before="0" w:after="283"/>
              <w:jc w:val="left"/>
              <w:rPr/>
            </w:pPr>
            <w:r>
              <w:rPr/>
              <w:t>Share data: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Weighted average common shares outstanding used in basic per common share calculations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20,875,365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21,014,923</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Dilutive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59,709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81,207</w:t>
            </w:r>
          </w:p>
        </w:tc>
        <w:tc>
          <w:tcPr>
            <w:tcW w:w="75" w:type="dxa"/>
            <w:tcBorders/>
            <w:shd w:fill="FFFFFF" w:val="clear"/>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Weighted average common shares used in diluted per common share calculations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20,935,074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21,096,130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Consolidated Statements of Comprehensive Income (Loss)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93"/>
        <w:gridCol w:w="60"/>
        <w:gridCol w:w="254"/>
        <w:gridCol w:w="1235"/>
        <w:gridCol w:w="171"/>
        <w:gridCol w:w="108"/>
        <w:gridCol w:w="254"/>
        <w:gridCol w:w="1017"/>
        <w:gridCol w:w="113"/>
      </w:tblGrid>
      <w:tr>
        <w:trPr/>
        <w:tc>
          <w:tcPr>
            <w:tcW w:w="6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3" w:type="dxa"/>
            <w:tcBorders/>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12,508</w:t>
            </w:r>
          </w:p>
        </w:tc>
        <w:tc>
          <w:tcPr>
            <w:tcW w:w="17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pPr>
            <w:r>
              <w:rPr/>
              <w:t>6,460</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Other comprehensive income (loss), before income taxes: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shd w:fill="FFFFFF" w:val="clear"/>
            <w:vAlign w:val="center"/>
          </w:tcPr>
          <w:p>
            <w:pPr>
              <w:pStyle w:val="TableContents"/>
              <w:bidi w:val="0"/>
              <w:spacing w:before="0" w:after="283"/>
              <w:jc w:val="left"/>
              <w:rPr/>
            </w:pPr>
            <w:r>
              <w:rPr/>
              <w:t>Holding gains (losses) on investments</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(2,403</w:t>
            </w:r>
          </w:p>
        </w:tc>
        <w:tc>
          <w:tcPr>
            <w:tcW w:w="171" w:type="dxa"/>
            <w:tcBorders/>
            <w:shd w:fill="FFFFFF" w:val="clear"/>
            <w:vAlign w:val="center"/>
          </w:tcPr>
          <w:p>
            <w:pPr>
              <w:pStyle w:val="TableContents"/>
              <w:bidi w:val="0"/>
              <w:spacing w:before="0" w:after="283"/>
              <w:jc w:val="left"/>
              <w:rPr/>
            </w:pPr>
            <w:r>
              <w:rPr/>
              <w:t>)</w:t>
            </w:r>
          </w:p>
        </w:tc>
        <w:tc>
          <w:tcPr>
            <w:tcW w:w="108"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3,313</w:t>
            </w:r>
          </w:p>
        </w:tc>
        <w:tc>
          <w:tcPr>
            <w:tcW w:w="113" w:type="dxa"/>
            <w:tcBorders/>
            <w:shd w:fill="FFFFFF" w:val="clear"/>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Reclassification adjustment for net realized losses included in net income</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71"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shd w:fill="FFFFFF" w:val="clear"/>
            <w:vAlign w:val="center"/>
          </w:tcPr>
          <w:p>
            <w:pPr>
              <w:pStyle w:val="TableContents"/>
              <w:bidi w:val="0"/>
              <w:spacing w:before="0" w:after="283"/>
              <w:jc w:val="left"/>
              <w:rPr/>
            </w:pPr>
            <w:r>
              <w:rPr/>
              <w:t>Other comprehensive income (loss), before income taxes</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(2,411</w:t>
            </w:r>
          </w:p>
        </w:tc>
        <w:tc>
          <w:tcPr>
            <w:tcW w:w="171" w:type="dxa"/>
            <w:tcBorders/>
            <w:shd w:fill="FFFFFF" w:val="clear"/>
            <w:vAlign w:val="center"/>
          </w:tcPr>
          <w:p>
            <w:pPr>
              <w:pStyle w:val="TableContents"/>
              <w:bidi w:val="0"/>
              <w:spacing w:before="0" w:after="283"/>
              <w:jc w:val="left"/>
              <w:rPr/>
            </w:pPr>
            <w:r>
              <w:rPr/>
              <w:t>)</w:t>
            </w:r>
          </w:p>
        </w:tc>
        <w:tc>
          <w:tcPr>
            <w:tcW w:w="108"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3,313</w:t>
            </w:r>
          </w:p>
        </w:tc>
        <w:tc>
          <w:tcPr>
            <w:tcW w:w="113" w:type="dxa"/>
            <w:tcBorders/>
            <w:shd w:fill="FFFFFF" w:val="clear"/>
            <w:vAlign w:val="center"/>
          </w:tcPr>
          <w:p>
            <w:pPr>
              <w:pStyle w:val="TableContents"/>
              <w:bidi w:val="0"/>
              <w:spacing w:before="0" w:after="283"/>
              <w:ind w:left="0" w:right="0" w:hanging="43"/>
              <w:jc w:val="left"/>
              <w:rPr/>
            </w:pPr>
            <w:r>
              <w:rPr/>
              <w:t> </w:t>
            </w:r>
          </w:p>
        </w:tc>
      </w:tr>
      <w:tr>
        <w:trPr/>
        <w:tc>
          <w:tcPr>
            <w:tcW w:w="6993" w:type="dxa"/>
            <w:tcBorders/>
            <w:shd w:fill="CCEEFF" w:val="clear"/>
            <w:vAlign w:val="center"/>
          </w:tcPr>
          <w:p>
            <w:pPr>
              <w:pStyle w:val="TableContents"/>
              <w:bidi w:val="0"/>
              <w:spacing w:before="0" w:after="283"/>
              <w:jc w:val="left"/>
              <w:rPr/>
            </w:pPr>
            <w:r>
              <w:rPr/>
              <w:t>Income tax benefit (expense) related to items of other comprehensive income (loss)</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506</w:t>
            </w:r>
          </w:p>
        </w:tc>
        <w:tc>
          <w:tcPr>
            <w:tcW w:w="17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pPr>
            <w:r>
              <w:rPr/>
              <w:t>(753</w:t>
            </w:r>
          </w:p>
        </w:tc>
        <w:tc>
          <w:tcPr>
            <w:tcW w:w="113" w:type="dxa"/>
            <w:tcBorders/>
            <w:shd w:fill="CCEEFF" w:val="clear"/>
            <w:vAlign w:val="center"/>
          </w:tcPr>
          <w:p>
            <w:pPr>
              <w:pStyle w:val="TableContents"/>
              <w:bidi w:val="0"/>
              <w:spacing w:before="0" w:after="283"/>
              <w:jc w:val="left"/>
              <w:rPr/>
            </w:pPr>
            <w:r>
              <w:rPr/>
              <w:t>)</w:t>
            </w:r>
          </w:p>
        </w:tc>
      </w:tr>
      <w:tr>
        <w:trPr/>
        <w:tc>
          <w:tcPr>
            <w:tcW w:w="6993" w:type="dxa"/>
            <w:tcBorders/>
            <w:shd w:fill="FFFFFF" w:val="clear"/>
            <w:vAlign w:val="center"/>
          </w:tcPr>
          <w:p>
            <w:pPr>
              <w:pStyle w:val="TableContents"/>
              <w:bidi w:val="0"/>
              <w:spacing w:before="0" w:after="283"/>
              <w:jc w:val="left"/>
              <w:rPr/>
            </w:pPr>
            <w:r>
              <w:rPr/>
              <w:t>Other comprehensive income (loss), net of income taxes</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(1,905</w:t>
            </w:r>
          </w:p>
        </w:tc>
        <w:tc>
          <w:tcPr>
            <w:tcW w:w="171" w:type="dxa"/>
            <w:tcBorders/>
            <w:shd w:fill="FFFFFF" w:val="clear"/>
            <w:vAlign w:val="center"/>
          </w:tcPr>
          <w:p>
            <w:pPr>
              <w:pStyle w:val="TableContents"/>
              <w:bidi w:val="0"/>
              <w:spacing w:before="0" w:after="283"/>
              <w:jc w:val="left"/>
              <w:rPr/>
            </w:pPr>
            <w:r>
              <w:rPr/>
              <w:t>)</w:t>
            </w:r>
          </w:p>
        </w:tc>
        <w:tc>
          <w:tcPr>
            <w:tcW w:w="108"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2,560</w:t>
            </w:r>
          </w:p>
        </w:tc>
        <w:tc>
          <w:tcPr>
            <w:tcW w:w="113" w:type="dxa"/>
            <w:tcBorders/>
            <w:shd w:fill="FFFFFF" w:val="clear"/>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shd w:fill="FFFFFF" w:val="clear"/>
            <w:vAlign w:val="center"/>
          </w:tcPr>
          <w:p>
            <w:pPr>
              <w:pStyle w:val="TableContents"/>
              <w:bidi w:val="0"/>
              <w:spacing w:before="0" w:after="283"/>
              <w:jc w:val="left"/>
              <w:rPr/>
            </w:pPr>
            <w:r>
              <w:rPr/>
              <w:t>Comprehensive income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pPr>
            <w:r>
              <w:rPr/>
              <w:t>10,603</w:t>
            </w:r>
          </w:p>
        </w:tc>
        <w:tc>
          <w:tcPr>
            <w:tcW w:w="171"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7" w:type="dxa"/>
            <w:tcBorders>
              <w:bottom w:val="double" w:sz="6" w:space="0" w:color="000000"/>
            </w:tcBorders>
            <w:shd w:fill="FFFFFF" w:val="clear"/>
            <w:tcMar>
              <w:bottom w:w="28" w:type="dxa"/>
            </w:tcMar>
            <w:vAlign w:val="center"/>
          </w:tcPr>
          <w:p>
            <w:pPr>
              <w:pStyle w:val="TableContents"/>
              <w:bidi w:val="0"/>
              <w:spacing w:before="0" w:after="283"/>
              <w:jc w:val="right"/>
              <w:rPr/>
            </w:pPr>
            <w:r>
              <w:rPr/>
              <w:t>9,020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Consolidated Statements of Changes in Shareholders’ Equity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0705" w:type="dxa"/>
        <w:jc w:val="left"/>
        <w:tblInd w:w="0" w:type="dxa"/>
        <w:tblLayout w:type="fixed"/>
        <w:tblCellMar>
          <w:top w:w="0" w:type="dxa"/>
          <w:left w:w="0" w:type="dxa"/>
          <w:bottom w:w="28" w:type="dxa"/>
          <w:right w:w="0" w:type="dxa"/>
        </w:tblCellMar>
      </w:tblPr>
      <w:tblGrid>
        <w:gridCol w:w="1460"/>
        <w:gridCol w:w="60"/>
        <w:gridCol w:w="259"/>
        <w:gridCol w:w="706"/>
        <w:gridCol w:w="60"/>
        <w:gridCol w:w="60"/>
        <w:gridCol w:w="187"/>
        <w:gridCol w:w="913"/>
        <w:gridCol w:w="95"/>
        <w:gridCol w:w="60"/>
        <w:gridCol w:w="269"/>
        <w:gridCol w:w="876"/>
        <w:gridCol w:w="95"/>
        <w:gridCol w:w="60"/>
        <w:gridCol w:w="141"/>
        <w:gridCol w:w="809"/>
        <w:gridCol w:w="95"/>
        <w:gridCol w:w="60"/>
        <w:gridCol w:w="251"/>
        <w:gridCol w:w="1359"/>
        <w:gridCol w:w="95"/>
        <w:gridCol w:w="60"/>
        <w:gridCol w:w="150"/>
        <w:gridCol w:w="815"/>
        <w:gridCol w:w="95"/>
        <w:gridCol w:w="60"/>
        <w:gridCol w:w="215"/>
        <w:gridCol w:w="1230"/>
        <w:gridCol w:w="110"/>
      </w:tblGrid>
      <w:tr>
        <w:trPr/>
        <w:tc>
          <w:tcPr>
            <w:tcW w:w="10705" w:type="dxa"/>
            <w:gridSpan w:val="29"/>
            <w:tcBorders>
              <w:bottom w:val="single" w:sz="8" w:space="0" w:color="000000"/>
            </w:tcBorders>
            <w:vAlign w:val="center"/>
          </w:tcPr>
          <w:p>
            <w:pPr>
              <w:pStyle w:val="TableContents"/>
              <w:bidi w:val="0"/>
              <w:spacing w:before="0" w:after="283"/>
              <w:jc w:val="center"/>
              <w:rPr>
                <w:b/>
              </w:rPr>
            </w:pPr>
            <w:r>
              <w:rPr>
                <w:b/>
              </w:rPr>
              <w:t>Three Months Ended March 31, 2026</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 xml:space="preserve">Additional </w:t>
              <w:br/>
              <w:t>Paid-in</w:t>
              <w:br/>
              <w:t>Capital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Unearned</w:t>
              <w:br/>
              <w:t xml:space="preserve">Employee </w:t>
              <w:br/>
              <w:t xml:space="preserve">Stock </w:t>
              <w:br/>
              <w:t xml:space="preserve">Ownership </w:t>
              <w:br/>
              <w:t>Plan 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Retained</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Accumulated</w:t>
              <w:br/>
              <w:t xml:space="preserve">Other </w:t>
              <w:br/>
              <w:t xml:space="preserve">Comprehensive </w:t>
              <w:br/>
              <w:t xml:space="preserve">Loss, Net of </w:t>
              <w:br/>
              <w:t>Income Taxes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Total</w:t>
              <w:br/>
              <w:t xml:space="preserve">Shareholders’ </w:t>
              <w:br/>
              <w:t>Equity</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Balance,</w:t>
              <w:br/>
              <w:t>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95,932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876" w:type="dxa"/>
            <w:tcBorders/>
            <w:shd w:fill="CCEEFF" w:val="clear"/>
            <w:tcMar>
              <w:bottom w:w="0" w:type="dxa"/>
            </w:tcMar>
            <w:vAlign w:val="center"/>
          </w:tcPr>
          <w:p>
            <w:pPr>
              <w:pStyle w:val="TableContents"/>
              <w:bidi w:val="0"/>
              <w:spacing w:before="0" w:after="283"/>
              <w:jc w:val="right"/>
              <w:rPr/>
            </w:pPr>
            <w:r>
              <w:rPr/>
              <w:t>(212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191,074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359" w:type="dxa"/>
            <w:tcBorders/>
            <w:shd w:fill="CCEEFF" w:val="clear"/>
            <w:tcMar>
              <w:bottom w:w="0" w:type="dxa"/>
            </w:tcMar>
            <w:vAlign w:val="center"/>
          </w:tcPr>
          <w:p>
            <w:pPr>
              <w:pStyle w:val="TableContents"/>
              <w:bidi w:val="0"/>
              <w:spacing w:before="0" w:after="283"/>
              <w:jc w:val="right"/>
              <w:rPr/>
            </w:pPr>
            <w:r>
              <w:rPr/>
              <w:t>(10,595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815" w:type="dxa"/>
            <w:tcBorders/>
            <w:shd w:fill="CCEEFF" w:val="clear"/>
            <w:tcMar>
              <w:bottom w:w="0" w:type="dxa"/>
            </w:tcMar>
            <w:vAlign w:val="center"/>
          </w:tcPr>
          <w:p>
            <w:pPr>
              <w:pStyle w:val="TableContents"/>
              <w:bidi w:val="0"/>
              <w:spacing w:before="0" w:after="283"/>
              <w:jc w:val="right"/>
              <w:rPr/>
            </w:pPr>
            <w:r>
              <w:rPr/>
              <w:t>(36,092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240,337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12,508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12,508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Other comprehensive income (loss), net of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(1,905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(1,905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14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(861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(861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Share-based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293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293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Issuance of vested award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706"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283"/>
              <w:jc w:val="right"/>
              <w:rPr/>
            </w:pPr>
            <w:r>
              <w:rPr/>
              <w:t>(582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bottom w:val="single" w:sz="8" w:space="0" w:color="000000"/>
            </w:tcBorders>
            <w:shd w:fill="CCEEFF" w:val="clear"/>
            <w:vAlign w:val="center"/>
          </w:tcPr>
          <w:p>
            <w:pPr>
              <w:pStyle w:val="TableContents"/>
              <w:bidi w:val="0"/>
              <w:spacing w:before="0" w:after="283"/>
              <w:jc w:val="left"/>
              <w:rPr/>
            </w:pPr>
            <w:r>
              <w:rPr/>
              <w:t> </w:t>
            </w:r>
          </w:p>
        </w:tc>
        <w:tc>
          <w:tcPr>
            <w:tcW w:w="876"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809" w:type="dxa"/>
            <w:tcBorders>
              <w:bottom w:val="single" w:sz="8" w:space="0" w:color="000000"/>
            </w:tcBorders>
            <w:shd w:fill="CCEEFF" w:val="clear"/>
            <w:vAlign w:val="center"/>
          </w:tcPr>
          <w:p>
            <w:pPr>
              <w:pStyle w:val="TableContents"/>
              <w:bidi w:val="0"/>
              <w:spacing w:before="0" w:after="283"/>
              <w:jc w:val="right"/>
              <w:rPr/>
            </w:pPr>
            <w:r>
              <w:rPr/>
              <w:t>(104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8" w:space="0" w:color="000000"/>
            </w:tcBorders>
            <w:shd w:fill="CCEEFF" w:val="clear"/>
            <w:vAlign w:val="center"/>
          </w:tcPr>
          <w:p>
            <w:pPr>
              <w:pStyle w:val="TableContents"/>
              <w:bidi w:val="0"/>
              <w:spacing w:before="0" w:after="283"/>
              <w:jc w:val="left"/>
              <w:rPr/>
            </w:pPr>
            <w:r>
              <w:rPr/>
              <w:t> </w:t>
            </w:r>
          </w:p>
        </w:tc>
        <w:tc>
          <w:tcPr>
            <w:tcW w:w="135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510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230" w:type="dxa"/>
            <w:tcBorders>
              <w:bottom w:val="single" w:sz="8" w:space="0" w:color="000000"/>
            </w:tcBorders>
            <w:shd w:fill="CCEEFF" w:val="clear"/>
            <w:vAlign w:val="center"/>
          </w:tcPr>
          <w:p>
            <w:pPr>
              <w:pStyle w:val="TableContents"/>
              <w:bidi w:val="0"/>
              <w:spacing w:before="0" w:after="283"/>
              <w:jc w:val="right"/>
              <w:rPr/>
            </w:pPr>
            <w:r>
              <w:rPr/>
              <w:t>(176</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Balance,</w:t>
              <w:b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vAlign w:val="center"/>
          </w:tcPr>
          <w:p>
            <w:pPr>
              <w:pStyle w:val="TableContents"/>
              <w:bidi w:val="0"/>
              <w:spacing w:before="0" w:after="283"/>
              <w:jc w:val="left"/>
              <w:rPr/>
            </w:pPr>
            <w:r>
              <w:rPr/>
              <w:t>$</w:t>
            </w:r>
          </w:p>
        </w:tc>
        <w:tc>
          <w:tcPr>
            <w:tcW w:w="706" w:type="dxa"/>
            <w:tcBorders>
              <w:bottom w:val="double" w:sz="6" w:space="0" w:color="000000"/>
            </w:tcBorders>
            <w:shd w:fill="FFFFFF" w:val="clear"/>
            <w:vAlign w:val="center"/>
          </w:tcPr>
          <w:p>
            <w:pPr>
              <w:pStyle w:val="TableContents"/>
              <w:bidi w:val="0"/>
              <w:spacing w:before="0" w:after="283"/>
              <w:jc w:val="right"/>
              <w:rPr/>
            </w:pPr>
            <w:r>
              <w:rPr/>
              <w:t>230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vAlign w:val="center"/>
          </w:tcPr>
          <w:p>
            <w:pPr>
              <w:pStyle w:val="TableContents"/>
              <w:bidi w:val="0"/>
              <w:spacing w:before="0" w:after="283"/>
              <w:jc w:val="left"/>
              <w:rPr/>
            </w:pPr>
            <w:r>
              <w:rPr/>
              <w:t>$</w:t>
            </w:r>
          </w:p>
        </w:tc>
        <w:tc>
          <w:tcPr>
            <w:tcW w:w="913" w:type="dxa"/>
            <w:tcBorders>
              <w:bottom w:val="double" w:sz="6" w:space="0" w:color="000000"/>
            </w:tcBorders>
            <w:shd w:fill="FFFFFF" w:val="clear"/>
            <w:vAlign w:val="center"/>
          </w:tcPr>
          <w:p>
            <w:pPr>
              <w:pStyle w:val="TableContents"/>
              <w:bidi w:val="0"/>
              <w:spacing w:before="0" w:after="283"/>
              <w:jc w:val="right"/>
              <w:rPr/>
            </w:pPr>
            <w:r>
              <w:rPr/>
              <w:t>95,643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vAlign w:val="center"/>
          </w:tcPr>
          <w:p>
            <w:pPr>
              <w:pStyle w:val="TableContents"/>
              <w:bidi w:val="0"/>
              <w:spacing w:before="0" w:after="283"/>
              <w:jc w:val="left"/>
              <w:rPr/>
            </w:pPr>
            <w:r>
              <w:rPr/>
              <w:t>$</w:t>
            </w:r>
          </w:p>
        </w:tc>
        <w:tc>
          <w:tcPr>
            <w:tcW w:w="876" w:type="dxa"/>
            <w:tcBorders>
              <w:bottom w:val="double" w:sz="6" w:space="0" w:color="000000"/>
            </w:tcBorders>
            <w:shd w:fill="FFFFFF" w:val="clear"/>
            <w:vAlign w:val="center"/>
          </w:tcPr>
          <w:p>
            <w:pPr>
              <w:pStyle w:val="TableContents"/>
              <w:bidi w:val="0"/>
              <w:spacing w:before="0" w:after="283"/>
              <w:jc w:val="right"/>
              <w:rPr/>
            </w:pPr>
            <w:r>
              <w:rPr/>
              <w:t>(212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shd w:fill="FFFFFF" w:val="clear"/>
            <w:vAlign w:val="center"/>
          </w:tcPr>
          <w:p>
            <w:pPr>
              <w:pStyle w:val="TableContents"/>
              <w:bidi w:val="0"/>
              <w:spacing w:before="0" w:after="283"/>
              <w:jc w:val="left"/>
              <w:rPr/>
            </w:pPr>
            <w:r>
              <w:rPr/>
              <w:t>$</w:t>
            </w:r>
          </w:p>
        </w:tc>
        <w:tc>
          <w:tcPr>
            <w:tcW w:w="809" w:type="dxa"/>
            <w:tcBorders>
              <w:bottom w:val="double" w:sz="6" w:space="0" w:color="000000"/>
            </w:tcBorders>
            <w:shd w:fill="FFFFFF" w:val="clear"/>
            <w:vAlign w:val="center"/>
          </w:tcPr>
          <w:p>
            <w:pPr>
              <w:pStyle w:val="TableContents"/>
              <w:bidi w:val="0"/>
              <w:spacing w:before="0" w:after="283"/>
              <w:jc w:val="right"/>
              <w:rPr/>
            </w:pPr>
            <w:r>
              <w:rPr/>
              <w:t>203,478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vAlign w:val="center"/>
          </w:tcPr>
          <w:p>
            <w:pPr>
              <w:pStyle w:val="TableContents"/>
              <w:bidi w:val="0"/>
              <w:spacing w:before="0" w:after="283"/>
              <w:jc w:val="left"/>
              <w:rPr/>
            </w:pPr>
            <w:r>
              <w:rPr/>
              <w:t>$</w:t>
            </w:r>
          </w:p>
        </w:tc>
        <w:tc>
          <w:tcPr>
            <w:tcW w:w="1359" w:type="dxa"/>
            <w:tcBorders>
              <w:bottom w:val="double" w:sz="6" w:space="0" w:color="000000"/>
            </w:tcBorders>
            <w:shd w:fill="FFFFFF" w:val="clear"/>
            <w:vAlign w:val="center"/>
          </w:tcPr>
          <w:p>
            <w:pPr>
              <w:pStyle w:val="TableContents"/>
              <w:bidi w:val="0"/>
              <w:spacing w:before="0" w:after="283"/>
              <w:jc w:val="right"/>
              <w:rPr/>
            </w:pPr>
            <w:r>
              <w:rPr/>
              <w:t>(12,500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815" w:type="dxa"/>
            <w:tcBorders>
              <w:bottom w:val="double" w:sz="6" w:space="0" w:color="000000"/>
            </w:tcBorders>
            <w:shd w:fill="FFFFFF" w:val="clear"/>
            <w:vAlign w:val="center"/>
          </w:tcPr>
          <w:p>
            <w:pPr>
              <w:pStyle w:val="TableContents"/>
              <w:bidi w:val="0"/>
              <w:spacing w:before="0" w:after="283"/>
              <w:jc w:val="right"/>
              <w:rPr/>
            </w:pPr>
            <w:r>
              <w:rPr/>
              <w:t>(36,443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vAlign w:val="center"/>
          </w:tcPr>
          <w:p>
            <w:pPr>
              <w:pStyle w:val="TableContents"/>
              <w:bidi w:val="0"/>
              <w:spacing w:before="0" w:after="283"/>
              <w:jc w:val="left"/>
              <w:rPr/>
            </w:pPr>
            <w:r>
              <w:rPr/>
              <w:t>$</w:t>
            </w:r>
          </w:p>
        </w:tc>
        <w:tc>
          <w:tcPr>
            <w:tcW w:w="1230" w:type="dxa"/>
            <w:tcBorders>
              <w:bottom w:val="double" w:sz="6" w:space="0" w:color="000000"/>
            </w:tcBorders>
            <w:shd w:fill="FFFFFF" w:val="clear"/>
            <w:vAlign w:val="center"/>
          </w:tcPr>
          <w:p>
            <w:pPr>
              <w:pStyle w:val="TableContents"/>
              <w:bidi w:val="0"/>
              <w:spacing w:before="0" w:after="283"/>
              <w:jc w:val="right"/>
              <w:rPr/>
            </w:pPr>
            <w:r>
              <w:rPr/>
              <w:t>250,196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705" w:type="dxa"/>
        <w:jc w:val="left"/>
        <w:tblInd w:w="0" w:type="dxa"/>
        <w:tblLayout w:type="fixed"/>
        <w:tblCellMar>
          <w:top w:w="0" w:type="dxa"/>
          <w:left w:w="0" w:type="dxa"/>
          <w:bottom w:w="28" w:type="dxa"/>
          <w:right w:w="0" w:type="dxa"/>
        </w:tblCellMar>
      </w:tblPr>
      <w:tblGrid>
        <w:gridCol w:w="1460"/>
        <w:gridCol w:w="60"/>
        <w:gridCol w:w="259"/>
        <w:gridCol w:w="706"/>
        <w:gridCol w:w="60"/>
        <w:gridCol w:w="60"/>
        <w:gridCol w:w="187"/>
        <w:gridCol w:w="913"/>
        <w:gridCol w:w="95"/>
        <w:gridCol w:w="60"/>
        <w:gridCol w:w="269"/>
        <w:gridCol w:w="876"/>
        <w:gridCol w:w="95"/>
        <w:gridCol w:w="60"/>
        <w:gridCol w:w="141"/>
        <w:gridCol w:w="809"/>
        <w:gridCol w:w="95"/>
        <w:gridCol w:w="60"/>
        <w:gridCol w:w="251"/>
        <w:gridCol w:w="1359"/>
        <w:gridCol w:w="95"/>
        <w:gridCol w:w="60"/>
        <w:gridCol w:w="150"/>
        <w:gridCol w:w="815"/>
        <w:gridCol w:w="95"/>
        <w:gridCol w:w="60"/>
        <w:gridCol w:w="215"/>
        <w:gridCol w:w="1230"/>
        <w:gridCol w:w="110"/>
      </w:tblGrid>
      <w:tr>
        <w:trPr/>
        <w:tc>
          <w:tcPr>
            <w:tcW w:w="10705" w:type="dxa"/>
            <w:gridSpan w:val="29"/>
            <w:tcBorders>
              <w:bottom w:val="single" w:sz="8" w:space="0" w:color="000000"/>
            </w:tcBorders>
            <w:vAlign w:val="center"/>
          </w:tcPr>
          <w:p>
            <w:pPr>
              <w:pStyle w:val="TableContents"/>
              <w:bidi w:val="0"/>
              <w:spacing w:before="0" w:after="283"/>
              <w:jc w:val="center"/>
              <w:rPr>
                <w:b/>
              </w:rPr>
            </w:pPr>
            <w:r>
              <w:rPr>
                <w:b/>
              </w:rPr>
              <w:t>Three Months Ended March 31, 2025</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Additional</w:t>
              <w:br/>
              <w:t>Paid-in</w:t>
              <w:br/>
              <w:t>Capital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 xml:space="preserve">Unearned </w:t>
              <w:br/>
              <w:t>Employee</w:t>
              <w:br/>
              <w:t xml:space="preserve">Stock </w:t>
              <w:br/>
              <w:t xml:space="preserve">Ownership </w:t>
              <w:br/>
              <w:t>Plan 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Retained</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Accumulated</w:t>
              <w:br/>
              <w:t>Other</w:t>
              <w:br/>
              <w:t>Comprehensive</w:t>
              <w:br/>
              <w:t xml:space="preserve">Loss, Net of </w:t>
              <w:br/>
              <w:t>Income Taxes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 xml:space="preserve">Total </w:t>
              <w:br/>
              <w:t xml:space="preserve">Shareholders’ </w:t>
              <w:br/>
              <w:t>Equity</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Balance,</w:t>
              <w:br/>
              <w:t>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95,796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876" w:type="dxa"/>
            <w:tcBorders/>
            <w:shd w:fill="CCEEFF" w:val="clear"/>
            <w:tcMar>
              <w:bottom w:w="0" w:type="dxa"/>
            </w:tcMar>
            <w:vAlign w:val="center"/>
          </w:tcPr>
          <w:p>
            <w:pPr>
              <w:pStyle w:val="TableContents"/>
              <w:bidi w:val="0"/>
              <w:spacing w:before="0" w:after="283"/>
              <w:jc w:val="right"/>
              <w:rPr/>
            </w:pPr>
            <w:r>
              <w:rPr/>
              <w:t>(455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201,584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359" w:type="dxa"/>
            <w:tcBorders/>
            <w:shd w:fill="CCEEFF" w:val="clear"/>
            <w:tcMar>
              <w:bottom w:w="0" w:type="dxa"/>
            </w:tcMar>
            <w:vAlign w:val="center"/>
          </w:tcPr>
          <w:p>
            <w:pPr>
              <w:pStyle w:val="TableContents"/>
              <w:bidi w:val="0"/>
              <w:spacing w:before="0" w:after="283"/>
              <w:jc w:val="right"/>
              <w:rPr/>
            </w:pPr>
            <w:r>
              <w:rPr/>
              <w:t>(18,231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815" w:type="dxa"/>
            <w:tcBorders/>
            <w:shd w:fill="CCEEFF" w:val="clear"/>
            <w:tcMar>
              <w:bottom w:w="0" w:type="dxa"/>
            </w:tcMar>
            <w:vAlign w:val="center"/>
          </w:tcPr>
          <w:p>
            <w:pPr>
              <w:pStyle w:val="TableContents"/>
              <w:bidi w:val="0"/>
              <w:spacing w:before="0" w:after="283"/>
              <w:jc w:val="right"/>
              <w:rPr/>
            </w:pPr>
            <w:r>
              <w:rPr/>
              <w:t>(34,293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244,631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6,460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6,460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Other comprehensive income (loss), net of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2,560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2,560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Share-based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480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480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Issuance of vested award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706"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283"/>
              <w:jc w:val="right"/>
              <w:rPr/>
            </w:pPr>
            <w:r>
              <w:rPr/>
              <w:t>(493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bottom w:val="single" w:sz="8" w:space="0" w:color="000000"/>
            </w:tcBorders>
            <w:shd w:fill="CCEEFF" w:val="clear"/>
            <w:vAlign w:val="center"/>
          </w:tcPr>
          <w:p>
            <w:pPr>
              <w:pStyle w:val="TableContents"/>
              <w:bidi w:val="0"/>
              <w:spacing w:before="0" w:after="283"/>
              <w:jc w:val="left"/>
              <w:rPr/>
            </w:pPr>
            <w:r>
              <w:rPr/>
              <w:t> </w:t>
            </w:r>
          </w:p>
        </w:tc>
        <w:tc>
          <w:tcPr>
            <w:tcW w:w="876"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809" w:type="dxa"/>
            <w:tcBorders>
              <w:bottom w:val="single" w:sz="8" w:space="0" w:color="000000"/>
            </w:tcBorders>
            <w:shd w:fill="CCEEFF" w:val="clear"/>
            <w:vAlign w:val="center"/>
          </w:tcPr>
          <w:p>
            <w:pPr>
              <w:pStyle w:val="TableContents"/>
              <w:bidi w:val="0"/>
              <w:spacing w:before="0" w:after="283"/>
              <w:jc w:val="right"/>
              <w:rPr/>
            </w:pPr>
            <w:r>
              <w:rPr/>
              <w:t>(47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8" w:space="0" w:color="000000"/>
            </w:tcBorders>
            <w:shd w:fill="CCEEFF" w:val="clear"/>
            <w:vAlign w:val="center"/>
          </w:tcPr>
          <w:p>
            <w:pPr>
              <w:pStyle w:val="TableContents"/>
              <w:bidi w:val="0"/>
              <w:spacing w:before="0" w:after="283"/>
              <w:jc w:val="left"/>
              <w:rPr/>
            </w:pPr>
            <w:r>
              <w:rPr/>
              <w:t> </w:t>
            </w:r>
          </w:p>
        </w:tc>
        <w:tc>
          <w:tcPr>
            <w:tcW w:w="135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409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230" w:type="dxa"/>
            <w:tcBorders>
              <w:bottom w:val="single" w:sz="8" w:space="0" w:color="000000"/>
            </w:tcBorders>
            <w:shd w:fill="CCEEFF" w:val="clear"/>
            <w:vAlign w:val="center"/>
          </w:tcPr>
          <w:p>
            <w:pPr>
              <w:pStyle w:val="TableContents"/>
              <w:bidi w:val="0"/>
              <w:spacing w:before="0" w:after="283"/>
              <w:jc w:val="right"/>
              <w:rPr/>
            </w:pPr>
            <w:r>
              <w:rPr/>
              <w:t>(131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Balance,</w:t>
              <w:br/>
              <w:t>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vAlign w:val="center"/>
          </w:tcPr>
          <w:p>
            <w:pPr>
              <w:pStyle w:val="TableContents"/>
              <w:bidi w:val="0"/>
              <w:spacing w:before="0" w:after="283"/>
              <w:jc w:val="left"/>
              <w:rPr/>
            </w:pPr>
            <w:r>
              <w:rPr/>
              <w:t>$</w:t>
            </w:r>
          </w:p>
        </w:tc>
        <w:tc>
          <w:tcPr>
            <w:tcW w:w="706" w:type="dxa"/>
            <w:tcBorders>
              <w:bottom w:val="double" w:sz="6" w:space="0" w:color="000000"/>
            </w:tcBorders>
            <w:shd w:fill="FFFFFF" w:val="clear"/>
            <w:vAlign w:val="center"/>
          </w:tcPr>
          <w:p>
            <w:pPr>
              <w:pStyle w:val="TableContents"/>
              <w:bidi w:val="0"/>
              <w:spacing w:before="0" w:after="283"/>
              <w:jc w:val="right"/>
              <w:rPr/>
            </w:pPr>
            <w:r>
              <w:rPr/>
              <w:t>230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vAlign w:val="center"/>
          </w:tcPr>
          <w:p>
            <w:pPr>
              <w:pStyle w:val="TableContents"/>
              <w:bidi w:val="0"/>
              <w:spacing w:before="0" w:after="283"/>
              <w:jc w:val="left"/>
              <w:rPr/>
            </w:pPr>
            <w:r>
              <w:rPr/>
              <w:t>$</w:t>
            </w:r>
          </w:p>
        </w:tc>
        <w:tc>
          <w:tcPr>
            <w:tcW w:w="913" w:type="dxa"/>
            <w:tcBorders>
              <w:bottom w:val="double" w:sz="6" w:space="0" w:color="000000"/>
            </w:tcBorders>
            <w:shd w:fill="FFFFFF" w:val="clear"/>
            <w:vAlign w:val="center"/>
          </w:tcPr>
          <w:p>
            <w:pPr>
              <w:pStyle w:val="TableContents"/>
              <w:bidi w:val="0"/>
              <w:spacing w:before="0" w:after="283"/>
              <w:jc w:val="right"/>
              <w:rPr/>
            </w:pPr>
            <w:r>
              <w:rPr/>
              <w:t>95,783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vAlign w:val="center"/>
          </w:tcPr>
          <w:p>
            <w:pPr>
              <w:pStyle w:val="TableContents"/>
              <w:bidi w:val="0"/>
              <w:spacing w:before="0" w:after="283"/>
              <w:jc w:val="left"/>
              <w:rPr/>
            </w:pPr>
            <w:r>
              <w:rPr/>
              <w:t>$</w:t>
            </w:r>
          </w:p>
        </w:tc>
        <w:tc>
          <w:tcPr>
            <w:tcW w:w="876" w:type="dxa"/>
            <w:tcBorders>
              <w:bottom w:val="double" w:sz="6" w:space="0" w:color="000000"/>
            </w:tcBorders>
            <w:shd w:fill="FFFFFF" w:val="clear"/>
            <w:vAlign w:val="center"/>
          </w:tcPr>
          <w:p>
            <w:pPr>
              <w:pStyle w:val="TableContents"/>
              <w:bidi w:val="0"/>
              <w:spacing w:before="0" w:after="283"/>
              <w:jc w:val="right"/>
              <w:rPr/>
            </w:pPr>
            <w:r>
              <w:rPr/>
              <w:t>(455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shd w:fill="FFFFFF" w:val="clear"/>
            <w:vAlign w:val="center"/>
          </w:tcPr>
          <w:p>
            <w:pPr>
              <w:pStyle w:val="TableContents"/>
              <w:bidi w:val="0"/>
              <w:spacing w:before="0" w:after="283"/>
              <w:jc w:val="left"/>
              <w:rPr/>
            </w:pPr>
            <w:r>
              <w:rPr/>
              <w:t>$</w:t>
            </w:r>
          </w:p>
        </w:tc>
        <w:tc>
          <w:tcPr>
            <w:tcW w:w="809" w:type="dxa"/>
            <w:tcBorders>
              <w:bottom w:val="double" w:sz="6" w:space="0" w:color="000000"/>
            </w:tcBorders>
            <w:shd w:fill="FFFFFF" w:val="clear"/>
            <w:vAlign w:val="center"/>
          </w:tcPr>
          <w:p>
            <w:pPr>
              <w:pStyle w:val="TableContents"/>
              <w:bidi w:val="0"/>
              <w:spacing w:before="0" w:after="283"/>
              <w:jc w:val="right"/>
              <w:rPr/>
            </w:pPr>
            <w:r>
              <w:rPr/>
              <w:t>207,997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vAlign w:val="center"/>
          </w:tcPr>
          <w:p>
            <w:pPr>
              <w:pStyle w:val="TableContents"/>
              <w:bidi w:val="0"/>
              <w:spacing w:before="0" w:after="283"/>
              <w:jc w:val="left"/>
              <w:rPr/>
            </w:pPr>
            <w:r>
              <w:rPr/>
              <w:t>$</w:t>
            </w:r>
          </w:p>
        </w:tc>
        <w:tc>
          <w:tcPr>
            <w:tcW w:w="1359" w:type="dxa"/>
            <w:tcBorders>
              <w:bottom w:val="double" w:sz="6" w:space="0" w:color="000000"/>
            </w:tcBorders>
            <w:shd w:fill="FFFFFF" w:val="clear"/>
            <w:vAlign w:val="center"/>
          </w:tcPr>
          <w:p>
            <w:pPr>
              <w:pStyle w:val="TableContents"/>
              <w:bidi w:val="0"/>
              <w:spacing w:before="0" w:after="283"/>
              <w:jc w:val="right"/>
              <w:rPr/>
            </w:pPr>
            <w:r>
              <w:rPr/>
              <w:t>(15,671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815" w:type="dxa"/>
            <w:tcBorders>
              <w:bottom w:val="double" w:sz="6" w:space="0" w:color="000000"/>
            </w:tcBorders>
            <w:shd w:fill="FFFFFF" w:val="clear"/>
            <w:vAlign w:val="center"/>
          </w:tcPr>
          <w:p>
            <w:pPr>
              <w:pStyle w:val="TableContents"/>
              <w:bidi w:val="0"/>
              <w:spacing w:before="0" w:after="283"/>
              <w:jc w:val="right"/>
              <w:rPr/>
            </w:pPr>
            <w:r>
              <w:rPr/>
              <w:t>(33,884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vAlign w:val="center"/>
          </w:tcPr>
          <w:p>
            <w:pPr>
              <w:pStyle w:val="TableContents"/>
              <w:bidi w:val="0"/>
              <w:spacing w:before="0" w:after="283"/>
              <w:jc w:val="left"/>
              <w:rPr/>
            </w:pPr>
            <w:r>
              <w:rPr/>
              <w:t>$</w:t>
            </w:r>
          </w:p>
        </w:tc>
        <w:tc>
          <w:tcPr>
            <w:tcW w:w="1230" w:type="dxa"/>
            <w:tcBorders>
              <w:bottom w:val="double" w:sz="6" w:space="0" w:color="000000"/>
            </w:tcBorders>
            <w:shd w:fill="FFFFFF" w:val="clear"/>
            <w:vAlign w:val="center"/>
          </w:tcPr>
          <w:p>
            <w:pPr>
              <w:pStyle w:val="TableContents"/>
              <w:bidi w:val="0"/>
              <w:spacing w:before="0" w:after="283"/>
              <w:jc w:val="right"/>
              <w:rPr/>
            </w:pPr>
            <w:r>
              <w:rPr/>
              <w:t>254,000</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Consolidated Statements of Cash Flows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3"/>
        <w:gridCol w:w="60"/>
        <w:gridCol w:w="224"/>
        <w:gridCol w:w="1212"/>
        <w:gridCol w:w="152"/>
        <w:gridCol w:w="96"/>
        <w:gridCol w:w="224"/>
        <w:gridCol w:w="1212"/>
        <w:gridCol w:w="382"/>
      </w:tblGrid>
      <w:tr>
        <w:trPr/>
        <w:tc>
          <w:tcPr>
            <w:tcW w:w="66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382" w:type="dxa"/>
            <w:tcBorders/>
            <w:vAlign w:val="center"/>
          </w:tcPr>
          <w:p>
            <w:pPr>
              <w:pStyle w:val="TableContents"/>
              <w:bidi w:val="0"/>
              <w:spacing w:before="0" w:after="283"/>
              <w:jc w:val="left"/>
              <w:rPr/>
            </w:pPr>
            <w:r>
              <w:rPr/>
              <w:t> </w:t>
            </w:r>
          </w:p>
        </w:tc>
      </w:tr>
      <w:tr>
        <w:trPr/>
        <w:tc>
          <w:tcPr>
            <w:tcW w:w="66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82" w:type="dxa"/>
            <w:tcBorders/>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382"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212" w:type="dxa"/>
            <w:tcBorders/>
            <w:shd w:fill="FFFFFF" w:val="clear"/>
            <w:vAlign w:val="center"/>
          </w:tcPr>
          <w:p>
            <w:pPr>
              <w:pStyle w:val="TableContents"/>
              <w:bidi w:val="0"/>
              <w:spacing w:before="0" w:after="283"/>
              <w:jc w:val="right"/>
              <w:rPr/>
            </w:pPr>
            <w:r>
              <w:rPr/>
              <w:t>12,508</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212" w:type="dxa"/>
            <w:tcBorders/>
            <w:shd w:fill="FFFFFF" w:val="clear"/>
            <w:vAlign w:val="center"/>
          </w:tcPr>
          <w:p>
            <w:pPr>
              <w:pStyle w:val="TableContents"/>
              <w:bidi w:val="0"/>
              <w:spacing w:before="0" w:after="283"/>
              <w:jc w:val="right"/>
              <w:rPr/>
            </w:pPr>
            <w:r>
              <w:rPr/>
              <w:t>6,460</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Adjustments to reconcile net income to 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382"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Net investment gains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(1,704</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(869</w:t>
            </w:r>
          </w:p>
        </w:tc>
        <w:tc>
          <w:tcPr>
            <w:tcW w:w="382" w:type="dxa"/>
            <w:tcBorders/>
            <w:shd w:fill="FFFFFF" w:val="clear"/>
            <w:vAlign w:val="center"/>
          </w:tcPr>
          <w:p>
            <w:pPr>
              <w:pStyle w:val="TableContents"/>
              <w:bidi w:val="0"/>
              <w:spacing w:before="0" w:after="283"/>
              <w:jc w:val="left"/>
              <w:rPr/>
            </w:pPr>
            <w:r>
              <w:rPr/>
              <w:t>)</w:t>
            </w:r>
          </w:p>
        </w:tc>
      </w:tr>
      <w:tr>
        <w:trPr/>
        <w:tc>
          <w:tcPr>
            <w:tcW w:w="6643" w:type="dxa"/>
            <w:tcBorders/>
            <w:shd w:fill="CCEEFF" w:val="clear"/>
            <w:vAlign w:val="center"/>
          </w:tcPr>
          <w:p>
            <w:pPr>
              <w:pStyle w:val="TableContents"/>
              <w:bidi w:val="0"/>
              <w:spacing w:before="0" w:after="283"/>
              <w:jc w:val="left"/>
              <w:rPr/>
            </w:pPr>
            <w:r>
              <w:rPr/>
              <w:t>Deferred income tax expense (benefit)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1,229</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(683</w:t>
            </w:r>
          </w:p>
        </w:tc>
        <w:tc>
          <w:tcPr>
            <w:tcW w:w="382" w:type="dxa"/>
            <w:tcBorders/>
            <w:shd w:fill="CCEEFF" w:val="clear"/>
            <w:vAlign w:val="center"/>
          </w:tcPr>
          <w:p>
            <w:pPr>
              <w:pStyle w:val="TableContents"/>
              <w:bidi w:val="0"/>
              <w:spacing w:before="0" w:after="283"/>
              <w:jc w:val="left"/>
              <w:rPr/>
            </w:pPr>
            <w:r>
              <w:rPr/>
              <w:t>)</w:t>
            </w:r>
          </w:p>
        </w:tc>
      </w:tr>
      <w:tr>
        <w:trPr/>
        <w:tc>
          <w:tcPr>
            <w:tcW w:w="6643"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168</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173</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293</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480</w:t>
            </w:r>
          </w:p>
        </w:tc>
        <w:tc>
          <w:tcPr>
            <w:tcW w:w="382"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11,886</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16,528</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Deferral of policy acquisition costs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(11,787</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(14,041</w:t>
            </w:r>
          </w:p>
        </w:tc>
        <w:tc>
          <w:tcPr>
            <w:tcW w:w="382" w:type="dxa"/>
            <w:tcBorders/>
            <w:shd w:fill="CCEEFF" w:val="clear"/>
            <w:vAlign w:val="center"/>
          </w:tcPr>
          <w:p>
            <w:pPr>
              <w:pStyle w:val="TableContents"/>
              <w:bidi w:val="0"/>
              <w:spacing w:before="0" w:after="283"/>
              <w:jc w:val="left"/>
              <w:rPr/>
            </w:pPr>
            <w:r>
              <w:rPr/>
              <w:t>)</w:t>
            </w:r>
          </w:p>
        </w:tc>
      </w:tr>
      <w:tr>
        <w:trPr/>
        <w:tc>
          <w:tcPr>
            <w:tcW w:w="6643" w:type="dxa"/>
            <w:tcBorders/>
            <w:shd w:fill="FFFFFF" w:val="clear"/>
            <w:vAlign w:val="center"/>
          </w:tcPr>
          <w:p>
            <w:pPr>
              <w:pStyle w:val="TableContents"/>
              <w:bidi w:val="0"/>
              <w:spacing w:before="0" w:after="283"/>
              <w:jc w:val="left"/>
              <w:rPr/>
            </w:pPr>
            <w:r>
              <w:rPr/>
              <w:t>Net amortization of premiums and discounts on investments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121</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85</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Gain on sale of property and equipment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(15</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382" w:type="dxa"/>
            <w:tcBorders/>
            <w:shd w:fill="CCEEFF" w:val="clear"/>
            <w:vAlign w:val="center"/>
          </w:tcPr>
          <w:p>
            <w:pPr>
              <w:pStyle w:val="TableContents"/>
              <w:bidi w:val="0"/>
              <w:spacing w:before="0" w:after="283"/>
              <w:ind w:left="0" w:right="0" w:hanging="216"/>
              <w:jc w:val="left"/>
              <w:rPr/>
            </w:pPr>
            <w:r>
              <w:rPr/>
              <w:t> </w:t>
            </w:r>
          </w:p>
        </w:tc>
      </w:tr>
      <w:tr>
        <w:trPr/>
        <w:tc>
          <w:tcPr>
            <w:tcW w:w="6643"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382" w:type="dxa"/>
            <w:tcBorders/>
            <w:shd w:fill="FFFFFF" w:val="clear"/>
            <w:vAlign w:val="center"/>
          </w:tcPr>
          <w:p>
            <w:pPr>
              <w:pStyle w:val="TableContents"/>
              <w:bidi w:val="0"/>
              <w:spacing w:before="0" w:after="283"/>
              <w:ind w:left="0" w:right="0" w:hanging="36"/>
              <w:jc w:val="left"/>
              <w:rPr/>
            </w:pPr>
            <w:r>
              <w:rPr/>
              <w:t> </w:t>
            </w:r>
          </w:p>
        </w:tc>
      </w:tr>
      <w:tr>
        <w:trPr/>
        <w:tc>
          <w:tcPr>
            <w:tcW w:w="6643" w:type="dxa"/>
            <w:tcBorders/>
            <w:shd w:fill="CCEEFF" w:val="clear"/>
            <w:vAlign w:val="center"/>
          </w:tcPr>
          <w:p>
            <w:pPr>
              <w:pStyle w:val="TableContents"/>
              <w:bidi w:val="0"/>
              <w:spacing w:before="0" w:after="283"/>
              <w:jc w:val="left"/>
              <w:rPr/>
            </w:pPr>
            <w:r>
              <w:rPr/>
              <w:t>Premiums and agents’ balances receivable</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1,365</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3,687</w:t>
            </w:r>
          </w:p>
        </w:tc>
        <w:tc>
          <w:tcPr>
            <w:tcW w:w="382" w:type="dxa"/>
            <w:tcBorders/>
            <w:shd w:fill="CCEEFF" w:val="clear"/>
            <w:vAlign w:val="center"/>
          </w:tcPr>
          <w:p>
            <w:pPr>
              <w:pStyle w:val="TableContents"/>
              <w:bidi w:val="0"/>
              <w:spacing w:before="0" w:after="283"/>
              <w:ind w:left="0" w:right="0" w:hanging="36"/>
              <w:jc w:val="left"/>
              <w:rPr/>
            </w:pPr>
            <w:r>
              <w:rPr/>
              <w:t> </w:t>
            </w:r>
          </w:p>
        </w:tc>
      </w:tr>
      <w:tr>
        <w:trPr/>
        <w:tc>
          <w:tcPr>
            <w:tcW w:w="6643" w:type="dxa"/>
            <w:tcBorders/>
            <w:shd w:fill="FFFFFF" w:val="clear"/>
            <w:vAlign w:val="center"/>
          </w:tcPr>
          <w:p>
            <w:pPr>
              <w:pStyle w:val="TableContents"/>
              <w:bidi w:val="0"/>
              <w:spacing w:before="0" w:after="283"/>
              <w:jc w:val="left"/>
              <w:rPr/>
            </w:pPr>
            <w:r>
              <w:rPr/>
              <w:t>Reinsurance premiums receivable / payable</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841</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978</w:t>
            </w:r>
          </w:p>
        </w:tc>
        <w:tc>
          <w:tcPr>
            <w:tcW w:w="382" w:type="dxa"/>
            <w:tcBorders/>
            <w:shd w:fill="FFFFFF" w:val="clear"/>
            <w:vAlign w:val="center"/>
          </w:tcPr>
          <w:p>
            <w:pPr>
              <w:pStyle w:val="TableContents"/>
              <w:bidi w:val="0"/>
              <w:spacing w:before="0" w:after="283"/>
              <w:ind w:left="0" w:right="0" w:hanging="36"/>
              <w:jc w:val="left"/>
              <w:rPr/>
            </w:pPr>
            <w:r>
              <w:rPr/>
              <w:t> </w:t>
            </w:r>
          </w:p>
        </w:tc>
      </w:tr>
      <w:tr>
        <w:trPr/>
        <w:tc>
          <w:tcPr>
            <w:tcW w:w="6643"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2,006</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3,915</w:t>
            </w:r>
          </w:p>
        </w:tc>
        <w:tc>
          <w:tcPr>
            <w:tcW w:w="382" w:type="dxa"/>
            <w:tcBorders/>
            <w:shd w:fill="CCEEFF" w:val="clear"/>
            <w:vAlign w:val="center"/>
          </w:tcPr>
          <w:p>
            <w:pPr>
              <w:pStyle w:val="TableContents"/>
              <w:bidi w:val="0"/>
              <w:spacing w:before="0" w:after="283"/>
              <w:ind w:left="0" w:right="0" w:hanging="36"/>
              <w:jc w:val="left"/>
              <w:rPr/>
            </w:pPr>
            <w:r>
              <w:rPr/>
              <w:t> </w:t>
            </w:r>
          </w:p>
        </w:tc>
      </w:tr>
      <w:tr>
        <w:trPr/>
        <w:tc>
          <w:tcPr>
            <w:tcW w:w="6643" w:type="dxa"/>
            <w:tcBorders/>
            <w:shd w:fill="FFFFFF" w:val="clear"/>
            <w:vAlign w:val="center"/>
          </w:tcPr>
          <w:p>
            <w:pPr>
              <w:pStyle w:val="TableContents"/>
              <w:bidi w:val="0"/>
              <w:spacing w:before="0" w:after="283"/>
              <w:jc w:val="left"/>
              <w:rPr/>
            </w:pPr>
            <w:r>
              <w:rPr/>
              <w:t>Income tax recoverable / payable</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2,545</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1,972</w:t>
            </w:r>
          </w:p>
        </w:tc>
        <w:tc>
          <w:tcPr>
            <w:tcW w:w="382" w:type="dxa"/>
            <w:tcBorders/>
            <w:shd w:fill="FFFFFF" w:val="clear"/>
            <w:vAlign w:val="center"/>
          </w:tcPr>
          <w:p>
            <w:pPr>
              <w:pStyle w:val="TableContents"/>
              <w:bidi w:val="0"/>
              <w:spacing w:before="0" w:after="283"/>
              <w:ind w:left="0" w:right="0" w:hanging="36"/>
              <w:jc w:val="left"/>
              <w:rPr/>
            </w:pPr>
            <w:r>
              <w:rPr/>
              <w:t> </w:t>
            </w:r>
          </w:p>
        </w:tc>
      </w:tr>
      <w:tr>
        <w:trPr/>
        <w:tc>
          <w:tcPr>
            <w:tcW w:w="6643" w:type="dxa"/>
            <w:tcBorders/>
            <w:shd w:fill="CCEEFF" w:val="clear"/>
            <w:vAlign w:val="center"/>
          </w:tcPr>
          <w:p>
            <w:pPr>
              <w:pStyle w:val="TableContents"/>
              <w:bidi w:val="0"/>
              <w:spacing w:before="0" w:after="283"/>
              <w:jc w:val="left"/>
              <w:rPr/>
            </w:pPr>
            <w:r>
              <w:rPr/>
              <w:t>Accrued investment income</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192</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298</w:t>
            </w:r>
          </w:p>
        </w:tc>
        <w:tc>
          <w:tcPr>
            <w:tcW w:w="382" w:type="dxa"/>
            <w:tcBorders/>
            <w:shd w:fill="CCEEFF" w:val="clear"/>
            <w:vAlign w:val="center"/>
          </w:tcPr>
          <w:p>
            <w:pPr>
              <w:pStyle w:val="TableContents"/>
              <w:bidi w:val="0"/>
              <w:spacing w:before="0" w:after="283"/>
              <w:ind w:left="0" w:right="0" w:hanging="36"/>
              <w:jc w:val="left"/>
              <w:rPr/>
            </w:pPr>
            <w:r>
              <w:rPr/>
              <w:t> </w:t>
            </w:r>
          </w:p>
        </w:tc>
      </w:tr>
      <w:tr>
        <w:trPr/>
        <w:tc>
          <w:tcPr>
            <w:tcW w:w="6643" w:type="dxa"/>
            <w:tcBorders/>
            <w:shd w:fill="FFFFFF" w:val="clear"/>
            <w:vAlign w:val="center"/>
          </w:tcPr>
          <w:p>
            <w:pPr>
              <w:pStyle w:val="TableContents"/>
              <w:bidi w:val="0"/>
              <w:spacing w:before="0" w:after="283"/>
              <w:jc w:val="left"/>
              <w:rPr/>
            </w:pPr>
            <w:r>
              <w:rPr/>
              <w:t>Federal Crop Insurance Corporation receivable / payable</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2,819</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1,749</w:t>
            </w:r>
          </w:p>
        </w:tc>
        <w:tc>
          <w:tcPr>
            <w:tcW w:w="382" w:type="dxa"/>
            <w:tcBorders/>
            <w:shd w:fill="FFFFFF" w:val="clear"/>
            <w:vAlign w:val="center"/>
          </w:tcPr>
          <w:p>
            <w:pPr>
              <w:pStyle w:val="TableContents"/>
              <w:bidi w:val="0"/>
              <w:spacing w:before="0" w:after="283"/>
              <w:ind w:left="0" w:right="0" w:hanging="36"/>
              <w:jc w:val="left"/>
              <w:rPr/>
            </w:pPr>
            <w:r>
              <w:rPr/>
              <w:t> </w:t>
            </w:r>
          </w:p>
        </w:tc>
      </w:tr>
      <w:tr>
        <w:trPr/>
        <w:tc>
          <w:tcPr>
            <w:tcW w:w="6643"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231</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(88</w:t>
            </w:r>
          </w:p>
        </w:tc>
        <w:tc>
          <w:tcPr>
            <w:tcW w:w="382" w:type="dxa"/>
            <w:tcBorders/>
            <w:shd w:fill="CCEEFF" w:val="clear"/>
            <w:vAlign w:val="center"/>
          </w:tcPr>
          <w:p>
            <w:pPr>
              <w:pStyle w:val="TableContents"/>
              <w:bidi w:val="0"/>
              <w:spacing w:before="0" w:after="283"/>
              <w:ind w:left="0" w:right="0" w:hanging="36"/>
              <w:jc w:val="left"/>
              <w:rPr/>
            </w:pPr>
            <w:r>
              <w:rPr/>
              <w:t>)</w:t>
            </w:r>
          </w:p>
        </w:tc>
      </w:tr>
      <w:tr>
        <w:trPr/>
        <w:tc>
          <w:tcPr>
            <w:tcW w:w="6643" w:type="dxa"/>
            <w:tcBorders/>
            <w:shd w:fill="FFFFFF" w:val="clear"/>
            <w:vAlign w:val="center"/>
          </w:tcPr>
          <w:p>
            <w:pPr>
              <w:pStyle w:val="TableContents"/>
              <w:bidi w:val="0"/>
              <w:spacing w:before="0" w:after="283"/>
              <w:jc w:val="left"/>
              <w:rPr/>
            </w:pPr>
            <w:r>
              <w:rPr/>
              <w:t>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(14,261</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(1,402</w:t>
            </w:r>
          </w:p>
        </w:tc>
        <w:tc>
          <w:tcPr>
            <w:tcW w:w="382" w:type="dxa"/>
            <w:tcBorders/>
            <w:shd w:fill="FFFFFF" w:val="clear"/>
            <w:vAlign w:val="center"/>
          </w:tcPr>
          <w:p>
            <w:pPr>
              <w:pStyle w:val="TableContents"/>
              <w:bidi w:val="0"/>
              <w:spacing w:before="0" w:after="283"/>
              <w:ind w:left="0" w:right="0" w:hanging="36"/>
              <w:jc w:val="left"/>
              <w:rPr/>
            </w:pPr>
            <w:r>
              <w:rPr/>
              <w:t>)</w:t>
            </w:r>
          </w:p>
        </w:tc>
      </w:tr>
      <w:tr>
        <w:trPr/>
        <w:tc>
          <w:tcPr>
            <w:tcW w:w="6643"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(2,862</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(4,435</w:t>
            </w:r>
          </w:p>
        </w:tc>
        <w:tc>
          <w:tcPr>
            <w:tcW w:w="382" w:type="dxa"/>
            <w:tcBorders/>
            <w:shd w:fill="CCEEFF" w:val="clear"/>
            <w:vAlign w:val="center"/>
          </w:tcPr>
          <w:p>
            <w:pPr>
              <w:pStyle w:val="TableContents"/>
              <w:bidi w:val="0"/>
              <w:spacing w:before="0" w:after="283"/>
              <w:ind w:left="0" w:right="0" w:hanging="36"/>
              <w:jc w:val="left"/>
              <w:rPr/>
            </w:pPr>
            <w:r>
              <w:rPr/>
              <w:t>)</w:t>
            </w:r>
          </w:p>
        </w:tc>
      </w:tr>
      <w:tr>
        <w:trPr/>
        <w:tc>
          <w:tcPr>
            <w:tcW w:w="6643"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(7,442</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(4,919</w:t>
            </w:r>
          </w:p>
        </w:tc>
        <w:tc>
          <w:tcPr>
            <w:tcW w:w="382" w:type="dxa"/>
            <w:tcBorders/>
            <w:shd w:fill="FFFFFF" w:val="clear"/>
            <w:vAlign w:val="center"/>
          </w:tcPr>
          <w:p>
            <w:pPr>
              <w:pStyle w:val="TableContents"/>
              <w:bidi w:val="0"/>
              <w:spacing w:before="0" w:after="283"/>
              <w:jc w:val="left"/>
              <w:rPr/>
            </w:pPr>
            <w:r>
              <w:rPr/>
              <w:t>)</w:t>
            </w:r>
          </w:p>
        </w:tc>
      </w:tr>
      <w:tr>
        <w:trPr/>
        <w:tc>
          <w:tcPr>
            <w:tcW w:w="6643" w:type="dxa"/>
            <w:tcBorders/>
            <w:shd w:fill="CCEEFF" w:val="clear"/>
            <w:vAlign w:val="center"/>
          </w:tcPr>
          <w:p>
            <w:pPr>
              <w:pStyle w:val="TableContents"/>
              <w:bidi w:val="0"/>
              <w:spacing w:before="0" w:after="283"/>
              <w:jc w:val="left"/>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(14,375</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3,428</w:t>
            </w:r>
          </w:p>
        </w:tc>
        <w:tc>
          <w:tcPr>
            <w:tcW w:w="382"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Net cash flows from operating activities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(1,867</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9,888</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382"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Proceeds from maturities and sales of fixed income securities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12,826</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4,221</w:t>
            </w:r>
          </w:p>
        </w:tc>
        <w:tc>
          <w:tcPr>
            <w:tcW w:w="382"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Proceeds from sales of equity securities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2,251</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2,293</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Purchases of fixed income securities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(3,737</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(7,586</w:t>
            </w:r>
          </w:p>
        </w:tc>
        <w:tc>
          <w:tcPr>
            <w:tcW w:w="382" w:type="dxa"/>
            <w:tcBorders/>
            <w:shd w:fill="CCEEFF" w:val="clear"/>
            <w:vAlign w:val="center"/>
          </w:tcPr>
          <w:p>
            <w:pPr>
              <w:pStyle w:val="TableContents"/>
              <w:bidi w:val="0"/>
              <w:spacing w:before="0" w:after="283"/>
              <w:jc w:val="left"/>
              <w:rPr/>
            </w:pPr>
            <w:r>
              <w:rPr/>
              <w:t>)</w:t>
            </w:r>
          </w:p>
        </w:tc>
      </w:tr>
      <w:tr>
        <w:trPr/>
        <w:tc>
          <w:tcPr>
            <w:tcW w:w="6643" w:type="dxa"/>
            <w:tcBorders/>
            <w:shd w:fill="FFFFFF" w:val="clear"/>
            <w:vAlign w:val="center"/>
          </w:tcPr>
          <w:p>
            <w:pPr>
              <w:pStyle w:val="TableContents"/>
              <w:bidi w:val="0"/>
              <w:spacing w:before="0" w:after="283"/>
              <w:jc w:val="left"/>
              <w:rPr/>
            </w:pPr>
            <w:r>
              <w:rPr/>
              <w:t>Purchases of equity securities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(2,396</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(2,367</w:t>
            </w:r>
          </w:p>
        </w:tc>
        <w:tc>
          <w:tcPr>
            <w:tcW w:w="382" w:type="dxa"/>
            <w:tcBorders/>
            <w:shd w:fill="FFFFFF" w:val="clear"/>
            <w:vAlign w:val="center"/>
          </w:tcPr>
          <w:p>
            <w:pPr>
              <w:pStyle w:val="TableContents"/>
              <w:bidi w:val="0"/>
              <w:spacing w:before="0" w:after="283"/>
              <w:jc w:val="left"/>
              <w:rPr/>
            </w:pPr>
            <w:r>
              <w:rPr/>
              <w:t>)</w:t>
            </w:r>
          </w:p>
        </w:tc>
      </w:tr>
      <w:tr>
        <w:trPr/>
        <w:tc>
          <w:tcPr>
            <w:tcW w:w="6643"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(42</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(20</w:t>
            </w:r>
          </w:p>
        </w:tc>
        <w:tc>
          <w:tcPr>
            <w:tcW w:w="382" w:type="dxa"/>
            <w:tcBorders/>
            <w:shd w:fill="CCEEFF" w:val="clear"/>
            <w:vAlign w:val="center"/>
          </w:tcPr>
          <w:p>
            <w:pPr>
              <w:pStyle w:val="TableContents"/>
              <w:bidi w:val="0"/>
              <w:spacing w:before="0" w:after="283"/>
              <w:jc w:val="left"/>
              <w:rPr/>
            </w:pPr>
            <w:r>
              <w:rPr/>
              <w:t>)</w:t>
            </w:r>
          </w:p>
        </w:tc>
      </w:tr>
      <w:tr>
        <w:trPr/>
        <w:tc>
          <w:tcPr>
            <w:tcW w:w="6643" w:type="dxa"/>
            <w:tcBorders/>
            <w:shd w:fill="FFFFFF" w:val="clear"/>
            <w:vAlign w:val="center"/>
          </w:tcPr>
          <w:p>
            <w:pPr>
              <w:pStyle w:val="TableContents"/>
              <w:bidi w:val="0"/>
              <w:spacing w:before="0" w:after="283"/>
              <w:jc w:val="left"/>
              <w:rPr/>
            </w:pPr>
            <w:r>
              <w:rPr/>
              <w:t>Proceeds from sales of property and equipment</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32</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Net 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8,934</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(3,459</w:t>
            </w:r>
          </w:p>
        </w:tc>
        <w:tc>
          <w:tcPr>
            <w:tcW w:w="382" w:type="dxa"/>
            <w:tcBorders/>
            <w:shd w:fill="CCEEFF" w:val="clear"/>
            <w:vAlign w:val="center"/>
          </w:tcPr>
          <w:p>
            <w:pPr>
              <w:pStyle w:val="TableContents"/>
              <w:bidi w:val="0"/>
              <w:spacing w:before="0" w:after="283"/>
              <w:jc w:val="left"/>
              <w:rPr/>
            </w:pPr>
            <w:r>
              <w:rPr/>
              <w:t>)</w:t>
            </w:r>
          </w:p>
        </w:tc>
      </w:tr>
      <w:tr>
        <w:trPr/>
        <w:tc>
          <w:tcPr>
            <w:tcW w:w="6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382"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(861</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Principal repayments of finance leases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(28</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(26</w:t>
            </w:r>
          </w:p>
        </w:tc>
        <w:tc>
          <w:tcPr>
            <w:tcW w:w="382" w:type="dxa"/>
            <w:tcBorders/>
            <w:shd w:fill="CCEEFF" w:val="clear"/>
            <w:vAlign w:val="center"/>
          </w:tcPr>
          <w:p>
            <w:pPr>
              <w:pStyle w:val="TableContents"/>
              <w:bidi w:val="0"/>
              <w:spacing w:before="0" w:after="283"/>
              <w:jc w:val="left"/>
              <w:rPr/>
            </w:pPr>
            <w:r>
              <w:rPr/>
              <w:t>)</w:t>
            </w:r>
          </w:p>
        </w:tc>
      </w:tr>
      <w:tr>
        <w:trPr/>
        <w:tc>
          <w:tcPr>
            <w:tcW w:w="6643" w:type="dxa"/>
            <w:tcBorders/>
            <w:shd w:fill="FFFFFF" w:val="clear"/>
            <w:vAlign w:val="center"/>
          </w:tcPr>
          <w:p>
            <w:pPr>
              <w:pStyle w:val="TableContents"/>
              <w:bidi w:val="0"/>
              <w:spacing w:before="0" w:after="283"/>
              <w:jc w:val="left"/>
              <w:rPr/>
            </w:pPr>
            <w:r>
              <w:rPr/>
              <w:t>Issuance of vested award shares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(176</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(131</w:t>
            </w:r>
          </w:p>
        </w:tc>
        <w:tc>
          <w:tcPr>
            <w:tcW w:w="382" w:type="dxa"/>
            <w:tcBorders/>
            <w:shd w:fill="FFFFFF" w:val="clear"/>
            <w:vAlign w:val="center"/>
          </w:tcPr>
          <w:p>
            <w:pPr>
              <w:pStyle w:val="TableContents"/>
              <w:bidi w:val="0"/>
              <w:spacing w:before="0" w:after="283"/>
              <w:ind w:left="0" w:right="0" w:firstLine="270"/>
              <w:jc w:val="left"/>
              <w:rPr/>
            </w:pPr>
            <w:r>
              <w:rPr/>
              <w:t>)</w:t>
            </w:r>
          </w:p>
        </w:tc>
      </w:tr>
      <w:tr>
        <w:trPr/>
        <w:tc>
          <w:tcPr>
            <w:tcW w:w="6643"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(1,065</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(157</w:t>
            </w:r>
          </w:p>
        </w:tc>
        <w:tc>
          <w:tcPr>
            <w:tcW w:w="382" w:type="dxa"/>
            <w:tcBorders/>
            <w:shd w:fill="CCEEFF" w:val="clear"/>
            <w:vAlign w:val="center"/>
          </w:tcPr>
          <w:p>
            <w:pPr>
              <w:pStyle w:val="TableContents"/>
              <w:bidi w:val="0"/>
              <w:spacing w:before="0" w:after="283"/>
              <w:jc w:val="left"/>
              <w:rPr/>
            </w:pPr>
            <w:r>
              <w:rPr/>
              <w:t>)</w:t>
            </w:r>
          </w:p>
        </w:tc>
      </w:tr>
      <w:tr>
        <w:trPr/>
        <w:tc>
          <w:tcPr>
            <w:tcW w:w="6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6,002</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6,272</w:t>
            </w:r>
          </w:p>
        </w:tc>
        <w:tc>
          <w:tcPr>
            <w:tcW w:w="382"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51,715</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50,930</w:t>
            </w:r>
          </w:p>
        </w:tc>
        <w:tc>
          <w:tcPr>
            <w:tcW w:w="382"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382"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2" w:type="dxa"/>
            <w:tcBorders>
              <w:bottom w:val="double" w:sz="6" w:space="0" w:color="000000"/>
            </w:tcBorders>
            <w:shd w:fill="CCEEFF" w:val="clear"/>
            <w:tcMar>
              <w:bottom w:w="28" w:type="dxa"/>
            </w:tcMar>
            <w:vAlign w:val="center"/>
          </w:tcPr>
          <w:p>
            <w:pPr>
              <w:pStyle w:val="TableContents"/>
              <w:bidi w:val="0"/>
              <w:spacing w:before="0" w:after="283"/>
              <w:jc w:val="right"/>
              <w:rPr/>
            </w:pPr>
            <w:r>
              <w:rPr/>
              <w:t>57,717</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2" w:type="dxa"/>
            <w:tcBorders>
              <w:bottom w:val="double" w:sz="6" w:space="0" w:color="000000"/>
            </w:tcBorders>
            <w:shd w:fill="CCEEFF" w:val="clear"/>
            <w:tcMar>
              <w:bottom w:w="28" w:type="dxa"/>
            </w:tcMar>
            <w:vAlign w:val="center"/>
          </w:tcPr>
          <w:p>
            <w:pPr>
              <w:pStyle w:val="TableContents"/>
              <w:bidi w:val="0"/>
              <w:spacing w:before="0" w:after="283"/>
              <w:jc w:val="right"/>
              <w:rPr/>
            </w:pPr>
            <w:r>
              <w:rPr/>
              <w:t>57,202</w:t>
            </w:r>
          </w:p>
        </w:tc>
        <w:tc>
          <w:tcPr>
            <w:tcW w:w="382" w:type="dxa"/>
            <w:tcBorders/>
            <w:shd w:fill="CCEEFF" w:val="clear"/>
            <w:vAlign w:val="center"/>
          </w:tcPr>
          <w:p>
            <w:pPr>
              <w:pStyle w:val="TableContents"/>
              <w:bidi w:val="0"/>
              <w:spacing w:before="0" w:after="283"/>
              <w:ind w:left="0" w:right="0" w:hanging="216"/>
              <w:jc w:val="left"/>
              <w:rPr/>
            </w:pPr>
            <w:r>
              <w:rPr/>
              <w:t> </w:t>
            </w:r>
          </w:p>
        </w:tc>
      </w:tr>
      <w:tr>
        <w:trPr/>
        <w:tc>
          <w:tcPr>
            <w:tcW w:w="66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382" w:type="dxa"/>
            <w:tcBorders/>
            <w:shd w:fill="FFFFFF" w:val="clear"/>
            <w:vAlign w:val="center"/>
          </w:tcPr>
          <w:p>
            <w:pPr>
              <w:pStyle w:val="TableContents"/>
              <w:bidi w:val="0"/>
              <w:spacing w:before="0" w:after="283"/>
              <w:ind w:left="0" w:right="0" w:hanging="216"/>
              <w:jc w:val="left"/>
              <w:rPr/>
            </w:pPr>
            <w:r>
              <w:rPr/>
              <w:t> </w:t>
            </w:r>
          </w:p>
        </w:tc>
      </w:tr>
      <w:tr>
        <w:trPr/>
        <w:tc>
          <w:tcPr>
            <w:tcW w:w="66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382" w:type="dxa"/>
            <w:tcBorders/>
            <w:shd w:fill="CCEEFF" w:val="clear"/>
            <w:vAlign w:val="center"/>
          </w:tcPr>
          <w:p>
            <w:pPr>
              <w:pStyle w:val="TableContents"/>
              <w:bidi w:val="0"/>
              <w:spacing w:before="0" w:after="283"/>
              <w:ind w:left="0" w:right="0" w:hanging="216"/>
              <w:jc w:val="left"/>
              <w:rPr/>
            </w:pPr>
            <w:r>
              <w:rPr/>
              <w:t> </w:t>
            </w:r>
          </w:p>
        </w:tc>
      </w:tr>
      <w:tr>
        <w:trPr/>
        <w:tc>
          <w:tcPr>
            <w:tcW w:w="6643" w:type="dxa"/>
            <w:tcBorders/>
            <w:shd w:fill="FFFFFF" w:val="clear"/>
            <w:vAlign w:val="center"/>
          </w:tcPr>
          <w:p>
            <w:pPr>
              <w:pStyle w:val="TableContents"/>
              <w:bidi w:val="0"/>
              <w:spacing w:before="0" w:after="283"/>
              <w:jc w:val="left"/>
              <w:rPr/>
            </w:pPr>
            <w:r>
              <w:rPr/>
              <w:t>Federal and state income taxes paid (net of refunds received)</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2" w:type="dxa"/>
            <w:tcBorders>
              <w:bottom w:val="double" w:sz="6" w:space="0" w:color="000000"/>
            </w:tcBorders>
            <w:shd w:fill="FFFFFF" w:val="clear"/>
            <w:tcMar>
              <w:bottom w:w="28" w:type="dxa"/>
            </w:tcMar>
            <w:vAlign w:val="center"/>
          </w:tcPr>
          <w:p>
            <w:pPr>
              <w:pStyle w:val="TableContents"/>
              <w:bidi w:val="0"/>
              <w:spacing w:before="0" w:after="283"/>
              <w:jc w:val="right"/>
              <w:rPr/>
            </w:pPr>
            <w:r>
              <w:rPr/>
              <w:t>(572</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3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1269"/>
        <w:gridCol w:w="8695"/>
      </w:tblGrid>
      <w:tr>
        <w:trPr/>
        <w:tc>
          <w:tcPr>
            <w:tcW w:w="24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b/>
              </w:rPr>
            </w:pPr>
            <w:r>
              <w:rPr>
                <w:b/>
              </w:rPr>
              <w:t>1.</w:t>
            </w:r>
          </w:p>
        </w:tc>
        <w:tc>
          <w:tcPr>
            <w:tcW w:w="8695" w:type="dxa"/>
            <w:tcBorders/>
            <w:vAlign w:val="center"/>
          </w:tcPr>
          <w:p>
            <w:pPr>
              <w:pStyle w:val="TableContents"/>
              <w:bidi w:val="0"/>
              <w:spacing w:before="0" w:after="283"/>
              <w:jc w:val="both"/>
              <w:rPr>
                <w:b/>
              </w:rPr>
            </w:pPr>
            <w:r>
              <w:rPr>
                <w:b/>
              </w:rPr>
              <w:t>Organization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 Holdings is a North Dakota business corporation that is the stock holding company of Nodak Insurance and became such in connection with the Nodak conversion, whereby Nodak Mutual Insurance Company converted from a mutual to stock form of organization and the creation of a mutual holding company. The Nodak conversion was consummated on March 13, 2017. Immediately following the Nodak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Nodak conversion, NI Holdings conducted no business and had no assets or liabilities. As a result of the Nodak conversion, NI Holdings became the holding company for Nodak Insurance and its existing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include the financial position and results of operations of NI Holdings and the following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the largest domestic property and casualty insurance company based in North Dakota, offering private passenger auto, homeowners, farmowners, commercial multi-peril, excess lines, dwelling, crop hail, and Federal multi-peril crop insurance coverages through its captive agents in the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Agency,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Agency is an inactive shell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American West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West is a property and casualty insurance company licensed in eight states in the Midwest and Western regions of the United States (“U.S.”). American West primarily writes private passenger auto, homeowners, and farm coverages in South Dakota. American West also writes private passenger auto coverage in North Dakota, as well as crop hail and Federal multi-peril crop insurance coverages in Minnesota and South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Battle Creek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Battle Creek is a property and casualty insurance company writing private passenger auto, homeowners, and farm coverages solely in the state of Nebraska. Battle Creek became affiliated with Nodak Insurance in 2011 and, prior to January 2, 2024, was controlled by Nodak Insurance via a surplus note. 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and its net income or loss was excluded from net income or loss attributed to NI Holdings in our Consolidated Statements of Operations. Subsequent to January 2, 2024, Battle Creek is fully consolidated in our Consolidated Balance Sheets and Consolidated Statements of Operations and, as such, no longer reflected as a non-controlling interest.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Primero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Primero is a wholly-owned subsidiary of Tri-State, Ltd. Tri-State, Ltd. is an inactive shell corporation that is 100% owned by Nodak Insurance. Primero is a property and casualty insurance company that primarily provides non-standard auto coverage in the states of Arizona, North Dakota, South Dakota, and Nevada. The Company made the strategic decision to stop writing non-standard auto business for Primero in Nevada during 2024 and in Arizona and South Dakota during the third quarter of 2025, and existing policies for these states will be non-renewed.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 Auto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Auto is a property and casualty insurance company that provides non-standard auto coverage in the state of Illinois. The Company made the strategic decision to stop writing non-standard auto business for Direct Auto in Illinois during the third quarter of 2025, and existing policies will be non-renewed.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Organizational Structure and Credit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markets and distributes its policies through its captive agents, while all other companies utilize the independent agent distribution channel. Additionally, all of the Company’s insurance subsidiary and affiliate companies as of March 31, 2026, are rated “A” Excellent by A.M. Best Company, Inc. (“AM Best”), a global credit rating agency specializing in the insurance industry. The same executive management team provides oversight and strategic direction for the entire organization.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418"/>
        <w:gridCol w:w="9708"/>
      </w:tblGrid>
      <w:tr>
        <w:trPr/>
        <w:tc>
          <w:tcPr>
            <w:tcW w:w="7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b/>
              </w:rPr>
            </w:pPr>
            <w:r>
              <w:rPr>
                <w:b/>
              </w:rPr>
              <w:t>2.</w:t>
            </w:r>
          </w:p>
        </w:tc>
        <w:tc>
          <w:tcPr>
            <w:tcW w:w="9708" w:type="dxa"/>
            <w:tcBorders/>
            <w:vAlign w:val="center"/>
          </w:tcPr>
          <w:p>
            <w:pPr>
              <w:pStyle w:val="TableContents"/>
              <w:bidi w:val="0"/>
              <w:spacing w:before="0" w:after="283"/>
              <w:jc w:val="both"/>
              <w:rPr>
                <w:b/>
              </w:rPr>
            </w:pPr>
            <w:r>
              <w:rPr>
                <w:b/>
              </w:rPr>
              <w:t>Basis of Presentation and Accounting Policies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at December 31, 2025, has been derived from the audited consolidated financial statements at that date but does not include all of the information and footnotes required by GAAP for complete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estimates and assumptions that can have a significant effect on amounts and disclosures we report in our unaudited consolidated financial statements. The most significant estimates relate to our reserves for unpaid losses and loss adjustment expenses, earned premiums for crop insurance, valuation of investments, determination of credit impairments, valuation allowances for deferred income tax assets, as well as deferred policy acquisition costs. While we believe our estimates are appropriate, the ultimate amounts may differ from the estimates provided. We regularly review our methods for making these estimates as well as the continued appropriateness of the estimated amounts, and we reflect any adjustment we consider necessary in our current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interim period ended March 31, 2026, are not necessarily indicative of the results that may be expected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2025 Annual Report describes the accounting policies and estimates that are critical to the understanding of our results of operations, financial condition, and liquidity. The accounting policies and estimation processes described in the 2025 Annual Report were consistently applied to the unaudited consolidated financial statements as of and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Enactment of the One Big Beautiful Bill Act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enacted a budget reconciliation package known as the One Big Beautiful Bill Act of 2025 (OBBBA) which includes both tax and non-tax provisions. The legislation has multiple effective dates, with certain provisions effective in 2025 and others through 2027. The Company believes that the changes resulting from the tax provisions in the OBBBA are not expected to have a material impact on the Company’s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 Yet Adopted</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Income Statement Expenses</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Financial Accounting Standards Board (“FASB”) issued ASU 2024-03, “Income Statement - Reporting Comprehensive Income - Expense Disaggregation Disclosures (Subtopic 220-40): Disaggregation of Income Statement Expenses.” This guidance is intended to improve disclosures about a public business entity's expenses and address requests from investors for more detailed information about the types of expenses in commonly presented expense captions. Such information should allow investors to better understand an entity's performance, assess future cash flows, and compare performance over time and with other entities. The amendments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statement of operations,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Internal-Use Software (Subtopic 350-40): Targeted Improvements to the Accounting for Internal-Use Software."  This guidance modernizes the accounting for internal-use software under ASC 350-40 to adapt to different development practices, especially agile and iterative methods. The updated guidance requires that an entity capitalize software costs when both: 1) management has authorized and committed to the funding of the software project, and 2) it is probable that the project will be completed, and the software will be used to perform its intended function. This update is effective for interim and annual periods beginning after December 15, 2027, with early adoption permitted. The Company is currently evaluating the impact of adopting this guidance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372"/>
        <w:gridCol w:w="8573"/>
      </w:tblGrid>
      <w:tr>
        <w:trPr/>
        <w:tc>
          <w:tcPr>
            <w:tcW w:w="26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b/>
              </w:rPr>
            </w:pPr>
            <w:r>
              <w:rPr>
                <w:b/>
              </w:rPr>
              <w:t>3.</w:t>
            </w:r>
          </w:p>
        </w:tc>
        <w:tc>
          <w:tcPr>
            <w:tcW w:w="8573" w:type="dxa"/>
            <w:tcBorders/>
            <w:vAlign w:val="center"/>
          </w:tcPr>
          <w:p>
            <w:pPr>
              <w:pStyle w:val="TableContents"/>
              <w:bidi w:val="0"/>
              <w:spacing w:before="0" w:after="283"/>
              <w:jc w:val="left"/>
              <w:rPr>
                <w:b/>
              </w:rPr>
            </w:pPr>
            <w:r>
              <w:rPr>
                <w:b/>
              </w:rPr>
              <w:t>Investments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presented on a consolidated basis as of March 31, 2026, and December 31, 2025, were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8"/>
        <w:gridCol w:w="60"/>
        <w:gridCol w:w="163"/>
        <w:gridCol w:w="937"/>
        <w:gridCol w:w="60"/>
        <w:gridCol w:w="60"/>
        <w:gridCol w:w="471"/>
        <w:gridCol w:w="878"/>
        <w:gridCol w:w="60"/>
        <w:gridCol w:w="60"/>
        <w:gridCol w:w="234"/>
        <w:gridCol w:w="939"/>
        <w:gridCol w:w="60"/>
        <w:gridCol w:w="60"/>
        <w:gridCol w:w="182"/>
        <w:gridCol w:w="990"/>
        <w:gridCol w:w="95"/>
        <w:gridCol w:w="60"/>
        <w:gridCol w:w="159"/>
        <w:gridCol w:w="909"/>
        <w:gridCol w:w="80"/>
      </w:tblGrid>
      <w:tr>
        <w:trPr/>
        <w:tc>
          <w:tcPr>
            <w:tcW w:w="3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7"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80" w:type="dxa"/>
            <w:tcBorders/>
            <w:vAlign w:val="center"/>
          </w:tcPr>
          <w:p>
            <w:pPr>
              <w:pStyle w:val="TableContents"/>
              <w:bidi w:val="0"/>
              <w:spacing w:before="0" w:after="283"/>
              <w:jc w:val="left"/>
              <w:rPr/>
            </w:pPr>
            <w:r>
              <w:rPr/>
              <w:t> </w:t>
            </w:r>
          </w:p>
        </w:tc>
      </w:tr>
      <w:tr>
        <w:trPr/>
        <w:tc>
          <w:tcPr>
            <w:tcW w:w="3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Cost or </w:t>
              <w:br/>
              <w:t>Amortized</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 xml:space="preserve">Expected </w:t>
              <w:br/>
              <w:t>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 xml:space="preserve">Unrealized </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0" w:type="dxa"/>
            <w:tcBorders/>
            <w:vAlign w:val="center"/>
          </w:tcPr>
          <w:p>
            <w:pPr>
              <w:pStyle w:val="TableContents"/>
              <w:bidi w:val="0"/>
              <w:spacing w:before="0" w:after="283"/>
              <w:jc w:val="left"/>
              <w:rPr/>
            </w:pPr>
            <w:r>
              <w:rPr/>
              <w:t> </w:t>
            </w:r>
          </w:p>
        </w:tc>
      </w:tr>
      <w:tr>
        <w:trPr/>
        <w:tc>
          <w:tcPr>
            <w:tcW w:w="3688"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88"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10,396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w:t>
            </w:r>
          </w:p>
        </w:tc>
        <w:tc>
          <w:tcPr>
            <w:tcW w:w="8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w:t>
            </w:r>
          </w:p>
        </w:tc>
        <w:tc>
          <w:tcPr>
            <w:tcW w:w="939" w:type="dxa"/>
            <w:tcBorders/>
            <w:shd w:fill="FFFFFF" w:val="clear"/>
            <w:vAlign w:val="center"/>
          </w:tcPr>
          <w:p>
            <w:pPr>
              <w:pStyle w:val="TableContents"/>
              <w:bidi w:val="0"/>
              <w:spacing w:before="0" w:after="283"/>
              <w:jc w:val="right"/>
              <w:rPr/>
            </w:pPr>
            <w:r>
              <w:rPr/>
              <w:t>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990"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10,386</w:t>
            </w:r>
          </w:p>
        </w:tc>
        <w:tc>
          <w:tcPr>
            <w:tcW w:w="80" w:type="dxa"/>
            <w:tcBorders/>
            <w:shd w:fill="FFFFFF" w:val="clear"/>
            <w:vAlign w:val="center"/>
          </w:tcPr>
          <w:p>
            <w:pPr>
              <w:pStyle w:val="TableContents"/>
              <w:bidi w:val="0"/>
              <w:spacing w:before="0" w:after="283"/>
              <w:jc w:val="left"/>
              <w:rPr/>
            </w:pPr>
            <w:r>
              <w:rPr/>
              <w:t> </w:t>
            </w:r>
          </w:p>
        </w:tc>
      </w:tr>
      <w:tr>
        <w:trPr/>
        <w:tc>
          <w:tcPr>
            <w:tcW w:w="3688"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50,409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45,646</w:t>
            </w:r>
          </w:p>
        </w:tc>
        <w:tc>
          <w:tcPr>
            <w:tcW w:w="80" w:type="dxa"/>
            <w:tcBorders/>
            <w:shd w:fill="CCEEFF" w:val="clear"/>
            <w:vAlign w:val="center"/>
          </w:tcPr>
          <w:p>
            <w:pPr>
              <w:pStyle w:val="TableContents"/>
              <w:bidi w:val="0"/>
              <w:spacing w:before="0" w:after="283"/>
              <w:jc w:val="left"/>
              <w:rPr/>
            </w:pPr>
            <w:r>
              <w:rPr/>
              <w:t> </w:t>
            </w:r>
          </w:p>
        </w:tc>
      </w:tr>
      <w:tr>
        <w:trPr/>
        <w:tc>
          <w:tcPr>
            <w:tcW w:w="3688"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121,603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(4,113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118,068</w:t>
            </w:r>
          </w:p>
        </w:tc>
        <w:tc>
          <w:tcPr>
            <w:tcW w:w="80" w:type="dxa"/>
            <w:tcBorders/>
            <w:shd w:fill="FFFFFF" w:val="clear"/>
            <w:vAlign w:val="center"/>
          </w:tcPr>
          <w:p>
            <w:pPr>
              <w:pStyle w:val="TableContents"/>
              <w:bidi w:val="0"/>
              <w:spacing w:before="0" w:after="283"/>
              <w:jc w:val="left"/>
              <w:rPr/>
            </w:pPr>
            <w:r>
              <w:rPr/>
              <w:t> </w:t>
            </w:r>
          </w:p>
        </w:tc>
      </w:tr>
      <w:tr>
        <w:trPr/>
        <w:tc>
          <w:tcPr>
            <w:tcW w:w="3688"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71,421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(5,212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66,653</w:t>
            </w:r>
          </w:p>
        </w:tc>
        <w:tc>
          <w:tcPr>
            <w:tcW w:w="80" w:type="dxa"/>
            <w:tcBorders/>
            <w:shd w:fill="CCEEFF" w:val="clear"/>
            <w:vAlign w:val="center"/>
          </w:tcPr>
          <w:p>
            <w:pPr>
              <w:pStyle w:val="TableContents"/>
              <w:bidi w:val="0"/>
              <w:spacing w:before="0" w:after="283"/>
              <w:jc w:val="left"/>
              <w:rPr/>
            </w:pPr>
            <w:r>
              <w:rPr/>
              <w:t> </w:t>
            </w:r>
          </w:p>
        </w:tc>
      </w:tr>
      <w:tr>
        <w:trPr/>
        <w:tc>
          <w:tcPr>
            <w:tcW w:w="3688"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29,192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(2,067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27,244</w:t>
            </w:r>
          </w:p>
        </w:tc>
        <w:tc>
          <w:tcPr>
            <w:tcW w:w="80" w:type="dxa"/>
            <w:tcBorders/>
            <w:shd w:fill="FFFFFF" w:val="clear"/>
            <w:vAlign w:val="center"/>
          </w:tcPr>
          <w:p>
            <w:pPr>
              <w:pStyle w:val="TableContents"/>
              <w:bidi w:val="0"/>
              <w:spacing w:before="0" w:after="283"/>
              <w:jc w:val="left"/>
              <w:rPr/>
            </w:pPr>
            <w:r>
              <w:rPr/>
              <w:t> </w:t>
            </w:r>
          </w:p>
        </w:tc>
      </w:tr>
      <w:tr>
        <w:trPr/>
        <w:tc>
          <w:tcPr>
            <w:tcW w:w="3688"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18,845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18,711</w:t>
            </w:r>
          </w:p>
        </w:tc>
        <w:tc>
          <w:tcPr>
            <w:tcW w:w="80" w:type="dxa"/>
            <w:tcBorders/>
            <w:shd w:fill="CCEEFF" w:val="clear"/>
            <w:vAlign w:val="center"/>
          </w:tcPr>
          <w:p>
            <w:pPr>
              <w:pStyle w:val="TableContents"/>
              <w:bidi w:val="0"/>
              <w:spacing w:before="0" w:after="283"/>
              <w:jc w:val="left"/>
              <w:rPr/>
            </w:pPr>
            <w:r>
              <w:rPr/>
              <w:t> </w:t>
            </w:r>
          </w:p>
        </w:tc>
      </w:tr>
      <w:tr>
        <w:trPr/>
        <w:tc>
          <w:tcPr>
            <w:tcW w:w="3688"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3,736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(664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pPr>
            <w:r>
              <w:rPr/>
              <w:t>3,072</w:t>
            </w:r>
          </w:p>
        </w:tc>
        <w:tc>
          <w:tcPr>
            <w:tcW w:w="80" w:type="dxa"/>
            <w:tcBorders/>
            <w:shd w:fill="FFFFFF" w:val="clear"/>
            <w:vAlign w:val="center"/>
          </w:tcPr>
          <w:p>
            <w:pPr>
              <w:pStyle w:val="TableContents"/>
              <w:bidi w:val="0"/>
              <w:spacing w:before="0" w:after="283"/>
              <w:jc w:val="left"/>
              <w:rPr/>
            </w:pPr>
            <w:r>
              <w:rPr/>
              <w:t> </w:t>
            </w:r>
          </w:p>
        </w:tc>
      </w:tr>
      <w:tr>
        <w:trPr/>
        <w:tc>
          <w:tcPr>
            <w:tcW w:w="3688"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305,602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1,475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jc w:val="right"/>
              <w:rPr/>
            </w:pPr>
            <w:r>
              <w:rPr/>
              <w:t>(17,297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jc w:val="right"/>
              <w:rPr/>
            </w:pPr>
            <w:r>
              <w:rPr/>
              <w:t>289,780</w:t>
            </w:r>
          </w:p>
        </w:tc>
        <w:tc>
          <w:tcPr>
            <w:tcW w:w="80" w:type="dxa"/>
            <w:tcBorders/>
            <w:shd w:fill="CCEEFF" w:val="clear"/>
            <w:vAlign w:val="center"/>
          </w:tcPr>
          <w:p>
            <w:pPr>
              <w:pStyle w:val="TableContents"/>
              <w:bidi w:val="0"/>
              <w:spacing w:before="0" w:after="283"/>
              <w:jc w:val="left"/>
              <w:rPr/>
            </w:pPr>
            <w:r>
              <w:rPr/>
              <w:t> </w:t>
            </w:r>
          </w:p>
        </w:tc>
      </w:tr>
      <w:tr>
        <w:trPr/>
        <w:tc>
          <w:tcPr>
            <w:tcW w:w="3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8"/>
        <w:gridCol w:w="60"/>
        <w:gridCol w:w="163"/>
        <w:gridCol w:w="937"/>
        <w:gridCol w:w="60"/>
        <w:gridCol w:w="60"/>
        <w:gridCol w:w="471"/>
        <w:gridCol w:w="878"/>
        <w:gridCol w:w="60"/>
        <w:gridCol w:w="60"/>
        <w:gridCol w:w="234"/>
        <w:gridCol w:w="939"/>
        <w:gridCol w:w="60"/>
        <w:gridCol w:w="60"/>
        <w:gridCol w:w="182"/>
        <w:gridCol w:w="990"/>
        <w:gridCol w:w="95"/>
        <w:gridCol w:w="60"/>
        <w:gridCol w:w="159"/>
        <w:gridCol w:w="909"/>
        <w:gridCol w:w="80"/>
      </w:tblGrid>
      <w:tr>
        <w:trPr/>
        <w:tc>
          <w:tcPr>
            <w:tcW w:w="3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7"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80" w:type="dxa"/>
            <w:tcBorders/>
            <w:vAlign w:val="center"/>
          </w:tcPr>
          <w:p>
            <w:pPr>
              <w:pStyle w:val="TableContents"/>
              <w:bidi w:val="0"/>
              <w:spacing w:before="0" w:after="283"/>
              <w:jc w:val="left"/>
              <w:rPr/>
            </w:pPr>
            <w:r>
              <w:rPr/>
              <w:t> </w:t>
            </w:r>
          </w:p>
        </w:tc>
      </w:tr>
      <w:tr>
        <w:trPr/>
        <w:tc>
          <w:tcPr>
            <w:tcW w:w="3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 or</w:t>
              <w:br/>
              <w:t>Amortized</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Expected</w:t>
              <w:br/>
              <w:t>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0" w:type="dxa"/>
            <w:tcBorders/>
            <w:vAlign w:val="center"/>
          </w:tcPr>
          <w:p>
            <w:pPr>
              <w:pStyle w:val="TableContents"/>
              <w:bidi w:val="0"/>
              <w:spacing w:before="0" w:after="283"/>
              <w:jc w:val="left"/>
              <w:rPr/>
            </w:pPr>
            <w:r>
              <w:rPr/>
              <w:t> </w:t>
            </w:r>
          </w:p>
        </w:tc>
      </w:tr>
      <w:tr>
        <w:trPr/>
        <w:tc>
          <w:tcPr>
            <w:tcW w:w="3688"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88"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10,643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w:t>
            </w:r>
          </w:p>
        </w:tc>
        <w:tc>
          <w:tcPr>
            <w:tcW w:w="8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w:t>
            </w:r>
          </w:p>
        </w:tc>
        <w:tc>
          <w:tcPr>
            <w:tcW w:w="939" w:type="dxa"/>
            <w:tcBorders/>
            <w:shd w:fill="FFFFFF" w:val="clear"/>
            <w:vAlign w:val="center"/>
          </w:tcPr>
          <w:p>
            <w:pPr>
              <w:pStyle w:val="TableContents"/>
              <w:bidi w:val="0"/>
              <w:spacing w:before="0" w:after="283"/>
              <w:jc w:val="right"/>
              <w:rPr/>
            </w:pPr>
            <w:r>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990" w:type="dxa"/>
            <w:tcBorders/>
            <w:shd w:fill="FFFFFF" w:val="cle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10,716</w:t>
            </w:r>
          </w:p>
        </w:tc>
        <w:tc>
          <w:tcPr>
            <w:tcW w:w="80" w:type="dxa"/>
            <w:tcBorders/>
            <w:shd w:fill="FFFFFF" w:val="clear"/>
            <w:vAlign w:val="center"/>
          </w:tcPr>
          <w:p>
            <w:pPr>
              <w:pStyle w:val="TableContents"/>
              <w:bidi w:val="0"/>
              <w:spacing w:before="0" w:after="283"/>
              <w:jc w:val="left"/>
              <w:rPr/>
            </w:pPr>
            <w:r>
              <w:rPr/>
              <w:t> </w:t>
            </w:r>
          </w:p>
        </w:tc>
      </w:tr>
      <w:tr>
        <w:trPr/>
        <w:tc>
          <w:tcPr>
            <w:tcW w:w="3688"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50,530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(4,648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46,050</w:t>
            </w:r>
          </w:p>
        </w:tc>
        <w:tc>
          <w:tcPr>
            <w:tcW w:w="80" w:type="dxa"/>
            <w:tcBorders/>
            <w:shd w:fill="CCEEFF" w:val="clear"/>
            <w:vAlign w:val="center"/>
          </w:tcPr>
          <w:p>
            <w:pPr>
              <w:pStyle w:val="TableContents"/>
              <w:bidi w:val="0"/>
              <w:spacing w:before="0" w:after="283"/>
              <w:jc w:val="left"/>
              <w:rPr/>
            </w:pPr>
            <w:r>
              <w:rPr/>
              <w:t> </w:t>
            </w:r>
          </w:p>
        </w:tc>
      </w:tr>
      <w:tr>
        <w:trPr/>
        <w:tc>
          <w:tcPr>
            <w:tcW w:w="3688"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125,978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(3,607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123,805</w:t>
            </w:r>
          </w:p>
        </w:tc>
        <w:tc>
          <w:tcPr>
            <w:tcW w:w="80" w:type="dxa"/>
            <w:tcBorders/>
            <w:shd w:fill="FFFFFF" w:val="clear"/>
            <w:vAlign w:val="center"/>
          </w:tcPr>
          <w:p>
            <w:pPr>
              <w:pStyle w:val="TableContents"/>
              <w:bidi w:val="0"/>
              <w:spacing w:before="0" w:after="283"/>
              <w:jc w:val="left"/>
              <w:rPr/>
            </w:pPr>
            <w:r>
              <w:rPr/>
              <w:t> </w:t>
            </w:r>
          </w:p>
        </w:tc>
      </w:tr>
      <w:tr>
        <w:trPr/>
        <w:tc>
          <w:tcPr>
            <w:tcW w:w="3688"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73,022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(5,002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68,699</w:t>
            </w:r>
          </w:p>
        </w:tc>
        <w:tc>
          <w:tcPr>
            <w:tcW w:w="80" w:type="dxa"/>
            <w:tcBorders/>
            <w:shd w:fill="CCEEFF" w:val="clear"/>
            <w:vAlign w:val="center"/>
          </w:tcPr>
          <w:p>
            <w:pPr>
              <w:pStyle w:val="TableContents"/>
              <w:bidi w:val="0"/>
              <w:spacing w:before="0" w:after="283"/>
              <w:jc w:val="left"/>
              <w:rPr/>
            </w:pPr>
            <w:r>
              <w:rPr/>
              <w:t> </w:t>
            </w:r>
          </w:p>
        </w:tc>
      </w:tr>
      <w:tr>
        <w:trPr/>
        <w:tc>
          <w:tcPr>
            <w:tcW w:w="3688"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29,376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27,528</w:t>
            </w:r>
          </w:p>
        </w:tc>
        <w:tc>
          <w:tcPr>
            <w:tcW w:w="80" w:type="dxa"/>
            <w:tcBorders/>
            <w:shd w:fill="FFFFFF" w:val="clear"/>
            <w:vAlign w:val="center"/>
          </w:tcPr>
          <w:p>
            <w:pPr>
              <w:pStyle w:val="TableContents"/>
              <w:bidi w:val="0"/>
              <w:spacing w:before="0" w:after="283"/>
              <w:jc w:val="left"/>
              <w:rPr/>
            </w:pPr>
            <w:r>
              <w:rPr/>
              <w:t> </w:t>
            </w:r>
          </w:p>
        </w:tc>
      </w:tr>
      <w:tr>
        <w:trPr/>
        <w:tc>
          <w:tcPr>
            <w:tcW w:w="3688"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21,409</w:t>
            </w:r>
          </w:p>
        </w:tc>
        <w:tc>
          <w:tcPr>
            <w:tcW w:w="80" w:type="dxa"/>
            <w:tcBorders/>
            <w:shd w:fill="CCEEFF" w:val="clear"/>
            <w:vAlign w:val="center"/>
          </w:tcPr>
          <w:p>
            <w:pPr>
              <w:pStyle w:val="TableContents"/>
              <w:bidi w:val="0"/>
              <w:spacing w:before="0" w:after="283"/>
              <w:jc w:val="left"/>
              <w:rPr/>
            </w:pPr>
            <w:r>
              <w:rPr/>
              <w:t> </w:t>
            </w:r>
          </w:p>
        </w:tc>
      </w:tr>
      <w:tr>
        <w:trPr/>
        <w:tc>
          <w:tcPr>
            <w:tcW w:w="3688"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3,736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80" w:type="dxa"/>
            <w:tcBorders/>
            <w:shd w:fill="FFFFFF" w:val="clear"/>
            <w:vAlign w:val="center"/>
          </w:tcPr>
          <w:p>
            <w:pPr>
              <w:pStyle w:val="TableContents"/>
              <w:bidi w:val="0"/>
              <w:spacing w:before="0" w:after="283"/>
              <w:jc w:val="left"/>
              <w:rPr/>
            </w:pPr>
            <w:r>
              <w:rPr/>
              <w:t> </w:t>
            </w:r>
          </w:p>
        </w:tc>
      </w:tr>
      <w:tr>
        <w:trPr/>
        <w:tc>
          <w:tcPr>
            <w:tcW w:w="3688"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314,804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jc w:val="right"/>
              <w:rPr/>
            </w:pPr>
            <w:r>
              <w:rPr/>
              <w:t>(16,220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jc w:val="right"/>
              <w:rPr/>
            </w:pPr>
            <w:r>
              <w:rPr/>
              <w:t>301,393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by contractual maturity, presented on a consolidated basis, are shown below. Actual maturities could differ from contractual maturities because issuers may have the right to call or prepay these securities.</w:t>
      </w:r>
    </w:p>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3260"/>
        <w:gridCol w:w="60"/>
        <w:gridCol w:w="240"/>
        <w:gridCol w:w="1384"/>
        <w:gridCol w:w="60"/>
        <w:gridCol w:w="60"/>
        <w:gridCol w:w="166"/>
        <w:gridCol w:w="948"/>
        <w:gridCol w:w="82"/>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82"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Due to mature: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One year or less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16,007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948" w:type="dxa"/>
            <w:tcBorders/>
            <w:shd w:fill="FFFFFF" w:val="clear"/>
            <w:vAlign w:val="center"/>
          </w:tcPr>
          <w:p>
            <w:pPr>
              <w:pStyle w:val="TableContents"/>
              <w:bidi w:val="0"/>
              <w:spacing w:before="0" w:after="283"/>
              <w:jc w:val="right"/>
              <w:rPr/>
            </w:pPr>
            <w:r>
              <w:rPr/>
              <w:t>15,815</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one year through five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67,490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65,050</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After five years through ten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61,180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60,001</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ten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37,731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33,234</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Mortgage / asset-backed securities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119,458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112,608</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Redeemable preferred stocks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pPr>
            <w:r>
              <w:rPr/>
              <w:t>3,736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3,072</w:t>
            </w:r>
          </w:p>
        </w:tc>
        <w:tc>
          <w:tcPr>
            <w:tcW w:w="82" w:type="dxa"/>
            <w:tcBorders/>
            <w:shd w:fill="CCEEFF" w:val="clear"/>
            <w:vAlign w:val="center"/>
          </w:tcPr>
          <w:p>
            <w:pPr>
              <w:pStyle w:val="TableContents"/>
              <w:bidi w:val="0"/>
              <w:spacing w:before="0" w:after="283"/>
              <w:ind w:left="0" w:right="0" w:firstLine="7"/>
              <w:jc w:val="left"/>
              <w:rPr/>
            </w:pPr>
            <w:r>
              <w:rPr/>
              <w:t> </w:t>
            </w:r>
          </w:p>
        </w:tc>
      </w:tr>
      <w:tr>
        <w:trPr/>
        <w:tc>
          <w:tcPr>
            <w:tcW w:w="3260" w:type="dxa"/>
            <w:tcBorders/>
            <w:shd w:fill="FFFFFF" w:val="clear"/>
            <w:vAlign w:val="center"/>
          </w:tcPr>
          <w:p>
            <w:pPr>
              <w:pStyle w:val="TableContents"/>
              <w:bidi w:val="0"/>
              <w:spacing w:before="0" w:after="283"/>
              <w:jc w:val="left"/>
              <w:rPr/>
            </w:pPr>
            <w:r>
              <w:rPr/>
              <w:t>Total fixed income securities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4" w:type="dxa"/>
            <w:tcBorders>
              <w:bottom w:val="double" w:sz="6" w:space="0" w:color="000000"/>
            </w:tcBorders>
            <w:shd w:fill="FFFFFF" w:val="clear"/>
            <w:tcMar>
              <w:bottom w:w="28" w:type="dxa"/>
            </w:tcMar>
            <w:vAlign w:val="center"/>
          </w:tcPr>
          <w:p>
            <w:pPr>
              <w:pStyle w:val="TableContents"/>
              <w:bidi w:val="0"/>
              <w:spacing w:before="0" w:after="283"/>
              <w:jc w:val="right"/>
              <w:rPr/>
            </w:pPr>
            <w:r>
              <w:rPr/>
              <w:t>305,602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289,780</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3260"/>
        <w:gridCol w:w="60"/>
        <w:gridCol w:w="240"/>
        <w:gridCol w:w="1384"/>
        <w:gridCol w:w="60"/>
        <w:gridCol w:w="60"/>
        <w:gridCol w:w="166"/>
        <w:gridCol w:w="948"/>
        <w:gridCol w:w="82"/>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82"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Due to mature: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One year or less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10,208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948" w:type="dxa"/>
            <w:tcBorders/>
            <w:shd w:fill="FFFFFF" w:val="clear"/>
            <w:vAlign w:val="center"/>
          </w:tcPr>
          <w:p>
            <w:pPr>
              <w:pStyle w:val="TableContents"/>
              <w:bidi w:val="0"/>
              <w:spacing w:before="0" w:after="283"/>
              <w:jc w:val="right"/>
              <w:rPr/>
            </w:pPr>
            <w:r>
              <w:rPr/>
              <w:t>10,097</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one year through five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73,908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72,140</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After five years through ten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64,118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63,599</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ten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38,917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34,735</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Mortgage / asset-backed securities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123,917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117,636</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Redeemable preferred stocks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pPr>
            <w:r>
              <w:rPr/>
              <w:t>3,736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3,186</w:t>
            </w:r>
          </w:p>
        </w:tc>
        <w:tc>
          <w:tcPr>
            <w:tcW w:w="82" w:type="dxa"/>
            <w:tcBorders/>
            <w:shd w:fill="CCEEFF" w:val="clear"/>
            <w:vAlign w:val="center"/>
          </w:tcPr>
          <w:p>
            <w:pPr>
              <w:pStyle w:val="TableContents"/>
              <w:bidi w:val="0"/>
              <w:spacing w:before="0" w:after="283"/>
              <w:ind w:left="0" w:right="0" w:firstLine="7"/>
              <w:jc w:val="left"/>
              <w:rPr/>
            </w:pPr>
            <w:r>
              <w:rPr/>
              <w:t> </w:t>
            </w:r>
          </w:p>
        </w:tc>
      </w:tr>
      <w:tr>
        <w:trPr/>
        <w:tc>
          <w:tcPr>
            <w:tcW w:w="3260" w:type="dxa"/>
            <w:tcBorders/>
            <w:shd w:fill="FFFFFF" w:val="clear"/>
            <w:vAlign w:val="center"/>
          </w:tcPr>
          <w:p>
            <w:pPr>
              <w:pStyle w:val="TableContents"/>
              <w:bidi w:val="0"/>
              <w:spacing w:before="0" w:after="283"/>
              <w:jc w:val="left"/>
              <w:rPr/>
            </w:pPr>
            <w:r>
              <w:rPr/>
              <w:t>Total fixed income securities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4" w:type="dxa"/>
            <w:tcBorders>
              <w:bottom w:val="double" w:sz="6" w:space="0" w:color="000000"/>
            </w:tcBorders>
            <w:shd w:fill="FFFFFF" w:val="clear"/>
            <w:tcMar>
              <w:bottom w:w="28" w:type="dxa"/>
            </w:tcMar>
            <w:vAlign w:val="center"/>
          </w:tcPr>
          <w:p>
            <w:pPr>
              <w:pStyle w:val="TableContents"/>
              <w:bidi w:val="0"/>
              <w:spacing w:before="0" w:after="283"/>
              <w:jc w:val="right"/>
              <w:rPr/>
            </w:pPr>
            <w:r>
              <w:rPr/>
              <w:t>314,804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301,393</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Fixed income securities and cash with a fair value of $4,542 at March 31, 2026, and $4,574 at December 31, 2025, were deposited with various state regulatory agencies as required by law. The Company has not pledged any assets to secure any obligations.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category and duration of the Company’s gross unrealized losses on fixed income securities, presented on a consolidated basis, are shown below. Investments with unrealized losses are categorized with a duration of greater than 12 months when all positions of a security have continually been in a loss position for at least 12 months.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9"/>
        <w:gridCol w:w="60"/>
        <w:gridCol w:w="164"/>
        <w:gridCol w:w="802"/>
        <w:gridCol w:w="70"/>
        <w:gridCol w:w="70"/>
        <w:gridCol w:w="265"/>
        <w:gridCol w:w="865"/>
        <w:gridCol w:w="95"/>
        <w:gridCol w:w="60"/>
        <w:gridCol w:w="156"/>
        <w:gridCol w:w="893"/>
        <w:gridCol w:w="66"/>
        <w:gridCol w:w="66"/>
        <w:gridCol w:w="180"/>
        <w:gridCol w:w="977"/>
        <w:gridCol w:w="95"/>
        <w:gridCol w:w="60"/>
        <w:gridCol w:w="140"/>
        <w:gridCol w:w="800"/>
        <w:gridCol w:w="60"/>
        <w:gridCol w:w="60"/>
        <w:gridCol w:w="180"/>
        <w:gridCol w:w="977"/>
        <w:gridCol w:w="115"/>
      </w:tblGrid>
      <w:tr>
        <w:trPr/>
        <w:tc>
          <w:tcPr>
            <w:tcW w:w="2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1"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15" w:type="dxa"/>
            <w:tcBorders/>
            <w:vAlign w:val="center"/>
          </w:tcPr>
          <w:p>
            <w:pPr>
              <w:pStyle w:val="TableContents"/>
              <w:bidi w:val="0"/>
              <w:spacing w:before="0" w:after="283"/>
              <w:jc w:val="left"/>
              <w:rPr/>
            </w:pPr>
            <w:r>
              <w:rPr/>
              <w:t> </w:t>
            </w:r>
          </w:p>
        </w:tc>
      </w:tr>
      <w:tr>
        <w:trPr/>
        <w:tc>
          <w:tcPr>
            <w:tcW w:w="2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jc w:val="left"/>
              <w:rPr/>
            </w:pPr>
            <w:r>
              <w:rPr/>
              <w:t> </w:t>
            </w:r>
          </w:p>
        </w:tc>
      </w:tr>
      <w:tr>
        <w:trPr/>
        <w:tc>
          <w:tcPr>
            <w:tcW w:w="2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115" w:type="dxa"/>
            <w:tcBorders/>
            <w:vAlign w:val="center"/>
          </w:tcPr>
          <w:p>
            <w:pPr>
              <w:pStyle w:val="TableContents"/>
              <w:bidi w:val="0"/>
              <w:spacing w:before="0" w:after="283"/>
              <w:jc w:val="left"/>
              <w:rPr/>
            </w:pPr>
            <w:r>
              <w:rPr/>
              <w:t> </w:t>
            </w:r>
          </w:p>
        </w:tc>
      </w:tr>
      <w:tr>
        <w:trPr/>
        <w:tc>
          <w:tcPr>
            <w:tcW w:w="2929"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2929"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802" w:type="dxa"/>
            <w:tcBorders/>
            <w:shd w:fill="FFFFFF" w:val="clear"/>
            <w:vAlign w:val="center"/>
          </w:tcPr>
          <w:p>
            <w:pPr>
              <w:pStyle w:val="TableContents"/>
              <w:bidi w:val="0"/>
              <w:spacing w:before="0" w:after="283"/>
              <w:jc w:val="right"/>
              <w:rPr/>
            </w:pPr>
            <w:r>
              <w:rPr/>
              <w:t>1,232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w:t>
            </w:r>
          </w:p>
        </w:tc>
        <w:tc>
          <w:tcPr>
            <w:tcW w:w="865"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893" w:type="dxa"/>
            <w:tcBorders/>
            <w:shd w:fill="FFFFFF" w:val="clear"/>
            <w:vAlign w:val="center"/>
          </w:tcPr>
          <w:p>
            <w:pPr>
              <w:pStyle w:val="TableContents"/>
              <w:bidi w:val="0"/>
              <w:spacing w:before="0" w:after="283"/>
              <w:jc w:val="right"/>
              <w:rPr/>
            </w:pPr>
            <w:r>
              <w:rPr/>
              <w:t>3,179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7" w:type="dxa"/>
            <w:tcBorders/>
            <w:shd w:fill="FFFFFF" w:val="clear"/>
            <w:vAlign w:val="center"/>
          </w:tcPr>
          <w:p>
            <w:pPr>
              <w:pStyle w:val="TableContents"/>
              <w:bidi w:val="0"/>
              <w:spacing w:before="0" w:after="283"/>
              <w:jc w:val="right"/>
              <w:rPr/>
            </w:pPr>
            <w:r>
              <w:rPr/>
              <w:t>(72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4,411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7" w:type="dxa"/>
            <w:tcBorders/>
            <w:shd w:fill="FFFFFF" w:val="clear"/>
            <w:vAlign w:val="center"/>
          </w:tcPr>
          <w:p>
            <w:pPr>
              <w:pStyle w:val="TableContents"/>
              <w:bidi w:val="0"/>
              <w:spacing w:before="0" w:after="283"/>
              <w:jc w:val="right"/>
              <w:rPr/>
            </w:pPr>
            <w:r>
              <w:rPr/>
              <w:t>(87</w:t>
            </w:r>
          </w:p>
        </w:tc>
        <w:tc>
          <w:tcPr>
            <w:tcW w:w="115" w:type="dxa"/>
            <w:tcBorders/>
            <w:shd w:fill="FFFFFF" w:val="clear"/>
            <w:vAlign w:val="center"/>
          </w:tcPr>
          <w:p>
            <w:pPr>
              <w:pStyle w:val="TableContents"/>
              <w:bidi w:val="0"/>
              <w:spacing w:before="0" w:after="283"/>
              <w:jc w:val="left"/>
              <w:rPr/>
            </w:pPr>
            <w:r>
              <w:rPr/>
              <w:t>)</w:t>
            </w:r>
          </w:p>
        </w:tc>
      </w:tr>
      <w:tr>
        <w:trPr/>
        <w:tc>
          <w:tcPr>
            <w:tcW w:w="2929"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4,270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34,827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(4,807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(4,865</w:t>
            </w:r>
          </w:p>
        </w:tc>
        <w:tc>
          <w:tcPr>
            <w:tcW w:w="115" w:type="dxa"/>
            <w:tcBorders/>
            <w:shd w:fill="CCEEFF" w:val="clear"/>
            <w:vAlign w:val="center"/>
          </w:tcPr>
          <w:p>
            <w:pPr>
              <w:pStyle w:val="TableContents"/>
              <w:bidi w:val="0"/>
              <w:spacing w:before="0" w:after="283"/>
              <w:jc w:val="left"/>
              <w:rPr/>
            </w:pPr>
            <w:r>
              <w:rPr/>
              <w:t>)</w:t>
            </w:r>
          </w:p>
        </w:tc>
      </w:tr>
      <w:tr>
        <w:trPr/>
        <w:tc>
          <w:tcPr>
            <w:tcW w:w="2929"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21,283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(381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56,333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(3,732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77,616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(4,113</w:t>
            </w:r>
          </w:p>
        </w:tc>
        <w:tc>
          <w:tcPr>
            <w:tcW w:w="115" w:type="dxa"/>
            <w:tcBorders/>
            <w:shd w:fill="FFFFFF" w:val="clear"/>
            <w:vAlign w:val="center"/>
          </w:tcPr>
          <w:p>
            <w:pPr>
              <w:pStyle w:val="TableContents"/>
              <w:bidi w:val="0"/>
              <w:spacing w:before="0" w:after="283"/>
              <w:jc w:val="left"/>
              <w:rPr/>
            </w:pPr>
            <w:r>
              <w:rPr/>
              <w:t>)</w:t>
            </w:r>
          </w:p>
        </w:tc>
      </w:tr>
      <w:tr>
        <w:trPr/>
        <w:tc>
          <w:tcPr>
            <w:tcW w:w="2929"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8,035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30,225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(5,141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(5,212</w:t>
            </w:r>
          </w:p>
        </w:tc>
        <w:tc>
          <w:tcPr>
            <w:tcW w:w="115" w:type="dxa"/>
            <w:tcBorders/>
            <w:shd w:fill="CCEEFF" w:val="clear"/>
            <w:vAlign w:val="center"/>
          </w:tcPr>
          <w:p>
            <w:pPr>
              <w:pStyle w:val="TableContents"/>
              <w:bidi w:val="0"/>
              <w:spacing w:before="0" w:after="283"/>
              <w:jc w:val="left"/>
              <w:rPr/>
            </w:pPr>
            <w:r>
              <w:rPr/>
              <w:t>)</w:t>
            </w:r>
          </w:p>
        </w:tc>
      </w:tr>
      <w:tr>
        <w:trPr/>
        <w:tc>
          <w:tcPr>
            <w:tcW w:w="2929"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1,847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19,146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(2,063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(2,067</w:t>
            </w:r>
          </w:p>
        </w:tc>
        <w:tc>
          <w:tcPr>
            <w:tcW w:w="115" w:type="dxa"/>
            <w:tcBorders/>
            <w:shd w:fill="FFFFFF" w:val="clear"/>
            <w:vAlign w:val="center"/>
          </w:tcPr>
          <w:p>
            <w:pPr>
              <w:pStyle w:val="TableContents"/>
              <w:bidi w:val="0"/>
              <w:spacing w:before="0" w:after="283"/>
              <w:jc w:val="left"/>
              <w:rPr/>
            </w:pPr>
            <w:r>
              <w:rPr/>
              <w:t>)</w:t>
            </w:r>
          </w:p>
        </w:tc>
      </w:tr>
      <w:tr>
        <w:trPr/>
        <w:tc>
          <w:tcPr>
            <w:tcW w:w="2929"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4,306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4,299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(289</w:t>
            </w:r>
          </w:p>
        </w:tc>
        <w:tc>
          <w:tcPr>
            <w:tcW w:w="115" w:type="dxa"/>
            <w:tcBorders/>
            <w:shd w:fill="CCEEFF" w:val="clear"/>
            <w:vAlign w:val="center"/>
          </w:tcPr>
          <w:p>
            <w:pPr>
              <w:pStyle w:val="TableContents"/>
              <w:bidi w:val="0"/>
              <w:spacing w:before="0" w:after="283"/>
              <w:jc w:val="left"/>
              <w:rPr/>
            </w:pPr>
            <w:r>
              <w:rPr/>
              <w:t>)</w:t>
            </w:r>
          </w:p>
        </w:tc>
      </w:tr>
      <w:tr>
        <w:trPr/>
        <w:tc>
          <w:tcPr>
            <w:tcW w:w="2929"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3,072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pPr>
            <w:r>
              <w:rPr/>
              <w:t>(664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pPr>
            <w:r>
              <w:rPr/>
              <w:t>(664</w:t>
            </w:r>
          </w:p>
        </w:tc>
        <w:tc>
          <w:tcPr>
            <w:tcW w:w="115" w:type="dxa"/>
            <w:tcBorders/>
            <w:shd w:fill="FFFFFF" w:val="clear"/>
            <w:vAlign w:val="center"/>
          </w:tcPr>
          <w:p>
            <w:pPr>
              <w:pStyle w:val="TableContents"/>
              <w:bidi w:val="0"/>
              <w:spacing w:before="0" w:after="283"/>
              <w:jc w:val="left"/>
              <w:rPr/>
            </w:pPr>
            <w:r>
              <w:rPr/>
              <w:t>)</w:t>
            </w:r>
          </w:p>
        </w:tc>
      </w:tr>
      <w:tr>
        <w:trPr/>
        <w:tc>
          <w:tcPr>
            <w:tcW w:w="2929"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jc w:val="right"/>
              <w:rPr/>
            </w:pPr>
            <w:r>
              <w:rPr/>
              <w:t>40,973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5" w:type="dxa"/>
            <w:tcBorders>
              <w:bottom w:val="double" w:sz="6" w:space="0" w:color="000000"/>
            </w:tcBorders>
            <w:shd w:fill="CCEEFF" w:val="clear"/>
            <w:tcMar>
              <w:bottom w:w="28" w:type="dxa"/>
            </w:tcMar>
            <w:vAlign w:val="center"/>
          </w:tcPr>
          <w:p>
            <w:pPr>
              <w:pStyle w:val="TableContents"/>
              <w:bidi w:val="0"/>
              <w:spacing w:before="0" w:after="283"/>
              <w:jc w:val="right"/>
              <w:rPr/>
            </w:pPr>
            <w:r>
              <w:rPr/>
              <w:t>(647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jc w:val="right"/>
              <w:rPr/>
            </w:pPr>
            <w:r>
              <w:rPr/>
              <w:t>151,081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7" w:type="dxa"/>
            <w:tcBorders>
              <w:bottom w:val="double" w:sz="6" w:space="0" w:color="000000"/>
            </w:tcBorders>
            <w:shd w:fill="CCEEFF" w:val="clear"/>
            <w:tcMar>
              <w:bottom w:w="28" w:type="dxa"/>
            </w:tcMar>
            <w:vAlign w:val="center"/>
          </w:tcPr>
          <w:p>
            <w:pPr>
              <w:pStyle w:val="TableContents"/>
              <w:bidi w:val="0"/>
              <w:spacing w:before="0" w:after="283"/>
              <w:jc w:val="right"/>
              <w:rPr/>
            </w:pPr>
            <w:r>
              <w:rPr/>
              <w:t>(16,650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192,054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7" w:type="dxa"/>
            <w:tcBorders>
              <w:bottom w:val="double" w:sz="6" w:space="0" w:color="000000"/>
            </w:tcBorders>
            <w:shd w:fill="CCEEFF" w:val="clear"/>
            <w:tcMar>
              <w:bottom w:w="28" w:type="dxa"/>
            </w:tcMar>
            <w:vAlign w:val="center"/>
          </w:tcPr>
          <w:p>
            <w:pPr>
              <w:pStyle w:val="TableContents"/>
              <w:bidi w:val="0"/>
              <w:spacing w:before="0" w:after="283"/>
              <w:jc w:val="right"/>
              <w:rPr/>
            </w:pPr>
            <w:r>
              <w:rPr/>
              <w:t>(17,297</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0"/>
        <w:gridCol w:w="60"/>
        <w:gridCol w:w="165"/>
        <w:gridCol w:w="804"/>
        <w:gridCol w:w="70"/>
        <w:gridCol w:w="70"/>
        <w:gridCol w:w="265"/>
        <w:gridCol w:w="865"/>
        <w:gridCol w:w="95"/>
        <w:gridCol w:w="60"/>
        <w:gridCol w:w="156"/>
        <w:gridCol w:w="894"/>
        <w:gridCol w:w="67"/>
        <w:gridCol w:w="67"/>
        <w:gridCol w:w="176"/>
        <w:gridCol w:w="954"/>
        <w:gridCol w:w="95"/>
        <w:gridCol w:w="60"/>
        <w:gridCol w:w="140"/>
        <w:gridCol w:w="800"/>
        <w:gridCol w:w="60"/>
        <w:gridCol w:w="60"/>
        <w:gridCol w:w="180"/>
        <w:gridCol w:w="977"/>
        <w:gridCol w:w="115"/>
      </w:tblGrid>
      <w:tr>
        <w:trPr/>
        <w:tc>
          <w:tcPr>
            <w:tcW w:w="2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5" w:type="dxa"/>
            <w:tcBorders/>
            <w:vAlign w:val="center"/>
          </w:tcPr>
          <w:p>
            <w:pPr>
              <w:pStyle w:val="TableContents"/>
              <w:bidi w:val="0"/>
              <w:spacing w:before="0" w:after="283"/>
              <w:jc w:val="left"/>
              <w:rPr/>
            </w:pPr>
            <w:r>
              <w:rPr/>
              <w:t> </w:t>
            </w:r>
          </w:p>
        </w:tc>
      </w:tr>
      <w:tr>
        <w:trPr/>
        <w:tc>
          <w:tcPr>
            <w:tcW w:w="2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jc w:val="left"/>
              <w:rPr/>
            </w:pPr>
            <w:r>
              <w:rPr/>
              <w:t> </w:t>
            </w:r>
          </w:p>
        </w:tc>
      </w:tr>
      <w:tr>
        <w:trPr/>
        <w:tc>
          <w:tcPr>
            <w:tcW w:w="2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115" w:type="dxa"/>
            <w:tcBorders/>
            <w:vAlign w:val="center"/>
          </w:tcPr>
          <w:p>
            <w:pPr>
              <w:pStyle w:val="TableContents"/>
              <w:bidi w:val="0"/>
              <w:spacing w:before="0" w:after="283"/>
              <w:jc w:val="left"/>
              <w:rPr/>
            </w:pPr>
            <w:r>
              <w:rPr/>
              <w:t> </w:t>
            </w:r>
          </w:p>
        </w:tc>
      </w:tr>
      <w:tr>
        <w:trPr/>
        <w:tc>
          <w:tcPr>
            <w:tcW w:w="295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2950"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04" w:type="dxa"/>
            <w:tcBorders/>
            <w:shd w:fill="FFFFFF" w:val="clear"/>
            <w:vAlign w:val="center"/>
          </w:tcPr>
          <w:p>
            <w:pPr>
              <w:pStyle w:val="TableContents"/>
              <w:bidi w:val="0"/>
              <w:spacing w:before="0" w:after="283"/>
              <w:jc w:val="right"/>
              <w:rPr/>
            </w:pPr>
            <w:r>
              <w:rPr/>
              <w:t>997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w:t>
            </w:r>
          </w:p>
        </w:tc>
        <w:tc>
          <w:tcPr>
            <w:tcW w:w="86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894" w:type="dxa"/>
            <w:tcBorders/>
            <w:shd w:fill="FFFFFF" w:val="clear"/>
            <w:vAlign w:val="center"/>
          </w:tcPr>
          <w:p>
            <w:pPr>
              <w:pStyle w:val="TableContents"/>
              <w:bidi w:val="0"/>
              <w:spacing w:before="0" w:after="283"/>
              <w:jc w:val="right"/>
              <w:rPr/>
            </w:pPr>
            <w:r>
              <w:rPr/>
              <w:t>3,433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4"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4,430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7" w:type="dxa"/>
            <w:tcBorders/>
            <w:shd w:fill="FFFFFF" w:val="clear"/>
            <w:vAlign w:val="center"/>
          </w:tcPr>
          <w:p>
            <w:pPr>
              <w:pStyle w:val="TableContents"/>
              <w:bidi w:val="0"/>
              <w:spacing w:before="0" w:after="283"/>
              <w:jc w:val="right"/>
              <w:rPr/>
            </w:pPr>
            <w:r>
              <w:rPr/>
              <w:t>(73</w:t>
            </w:r>
          </w:p>
        </w:tc>
        <w:tc>
          <w:tcPr>
            <w:tcW w:w="115" w:type="dxa"/>
            <w:tcBorders/>
            <w:shd w:fill="FFFFFF" w:val="clear"/>
            <w:vAlign w:val="center"/>
          </w:tcPr>
          <w:p>
            <w:pPr>
              <w:pStyle w:val="TableContents"/>
              <w:bidi w:val="0"/>
              <w:spacing w:before="0" w:after="283"/>
              <w:jc w:val="left"/>
              <w:rPr/>
            </w:pPr>
            <w:r>
              <w:rPr/>
              <w:t>)</w:t>
            </w:r>
          </w:p>
        </w:tc>
      </w:tr>
      <w:tr>
        <w:trPr/>
        <w:tc>
          <w:tcPr>
            <w:tcW w:w="295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2,976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35,429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(4,648</w:t>
            </w:r>
          </w:p>
        </w:tc>
        <w:tc>
          <w:tcPr>
            <w:tcW w:w="115" w:type="dxa"/>
            <w:tcBorders/>
            <w:shd w:fill="CCEEFF" w:val="clear"/>
            <w:vAlign w:val="center"/>
          </w:tcPr>
          <w:p>
            <w:pPr>
              <w:pStyle w:val="TableContents"/>
              <w:bidi w:val="0"/>
              <w:spacing w:before="0" w:after="283"/>
              <w:jc w:val="left"/>
              <w:rPr/>
            </w:pPr>
            <w:r>
              <w:rPr/>
              <w:t>)</w:t>
            </w:r>
          </w:p>
        </w:tc>
      </w:tr>
      <w:tr>
        <w:trPr/>
        <w:tc>
          <w:tcPr>
            <w:tcW w:w="2950"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2,081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(147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62,738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(3,460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(3,607</w:t>
            </w:r>
          </w:p>
        </w:tc>
        <w:tc>
          <w:tcPr>
            <w:tcW w:w="115" w:type="dxa"/>
            <w:tcBorders/>
            <w:shd w:fill="FFFFFF" w:val="clear"/>
            <w:vAlign w:val="center"/>
          </w:tcPr>
          <w:p>
            <w:pPr>
              <w:pStyle w:val="TableContents"/>
              <w:bidi w:val="0"/>
              <w:spacing w:before="0" w:after="283"/>
              <w:jc w:val="left"/>
              <w:rPr/>
            </w:pPr>
            <w:r>
              <w:rPr/>
              <w:t>)</w:t>
            </w:r>
          </w:p>
        </w:tc>
      </w:tr>
      <w:tr>
        <w:trPr/>
        <w:tc>
          <w:tcPr>
            <w:tcW w:w="295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3,273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33,503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(4,987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(5,002</w:t>
            </w:r>
          </w:p>
        </w:tc>
        <w:tc>
          <w:tcPr>
            <w:tcW w:w="115" w:type="dxa"/>
            <w:tcBorders/>
            <w:shd w:fill="CCEEFF" w:val="clear"/>
            <w:vAlign w:val="center"/>
          </w:tcPr>
          <w:p>
            <w:pPr>
              <w:pStyle w:val="TableContents"/>
              <w:bidi w:val="0"/>
              <w:spacing w:before="0" w:after="283"/>
              <w:jc w:val="left"/>
              <w:rPr/>
            </w:pPr>
            <w:r>
              <w:rPr/>
              <w:t>)</w:t>
            </w:r>
          </w:p>
        </w:tc>
      </w:tr>
      <w:tr>
        <w:trPr/>
        <w:tc>
          <w:tcPr>
            <w:tcW w:w="2950"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19,754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(2,030</w:t>
            </w:r>
          </w:p>
        </w:tc>
        <w:tc>
          <w:tcPr>
            <w:tcW w:w="115" w:type="dxa"/>
            <w:tcBorders/>
            <w:shd w:fill="FFFFFF" w:val="clear"/>
            <w:vAlign w:val="center"/>
          </w:tcPr>
          <w:p>
            <w:pPr>
              <w:pStyle w:val="TableContents"/>
              <w:bidi w:val="0"/>
              <w:spacing w:before="0" w:after="283"/>
              <w:jc w:val="left"/>
              <w:rPr/>
            </w:pPr>
            <w:r>
              <w:rPr/>
              <w:t>)</w:t>
            </w:r>
          </w:p>
        </w:tc>
      </w:tr>
      <w:tr>
        <w:trPr/>
        <w:tc>
          <w:tcPr>
            <w:tcW w:w="295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1,433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5,832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(310</w:t>
            </w:r>
          </w:p>
        </w:tc>
        <w:tc>
          <w:tcPr>
            <w:tcW w:w="115" w:type="dxa"/>
            <w:tcBorders/>
            <w:shd w:fill="CCEEFF" w:val="clear"/>
            <w:vAlign w:val="center"/>
          </w:tcPr>
          <w:p>
            <w:pPr>
              <w:pStyle w:val="TableContents"/>
              <w:bidi w:val="0"/>
              <w:spacing w:before="0" w:after="283"/>
              <w:jc w:val="left"/>
              <w:rPr/>
            </w:pPr>
            <w:r>
              <w:rPr/>
              <w:t>)</w:t>
            </w:r>
          </w:p>
        </w:tc>
      </w:tr>
      <w:tr>
        <w:trPr/>
        <w:tc>
          <w:tcPr>
            <w:tcW w:w="2950"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115" w:type="dxa"/>
            <w:tcBorders/>
            <w:shd w:fill="FFFFFF" w:val="clear"/>
            <w:vAlign w:val="center"/>
          </w:tcPr>
          <w:p>
            <w:pPr>
              <w:pStyle w:val="TableContents"/>
              <w:bidi w:val="0"/>
              <w:spacing w:before="0" w:after="283"/>
              <w:jc w:val="left"/>
              <w:rPr/>
            </w:pPr>
            <w:r>
              <w:rPr/>
              <w:t>)</w:t>
            </w:r>
          </w:p>
        </w:tc>
      </w:tr>
      <w:tr>
        <w:trPr/>
        <w:tc>
          <w:tcPr>
            <w:tcW w:w="295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pPr>
            <w:r>
              <w:rPr/>
              <w:t>10,760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163,875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(15,852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174,635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pPr>
            <w:r>
              <w:rPr/>
              <w:t>(16,220</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along with our investment advisor, frequently review our investment portfolio for declines in fair value that could be indicative of credit losses, which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investments by utilizing discounted cash flow modeling to determine the present value of the security and comparing the present value with the amortized cost of the security. We have not recognized any credit losses for fixed income securities since adoption of the credit loss standard. Therefore, there was no beginning balance, activity, or ending balance of credit losses as of and during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368" w:type="dxa"/>
        <w:jc w:val="left"/>
        <w:tblInd w:w="0" w:type="dxa"/>
        <w:tblLayout w:type="fixed"/>
        <w:tblCellMar>
          <w:top w:w="0" w:type="dxa"/>
          <w:left w:w="0" w:type="dxa"/>
          <w:bottom w:w="0" w:type="dxa"/>
          <w:right w:w="0" w:type="dxa"/>
        </w:tblCellMar>
      </w:tblPr>
      <w:tblGrid>
        <w:gridCol w:w="2915"/>
        <w:gridCol w:w="60"/>
        <w:gridCol w:w="305"/>
        <w:gridCol w:w="1223"/>
        <w:gridCol w:w="131"/>
        <w:gridCol w:w="131"/>
        <w:gridCol w:w="305"/>
        <w:gridCol w:w="1223"/>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2,937</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3,128</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Equity securities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231</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208</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Real estate</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66</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66</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253</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369</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Total gross investment income</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3,487</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3,771</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Investment expenses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832</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933</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pPr>
            <w:r>
              <w:rPr/>
              <w:t>2,655</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pPr>
            <w:r>
              <w:rPr/>
              <w:t>2,838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9357" w:type="dxa"/>
        <w:jc w:val="left"/>
        <w:tblInd w:w="0" w:type="dxa"/>
        <w:tblLayout w:type="fixed"/>
        <w:tblCellMar>
          <w:top w:w="0" w:type="dxa"/>
          <w:left w:w="0" w:type="dxa"/>
          <w:bottom w:w="0" w:type="dxa"/>
          <w:right w:w="0" w:type="dxa"/>
        </w:tblCellMar>
      </w:tblPr>
      <w:tblGrid>
        <w:gridCol w:w="5870"/>
        <w:gridCol w:w="60"/>
        <w:gridCol w:w="320"/>
        <w:gridCol w:w="1282"/>
        <w:gridCol w:w="217"/>
        <w:gridCol w:w="137"/>
        <w:gridCol w:w="320"/>
        <w:gridCol w:w="1041"/>
        <w:gridCol w:w="110"/>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Gross realized gains: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Fixed income securities</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w:t>
            </w:r>
          </w:p>
        </w:tc>
        <w:tc>
          <w:tcPr>
            <w:tcW w:w="1282" w:type="dxa"/>
            <w:tcBorders/>
            <w:shd w:fill="FFFFFF" w:val="clear"/>
            <w:vAlign w:val="center"/>
          </w:tcPr>
          <w:p>
            <w:pPr>
              <w:pStyle w:val="TableContents"/>
              <w:bidi w:val="0"/>
              <w:spacing w:before="0" w:after="283"/>
              <w:jc w:val="right"/>
              <w:rPr/>
            </w:pPr>
            <w:r>
              <w:rPr/>
              <w:t>30</w:t>
            </w:r>
          </w:p>
        </w:tc>
        <w:tc>
          <w:tcPr>
            <w:tcW w:w="2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w:t>
            </w:r>
          </w:p>
        </w:tc>
        <w:tc>
          <w:tcPr>
            <w:tcW w:w="10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Equity securities</w:t>
            </w:r>
          </w:p>
        </w:tc>
        <w:tc>
          <w:tcPr>
            <w:tcW w:w="60"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pPr>
            <w:r>
              <w:rPr/>
              <w:t>389</w:t>
            </w:r>
          </w:p>
        </w:tc>
        <w:tc>
          <w:tcPr>
            <w:tcW w:w="2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pPr>
            <w:r>
              <w:rPr/>
              <w:t>503</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Total gross realized gains</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419</w:t>
            </w:r>
          </w:p>
        </w:tc>
        <w:tc>
          <w:tcPr>
            <w:tcW w:w="2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503</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Gross realized losses, excluding credit impairment losses:</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(22</w:t>
            </w:r>
          </w:p>
        </w:tc>
        <w:tc>
          <w:tcPr>
            <w:tcW w:w="217"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Equity securities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(256</w:t>
            </w:r>
          </w:p>
        </w:tc>
        <w:tc>
          <w:tcPr>
            <w:tcW w:w="217" w:type="dxa"/>
            <w:tcBorders/>
            <w:shd w:fill="FFFFFF" w:val="clear"/>
            <w:vAlign w:val="center"/>
          </w:tcPr>
          <w:p>
            <w:pPr>
              <w:pStyle w:val="TableContents"/>
              <w:bidi w:val="0"/>
              <w:spacing w:before="0" w:after="283"/>
              <w:jc w:val="left"/>
              <w:rPr/>
            </w:pPr>
            <w:r>
              <w:rPr/>
              <w:t>)</w:t>
            </w:r>
          </w:p>
        </w:tc>
        <w:tc>
          <w:tcPr>
            <w:tcW w:w="137"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w:t>
            </w:r>
          </w:p>
        </w:tc>
      </w:tr>
      <w:tr>
        <w:trPr/>
        <w:tc>
          <w:tcPr>
            <w:tcW w:w="5870" w:type="dxa"/>
            <w:tcBorders/>
            <w:shd w:fill="CCEEFF" w:val="clear"/>
            <w:vAlign w:val="center"/>
          </w:tcPr>
          <w:p>
            <w:pPr>
              <w:pStyle w:val="TableContents"/>
              <w:bidi w:val="0"/>
              <w:spacing w:before="0" w:after="283"/>
              <w:jc w:val="left"/>
              <w:rPr/>
            </w:pPr>
            <w:r>
              <w:rPr/>
              <w:t>Total gross realized losses, excluding credit impairment losses</w:t>
            </w:r>
          </w:p>
        </w:tc>
        <w:tc>
          <w:tcPr>
            <w:tcW w:w="60"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pPr>
            <w:r>
              <w:rPr/>
              <w:t>(278</w:t>
            </w:r>
          </w:p>
        </w:tc>
        <w:tc>
          <w:tcPr>
            <w:tcW w:w="217"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pPr>
            <w:r>
              <w:rPr/>
              <w:t>(177</w:t>
            </w:r>
          </w:p>
        </w:tc>
        <w:tc>
          <w:tcPr>
            <w:tcW w:w="110" w:type="dxa"/>
            <w:tcBorders/>
            <w:shd w:fill="CCEEFF" w:val="clear"/>
            <w:vAlign w:val="center"/>
          </w:tcPr>
          <w:p>
            <w:pPr>
              <w:pStyle w:val="TableContents"/>
              <w:bidi w:val="0"/>
              <w:spacing w:before="0" w:after="283"/>
              <w:jc w:val="left"/>
              <w:rPr/>
            </w:pPr>
            <w:r>
              <w:rPr/>
              <w:t>)</w:t>
            </w:r>
          </w:p>
        </w:tc>
      </w:tr>
      <w:tr>
        <w:trPr/>
        <w:tc>
          <w:tcPr>
            <w:tcW w:w="5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70" w:type="dxa"/>
            <w:tcBorders/>
            <w:shd w:fill="CCEEFF" w:val="clear"/>
            <w:vAlign w:val="center"/>
          </w:tcPr>
          <w:p>
            <w:pPr>
              <w:pStyle w:val="TableContents"/>
              <w:bidi w:val="0"/>
              <w:spacing w:before="0" w:after="283"/>
              <w:jc w:val="left"/>
              <w:rPr/>
            </w:pPr>
            <w:r>
              <w:rPr/>
              <w:t>Net realized gains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141</w:t>
            </w:r>
          </w:p>
        </w:tc>
        <w:tc>
          <w:tcPr>
            <w:tcW w:w="2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326</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Change in net unrealized gains on equity securities</w:t>
            </w:r>
          </w:p>
        </w:tc>
        <w:tc>
          <w:tcPr>
            <w:tcW w:w="60"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pPr>
            <w:r>
              <w:rPr/>
              <w:t>1,563</w:t>
            </w:r>
          </w:p>
        </w:tc>
        <w:tc>
          <w:tcPr>
            <w:tcW w:w="2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pPr>
            <w:r>
              <w:rPr/>
              <w:t>543</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5870" w:type="dxa"/>
            <w:tcBorders/>
            <w:shd w:fill="FFFFFF" w:val="clear"/>
            <w:vAlign w:val="center"/>
          </w:tcPr>
          <w:p>
            <w:pPr>
              <w:pStyle w:val="TableContents"/>
              <w:bidi w:val="0"/>
              <w:spacing w:before="0" w:after="283"/>
              <w:jc w:val="left"/>
              <w:rPr/>
            </w:pPr>
            <w:r>
              <w:rPr/>
              <w:t>Net investment gains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2" w:type="dxa"/>
            <w:tcBorders>
              <w:bottom w:val="double" w:sz="6" w:space="0" w:color="000000"/>
            </w:tcBorders>
            <w:shd w:fill="FFFFFF" w:val="clear"/>
            <w:tcMar>
              <w:bottom w:w="28" w:type="dxa"/>
            </w:tcMar>
            <w:vAlign w:val="center"/>
          </w:tcPr>
          <w:p>
            <w:pPr>
              <w:pStyle w:val="TableContents"/>
              <w:bidi w:val="0"/>
              <w:spacing w:before="0" w:after="283"/>
              <w:jc w:val="right"/>
              <w:rPr/>
            </w:pPr>
            <w:r>
              <w:rPr/>
              <w:t>1,704</w:t>
            </w:r>
          </w:p>
        </w:tc>
        <w:tc>
          <w:tcPr>
            <w:tcW w:w="2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pPr>
            <w:r>
              <w:rPr/>
              <w:t>869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Non-cash investment transactions were $0 and $499 for the three months ended March 31, 2026 and 2025, respectively.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701"/>
        <w:gridCol w:w="9372"/>
      </w:tblGrid>
      <w:tr>
        <w:trPr/>
        <w:tc>
          <w:tcPr>
            <w:tcW w:w="13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b/>
              </w:rPr>
            </w:pPr>
            <w:r>
              <w:rPr>
                <w:b/>
              </w:rPr>
              <w:t>4.</w:t>
            </w:r>
          </w:p>
        </w:tc>
        <w:tc>
          <w:tcPr>
            <w:tcW w:w="9372" w:type="dxa"/>
            <w:tcBorders/>
            <w:vAlign w:val="center"/>
          </w:tcPr>
          <w:p>
            <w:pPr>
              <w:pStyle w:val="TableContents"/>
              <w:bidi w:val="0"/>
              <w:spacing w:before="0" w:after="283"/>
              <w:jc w:val="left"/>
              <w:rPr>
                <w:b/>
              </w:rPr>
            </w:pPr>
            <w:r>
              <w:rPr>
                <w:b/>
              </w:rPr>
              <w:t>Fair Value Measurements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90"/>
        <w:gridCol w:w="9640"/>
      </w:tblGrid>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sz w:val="20"/>
              </w:rPr>
            </w:pPr>
            <w:r>
              <w:rPr>
                <w:i/>
                <w:sz w:val="20"/>
              </w:rPr>
              <w:t>Level 1</w:t>
            </w:r>
            <w:r>
              <w:rPr>
                <w:sz w:val="20"/>
              </w:rPr>
              <w:t>:</w:t>
            </w:r>
          </w:p>
        </w:tc>
        <w:tc>
          <w:tcPr>
            <w:tcW w:w="9640" w:type="dxa"/>
            <w:tcBorders/>
            <w:vAlign w:val="center"/>
          </w:tcPr>
          <w:p>
            <w:pPr>
              <w:pStyle w:val="TableContents"/>
              <w:bidi w:val="0"/>
              <w:spacing w:before="0" w:after="283"/>
              <w:jc w:val="left"/>
              <w:rPr>
                <w:sz w:val="20"/>
              </w:rPr>
            </w:pPr>
            <w:r>
              <w:rPr>
                <w:sz w:val="20"/>
              </w:rPr>
              <w:t>Unadjusted quoted prices in active markets that are accessible at the measurement date for identical, unrestricted assets or liabilities.</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 </w:t>
            </w:r>
          </w:p>
        </w:tc>
        <w:tc>
          <w:tcPr>
            <w:tcW w:w="96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sz w:val="20"/>
              </w:rPr>
            </w:pPr>
            <w:r>
              <w:rPr>
                <w:i/>
                <w:sz w:val="20"/>
              </w:rPr>
              <w:t>Level 2</w:t>
            </w:r>
            <w:r>
              <w:rPr>
                <w:sz w:val="20"/>
              </w:rPr>
              <w:t>:</w:t>
            </w:r>
          </w:p>
        </w:tc>
        <w:tc>
          <w:tcPr>
            <w:tcW w:w="9640" w:type="dxa"/>
            <w:tcBorders/>
            <w:vAlign w:val="center"/>
          </w:tcPr>
          <w:p>
            <w:pPr>
              <w:pStyle w:val="TableContents"/>
              <w:bidi w:val="0"/>
              <w:spacing w:before="0" w:after="283"/>
              <w:jc w:val="left"/>
              <w:rPr>
                <w:sz w:val="20"/>
              </w:rPr>
            </w:pPr>
            <w:r>
              <w:rPr>
                <w:sz w:val="20"/>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 </w:t>
            </w:r>
          </w:p>
        </w:tc>
        <w:tc>
          <w:tcPr>
            <w:tcW w:w="96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sz w:val="20"/>
              </w:rPr>
            </w:pPr>
            <w:r>
              <w:rPr>
                <w:i/>
                <w:sz w:val="20"/>
              </w:rPr>
              <w:t>Level 3</w:t>
            </w:r>
            <w:r>
              <w:rPr>
                <w:sz w:val="20"/>
              </w:rPr>
              <w:t>:</w:t>
            </w:r>
          </w:p>
        </w:tc>
        <w:tc>
          <w:tcPr>
            <w:tcW w:w="9640" w:type="dxa"/>
            <w:tcBorders/>
            <w:vAlign w:val="center"/>
          </w:tcPr>
          <w:p>
            <w:pPr>
              <w:pStyle w:val="TableContents"/>
              <w:bidi w:val="0"/>
              <w:spacing w:before="0" w:after="283"/>
              <w:jc w:val="left"/>
              <w:rPr>
                <w:sz w:val="20"/>
              </w:rPr>
            </w:pPr>
            <w:r>
              <w:rPr>
                <w:sz w:val="20"/>
              </w:rPr>
              <w:t>Prices or valuation techniques that require inputs that are both significant to the fair value measurement and unobservable (i.e., supported with little or no market activity).</w:t>
            </w:r>
          </w:p>
        </w:tc>
      </w:tr>
    </w:tbl>
    <w:p>
      <w:pPr>
        <w:pStyle w:val="TextBody"/>
        <w:bidi w:val="0"/>
        <w:spacing w:before="0" w:after="0"/>
        <w:ind w:left="1728" w:right="0" w:hanging="1008"/>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independent pricing service be unable to provide a fair value estimate, we would first attempt to obtain a fair value estimate from a second independent pricing service.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estimates of our investments provided by the independent pricing service at each period-end were utilized, among other resources, in reaching a conclusion as to the fair value of our investments.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reviews the reasonableness of the pricing provided by the independent pricing service by employing various analytical procedures. We also use information from a second independent pricing service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services. In its review, management did not identify any such discrepancies and no adjustments were made to the estimates provided by the independent pricing services for the three-month period ended March 31, 2026, or the year ended December 31, 2025. The classification within the fair value hierarchy is then confirmed based on the final conclusions from the pricing review.</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March 31, 2026, or December 31, 2025.</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assets which are measured on a recurring basis by the level within the fair value hierarchy in which fair value measurements fall:</w:t>
      </w:r>
    </w:p>
    <w:p>
      <w:pPr>
        <w:pStyle w:val="TextBody"/>
        <w:bidi w:val="0"/>
        <w:spacing w:before="0" w:after="0"/>
        <w:ind w:left="14" w:right="14" w:hanging="0"/>
        <w:jc w:val="left"/>
        <w:rPr>
          <w:caps w:val="false"/>
          <w:smallCaps w:val="false"/>
        </w:rPr>
      </w:pPr>
      <w:r>
        <w:rPr>
          <w:caps w:val="false"/>
          <w:smallCaps w:val="false"/>
        </w:rPr>
        <w:t> </w:t>
      </w:r>
    </w:p>
    <w:tbl>
      <w:tblPr>
        <w:tblW w:w="8349" w:type="dxa"/>
        <w:jc w:val="left"/>
        <w:tblInd w:w="0" w:type="dxa"/>
        <w:tblLayout w:type="fixed"/>
        <w:tblCellMar>
          <w:top w:w="0" w:type="dxa"/>
          <w:left w:w="0" w:type="dxa"/>
          <w:bottom w:w="0" w:type="dxa"/>
          <w:right w:w="0" w:type="dxa"/>
        </w:tblCellMar>
      </w:tblPr>
      <w:tblGrid>
        <w:gridCol w:w="4400"/>
        <w:gridCol w:w="60"/>
        <w:gridCol w:w="140"/>
        <w:gridCol w:w="800"/>
        <w:gridCol w:w="60"/>
        <w:gridCol w:w="60"/>
        <w:gridCol w:w="140"/>
        <w:gridCol w:w="680"/>
        <w:gridCol w:w="60"/>
        <w:gridCol w:w="60"/>
        <w:gridCol w:w="140"/>
        <w:gridCol w:w="800"/>
        <w:gridCol w:w="60"/>
        <w:gridCol w:w="60"/>
        <w:gridCol w:w="263"/>
        <w:gridCol w:w="491"/>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118,068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118,068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Redeemable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289,780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289,780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Equity Securities -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Money market accounts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16,597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Total assets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332,169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42,389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289,780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49" w:type="dxa"/>
        <w:jc w:val="left"/>
        <w:tblInd w:w="0" w:type="dxa"/>
        <w:tblLayout w:type="fixed"/>
        <w:tblCellMar>
          <w:top w:w="0" w:type="dxa"/>
          <w:left w:w="0" w:type="dxa"/>
          <w:bottom w:w="0" w:type="dxa"/>
          <w:right w:w="0" w:type="dxa"/>
        </w:tblCellMar>
      </w:tblPr>
      <w:tblGrid>
        <w:gridCol w:w="4400"/>
        <w:gridCol w:w="60"/>
        <w:gridCol w:w="140"/>
        <w:gridCol w:w="800"/>
        <w:gridCol w:w="60"/>
        <w:gridCol w:w="60"/>
        <w:gridCol w:w="140"/>
        <w:gridCol w:w="680"/>
        <w:gridCol w:w="60"/>
        <w:gridCol w:w="60"/>
        <w:gridCol w:w="140"/>
        <w:gridCol w:w="800"/>
        <w:gridCol w:w="60"/>
        <w:gridCol w:w="60"/>
        <w:gridCol w:w="263"/>
        <w:gridCol w:w="491"/>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123,805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123,805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Redeemable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Equity Securities -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Money market accounts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Total assets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335,509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34,116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301,393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liabilities measured at fair value on a recurring basis at March 31, 2026, or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60"/>
        <w:gridCol w:w="1295"/>
      </w:tblGrid>
      <w:tr>
        <w:trPr/>
        <w:tc>
          <w:tcPr>
            <w:tcW w:w="260" w:type="dxa"/>
            <w:tcBorders/>
            <w:vAlign w:val="center"/>
          </w:tcPr>
          <w:p>
            <w:pPr>
              <w:pStyle w:val="TableContents"/>
              <w:bidi w:val="0"/>
              <w:spacing w:before="0" w:after="283"/>
              <w:jc w:val="left"/>
              <w:rPr>
                <w:b/>
              </w:rPr>
            </w:pPr>
            <w:r>
              <w:rPr>
                <w:b/>
              </w:rPr>
              <w:t>5. </w:t>
            </w:r>
          </w:p>
        </w:tc>
        <w:tc>
          <w:tcPr>
            <w:tcW w:w="1295" w:type="dxa"/>
            <w:tcBorders/>
            <w:vAlign w:val="center"/>
          </w:tcPr>
          <w:p>
            <w:pPr>
              <w:pStyle w:val="TableContents"/>
              <w:bidi w:val="0"/>
              <w:spacing w:before="0" w:after="283"/>
              <w:jc w:val="left"/>
              <w:rPr>
                <w:b/>
              </w:rPr>
            </w:pPr>
            <w:r>
              <w:rPr>
                <w:b/>
              </w:rPr>
              <w:t>Reinsurance</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External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Company reinsures a portion of the risks it underwrites, through these ceded reinsurance agreements, in order to control its exposure to losses. Our ceded reinsurance is placed either on an automatic basis under general reinsurance contracts known as treaties or through facultative contracts placed on substantial individual risks. These contracts do not relieve the Company from its obligations to policyholders. Treaty reinsurance contracts are typically effective from January 1 through December 31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three-month period ended March 31, 2026, the Company maintained property catastrophe reinsurance protection covering $123,000 in excess of a $20,000 retention. Our per risk excess of loss treaty provides coverage of $3,900 in excess of $1,100 for property risks and $11,000 in excess of $1,000 for casualty risks. Additionally, a property per-risk facultative contract is in place to provide coverage up to $35,000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Federal Crop Insurance Corporation (“FCIC”).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maintained property catastrophe reinsurance protection covering $117,000 in excess of a $20,000 retention. Our per risk excess of loss treaty provides coverage of $4,000 in excess of $1,000 for property risks and $11,000 in excess of $1,000 for casualty risks.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FCIC.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actively monitors and evaluates the financial condition of the reinsurers and develops estimates of the uncollectible amounts due from reinsurers, which would be recognized as credit losses through an allowance account developed using the current expected credit losses (“CECL”) model.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the state of reinsurer relations in general, and other relevant factors. Collection risk is mitigated by entering into reinsurance arrangements only with reinsurers that have strong credit ratings and statutory surplus above certain levels. At March 31, 2026, and December 31, 2025, management has concluded that it is not necessary to record an allowance for expected credit losses related to reinsurance recoverables. All of our significant reinsurance partners are rated “A-” (Excellent) or better by AM Best or “A+” or better by Standard &amp; Poor’s, and there is no history of write-offs.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premiums on both a written and an earned basis is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5"/>
        <w:gridCol w:w="60"/>
        <w:gridCol w:w="325"/>
        <w:gridCol w:w="1549"/>
        <w:gridCol w:w="199"/>
        <w:gridCol w:w="126"/>
        <w:gridCol w:w="319"/>
        <w:gridCol w:w="1526"/>
        <w:gridCol w:w="95"/>
        <w:gridCol w:w="60"/>
        <w:gridCol w:w="325"/>
        <w:gridCol w:w="1549"/>
        <w:gridCol w:w="199"/>
        <w:gridCol w:w="126"/>
        <w:gridCol w:w="319"/>
        <w:gridCol w:w="1526"/>
        <w:gridCol w:w="117"/>
      </w:tblGrid>
      <w:tr>
        <w:trPr/>
        <w:tc>
          <w:tcPr>
            <w:tcW w:w="1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2025</w:t>
            </w:r>
          </w:p>
        </w:tc>
        <w:tc>
          <w:tcPr>
            <w:tcW w:w="117" w:type="dxa"/>
            <w:tcBorders/>
            <w:vAlign w:val="center"/>
          </w:tcPr>
          <w:p>
            <w:pPr>
              <w:pStyle w:val="TableContents"/>
              <w:bidi w:val="0"/>
              <w:spacing w:before="0" w:after="283"/>
              <w:jc w:val="left"/>
              <w:rPr/>
            </w:pPr>
            <w:r>
              <w:rPr/>
              <w:t> </w:t>
            </w:r>
          </w:p>
        </w:tc>
      </w:tr>
      <w:tr>
        <w:trPr/>
        <w:tc>
          <w:tcPr>
            <w:tcW w:w="1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99"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8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99"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8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17" w:type="dxa"/>
            <w:tcBorders/>
            <w:vAlign w:val="center"/>
          </w:tcPr>
          <w:p>
            <w:pPr>
              <w:pStyle w:val="TableContents"/>
              <w:bidi w:val="0"/>
              <w:spacing w:before="0" w:after="283"/>
              <w:jc w:val="left"/>
              <w:rPr/>
            </w:pPr>
            <w:r>
              <w:rPr/>
              <w:t> </w:t>
            </w:r>
          </w:p>
        </w:tc>
      </w:tr>
      <w:tr>
        <w:trPr/>
        <w:tc>
          <w:tcPr>
            <w:tcW w:w="1785" w:type="dxa"/>
            <w:tcBorders/>
            <w:shd w:fill="CCEEFF" w:val="clear"/>
            <w:vAlign w:val="center"/>
          </w:tcPr>
          <w:p>
            <w:pPr>
              <w:pStyle w:val="TableContents"/>
              <w:bidi w:val="0"/>
              <w:spacing w:before="0" w:after="283"/>
              <w:jc w:val="left"/>
              <w:rPr/>
            </w:pPr>
            <w:r>
              <w:rPr/>
              <w:t>Direct premium</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55,529</w:t>
            </w:r>
          </w:p>
        </w:tc>
        <w:tc>
          <w:tcPr>
            <w:tcW w:w="19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526" w:type="dxa"/>
            <w:tcBorders/>
            <w:shd w:fill="CCEEFF" w:val="clear"/>
            <w:vAlign w:val="center"/>
          </w:tcPr>
          <w:p>
            <w:pPr>
              <w:pStyle w:val="TableContents"/>
              <w:bidi w:val="0"/>
              <w:spacing w:before="0" w:after="283"/>
              <w:jc w:val="right"/>
              <w:rPr/>
            </w:pPr>
            <w:r>
              <w:rPr/>
              <w:t>58,391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67,728</w:t>
            </w:r>
          </w:p>
        </w:tc>
        <w:tc>
          <w:tcPr>
            <w:tcW w:w="19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526" w:type="dxa"/>
            <w:tcBorders/>
            <w:shd w:fill="CCEEFF" w:val="clear"/>
            <w:vAlign w:val="center"/>
          </w:tcPr>
          <w:p>
            <w:pPr>
              <w:pStyle w:val="TableContents"/>
              <w:bidi w:val="0"/>
              <w:spacing w:before="0" w:after="283"/>
              <w:jc w:val="right"/>
              <w:rPr/>
            </w:pPr>
            <w:r>
              <w:rPr/>
              <w:t>72,161</w:t>
            </w:r>
          </w:p>
        </w:tc>
        <w:tc>
          <w:tcPr>
            <w:tcW w:w="117" w:type="dxa"/>
            <w:tcBorders/>
            <w:shd w:fill="CCEEFF" w:val="clear"/>
            <w:vAlign w:val="center"/>
          </w:tcPr>
          <w:p>
            <w:pPr>
              <w:pStyle w:val="TableContents"/>
              <w:bidi w:val="0"/>
              <w:spacing w:before="0" w:after="283"/>
              <w:jc w:val="left"/>
              <w:rPr/>
            </w:pPr>
            <w:r>
              <w:rPr/>
              <w:t> </w:t>
            </w:r>
          </w:p>
        </w:tc>
      </w:tr>
      <w:tr>
        <w:trPr/>
        <w:tc>
          <w:tcPr>
            <w:tcW w:w="1785" w:type="dxa"/>
            <w:tcBorders/>
            <w:shd w:fill="FFFFFF" w:val="clear"/>
            <w:vAlign w:val="center"/>
          </w:tcPr>
          <w:p>
            <w:pPr>
              <w:pStyle w:val="TableContents"/>
              <w:bidi w:val="0"/>
              <w:spacing w:before="0" w:after="283"/>
              <w:jc w:val="left"/>
              <w:rPr/>
            </w:pPr>
            <w:r>
              <w:rPr/>
              <w:t>Assumed premium</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1,983</w:t>
            </w:r>
          </w:p>
        </w:tc>
        <w:tc>
          <w:tcPr>
            <w:tcW w:w="19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1,983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38</w:t>
            </w:r>
          </w:p>
        </w:tc>
        <w:tc>
          <w:tcPr>
            <w:tcW w:w="19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39</w:t>
            </w:r>
          </w:p>
        </w:tc>
        <w:tc>
          <w:tcPr>
            <w:tcW w:w="117" w:type="dxa"/>
            <w:tcBorders/>
            <w:shd w:fill="FFFFFF" w:val="clear"/>
            <w:vAlign w:val="center"/>
          </w:tcPr>
          <w:p>
            <w:pPr>
              <w:pStyle w:val="TableContents"/>
              <w:bidi w:val="0"/>
              <w:spacing w:before="0" w:after="283"/>
              <w:jc w:val="left"/>
              <w:rPr/>
            </w:pPr>
            <w:r>
              <w:rPr/>
              <w:t> </w:t>
            </w:r>
          </w:p>
        </w:tc>
      </w:tr>
      <w:tr>
        <w:trPr/>
        <w:tc>
          <w:tcPr>
            <w:tcW w:w="1785" w:type="dxa"/>
            <w:tcBorders/>
            <w:shd w:fill="CCEEFF" w:val="clear"/>
            <w:vAlign w:val="center"/>
          </w:tcPr>
          <w:p>
            <w:pPr>
              <w:pStyle w:val="TableContents"/>
              <w:bidi w:val="0"/>
              <w:spacing w:before="0" w:after="283"/>
              <w:jc w:val="left"/>
              <w:rPr/>
            </w:pPr>
            <w:r>
              <w:rPr/>
              <w:t>Ceded premium</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9" w:type="dxa"/>
            <w:tcBorders>
              <w:bottom w:val="single" w:sz="8" w:space="0" w:color="000000"/>
            </w:tcBorders>
            <w:shd w:fill="CCEEFF" w:val="clear"/>
            <w:tcMar>
              <w:bottom w:w="28" w:type="dxa"/>
            </w:tcMar>
            <w:vAlign w:val="center"/>
          </w:tcPr>
          <w:p>
            <w:pPr>
              <w:pStyle w:val="TableContents"/>
              <w:bidi w:val="0"/>
              <w:spacing w:before="0" w:after="283"/>
              <w:jc w:val="right"/>
              <w:rPr/>
            </w:pPr>
            <w:r>
              <w:rPr/>
              <w:t>(5,261</w:t>
            </w:r>
          </w:p>
        </w:tc>
        <w:tc>
          <w:tcPr>
            <w:tcW w:w="199"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pPr>
            <w:r>
              <w:rPr/>
              <w:t>(5,261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9" w:type="dxa"/>
            <w:tcBorders>
              <w:bottom w:val="single" w:sz="8" w:space="0" w:color="000000"/>
            </w:tcBorders>
            <w:shd w:fill="CCEEFF" w:val="clear"/>
            <w:tcMar>
              <w:bottom w:w="28" w:type="dxa"/>
            </w:tcMar>
            <w:vAlign w:val="center"/>
          </w:tcPr>
          <w:p>
            <w:pPr>
              <w:pStyle w:val="TableContents"/>
              <w:bidi w:val="0"/>
              <w:spacing w:before="0" w:after="283"/>
              <w:jc w:val="right"/>
              <w:rPr/>
            </w:pPr>
            <w:r>
              <w:rPr/>
              <w:t>(4,704</w:t>
            </w:r>
          </w:p>
        </w:tc>
        <w:tc>
          <w:tcPr>
            <w:tcW w:w="199"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pPr>
            <w:r>
              <w:rPr/>
              <w:t>(4,703</w:t>
            </w:r>
          </w:p>
        </w:tc>
        <w:tc>
          <w:tcPr>
            <w:tcW w:w="117" w:type="dxa"/>
            <w:tcBorders/>
            <w:shd w:fill="CCEEFF" w:val="clear"/>
            <w:vAlign w:val="center"/>
          </w:tcPr>
          <w:p>
            <w:pPr>
              <w:pStyle w:val="TableContents"/>
              <w:bidi w:val="0"/>
              <w:spacing w:before="0" w:after="283"/>
              <w:jc w:val="left"/>
              <w:rPr/>
            </w:pPr>
            <w:r>
              <w:rPr/>
              <w:t>)</w:t>
            </w:r>
          </w:p>
        </w:tc>
      </w:tr>
      <w:tr>
        <w:trPr/>
        <w:tc>
          <w:tcPr>
            <w:tcW w:w="1785" w:type="dxa"/>
            <w:tcBorders/>
            <w:shd w:fill="FFFFFF" w:val="clear"/>
            <w:vAlign w:val="center"/>
          </w:tcPr>
          <w:p>
            <w:pPr>
              <w:pStyle w:val="TableContents"/>
              <w:bidi w:val="0"/>
              <w:spacing w:before="0" w:after="283"/>
              <w:jc w:val="left"/>
              <w:rPr/>
            </w:pPr>
            <w:r>
              <w:rPr/>
              <w:t>Net premiums</w:t>
            </w:r>
          </w:p>
        </w:tc>
        <w:tc>
          <w:tcPr>
            <w:tcW w:w="60"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9" w:type="dxa"/>
            <w:tcBorders>
              <w:bottom w:val="double" w:sz="6" w:space="0" w:color="000000"/>
            </w:tcBorders>
            <w:shd w:fill="FFFFFF" w:val="clear"/>
            <w:tcMar>
              <w:bottom w:w="28" w:type="dxa"/>
            </w:tcMar>
            <w:vAlign w:val="center"/>
          </w:tcPr>
          <w:p>
            <w:pPr>
              <w:pStyle w:val="TableContents"/>
              <w:bidi w:val="0"/>
              <w:spacing w:before="0" w:after="283"/>
              <w:jc w:val="right"/>
              <w:rPr/>
            </w:pPr>
            <w:r>
              <w:rPr/>
              <w:t>52,251</w:t>
            </w:r>
          </w:p>
        </w:tc>
        <w:tc>
          <w:tcPr>
            <w:tcW w:w="19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6" w:type="dxa"/>
            <w:tcBorders>
              <w:bottom w:val="double" w:sz="6" w:space="0" w:color="000000"/>
            </w:tcBorders>
            <w:shd w:fill="FFFFFF" w:val="clear"/>
            <w:tcMar>
              <w:bottom w:w="28" w:type="dxa"/>
            </w:tcMar>
            <w:vAlign w:val="center"/>
          </w:tcPr>
          <w:p>
            <w:pPr>
              <w:pStyle w:val="TableContents"/>
              <w:bidi w:val="0"/>
              <w:spacing w:before="0" w:after="283"/>
              <w:jc w:val="right"/>
              <w:rPr/>
            </w:pPr>
            <w:r>
              <w:rPr/>
              <w:t>55,113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9" w:type="dxa"/>
            <w:tcBorders>
              <w:bottom w:val="double" w:sz="6" w:space="0" w:color="000000"/>
            </w:tcBorders>
            <w:shd w:fill="FFFFFF" w:val="clear"/>
            <w:tcMar>
              <w:bottom w:w="28" w:type="dxa"/>
            </w:tcMar>
            <w:vAlign w:val="center"/>
          </w:tcPr>
          <w:p>
            <w:pPr>
              <w:pStyle w:val="TableContents"/>
              <w:bidi w:val="0"/>
              <w:spacing w:before="0" w:after="283"/>
              <w:jc w:val="right"/>
              <w:rPr/>
            </w:pPr>
            <w:r>
              <w:rPr/>
              <w:t>63,062</w:t>
            </w:r>
          </w:p>
        </w:tc>
        <w:tc>
          <w:tcPr>
            <w:tcW w:w="19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6" w:type="dxa"/>
            <w:tcBorders>
              <w:bottom w:val="double" w:sz="6" w:space="0" w:color="000000"/>
            </w:tcBorders>
            <w:shd w:fill="FFFFFF" w:val="clear"/>
            <w:tcMar>
              <w:bottom w:w="28" w:type="dxa"/>
            </w:tcMar>
            <w:vAlign w:val="center"/>
          </w:tcPr>
          <w:p>
            <w:pPr>
              <w:pStyle w:val="TableContents"/>
              <w:bidi w:val="0"/>
              <w:spacing w:before="0" w:after="283"/>
              <w:jc w:val="right"/>
              <w:rPr/>
            </w:pPr>
            <w:r>
              <w:rPr/>
              <w:t>67,497</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losses and loss adjustment expenses is as follows:</w:t>
      </w:r>
    </w:p>
    <w:p>
      <w:pPr>
        <w:pStyle w:val="TextBody"/>
        <w:bidi w:val="0"/>
        <w:spacing w:before="0" w:after="0"/>
        <w:ind w:left="15" w:right="15"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4355"/>
        <w:gridCol w:w="60"/>
        <w:gridCol w:w="258"/>
        <w:gridCol w:w="1257"/>
        <w:gridCol w:w="175"/>
        <w:gridCol w:w="110"/>
        <w:gridCol w:w="258"/>
        <w:gridCol w:w="1257"/>
        <w:gridCol w:w="11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Direct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24,069</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40,379</w:t>
            </w:r>
          </w:p>
        </w:tc>
        <w:tc>
          <w:tcPr>
            <w:tcW w:w="11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Assumed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121</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(233</w:t>
            </w:r>
          </w:p>
        </w:tc>
        <w:tc>
          <w:tcPr>
            <w:tcW w:w="110" w:type="dxa"/>
            <w:tcBorders/>
            <w:shd w:fill="FFFFFF" w:val="clear"/>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Ceded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(834</w:t>
            </w:r>
          </w:p>
        </w:tc>
        <w:tc>
          <w:tcPr>
            <w:tcW w:w="175"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(1,621</w:t>
            </w:r>
          </w:p>
        </w:tc>
        <w:tc>
          <w:tcPr>
            <w:tcW w:w="110" w:type="dxa"/>
            <w:tcBorders/>
            <w:shd w:fill="CCEEFF" w:val="clear"/>
            <w:vAlign w:val="center"/>
          </w:tcPr>
          <w:p>
            <w:pPr>
              <w:pStyle w:val="TableContents"/>
              <w:bidi w:val="0"/>
              <w:spacing w:before="0" w:after="283"/>
              <w:jc w:val="left"/>
              <w:rPr/>
            </w:pPr>
            <w:r>
              <w:rPr/>
              <w:t>)</w:t>
            </w:r>
          </w:p>
        </w:tc>
      </w:tr>
      <w:tr>
        <w:trPr/>
        <w:tc>
          <w:tcPr>
            <w:tcW w:w="4355" w:type="dxa"/>
            <w:tcBorders/>
            <w:shd w:fill="FFFFFF" w:val="clear"/>
            <w:vAlign w:val="center"/>
          </w:tcPr>
          <w:p>
            <w:pPr>
              <w:pStyle w:val="TableContents"/>
              <w:bidi w:val="0"/>
              <w:spacing w:before="0" w:after="283"/>
              <w:jc w:val="left"/>
              <w:rPr/>
            </w:pPr>
            <w:r>
              <w:rPr/>
              <w:t>Net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pPr>
            <w:r>
              <w:rPr/>
              <w:t>23,356</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pPr>
            <w:r>
              <w:rPr/>
              <w:t>38,525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Intercompany Reinsurance Pooling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 Pooling percentages for the insurance subsidiaries are updated periodically based on their respective surplus as a percentage of the pool’s surplus.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53"/>
        <w:gridCol w:w="9548"/>
      </w:tblGrid>
      <w:tr>
        <w:trPr/>
        <w:tc>
          <w:tcPr>
            <w:tcW w:w="10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b/>
              </w:rPr>
            </w:pPr>
            <w:r>
              <w:rPr>
                <w:b/>
              </w:rPr>
              <w:t>6.</w:t>
            </w:r>
          </w:p>
        </w:tc>
        <w:tc>
          <w:tcPr>
            <w:tcW w:w="9548" w:type="dxa"/>
            <w:tcBorders/>
            <w:vAlign w:val="center"/>
          </w:tcPr>
          <w:p>
            <w:pPr>
              <w:pStyle w:val="TableContents"/>
              <w:bidi w:val="0"/>
              <w:spacing w:before="0" w:after="283"/>
              <w:jc w:val="left"/>
              <w:rPr>
                <w:b/>
              </w:rPr>
            </w:pPr>
            <w:r>
              <w:rPr>
                <w:b/>
              </w:rPr>
              <w:t>Deferred Policy Acquisition Costs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 </w:t>
      </w:r>
    </w:p>
    <w:p>
      <w:pPr>
        <w:pStyle w:val="TextBody"/>
        <w:bidi w:val="0"/>
        <w:spacing w:before="0" w:after="0"/>
        <w:ind w:left="15" w:right="15" w:hanging="0"/>
        <w:jc w:val="left"/>
        <w:rPr>
          <w:caps w:val="false"/>
          <w:smallCaps w:val="false"/>
        </w:rPr>
      </w:pPr>
      <w:r>
        <w:rPr>
          <w:caps w:val="false"/>
          <w:smallCaps w:val="false"/>
        </w:rPr>
        <w:t> </w:t>
      </w:r>
    </w:p>
    <w:tbl>
      <w:tblPr>
        <w:tblW w:w="8111" w:type="dxa"/>
        <w:jc w:val="left"/>
        <w:tblInd w:w="0" w:type="dxa"/>
        <w:tblLayout w:type="fixed"/>
        <w:tblCellMar>
          <w:top w:w="0" w:type="dxa"/>
          <w:left w:w="0" w:type="dxa"/>
          <w:bottom w:w="0" w:type="dxa"/>
          <w:right w:w="0" w:type="dxa"/>
        </w:tblCellMar>
      </w:tblPr>
      <w:tblGrid>
        <w:gridCol w:w="4625"/>
        <w:gridCol w:w="60"/>
        <w:gridCol w:w="238"/>
        <w:gridCol w:w="1288"/>
        <w:gridCol w:w="162"/>
        <w:gridCol w:w="102"/>
        <w:gridCol w:w="238"/>
        <w:gridCol w:w="1288"/>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19,209</w:t>
            </w:r>
          </w:p>
        </w:tc>
        <w:tc>
          <w:tcPr>
            <w:tcW w:w="1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26,300</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Deferral of policy acquisition costs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11,787</w:t>
            </w:r>
          </w:p>
        </w:tc>
        <w:tc>
          <w:tcPr>
            <w:tcW w:w="1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14,041</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(11,886</w:t>
            </w:r>
          </w:p>
        </w:tc>
        <w:tc>
          <w:tcPr>
            <w:tcW w:w="16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(16,528</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pPr>
            <w:r>
              <w:rPr/>
              <w:t>19,110</w:t>
            </w:r>
          </w:p>
        </w:tc>
        <w:tc>
          <w:tcPr>
            <w:tcW w:w="1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pPr>
            <w:r>
              <w:rPr/>
              <w:t>23,813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08"/>
        <w:gridCol w:w="9720"/>
      </w:tblGrid>
      <w:tr>
        <w:trPr/>
        <w:tc>
          <w:tcPr>
            <w:tcW w:w="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b/>
              </w:rPr>
            </w:pPr>
            <w:r>
              <w:rPr>
                <w:b/>
              </w:rPr>
              <w:t>7.</w:t>
            </w:r>
          </w:p>
        </w:tc>
        <w:tc>
          <w:tcPr>
            <w:tcW w:w="9720" w:type="dxa"/>
            <w:tcBorders/>
            <w:vAlign w:val="center"/>
          </w:tcPr>
          <w:p>
            <w:pPr>
              <w:pStyle w:val="TableContents"/>
              <w:bidi w:val="0"/>
              <w:spacing w:before="0" w:after="283"/>
              <w:jc w:val="left"/>
              <w:rPr>
                <w:b/>
              </w:rPr>
            </w:pPr>
            <w:r>
              <w:rPr>
                <w:b/>
              </w:rPr>
              <w:t>Unpaid Losses and Loss Adjustment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in the liability for unpaid losses and loss adjustment expenses is summarized as follows:</w:t>
      </w:r>
    </w:p>
    <w:p>
      <w:pPr>
        <w:pStyle w:val="TextBody"/>
        <w:bidi w:val="0"/>
        <w:spacing w:before="0" w:after="0"/>
        <w:ind w:left="0" w:right="0" w:hanging="0"/>
        <w:jc w:val="left"/>
        <w:rPr>
          <w:caps w:val="false"/>
          <w:smallCaps w:val="false"/>
        </w:rPr>
      </w:pPr>
      <w:r>
        <w:rPr>
          <w:caps w:val="false"/>
          <w:smallCaps w:val="false"/>
        </w:rPr>
        <w:t> </w:t>
      </w:r>
    </w:p>
    <w:tbl>
      <w:tblPr>
        <w:tblW w:w="8752" w:type="dxa"/>
        <w:jc w:val="left"/>
        <w:tblInd w:w="0" w:type="dxa"/>
        <w:tblLayout w:type="fixed"/>
        <w:tblCellMar>
          <w:top w:w="0" w:type="dxa"/>
          <w:left w:w="0" w:type="dxa"/>
          <w:bottom w:w="0" w:type="dxa"/>
          <w:right w:w="0" w:type="dxa"/>
        </w:tblCellMar>
      </w:tblPr>
      <w:tblGrid>
        <w:gridCol w:w="5300"/>
        <w:gridCol w:w="60"/>
        <w:gridCol w:w="228"/>
        <w:gridCol w:w="1305"/>
        <w:gridCol w:w="154"/>
        <w:gridCol w:w="97"/>
        <w:gridCol w:w="228"/>
        <w:gridCol w:w="1305"/>
        <w:gridCol w:w="7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5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Liability for 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305" w:type="dxa"/>
            <w:tcBorders/>
            <w:shd w:fill="FFFFFF" w:val="clear"/>
            <w:vAlign w:val="center"/>
          </w:tcPr>
          <w:p>
            <w:pPr>
              <w:pStyle w:val="TableContents"/>
              <w:bidi w:val="0"/>
              <w:spacing w:before="0" w:after="283"/>
              <w:jc w:val="right"/>
              <w:rPr/>
            </w:pPr>
            <w:r>
              <w:rPr/>
              <w:t>137,855</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305" w:type="dxa"/>
            <w:tcBorders/>
            <w:shd w:fill="FFFFFF" w:val="clear"/>
            <w:vAlign w:val="center"/>
          </w:tcPr>
          <w:p>
            <w:pPr>
              <w:pStyle w:val="TableContents"/>
              <w:bidi w:val="0"/>
              <w:spacing w:before="0" w:after="283"/>
              <w:jc w:val="right"/>
              <w:rPr/>
            </w:pPr>
            <w:r>
              <w:rPr/>
              <w:t>137,288</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11,957</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12,561</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Net balance, beginning of period</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125,898</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124,727</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Incurred related to:</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Current year</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27,404</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37,107</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Prior years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(4,048</w:t>
            </w:r>
          </w:p>
        </w:tc>
        <w:tc>
          <w:tcPr>
            <w:tcW w:w="15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1,418</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Total incurred</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23,356</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38,525</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Paid related to:</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Current year</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10,251</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10,375</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Prior years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25,360</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25,637</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Total paid</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35,611</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36,012</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Liability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123,594</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135,886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Reinsurance recoverables on losses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9,951</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8,646</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balance, end of period</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pPr>
            <w:r>
              <w:rPr/>
              <w:t>113,643</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pPr>
            <w:r>
              <w:rPr/>
              <w:t>127,240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Company’s incurred reported losses and loss adjustment expense included $4,048 of net favorable development on prior accident years. This was primarily attributable to favorable development for the Home and Farm and Private Passenger Auto segments. During the three months ended March 31, 2025, the Company’s incurred reported losses and loss adjustment expenses included $1,418 of net unfavorable development on prior accident years. This was primarily attributable to unfavorable development for the Non-Standard Auto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pStyle w:val="TextBody"/>
        <w:bidi w:val="0"/>
        <w:spacing w:before="0" w:after="0"/>
        <w:ind w:left="15" w:right="15"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719"/>
        <w:gridCol w:w="9350"/>
      </w:tblGrid>
      <w:tr>
        <w:trPr/>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b/>
              </w:rPr>
            </w:pPr>
            <w:r>
              <w:rPr>
                <w:b/>
              </w:rPr>
              <w:t>8.</w:t>
            </w:r>
          </w:p>
        </w:tc>
        <w:tc>
          <w:tcPr>
            <w:tcW w:w="9350" w:type="dxa"/>
            <w:tcBorders/>
            <w:vAlign w:val="center"/>
          </w:tcPr>
          <w:p>
            <w:pPr>
              <w:pStyle w:val="TableContents"/>
              <w:bidi w:val="0"/>
              <w:spacing w:before="0" w:after="283"/>
              <w:jc w:val="left"/>
              <w:rPr>
                <w:b/>
              </w:rPr>
            </w:pPr>
            <w:r>
              <w:rPr>
                <w:b/>
              </w:rPr>
              <w:t>Property and Equipment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ind w:left="15" w:right="15" w:hanging="0"/>
        <w:jc w:val="left"/>
        <w:rPr>
          <w:caps w:val="false"/>
          <w:smallCaps w:val="false"/>
        </w:rPr>
      </w:pPr>
      <w:r>
        <w:rPr>
          <w:caps w:val="false"/>
          <w:smallCaps w:val="false"/>
        </w:rPr>
        <w:t> </w:t>
      </w:r>
    </w:p>
    <w:tbl>
      <w:tblPr>
        <w:tblW w:w="9718" w:type="dxa"/>
        <w:jc w:val="left"/>
        <w:tblInd w:w="0" w:type="dxa"/>
        <w:tblLayout w:type="fixed"/>
        <w:tblCellMar>
          <w:top w:w="0" w:type="dxa"/>
          <w:left w:w="0" w:type="dxa"/>
          <w:bottom w:w="0" w:type="dxa"/>
          <w:right w:w="0" w:type="dxa"/>
        </w:tblCellMar>
      </w:tblPr>
      <w:tblGrid>
        <w:gridCol w:w="3560"/>
        <w:gridCol w:w="60"/>
        <w:gridCol w:w="251"/>
        <w:gridCol w:w="1358"/>
        <w:gridCol w:w="95"/>
        <w:gridCol w:w="60"/>
        <w:gridCol w:w="305"/>
        <w:gridCol w:w="1649"/>
        <w:gridCol w:w="95"/>
        <w:gridCol w:w="60"/>
        <w:gridCol w:w="222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bottom w:val="single" w:sz="8" w:space="0" w:color="000000"/>
            </w:tcBorders>
            <w:tcMar>
              <w:bottom w:w="28" w:type="dxa"/>
            </w:tcMar>
            <w:vAlign w:val="center"/>
          </w:tcPr>
          <w:p>
            <w:pPr>
              <w:pStyle w:val="TableContents"/>
              <w:bidi w:val="0"/>
              <w:spacing w:before="0" w:after="283"/>
              <w:jc w:val="center"/>
              <w:rPr>
                <w:b/>
              </w:rPr>
            </w:pPr>
            <w:r>
              <w:rPr>
                <w:b/>
              </w:rPr>
              <w:t>Estimated Useful Life</w:t>
            </w:r>
          </w:p>
        </w:tc>
      </w:tr>
      <w:tr>
        <w:trPr/>
        <w:tc>
          <w:tcPr>
            <w:tcW w:w="3560" w:type="dxa"/>
            <w:tcBorders/>
            <w:vAlign w:val="center"/>
          </w:tcPr>
          <w:p>
            <w:pPr>
              <w:pStyle w:val="TableContents"/>
              <w:bidi w:val="0"/>
              <w:spacing w:before="0" w:after="283"/>
              <w:jc w:val="left"/>
              <w:rPr/>
            </w:pPr>
            <w:r>
              <w:rPr/>
              <w:t>Cost:</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right"/>
              <w:rPr/>
            </w:pPr>
            <w:r>
              <w:rPr/>
              <w:t> </w:t>
            </w:r>
          </w:p>
        </w:tc>
      </w:tr>
      <w:tr>
        <w:trPr/>
        <w:tc>
          <w:tcPr>
            <w:tcW w:w="3560" w:type="dxa"/>
            <w:tcBorders/>
            <w:shd w:fill="CCEEFF" w:val="clear"/>
            <w:vAlign w:val="center"/>
          </w:tcPr>
          <w:p>
            <w:pPr>
              <w:pStyle w:val="TableContents"/>
              <w:bidi w:val="0"/>
              <w:spacing w:before="0" w:after="283"/>
              <w:jc w:val="left"/>
              <w:rPr/>
            </w:pPr>
            <w:r>
              <w:rPr/>
              <w:t>Land</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649" w:type="dxa"/>
            <w:tcBorders/>
            <w:shd w:fill="CCEEFF" w:val="cle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center"/>
              <w:rPr/>
            </w:pPr>
            <w:r>
              <w:rPr/>
              <w:t>indefinite</w:t>
            </w:r>
          </w:p>
        </w:tc>
      </w:tr>
      <w:tr>
        <w:trPr/>
        <w:tc>
          <w:tcPr>
            <w:tcW w:w="3560" w:type="dxa"/>
            <w:tcBorders/>
            <w:shd w:fill="FFFFFF" w:val="clear"/>
            <w:vAlign w:val="center"/>
          </w:tcPr>
          <w:p>
            <w:pPr>
              <w:pStyle w:val="TableContents"/>
              <w:bidi w:val="0"/>
              <w:spacing w:before="0" w:after="283"/>
              <w:jc w:val="left"/>
              <w:rPr/>
            </w:pPr>
            <w:r>
              <w:rPr/>
              <w:t>Building and improvements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11,280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center"/>
              <w:rPr/>
            </w:pPr>
            <w:r>
              <w:rPr/>
              <w:t>10 – 43 years</w:t>
            </w:r>
          </w:p>
        </w:tc>
      </w:tr>
      <w:tr>
        <w:trPr/>
        <w:tc>
          <w:tcPr>
            <w:tcW w:w="3560" w:type="dxa"/>
            <w:tcBorders/>
            <w:shd w:fill="CCEEFF" w:val="clear"/>
            <w:vAlign w:val="center"/>
          </w:tcPr>
          <w:p>
            <w:pPr>
              <w:pStyle w:val="TableContents"/>
              <w:bidi w:val="0"/>
              <w:spacing w:before="0" w:after="283"/>
              <w:jc w:val="left"/>
              <w:rPr/>
            </w:pPr>
            <w:r>
              <w:rPr/>
              <w:t>Electronic data processing equipment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center"/>
              <w:rPr/>
            </w:pPr>
            <w:r>
              <w:rPr/>
              <w:t>5 – 7 years</w:t>
            </w:r>
          </w:p>
        </w:tc>
      </w:tr>
      <w:tr>
        <w:trPr/>
        <w:tc>
          <w:tcPr>
            <w:tcW w:w="356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2,654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2,684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center"/>
              <w:rPr/>
            </w:pPr>
            <w:r>
              <w:rPr/>
              <w:t>5 – 7 years</w:t>
            </w:r>
          </w:p>
        </w:tc>
      </w:tr>
      <w:tr>
        <w:trPr/>
        <w:tc>
          <w:tcPr>
            <w:tcW w:w="3560" w:type="dxa"/>
            <w:tcBorders/>
            <w:shd w:fill="CCEEFF" w:val="clear"/>
            <w:vAlign w:val="center"/>
          </w:tcPr>
          <w:p>
            <w:pPr>
              <w:pStyle w:val="TableContents"/>
              <w:bidi w:val="0"/>
              <w:spacing w:before="0" w:after="283"/>
              <w:jc w:val="left"/>
              <w:rPr/>
            </w:pPr>
            <w:r>
              <w:rPr/>
              <w:t>Automobiles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pPr>
            <w:r>
              <w:rPr/>
              <w:t>1,225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center"/>
              <w:rPr/>
            </w:pPr>
            <w:r>
              <w:rPr/>
              <w:t>2 – 3 years</w:t>
            </w:r>
          </w:p>
        </w:tc>
      </w:tr>
      <w:tr>
        <w:trPr/>
        <w:tc>
          <w:tcPr>
            <w:tcW w:w="3560" w:type="dxa"/>
            <w:tcBorders/>
            <w:shd w:fill="FFFFFF" w:val="clear"/>
            <w:vAlign w:val="center"/>
          </w:tcPr>
          <w:p>
            <w:pPr>
              <w:pStyle w:val="TableContents"/>
              <w:bidi w:val="0"/>
              <w:spacing w:before="0" w:after="283"/>
              <w:jc w:val="left"/>
              <w:rPr/>
            </w:pPr>
            <w:r>
              <w:rPr/>
              <w:t>Gross cost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17,919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17,968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right"/>
              <w:rPr/>
            </w:pPr>
            <w:r>
              <w:rPr/>
              <w:t> </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right"/>
              <w:rPr/>
            </w:pPr>
            <w:r>
              <w:rPr/>
              <w:t> </w:t>
            </w:r>
          </w:p>
        </w:tc>
      </w:tr>
      <w:tr>
        <w:trPr/>
        <w:tc>
          <w:tcPr>
            <w:tcW w:w="3560" w:type="dxa"/>
            <w:tcBorders/>
            <w:shd w:fill="FFFFFF" w:val="clear"/>
            <w:vAlign w:val="center"/>
          </w:tcPr>
          <w:p>
            <w:pPr>
              <w:pStyle w:val="TableContents"/>
              <w:bidi w:val="0"/>
              <w:spacing w:before="0" w:after="283"/>
              <w:jc w:val="left"/>
              <w:rPr/>
            </w:pPr>
            <w:r>
              <w:rPr/>
              <w:t>Accumulated depreciation</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pPr>
            <w:r>
              <w:rPr/>
              <w:t>(11,303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pPr>
            <w:r>
              <w:rPr/>
              <w:t>(11,209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right"/>
              <w:rPr/>
            </w:pPr>
            <w:r>
              <w:rPr/>
              <w:t> </w:t>
            </w:r>
          </w:p>
        </w:tc>
      </w:tr>
      <w:tr>
        <w:trPr/>
        <w:tc>
          <w:tcPr>
            <w:tcW w:w="3560" w:type="dxa"/>
            <w:tcBorders/>
            <w:shd w:fill="CCEEFF" w:val="clear"/>
            <w:vAlign w:val="center"/>
          </w:tcPr>
          <w:p>
            <w:pPr>
              <w:pStyle w:val="TableContents"/>
              <w:bidi w:val="0"/>
              <w:spacing w:before="0" w:after="283"/>
              <w:jc w:val="left"/>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8" w:type="dxa"/>
            <w:tcBorders>
              <w:bottom w:val="double" w:sz="6" w:space="0" w:color="000000"/>
            </w:tcBorders>
            <w:shd w:fill="CCEEFF" w:val="clear"/>
            <w:tcMar>
              <w:bottom w:w="28" w:type="dxa"/>
            </w:tcMar>
            <w:vAlign w:val="center"/>
          </w:tcPr>
          <w:p>
            <w:pPr>
              <w:pStyle w:val="TableContents"/>
              <w:bidi w:val="0"/>
              <w:spacing w:before="0" w:after="283"/>
              <w:jc w:val="right"/>
              <w:rPr/>
            </w:pPr>
            <w:r>
              <w:rPr/>
              <w:t>6,616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pPr>
            <w:r>
              <w:rPr/>
              <w:t>6,759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ind w:left="0" w:right="0" w:hanging="216"/>
              <w:jc w:val="righ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was $168 and $173 for the three months ended March 31, 2026 and 2025, respectively.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747"/>
        <w:gridCol w:w="9317"/>
      </w:tblGrid>
      <w:tr>
        <w:trPr/>
        <w:tc>
          <w:tcPr>
            <w:tcW w:w="14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b/>
              </w:rPr>
            </w:pPr>
            <w:r>
              <w:rPr>
                <w:b/>
              </w:rPr>
              <w:t>9.</w:t>
            </w:r>
          </w:p>
        </w:tc>
        <w:tc>
          <w:tcPr>
            <w:tcW w:w="9317" w:type="dxa"/>
            <w:tcBorders/>
            <w:vAlign w:val="center"/>
          </w:tcPr>
          <w:p>
            <w:pPr>
              <w:pStyle w:val="TableContents"/>
              <w:bidi w:val="0"/>
              <w:spacing w:before="0" w:after="283"/>
              <w:jc w:val="left"/>
              <w:rPr>
                <w:b/>
              </w:rPr>
            </w:pPr>
            <w:r>
              <w:rPr>
                <w:b/>
              </w:rPr>
              <w:t>Royalties and Dividends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North Dakota Farm Bureau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$470 and $440 during the three months ended March 31, 2026 and 2025, respectively. Royalty amounts payable of $171 and $152 were accrued as a liability to the NDFB at March 31, 2026, and December 31, 2025, respectively. </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2025, exceeded the amount of statutory capital and surplus necessary to satisfy risk-based capital requirements by a significant margin. For information regarding the availability of subsidiaries to pay dividends to NI Holdings during 2026, see Part II, Item 8, Note 11 “Royalties, Dividends, and Affiliations” section of the 2025 Annual Report.</w:t>
      </w:r>
    </w:p>
    <w:p>
      <w:pPr>
        <w:pStyle w:val="TextBody"/>
        <w:bidi w:val="0"/>
        <w:spacing w:before="0" w:after="0"/>
        <w:ind w:left="14" w:right="14"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890"/>
        <w:gridCol w:w="8091"/>
      </w:tblGrid>
      <w:tr>
        <w:trPr/>
        <w:tc>
          <w:tcPr>
            <w:tcW w:w="224"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b/>
              </w:rPr>
            </w:pPr>
            <w:r>
              <w:rPr>
                <w:b/>
              </w:rPr>
              <w:t>10.</w:t>
            </w:r>
          </w:p>
        </w:tc>
        <w:tc>
          <w:tcPr>
            <w:tcW w:w="8091" w:type="dxa"/>
            <w:tcBorders/>
            <w:vAlign w:val="center"/>
          </w:tcPr>
          <w:p>
            <w:pPr>
              <w:pStyle w:val="TableContents"/>
              <w:bidi w:val="0"/>
              <w:spacing w:before="0" w:after="283"/>
              <w:jc w:val="left"/>
              <w:rPr>
                <w:b/>
              </w:rPr>
            </w:pPr>
            <w:r>
              <w:rPr>
                <w:b/>
              </w:rPr>
              <w:t>Benefit Plans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American West and Battle Creek have no employees. The Company reported expenses related to these plans totaling $284 and $320 during the three months ended March 31, 2026 and 2025, respectively.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associated with the plans are deducted from the eligible employee accounts.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$348 and $134 during the three months ended March 31, 2026 and 2025, respectively.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initial public offering (“IPO”) in March 2017, the Company established its Employee Stock Ownership Plan (the “ESOP”) within the meaning of Internal Revenue Code Section 4975(e)(7) and invests solely in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and Direct Auto do not participate in the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Sheets over time. The Company records compensation expense related to the shares released, equal to the number of shares released from the suspense account multiplied by the average market value of the Company’s stock during the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compensation expense related to the ESOP of $70 and $89 during the three months ended March 31,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March 31, 2026, and December 31, 2025, the Company had released and allocated 218,835 ESOP shares to participants, with a remainder of 21,165 ESOP shares in suspense at March 31, 2026 and December 31, 2025. Using the Company’s quarter-end market price of $12.89 per share, the fair value of the unearned ESOP shares was $273 at March 31, 2026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1"/>
        <w:gridCol w:w="8213"/>
      </w:tblGrid>
      <w:tr>
        <w:trPr/>
        <w:tc>
          <w:tcPr>
            <w:tcW w:w="21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b/>
              </w:rPr>
            </w:pPr>
            <w:r>
              <w:rPr>
                <w:b/>
              </w:rPr>
              <w:t>11.</w:t>
            </w:r>
          </w:p>
        </w:tc>
        <w:tc>
          <w:tcPr>
            <w:tcW w:w="8213" w:type="dxa"/>
            <w:tcBorders/>
            <w:vAlign w:val="center"/>
          </w:tcPr>
          <w:p>
            <w:pPr>
              <w:pStyle w:val="TableContents"/>
              <w:bidi w:val="0"/>
              <w:spacing w:before="0" w:after="283"/>
              <w:jc w:val="left"/>
              <w:rPr>
                <w:b/>
              </w:rPr>
            </w:pPr>
            <w:r>
              <w:rPr>
                <w:b/>
              </w:rPr>
              <w:t>Line of Credit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 Holdings has a $3,000 line of credit with Wells Fargo Bank, N.A. The terms of the line of credit include a floating interest rate of 2.25% above the daily simple secured overnight financing rate. There were no outstanding amounts during the three months ended March 31, 2026, or the year ended December 31, 2025. This line of credit is scheduled to expire on December 11, 2026. </w:t>
      </w:r>
    </w:p>
    <w:p>
      <w:pPr>
        <w:pStyle w:val="TextBody"/>
        <w:bidi w:val="0"/>
        <w:spacing w:before="0" w:after="0"/>
        <w:ind w:left="15" w:right="15"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811"/>
        <w:gridCol w:w="8179"/>
      </w:tblGrid>
      <w:tr>
        <w:trPr/>
        <w:tc>
          <w:tcPr>
            <w:tcW w:w="21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b/>
              </w:rPr>
            </w:pPr>
            <w:r>
              <w:rPr>
                <w:b/>
              </w:rPr>
              <w:t>12.</w:t>
            </w:r>
          </w:p>
        </w:tc>
        <w:tc>
          <w:tcPr>
            <w:tcW w:w="8179" w:type="dxa"/>
            <w:tcBorders/>
            <w:vAlign w:val="center"/>
          </w:tcPr>
          <w:p>
            <w:pPr>
              <w:pStyle w:val="TableContents"/>
              <w:bidi w:val="0"/>
              <w:spacing w:before="0" w:after="283"/>
              <w:jc w:val="left"/>
              <w:rPr>
                <w:b/>
              </w:rPr>
            </w:pPr>
            <w:r>
              <w:rPr>
                <w:b/>
              </w:rPr>
              <w:t>Income Taxes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record any change to a previously recorded valuation allowance as a result of re-measuring existing temporary differences and loss carryforwards as a component of income tax expense (benefit). The valuation allowance against certain deferred income tax assets was $2,069 and $2,345 at March 31, 2026 and December 31, 2025, respectively.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and December 31, 2025, we had no unrecognized tax benefits, no accrued interest and penalties, and no significant uncertain tax positions. No interest and penalties on uncertain tax positions were recognized during the three-month period ended March 31, 2026, or the year ended December 31, 2025.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effective tax rate for the three months ended March 31, 2026, was 20.4%, which reflects the impact of tax-exempt investment income on the calculation of the Company’s income tax provision. The effective tax rate was 16.6% for the three months ended March 31, 2025, which was impacted by a change in the recorded valuation allowance and reflects the impact of tax-exempt investment income on the calculation of the Company’s income tax provision. </w:t>
      </w:r>
    </w:p>
    <w:p>
      <w:pPr>
        <w:pStyle w:val="TextBody"/>
        <w:bidi w:val="0"/>
        <w:spacing w:before="0" w:after="0"/>
        <w:ind w:left="15" w:right="15"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2"/>
        <w:gridCol w:w="3058"/>
        <w:gridCol w:w="6785"/>
      </w:tblGrid>
      <w:tr>
        <w:trPr/>
        <w:tc>
          <w:tcPr>
            <w:tcW w:w="362"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b/>
              </w:rPr>
            </w:pPr>
            <w:r>
              <w:rPr>
                <w:b/>
              </w:rPr>
              <w:t>13.</w:t>
            </w:r>
          </w:p>
        </w:tc>
        <w:tc>
          <w:tcPr>
            <w:tcW w:w="6785" w:type="dxa"/>
            <w:tcBorders/>
            <w:vAlign w:val="center"/>
          </w:tcPr>
          <w:p>
            <w:pPr>
              <w:pStyle w:val="TableContents"/>
              <w:bidi w:val="0"/>
              <w:spacing w:before="0" w:after="283"/>
              <w:jc w:val="left"/>
              <w:rPr>
                <w:b/>
              </w:rPr>
            </w:pPr>
            <w:r>
              <w:rPr>
                <w:b/>
              </w:rPr>
              <w:t>Leases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Primero leases a facility in Spearfish, South Dakota under a non-cancellable operating lease expiring in 2028. Direct Auto leases a facility in Chicago, Illinois under a non-cancellable operating lease expiring in 2029. Nodak Insurance leases a facility in Fargo, North Dakota under a non-cancellable operating lease expiring in 2029. In addition, Nodak Insurance leases server equipment under a non-cancellable finance lease expiring in 2026.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expenses of $113 and $115 related to these leases during the three months ended March 31,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Company’s leases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2"/>
        <w:gridCol w:w="60"/>
        <w:gridCol w:w="306"/>
        <w:gridCol w:w="1636"/>
        <w:gridCol w:w="131"/>
        <w:gridCol w:w="131"/>
        <w:gridCol w:w="306"/>
        <w:gridCol w:w="1537"/>
        <w:gridCol w:w="716"/>
      </w:tblGrid>
      <w:tr>
        <w:trPr/>
        <w:tc>
          <w:tcPr>
            <w:tcW w:w="5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and For the Three Months Ended March 31,</w:t>
            </w:r>
          </w:p>
        </w:tc>
        <w:tc>
          <w:tcPr>
            <w:tcW w:w="716" w:type="dxa"/>
            <w:tcBorders/>
            <w:vAlign w:val="center"/>
          </w:tcPr>
          <w:p>
            <w:pPr>
              <w:pStyle w:val="TableContents"/>
              <w:bidi w:val="0"/>
              <w:spacing w:before="0" w:after="283"/>
              <w:jc w:val="left"/>
              <w:rPr/>
            </w:pPr>
            <w:r>
              <w:rPr/>
              <w:t> </w:t>
            </w:r>
          </w:p>
        </w:tc>
      </w:tr>
      <w:tr>
        <w:trPr/>
        <w:tc>
          <w:tcPr>
            <w:tcW w:w="5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8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16" w:type="dxa"/>
            <w:tcBorders/>
            <w:vAlign w:val="center"/>
          </w:tcPr>
          <w:p>
            <w:pPr>
              <w:pStyle w:val="TableContents"/>
              <w:bidi w:val="0"/>
              <w:spacing w:before="0" w:after="283"/>
              <w:jc w:val="left"/>
              <w:rPr/>
            </w:pPr>
            <w:r>
              <w:rPr/>
              <w:t> </w:t>
            </w:r>
          </w:p>
        </w:tc>
      </w:tr>
      <w:tr>
        <w:trPr/>
        <w:tc>
          <w:tcPr>
            <w:tcW w:w="5382"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1636" w:type="dxa"/>
            <w:tcBorders/>
            <w:shd w:fill="CCEEFF" w:val="clear"/>
            <w:vAlign w:val="center"/>
          </w:tcPr>
          <w:p>
            <w:pPr>
              <w:pStyle w:val="TableContents"/>
              <w:bidi w:val="0"/>
              <w:spacing w:before="0" w:after="283"/>
              <w:jc w:val="right"/>
              <w:rPr/>
            </w:pPr>
            <w:r>
              <w:rPr/>
              <w:t>91</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1537" w:type="dxa"/>
            <w:tcBorders/>
            <w:shd w:fill="CCEEFF" w:val="clear"/>
            <w:vAlign w:val="center"/>
          </w:tcPr>
          <w:p>
            <w:pPr>
              <w:pStyle w:val="TableContents"/>
              <w:bidi w:val="0"/>
              <w:spacing w:before="0" w:after="283"/>
              <w:jc w:val="right"/>
              <w:rPr/>
            </w:pPr>
            <w:r>
              <w:rPr/>
              <w:t>91</w:t>
            </w:r>
          </w:p>
        </w:tc>
        <w:tc>
          <w:tcPr>
            <w:tcW w:w="716" w:type="dxa"/>
            <w:tcBorders/>
            <w:shd w:fill="CCEEFF" w:val="clear"/>
            <w:vAlign w:val="center"/>
          </w:tcPr>
          <w:p>
            <w:pPr>
              <w:pStyle w:val="TableContents"/>
              <w:bidi w:val="0"/>
              <w:spacing w:before="0" w:after="283"/>
              <w:jc w:val="left"/>
              <w:rPr/>
            </w:pPr>
            <w:r>
              <w:rPr/>
              <w:t> </w:t>
            </w:r>
          </w:p>
        </w:tc>
      </w:tr>
      <w:tr>
        <w:trPr/>
        <w:tc>
          <w:tcPr>
            <w:tcW w:w="5382" w:type="dxa"/>
            <w:tcBorders/>
            <w:shd w:fill="FFFFFF" w:val="clear"/>
            <w:vAlign w:val="center"/>
          </w:tcPr>
          <w:p>
            <w:pPr>
              <w:pStyle w:val="TableContents"/>
              <w:bidi w:val="0"/>
              <w:spacing w:before="0" w:after="283"/>
              <w:jc w:val="left"/>
              <w:rPr/>
            </w:pPr>
            <w:r>
              <w:rPr/>
              <w:t>Finance lease cost: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187"/>
              <w:jc w:val="left"/>
              <w:rPr/>
            </w:pPr>
            <w:r>
              <w:rPr/>
              <w:t> </w:t>
            </w:r>
          </w:p>
        </w:tc>
      </w:tr>
      <w:tr>
        <w:trPr/>
        <w:tc>
          <w:tcPr>
            <w:tcW w:w="5382"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20</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20</w:t>
            </w:r>
          </w:p>
        </w:tc>
        <w:tc>
          <w:tcPr>
            <w:tcW w:w="716" w:type="dxa"/>
            <w:tcBorders/>
            <w:shd w:fill="CCEEFF" w:val="clear"/>
            <w:vAlign w:val="center"/>
          </w:tcPr>
          <w:p>
            <w:pPr>
              <w:pStyle w:val="TableContents"/>
              <w:bidi w:val="0"/>
              <w:spacing w:before="0" w:after="283"/>
              <w:ind w:left="0" w:right="0" w:firstLine="187"/>
              <w:jc w:val="left"/>
              <w:rPr/>
            </w:pPr>
            <w:r>
              <w:rPr/>
              <w:t> </w:t>
            </w:r>
          </w:p>
        </w:tc>
      </w:tr>
      <w:tr>
        <w:trPr/>
        <w:tc>
          <w:tcPr>
            <w:tcW w:w="5382" w:type="dxa"/>
            <w:tcBorders/>
            <w:shd w:fill="FFFFFF" w:val="clear"/>
            <w:vAlign w:val="center"/>
          </w:tcPr>
          <w:p>
            <w:pPr>
              <w:pStyle w:val="TableContents"/>
              <w:bidi w:val="0"/>
              <w:spacing w:before="0" w:after="283"/>
              <w:jc w:val="left"/>
              <w:rPr/>
            </w:pPr>
            <w:r>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6"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7"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716" w:type="dxa"/>
            <w:tcBorders/>
            <w:shd w:fill="FFFFFF" w:val="clear"/>
            <w:vAlign w:val="center"/>
          </w:tcPr>
          <w:p>
            <w:pPr>
              <w:pStyle w:val="TableContents"/>
              <w:bidi w:val="0"/>
              <w:spacing w:before="0" w:after="283"/>
              <w:ind w:left="0" w:right="0" w:firstLine="367"/>
              <w:jc w:val="left"/>
              <w:rPr/>
            </w:pPr>
            <w:r>
              <w:rPr/>
              <w:t> </w:t>
            </w:r>
          </w:p>
        </w:tc>
      </w:tr>
      <w:tr>
        <w:trPr/>
        <w:tc>
          <w:tcPr>
            <w:tcW w:w="5382" w:type="dxa"/>
            <w:tcBorders/>
            <w:shd w:fill="CCEEFF" w:val="clear"/>
            <w:vAlign w:val="center"/>
          </w:tcPr>
          <w:p>
            <w:pPr>
              <w:pStyle w:val="TableContents"/>
              <w:bidi w:val="0"/>
              <w:spacing w:before="0" w:after="283"/>
              <w:jc w:val="left"/>
              <w:rPr/>
            </w:pPr>
            <w:r>
              <w:rPr/>
              <w:t>Finance lease cost</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6"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7"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716" w:type="dxa"/>
            <w:tcBorders/>
            <w:shd w:fill="CCEEFF" w:val="clear"/>
            <w:vAlign w:val="center"/>
          </w:tcPr>
          <w:p>
            <w:pPr>
              <w:pStyle w:val="TableContents"/>
              <w:bidi w:val="0"/>
              <w:spacing w:before="0" w:after="283"/>
              <w:ind w:left="0" w:right="0" w:firstLine="637"/>
              <w:jc w:val="left"/>
              <w:rPr/>
            </w:pPr>
            <w:r>
              <w:rPr/>
              <w:t> </w:t>
            </w:r>
          </w:p>
        </w:tc>
      </w:tr>
      <w:tr>
        <w:trPr/>
        <w:tc>
          <w:tcPr>
            <w:tcW w:w="5382" w:type="dxa"/>
            <w:tcBorders/>
            <w:shd w:fill="FFFFFF" w:val="clear"/>
            <w:vAlign w:val="center"/>
          </w:tcPr>
          <w:p>
            <w:pPr>
              <w:pStyle w:val="TableContents"/>
              <w:bidi w:val="0"/>
              <w:spacing w:before="0" w:after="283"/>
              <w:jc w:val="left"/>
              <w:rPr/>
            </w:pPr>
            <w:r>
              <w:rPr/>
              <w:t>Total lease cost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36" w:type="dxa"/>
            <w:tcBorders>
              <w:bottom w:val="double" w:sz="6" w:space="0" w:color="000000"/>
            </w:tcBorders>
            <w:shd w:fill="FFFFFF" w:val="clear"/>
            <w:tcMar>
              <w:bottom w:w="28" w:type="dxa"/>
            </w:tcMar>
            <w:vAlign w:val="center"/>
          </w:tcPr>
          <w:p>
            <w:pPr>
              <w:pStyle w:val="TableContents"/>
              <w:bidi w:val="0"/>
              <w:spacing w:before="0" w:after="283"/>
              <w:jc w:val="right"/>
              <w:rPr/>
            </w:pPr>
            <w:r>
              <w:rPr/>
              <w:t>113</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37" w:type="dxa"/>
            <w:tcBorders>
              <w:bottom w:val="double" w:sz="6" w:space="0" w:color="000000"/>
            </w:tcBorders>
            <w:shd w:fill="FFFFFF" w:val="clear"/>
            <w:tcMar>
              <w:bottom w:w="28" w:type="dxa"/>
            </w:tcMar>
            <w:vAlign w:val="center"/>
          </w:tcPr>
          <w:p>
            <w:pPr>
              <w:pStyle w:val="TableContents"/>
              <w:bidi w:val="0"/>
              <w:spacing w:before="0" w:after="283"/>
              <w:jc w:val="right"/>
              <w:rPr/>
            </w:pPr>
            <w:r>
              <w:rPr/>
              <w:t>115</w:t>
            </w:r>
          </w:p>
        </w:tc>
        <w:tc>
          <w:tcPr>
            <w:tcW w:w="716" w:type="dxa"/>
            <w:tcBorders/>
            <w:shd w:fill="FFFFFF" w:val="clear"/>
            <w:vAlign w:val="center"/>
          </w:tcPr>
          <w:p>
            <w:pPr>
              <w:pStyle w:val="TableContents"/>
              <w:bidi w:val="0"/>
              <w:spacing w:before="0" w:after="283"/>
              <w:ind w:left="0" w:right="0" w:firstLine="187"/>
              <w:jc w:val="left"/>
              <w:rPr/>
            </w:pPr>
            <w:r>
              <w:rPr/>
              <w:t> </w:t>
            </w:r>
          </w:p>
        </w:tc>
      </w:tr>
      <w:tr>
        <w:trPr/>
        <w:tc>
          <w:tcPr>
            <w:tcW w:w="53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 </w:t>
            </w:r>
          </w:p>
        </w:tc>
        <w:tc>
          <w:tcPr>
            <w:tcW w:w="716" w:type="dxa"/>
            <w:tcBorders/>
            <w:shd w:fill="CCEEFF" w:val="clear"/>
            <w:vAlign w:val="center"/>
          </w:tcPr>
          <w:p>
            <w:pPr>
              <w:pStyle w:val="TableContents"/>
              <w:bidi w:val="0"/>
              <w:spacing w:before="0" w:after="283"/>
              <w:jc w:val="left"/>
              <w:rPr/>
            </w:pPr>
            <w:r>
              <w:rPr/>
              <w:t> </w:t>
            </w:r>
          </w:p>
        </w:tc>
      </w:tr>
      <w:tr>
        <w:trPr/>
        <w:tc>
          <w:tcPr>
            <w:tcW w:w="5382" w:type="dxa"/>
            <w:tcBorders/>
            <w:shd w:fill="FFFFFF" w:val="clear"/>
            <w:vAlign w:val="center"/>
          </w:tcPr>
          <w:p>
            <w:pPr>
              <w:pStyle w:val="TableContents"/>
              <w:bidi w:val="0"/>
              <w:spacing w:before="0" w:after="283"/>
              <w:jc w:val="left"/>
              <w:rPr/>
            </w:pPr>
            <w:r>
              <w:rPr/>
              <w:t>Other information on leases: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5382" w:type="dxa"/>
            <w:tcBorders/>
            <w:shd w:fill="CCEEFF" w:val="clear"/>
            <w:vAlign w:val="center"/>
          </w:tcPr>
          <w:p>
            <w:pPr>
              <w:pStyle w:val="TableContents"/>
              <w:bidi w:val="0"/>
              <w:spacing w:before="0" w:after="283"/>
              <w:jc w:val="left"/>
              <w:rPr/>
            </w:pPr>
            <w:r>
              <w:rPr/>
              <w:t>Cash payments included in 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1636" w:type="dxa"/>
            <w:tcBorders/>
            <w:shd w:fill="CCEEFF" w:val="clear"/>
            <w:vAlign w:val="center"/>
          </w:tcPr>
          <w:p>
            <w:pPr>
              <w:pStyle w:val="TableContents"/>
              <w:bidi w:val="0"/>
              <w:spacing w:before="0" w:after="283"/>
              <w:jc w:val="right"/>
              <w:rPr/>
            </w:pPr>
            <w:r>
              <w:rPr/>
              <w:t>98</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1537" w:type="dxa"/>
            <w:tcBorders/>
            <w:shd w:fill="CCEEFF" w:val="clear"/>
            <w:vAlign w:val="center"/>
          </w:tcPr>
          <w:p>
            <w:pPr>
              <w:pStyle w:val="TableContents"/>
              <w:bidi w:val="0"/>
              <w:spacing w:before="0" w:after="283"/>
              <w:jc w:val="right"/>
              <w:rPr/>
            </w:pPr>
            <w:r>
              <w:rPr/>
              <w:t>97</w:t>
            </w:r>
          </w:p>
        </w:tc>
        <w:tc>
          <w:tcPr>
            <w:tcW w:w="716" w:type="dxa"/>
            <w:tcBorders/>
            <w:shd w:fill="CCEEFF" w:val="clear"/>
            <w:vAlign w:val="center"/>
          </w:tcPr>
          <w:p>
            <w:pPr>
              <w:pStyle w:val="TableContents"/>
              <w:bidi w:val="0"/>
              <w:spacing w:before="0" w:after="283"/>
              <w:jc w:val="left"/>
              <w:rPr/>
            </w:pPr>
            <w:r>
              <w:rPr/>
              <w:t> </w:t>
            </w:r>
          </w:p>
        </w:tc>
      </w:tr>
      <w:tr>
        <w:trPr/>
        <w:tc>
          <w:tcPr>
            <w:tcW w:w="5382" w:type="dxa"/>
            <w:tcBorders/>
            <w:shd w:fill="FFFFFF" w:val="clear"/>
            <w:vAlign w:val="center"/>
          </w:tcPr>
          <w:p>
            <w:pPr>
              <w:pStyle w:val="TableContents"/>
              <w:bidi w:val="0"/>
              <w:spacing w:before="0" w:after="283"/>
              <w:jc w:val="left"/>
              <w:rPr/>
            </w:pPr>
            <w:r>
              <w:rPr/>
              <w:t>Cash payments included in operating cash flows from finance leases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2</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4</w:t>
            </w:r>
          </w:p>
        </w:tc>
        <w:tc>
          <w:tcPr>
            <w:tcW w:w="716" w:type="dxa"/>
            <w:tcBorders/>
            <w:shd w:fill="FFFFFF" w:val="clear"/>
            <w:vAlign w:val="center"/>
          </w:tcPr>
          <w:p>
            <w:pPr>
              <w:pStyle w:val="TableContents"/>
              <w:bidi w:val="0"/>
              <w:spacing w:before="0" w:after="283"/>
              <w:jc w:val="left"/>
              <w:rPr/>
            </w:pPr>
            <w:r>
              <w:rPr/>
              <w:t> </w:t>
            </w:r>
          </w:p>
        </w:tc>
      </w:tr>
      <w:tr>
        <w:trPr/>
        <w:tc>
          <w:tcPr>
            <w:tcW w:w="5382" w:type="dxa"/>
            <w:tcBorders/>
            <w:shd w:fill="CCEEFF" w:val="clear"/>
            <w:vAlign w:val="center"/>
          </w:tcPr>
          <w:p>
            <w:pPr>
              <w:pStyle w:val="TableContents"/>
              <w:bidi w:val="0"/>
              <w:spacing w:before="0" w:after="283"/>
              <w:jc w:val="left"/>
              <w:rPr/>
            </w:pPr>
            <w:r>
              <w:rPr/>
              <w:t>Cash payments included in financing cash flows from finance leases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28</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26</w:t>
            </w:r>
          </w:p>
        </w:tc>
        <w:tc>
          <w:tcPr>
            <w:tcW w:w="716" w:type="dxa"/>
            <w:tcBorders/>
            <w:shd w:fill="CCEEFF" w:val="clear"/>
            <w:vAlign w:val="center"/>
          </w:tcPr>
          <w:p>
            <w:pPr>
              <w:pStyle w:val="TableContents"/>
              <w:bidi w:val="0"/>
              <w:spacing w:before="0" w:after="283"/>
              <w:jc w:val="left"/>
              <w:rPr/>
            </w:pPr>
            <w:r>
              <w:rPr/>
              <w:t> </w:t>
            </w:r>
          </w:p>
        </w:tc>
      </w:tr>
      <w:tr>
        <w:trPr/>
        <w:tc>
          <w:tcPr>
            <w:tcW w:w="5382" w:type="dxa"/>
            <w:tcBorders/>
            <w:shd w:fill="FFFFFF" w:val="clear"/>
            <w:vAlign w:val="center"/>
          </w:tcPr>
          <w:p>
            <w:pPr>
              <w:pStyle w:val="TableContents"/>
              <w:bidi w:val="0"/>
              <w:spacing w:before="0" w:after="283"/>
              <w:jc w:val="left"/>
              <w:rPr/>
            </w:pPr>
            <w:r>
              <w:rPr/>
              <w:t>Right-of-use assets obtained in exchange for new operating lease liabilities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w:t>
            </w:r>
          </w:p>
        </w:tc>
        <w:tc>
          <w:tcPr>
            <w:tcW w:w="716" w:type="dxa"/>
            <w:tcBorders/>
            <w:shd w:fill="FFFFFF" w:val="clear"/>
            <w:vAlign w:val="center"/>
          </w:tcPr>
          <w:p>
            <w:pPr>
              <w:pStyle w:val="TableContents"/>
              <w:bidi w:val="0"/>
              <w:spacing w:before="0" w:after="283"/>
              <w:jc w:val="left"/>
              <w:rPr/>
            </w:pPr>
            <w:r>
              <w:rPr/>
              <w:t> </w:t>
            </w:r>
          </w:p>
        </w:tc>
      </w:tr>
      <w:tr>
        <w:trPr/>
        <w:tc>
          <w:tcPr>
            <w:tcW w:w="5382" w:type="dxa"/>
            <w:tcBorders/>
            <w:shd w:fill="CCEEFF" w:val="clear"/>
            <w:vAlign w:val="center"/>
          </w:tcPr>
          <w:p>
            <w:pPr>
              <w:pStyle w:val="TableContents"/>
              <w:bidi w:val="0"/>
              <w:spacing w:before="0" w:after="283"/>
              <w:jc w:val="left"/>
              <w:rPr/>
            </w:pPr>
            <w:r>
              <w:rPr/>
              <w:t>Right-of-use assets obtained in exchange for new finance lease liabilities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w:t>
            </w:r>
          </w:p>
        </w:tc>
        <w:tc>
          <w:tcPr>
            <w:tcW w:w="716" w:type="dxa"/>
            <w:tcBorders/>
            <w:shd w:fill="CCEEFF" w:val="clear"/>
            <w:vAlign w:val="center"/>
          </w:tcPr>
          <w:p>
            <w:pPr>
              <w:pStyle w:val="TableContents"/>
              <w:bidi w:val="0"/>
              <w:spacing w:before="0" w:after="283"/>
              <w:jc w:val="left"/>
              <w:rPr/>
            </w:pPr>
            <w:r>
              <w:rPr/>
              <w:t> </w:t>
            </w:r>
          </w:p>
        </w:tc>
      </w:tr>
      <w:tr>
        <w:trPr/>
        <w:tc>
          <w:tcPr>
            <w:tcW w:w="5382" w:type="dxa"/>
            <w:tcBorders/>
            <w:shd w:fill="FFFFFF" w:val="clear"/>
            <w:vAlign w:val="center"/>
          </w:tcPr>
          <w:p>
            <w:pPr>
              <w:pStyle w:val="TableContents"/>
              <w:bidi w:val="0"/>
              <w:spacing w:before="0" w:after="283"/>
              <w:jc w:val="left"/>
              <w:rPr/>
            </w:pPr>
            <w:r>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4.42%</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4.47%</w:t>
            </w:r>
          </w:p>
        </w:tc>
        <w:tc>
          <w:tcPr>
            <w:tcW w:w="716" w:type="dxa"/>
            <w:tcBorders/>
            <w:shd w:fill="FFFFFF" w:val="clear"/>
            <w:vAlign w:val="center"/>
          </w:tcPr>
          <w:p>
            <w:pPr>
              <w:pStyle w:val="TableContents"/>
              <w:bidi w:val="0"/>
              <w:spacing w:before="0" w:after="283"/>
              <w:jc w:val="left"/>
              <w:rPr/>
            </w:pPr>
            <w:r>
              <w:rPr/>
              <w:t> </w:t>
            </w:r>
          </w:p>
        </w:tc>
      </w:tr>
      <w:tr>
        <w:trPr/>
        <w:tc>
          <w:tcPr>
            <w:tcW w:w="5382" w:type="dxa"/>
            <w:tcBorders/>
            <w:shd w:fill="CCEEFF" w:val="clear"/>
            <w:vAlign w:val="center"/>
          </w:tcPr>
          <w:p>
            <w:pPr>
              <w:pStyle w:val="TableContents"/>
              <w:bidi w:val="0"/>
              <w:spacing w:before="0" w:after="283"/>
              <w:jc w:val="left"/>
              <w:rPr/>
            </w:pPr>
            <w:r>
              <w:rPr/>
              <w:t>Weighted average discount rate – finance leases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8.50%</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8.50%</w:t>
            </w:r>
          </w:p>
        </w:tc>
        <w:tc>
          <w:tcPr>
            <w:tcW w:w="716" w:type="dxa"/>
            <w:tcBorders/>
            <w:shd w:fill="CCEEFF" w:val="clear"/>
            <w:vAlign w:val="center"/>
          </w:tcPr>
          <w:p>
            <w:pPr>
              <w:pStyle w:val="TableContents"/>
              <w:bidi w:val="0"/>
              <w:spacing w:before="0" w:after="283"/>
              <w:jc w:val="left"/>
              <w:rPr/>
            </w:pPr>
            <w:r>
              <w:rPr/>
              <w:t> </w:t>
            </w:r>
          </w:p>
        </w:tc>
      </w:tr>
      <w:tr>
        <w:trPr/>
        <w:tc>
          <w:tcPr>
            <w:tcW w:w="5382" w:type="dxa"/>
            <w:tcBorders/>
            <w:shd w:fill="FFFFFF" w:val="clear"/>
            <w:vAlign w:val="center"/>
          </w:tcPr>
          <w:p>
            <w:pPr>
              <w:pStyle w:val="TableContents"/>
              <w:bidi w:val="0"/>
              <w:spacing w:before="0" w:after="283"/>
              <w:jc w:val="left"/>
              <w:rPr/>
            </w:pPr>
            <w:r>
              <w:rPr/>
              <w:t>Weighted average remaining lease term in years – operating leases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sz w:val="20"/>
              </w:rPr>
            </w:pPr>
            <w:r>
              <w:rPr>
                <w:sz w:val="20"/>
              </w:rPr>
              <w:t>3.2 years </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sz w:val="20"/>
              </w:rPr>
            </w:pPr>
            <w:r>
              <w:rPr>
                <w:sz w:val="20"/>
              </w:rPr>
              <w:t>4.4 years</w:t>
            </w:r>
          </w:p>
        </w:tc>
        <w:tc>
          <w:tcPr>
            <w:tcW w:w="716" w:type="dxa"/>
            <w:tcBorders/>
            <w:shd w:fill="FFFFFF" w:val="clear"/>
            <w:vAlign w:val="center"/>
          </w:tcPr>
          <w:p>
            <w:pPr>
              <w:pStyle w:val="TableContents"/>
              <w:bidi w:val="0"/>
              <w:spacing w:before="0" w:after="283"/>
              <w:jc w:val="left"/>
              <w:rPr/>
            </w:pPr>
            <w:r>
              <w:rPr/>
              <w:t> </w:t>
            </w:r>
          </w:p>
        </w:tc>
      </w:tr>
      <w:tr>
        <w:trPr/>
        <w:tc>
          <w:tcPr>
            <w:tcW w:w="5382" w:type="dxa"/>
            <w:tcBorders/>
            <w:shd w:fill="CCEEFF" w:val="clear"/>
            <w:vAlign w:val="center"/>
          </w:tcPr>
          <w:p>
            <w:pPr>
              <w:pStyle w:val="TableContents"/>
              <w:bidi w:val="0"/>
              <w:spacing w:before="0" w:after="283"/>
              <w:jc w:val="left"/>
              <w:rPr/>
            </w:pPr>
            <w:r>
              <w:rPr/>
              <w:t>Weighted average remaining lease term in years – finance leases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sz w:val="20"/>
              </w:rPr>
            </w:pPr>
            <w:r>
              <w:rPr>
                <w:sz w:val="20"/>
              </w:rPr>
              <w:t>0.6 years</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sz w:val="20"/>
              </w:rPr>
            </w:pPr>
            <w:r>
              <w:rPr>
                <w:sz w:val="20"/>
              </w:rPr>
              <w:t>1.6 years</w:t>
            </w:r>
          </w:p>
        </w:tc>
        <w:tc>
          <w:tcPr>
            <w:tcW w:w="7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contractual maturities of the Company’s lease liabilities for each of the five years in the period ending December 31, 2029, and thereafter, reconciled to our lease liability at March 31, 2026:</w:t>
      </w:r>
    </w:p>
    <w:p>
      <w:pPr>
        <w:pStyle w:val="TextBody"/>
        <w:bidi w:val="0"/>
        <w:spacing w:before="0" w:after="0"/>
        <w:ind w:left="0" w:right="0" w:hanging="0"/>
        <w:jc w:val="left"/>
        <w:rPr>
          <w:caps w:val="false"/>
          <w:smallCaps w:val="false"/>
        </w:rPr>
      </w:pPr>
      <w:r>
        <w:rPr>
          <w:caps w:val="false"/>
          <w:smallCaps w:val="false"/>
        </w:rPr>
        <w:t> </w:t>
      </w:r>
    </w:p>
    <w:tbl>
      <w:tblPr>
        <w:tblW w:w="7764" w:type="dxa"/>
        <w:jc w:val="left"/>
        <w:tblInd w:w="0" w:type="dxa"/>
        <w:tblLayout w:type="fixed"/>
        <w:tblCellMar>
          <w:top w:w="0" w:type="dxa"/>
          <w:left w:w="0" w:type="dxa"/>
          <w:bottom w:w="28" w:type="dxa"/>
          <w:right w:w="0" w:type="dxa"/>
        </w:tblCellMar>
      </w:tblPr>
      <w:tblGrid>
        <w:gridCol w:w="3335"/>
        <w:gridCol w:w="60"/>
        <w:gridCol w:w="358"/>
        <w:gridCol w:w="1432"/>
        <w:gridCol w:w="60"/>
        <w:gridCol w:w="60"/>
        <w:gridCol w:w="546"/>
        <w:gridCol w:w="1018"/>
        <w:gridCol w:w="60"/>
        <w:gridCol w:w="60"/>
        <w:gridCol w:w="140"/>
        <w:gridCol w:w="560"/>
        <w:gridCol w:w="75"/>
      </w:tblGrid>
      <w:tr>
        <w:trPr/>
        <w:tc>
          <w:tcPr>
            <w:tcW w:w="3335" w:type="dxa"/>
            <w:tcBorders>
              <w:bottom w:val="single" w:sz="8" w:space="0" w:color="000000"/>
            </w:tcBorders>
            <w:vAlign w:val="center"/>
          </w:tcPr>
          <w:p>
            <w:pPr>
              <w:pStyle w:val="TableContents"/>
              <w:bidi w:val="0"/>
              <w:spacing w:before="0" w:after="283"/>
              <w:jc w:val="left"/>
              <w:rPr>
                <w:b/>
              </w:rPr>
            </w:pPr>
            <w:r>
              <w:rPr>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1790" w:type="dxa"/>
            <w:gridSpan w:val="2"/>
            <w:tcBorders>
              <w:bottom w:val="single" w:sz="8" w:space="0" w:color="000000"/>
            </w:tcBorders>
            <w:vAlign w:val="center"/>
          </w:tcPr>
          <w:p>
            <w:pPr>
              <w:pStyle w:val="TableContents"/>
              <w:bidi w:val="0"/>
              <w:spacing w:before="0" w:after="283"/>
              <w:jc w:val="center"/>
              <w:rPr>
                <w:b/>
              </w:rPr>
            </w:pPr>
            <w:r>
              <w:rPr>
                <w:b/>
              </w:rPr>
              <w:t>Operating Leases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4" w:type="dxa"/>
            <w:gridSpan w:val="2"/>
            <w:tcBorders>
              <w:bottom w:val="single" w:sz="8" w:space="0" w:color="000000"/>
            </w:tcBorders>
            <w:vAlign w:val="center"/>
          </w:tcPr>
          <w:p>
            <w:pPr>
              <w:pStyle w:val="TableContents"/>
              <w:bidi w:val="0"/>
              <w:spacing w:before="0" w:after="283"/>
              <w:jc w:val="center"/>
              <w:rPr>
                <w:b/>
              </w:rPr>
            </w:pPr>
            <w:r>
              <w:rPr>
                <w:b/>
              </w:rPr>
              <w:t>Finance Leases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2026 (nine months remaining)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right"/>
              <w:rPr/>
            </w:pPr>
            <w:r>
              <w:rPr/>
              <w:t>299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right"/>
              <w:rPr/>
            </w:pPr>
            <w:r>
              <w:rPr/>
              <w:t>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369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right"/>
              <w:rPr/>
            </w:pPr>
            <w:r>
              <w:rPr/>
              <w:t>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 w:type="dxa"/>
            <w:tcBorders/>
            <w:shd w:fill="FFFFFF" w:val="clear"/>
            <w:tcMar>
              <w:bottom w:w="0" w:type="dxa"/>
            </w:tcMar>
            <w:vAlign w:val="center"/>
          </w:tcPr>
          <w:p>
            <w:pPr>
              <w:pStyle w:val="TableContents"/>
              <w:bidi w:val="0"/>
              <w:spacing w:before="0" w:after="283"/>
              <w:jc w:val="left"/>
              <w:rPr/>
            </w:pPr>
            <w:r>
              <w:rPr/>
              <w:t> </w:t>
            </w:r>
          </w:p>
        </w:tc>
        <w:tc>
          <w:tcPr>
            <w:tcW w:w="101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401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right"/>
              <w:rPr/>
            </w:pPr>
            <w:r>
              <w:rPr/>
              <w:t>376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right"/>
              <w:rPr/>
            </w:pPr>
            <w:r>
              <w:rPr/>
              <w:t>212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 w:type="dxa"/>
            <w:tcBorders/>
            <w:shd w:fill="FFFFFF" w:val="clear"/>
            <w:tcMar>
              <w:bottom w:w="0" w:type="dxa"/>
            </w:tcMar>
            <w:vAlign w:val="center"/>
          </w:tcPr>
          <w:p>
            <w:pPr>
              <w:pStyle w:val="TableContents"/>
              <w:bidi w:val="0"/>
              <w:spacing w:before="0" w:after="283"/>
              <w:jc w:val="left"/>
              <w:rPr/>
            </w:pPr>
            <w:r>
              <w:rPr/>
              <w:t> </w:t>
            </w:r>
          </w:p>
        </w:tc>
        <w:tc>
          <w:tcPr>
            <w:tcW w:w="101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212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bottom w:val="single" w:sz="8" w:space="0" w:color="000000"/>
            </w:tcBorders>
            <w:shd w:fill="CCEEFF" w:val="clear"/>
            <w:vAlign w:val="center"/>
          </w:tcPr>
          <w:p>
            <w:pPr>
              <w:pStyle w:val="TableContents"/>
              <w:bidi w:val="0"/>
              <w:spacing w:before="0" w:after="283"/>
              <w:jc w:val="left"/>
              <w:rPr/>
            </w:pPr>
            <w:r>
              <w:rPr/>
              <w:t> </w:t>
            </w:r>
          </w:p>
        </w:tc>
        <w:tc>
          <w:tcPr>
            <w:tcW w:w="1432"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 w:type="dxa"/>
            <w:tcBorders>
              <w:bottom w:val="single" w:sz="8" w:space="0" w:color="000000"/>
            </w:tcBorders>
            <w:shd w:fill="CCEEFF" w:val="clear"/>
            <w:vAlign w:val="center"/>
          </w:tcPr>
          <w:p>
            <w:pPr>
              <w:pStyle w:val="TableContents"/>
              <w:bidi w:val="0"/>
              <w:spacing w:before="0" w:after="283"/>
              <w:jc w:val="left"/>
              <w:rPr/>
            </w:pPr>
            <w:r>
              <w:rPr/>
              <w:t> </w:t>
            </w:r>
          </w:p>
        </w:tc>
        <w:tc>
          <w:tcPr>
            <w:tcW w:w="1018"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Total undiscounted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right"/>
              <w:rPr/>
            </w:pPr>
            <w:r>
              <w:rPr/>
              <w:t>1,288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 w:type="dxa"/>
            <w:tcBorders/>
            <w:shd w:fill="FFFFFF" w:val="clear"/>
            <w:tcMar>
              <w:bottom w:w="0" w:type="dxa"/>
            </w:tcMar>
            <w:vAlign w:val="center"/>
          </w:tcPr>
          <w:p>
            <w:pPr>
              <w:pStyle w:val="TableContents"/>
              <w:bidi w:val="0"/>
              <w:spacing w:before="0" w:after="283"/>
              <w:jc w:val="left"/>
              <w:rPr/>
            </w:pPr>
            <w:r>
              <w:rPr/>
              <w:t> </w:t>
            </w:r>
          </w:p>
        </w:tc>
        <w:tc>
          <w:tcPr>
            <w:tcW w:w="1018" w:type="dxa"/>
            <w:tcBorders/>
            <w:shd w:fill="FFFFFF" w:val="clear"/>
            <w:tcMar>
              <w:bottom w:w="0" w:type="dxa"/>
            </w:tcMar>
            <w:vAlign w:val="center"/>
          </w:tcPr>
          <w:p>
            <w:pPr>
              <w:pStyle w:val="TableContents"/>
              <w:bidi w:val="0"/>
              <w:spacing w:before="0" w:after="283"/>
              <w:jc w:val="right"/>
              <w:rPr/>
            </w:pPr>
            <w:r>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1,358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Less: present value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bottom w:val="single" w:sz="8" w:space="0" w:color="000000"/>
            </w:tcBorders>
            <w:shd w:fill="CCEEFF" w:val="clear"/>
            <w:vAlign w:val="center"/>
          </w:tcPr>
          <w:p>
            <w:pPr>
              <w:pStyle w:val="TableContents"/>
              <w:bidi w:val="0"/>
              <w:spacing w:before="0" w:after="283"/>
              <w:jc w:val="left"/>
              <w:rPr/>
            </w:pPr>
            <w:r>
              <w:rPr/>
              <w:t> </w:t>
            </w:r>
          </w:p>
        </w:tc>
        <w:tc>
          <w:tcPr>
            <w:tcW w:w="1432" w:type="dxa"/>
            <w:tcBorders>
              <w:bottom w:val="single" w:sz="8" w:space="0" w:color="000000"/>
            </w:tcBorders>
            <w:shd w:fill="CCEEFF" w:val="clear"/>
            <w:vAlign w:val="center"/>
          </w:tcPr>
          <w:p>
            <w:pPr>
              <w:pStyle w:val="TableContents"/>
              <w:bidi w:val="0"/>
              <w:spacing w:before="0" w:after="283"/>
              <w:jc w:val="right"/>
              <w:rPr/>
            </w:pPr>
            <w:r>
              <w:rPr/>
              <w:t>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 w:type="dxa"/>
            <w:tcBorders>
              <w:bottom w:val="single" w:sz="8" w:space="0" w:color="000000"/>
            </w:tcBorders>
            <w:shd w:fill="CCEEFF" w:val="clear"/>
            <w:vAlign w:val="center"/>
          </w:tcPr>
          <w:p>
            <w:pPr>
              <w:pStyle w:val="TableContents"/>
              <w:bidi w:val="0"/>
              <w:spacing w:before="0" w:after="283"/>
              <w:jc w:val="left"/>
              <w:rPr/>
            </w:pPr>
            <w:r>
              <w:rPr/>
              <w:t> </w:t>
            </w:r>
          </w:p>
        </w:tc>
        <w:tc>
          <w:tcPr>
            <w:tcW w:w="1018" w:type="dxa"/>
            <w:tcBorders>
              <w:bottom w:val="single" w:sz="8" w:space="0" w:color="000000"/>
            </w:tcBorders>
            <w:shd w:fill="CCEEFF" w:val="clear"/>
            <w:vAlign w:val="center"/>
          </w:tcPr>
          <w:p>
            <w:pPr>
              <w:pStyle w:val="TableContents"/>
              <w:bidi w:val="0"/>
              <w:spacing w:before="0" w:after="283"/>
              <w:jc w:val="righ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Lease liability at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vAlign w:val="center"/>
          </w:tcPr>
          <w:p>
            <w:pPr>
              <w:pStyle w:val="TableContents"/>
              <w:bidi w:val="0"/>
              <w:spacing w:before="0" w:after="283"/>
              <w:jc w:val="left"/>
              <w:rPr/>
            </w:pPr>
            <w:r>
              <w:rPr/>
              <w:t>$</w:t>
            </w:r>
          </w:p>
        </w:tc>
        <w:tc>
          <w:tcPr>
            <w:tcW w:w="1432" w:type="dxa"/>
            <w:tcBorders>
              <w:bottom w:val="double" w:sz="6" w:space="0" w:color="000000"/>
            </w:tcBorders>
            <w:shd w:fill="FFFFFF" w:val="clear"/>
            <w:vAlign w:val="center"/>
          </w:tcPr>
          <w:p>
            <w:pPr>
              <w:pStyle w:val="TableContents"/>
              <w:bidi w:val="0"/>
              <w:spacing w:before="0" w:after="283"/>
              <w:jc w:val="right"/>
              <w:rPr/>
            </w:pPr>
            <w:r>
              <w:rPr/>
              <w:t>1,205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 w:type="dxa"/>
            <w:tcBorders>
              <w:bottom w:val="double" w:sz="6" w:space="0" w:color="000000"/>
            </w:tcBorders>
            <w:shd w:fill="FFFFFF" w:val="clear"/>
            <w:vAlign w:val="center"/>
          </w:tcPr>
          <w:p>
            <w:pPr>
              <w:pStyle w:val="TableContents"/>
              <w:bidi w:val="0"/>
              <w:spacing w:before="0" w:after="283"/>
              <w:jc w:val="left"/>
              <w:rPr/>
            </w:pPr>
            <w:r>
              <w:rPr/>
              <w:t>$</w:t>
            </w:r>
          </w:p>
        </w:tc>
        <w:tc>
          <w:tcPr>
            <w:tcW w:w="1018" w:type="dxa"/>
            <w:tcBorders>
              <w:bottom w:val="double" w:sz="6" w:space="0" w:color="000000"/>
            </w:tcBorders>
            <w:shd w:fill="FFFFFF" w:val="clear"/>
            <w:vAlign w:val="center"/>
          </w:tcPr>
          <w:p>
            <w:pPr>
              <w:pStyle w:val="TableContents"/>
              <w:bidi w:val="0"/>
              <w:spacing w:before="0" w:after="283"/>
              <w:jc w:val="right"/>
              <w:rPr/>
            </w:pPr>
            <w:r>
              <w:rPr/>
              <w:t>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560" w:type="dxa"/>
            <w:tcBorders>
              <w:bottom w:val="double" w:sz="6" w:space="0" w:color="000000"/>
            </w:tcBorders>
            <w:shd w:fill="FFFFFF" w:val="clear"/>
            <w:vAlign w:val="center"/>
          </w:tcPr>
          <w:p>
            <w:pPr>
              <w:pStyle w:val="TableContents"/>
              <w:bidi w:val="0"/>
              <w:spacing w:before="0" w:after="283"/>
              <w:jc w:val="right"/>
              <w:rPr/>
            </w:pPr>
            <w:r>
              <w:rPr/>
              <w:t>1,274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13"/>
        <w:gridCol w:w="1796"/>
        <w:gridCol w:w="8196"/>
      </w:tblGrid>
      <w:tr>
        <w:trPr/>
        <w:tc>
          <w:tcPr>
            <w:tcW w:w="21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b/>
              </w:rPr>
            </w:pPr>
            <w:r>
              <w:rPr>
                <w:b/>
              </w:rPr>
              <w:t>14.</w:t>
            </w:r>
          </w:p>
        </w:tc>
        <w:tc>
          <w:tcPr>
            <w:tcW w:w="8196" w:type="dxa"/>
            <w:tcBorders/>
            <w:vAlign w:val="center"/>
          </w:tcPr>
          <w:p>
            <w:pPr>
              <w:pStyle w:val="TableContents"/>
              <w:bidi w:val="0"/>
              <w:spacing w:before="0" w:after="283"/>
              <w:jc w:val="left"/>
              <w:rPr>
                <w:b/>
              </w:rPr>
            </w:pPr>
            <w:r>
              <w:rPr>
                <w:b/>
              </w:rPr>
              <w:t>Contingencies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from time to time, party to routine litigation incidental to the normal course of our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 Contingent liabilities arising from litigation, income taxes, and other matters are not considered to be material to our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942"/>
        <w:gridCol w:w="9152"/>
      </w:tblGrid>
      <w:tr>
        <w:trPr/>
        <w:tc>
          <w:tcPr>
            <w:tcW w:w="1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b/>
              </w:rPr>
            </w:pPr>
            <w:r>
              <w:rPr>
                <w:b/>
              </w:rPr>
              <w:t>15.</w:t>
            </w:r>
          </w:p>
        </w:tc>
        <w:tc>
          <w:tcPr>
            <w:tcW w:w="9152" w:type="dxa"/>
            <w:tcBorders/>
            <w:vAlign w:val="center"/>
          </w:tcPr>
          <w:p>
            <w:pPr>
              <w:pStyle w:val="TableContents"/>
              <w:bidi w:val="0"/>
              <w:spacing w:before="0" w:after="283"/>
              <w:jc w:val="left"/>
              <w:rPr>
                <w:b/>
              </w:rPr>
            </w:pPr>
            <w:r>
              <w:rPr>
                <w:b/>
              </w:rPr>
              <w:t>Common and Preferred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number of common stock shares outstanding were as follows:</w:t>
      </w:r>
    </w:p>
    <w:p>
      <w:pPr>
        <w:pStyle w:val="TextBody"/>
        <w:bidi w:val="0"/>
        <w:spacing w:before="0" w:after="0"/>
        <w:ind w:left="0" w:right="0" w:hanging="0"/>
        <w:jc w:val="left"/>
        <w:rPr>
          <w:caps w:val="false"/>
          <w:smallCaps w:val="false"/>
        </w:rPr>
      </w:pPr>
      <w:r>
        <w:rPr>
          <w:caps w:val="false"/>
          <w:smallCaps w:val="false"/>
        </w:rPr>
        <w:t> </w:t>
      </w:r>
    </w:p>
    <w:tbl>
      <w:tblPr>
        <w:tblW w:w="9892" w:type="dxa"/>
        <w:jc w:val="left"/>
        <w:tblInd w:w="0" w:type="dxa"/>
        <w:tblLayout w:type="fixed"/>
        <w:tblCellMar>
          <w:top w:w="0" w:type="dxa"/>
          <w:left w:w="0" w:type="dxa"/>
          <w:bottom w:w="0" w:type="dxa"/>
          <w:right w:w="0" w:type="dxa"/>
        </w:tblCellMar>
      </w:tblPr>
      <w:tblGrid>
        <w:gridCol w:w="6440"/>
        <w:gridCol w:w="60"/>
        <w:gridCol w:w="80"/>
        <w:gridCol w:w="1475"/>
        <w:gridCol w:w="127"/>
        <w:gridCol w:w="80"/>
        <w:gridCol w:w="80"/>
        <w:gridCol w:w="1475"/>
        <w:gridCol w:w="75"/>
      </w:tblGrid>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216"/>
              <w:jc w:val="left"/>
              <w:rPr/>
            </w:pPr>
            <w:r>
              <w:rPr/>
              <w:t> </w:t>
            </w:r>
          </w:p>
        </w:tc>
      </w:tr>
      <w:tr>
        <w:trPr/>
        <w:tc>
          <w:tcPr>
            <w:tcW w:w="6440" w:type="dxa"/>
            <w:tcBorders/>
            <w:shd w:fill="CCEEFF" w:val="clear"/>
            <w:vAlign w:val="center"/>
          </w:tcPr>
          <w:p>
            <w:pPr>
              <w:pStyle w:val="TableContents"/>
              <w:bidi w:val="0"/>
              <w:spacing w:before="0" w:after="283"/>
              <w:jc w:val="left"/>
              <w:rPr/>
            </w:pPr>
            <w:r>
              <w:rPr/>
              <w:t>Shares outstanding, beginning of period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20,554,144</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20,673,268</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6440" w:type="dxa"/>
            <w:tcBorders/>
            <w:shd w:fill="FFFFFF" w:val="clear"/>
            <w:vAlign w:val="center"/>
          </w:tcPr>
          <w:p>
            <w:pPr>
              <w:pStyle w:val="TableContents"/>
              <w:bidi w:val="0"/>
              <w:spacing w:before="0" w:after="283"/>
              <w:jc w:val="left"/>
              <w:rPr/>
            </w:pPr>
            <w:r>
              <w:rPr/>
              <w:t>Treasury shares repurchased through stock repurchase authorization</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(64,668</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6440" w:type="dxa"/>
            <w:tcBorders/>
            <w:shd w:fill="CCEEFF" w:val="clear"/>
            <w:vAlign w:val="center"/>
          </w:tcPr>
          <w:p>
            <w:pPr>
              <w:pStyle w:val="TableContents"/>
              <w:bidi w:val="0"/>
              <w:spacing w:before="0" w:after="283"/>
              <w:jc w:val="left"/>
              <w:rPr/>
            </w:pPr>
            <w:r>
              <w:rPr/>
              <w:t>Issuance of treasury shares for vesting of restricted stock units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pPr>
            <w:r>
              <w:rPr/>
              <w:t>30,552</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pPr>
            <w:r>
              <w:rPr/>
              <w:t>25,306</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6440" w:type="dxa"/>
            <w:tcBorders/>
            <w:shd w:fill="FFFFFF" w:val="clear"/>
            <w:vAlign w:val="center"/>
          </w:tcPr>
          <w:p>
            <w:pPr>
              <w:pStyle w:val="TableContents"/>
              <w:bidi w:val="0"/>
              <w:spacing w:before="0" w:after="283"/>
              <w:jc w:val="left"/>
              <w:rPr/>
            </w:pPr>
            <w:r>
              <w:rPr/>
              <w:t>Shares outstanding, end of period</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double" w:sz="6" w:space="0" w:color="000000"/>
            </w:tcBorders>
            <w:shd w:fill="FFFFFF" w:val="clear"/>
            <w:tcMar>
              <w:bottom w:w="28" w:type="dxa"/>
            </w:tcMar>
            <w:vAlign w:val="center"/>
          </w:tcPr>
          <w:p>
            <w:pPr>
              <w:pStyle w:val="TableContents"/>
              <w:bidi w:val="0"/>
              <w:spacing w:before="0" w:after="283"/>
              <w:jc w:val="right"/>
              <w:rPr/>
            </w:pPr>
            <w:r>
              <w:rPr/>
              <w:t>20,520,028</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double" w:sz="6" w:space="0" w:color="000000"/>
            </w:tcBorders>
            <w:shd w:fill="FFFFFF" w:val="clear"/>
            <w:tcMar>
              <w:bottom w:w="28" w:type="dxa"/>
            </w:tcMar>
            <w:vAlign w:val="center"/>
          </w:tcPr>
          <w:p>
            <w:pPr>
              <w:pStyle w:val="TableContents"/>
              <w:bidi w:val="0"/>
              <w:spacing w:before="0" w:after="283"/>
              <w:jc w:val="right"/>
              <w:rPr/>
            </w:pPr>
            <w:r>
              <w:rPr/>
              <w:t>20,698,574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number of common shares outstanding excludes certain non-forfeitable stock award shares that are included in the weighted average common shares outstanding used in basic earnings per common share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25, 2025, our Board of Directors approved an authorization for the repurchase of up to approximately $5,000 of the Company’s outstanding common stock in addition to the $2,052 remaining from the May 9, 2022 authorization. During the three months ended March 31, 2025, we did not repurchase any shares of our common stock. During the year ended December 31, 2025, we completed the repurchase of 188,185 shares of our common stock for $2,517, including the effects from applicable excise taxes under these authorizations. As of December 31, 2025, these share repurchases closed out the May 9, 2022 authorization, and $4,549 remained available under the August 25, 2025 authorization. During the three months ended March 31, 2026, we completed the repurchase of 64,668 shares of our common stock for $861, including the effects from applicable excise taxes under these authorizations. At March 31, 2026, $3,692 remains available under this authorization.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this treasury stock is a reduction of shareholders’ equity within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Articles of Incorporation provide authority to issue up to five million shares of preferred stock. No preferred shares are issued or outstanding.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1016"/>
        <w:gridCol w:w="9069"/>
      </w:tblGrid>
      <w:tr>
        <w:trPr/>
        <w:tc>
          <w:tcPr>
            <w:tcW w:w="1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b/>
              </w:rPr>
            </w:pPr>
            <w:r>
              <w:rPr>
                <w:b/>
              </w:rPr>
              <w:t>16.</w:t>
            </w:r>
          </w:p>
        </w:tc>
        <w:tc>
          <w:tcPr>
            <w:tcW w:w="9069" w:type="dxa"/>
            <w:tcBorders/>
            <w:vAlign w:val="center"/>
          </w:tcPr>
          <w:p>
            <w:pPr>
              <w:pStyle w:val="TableContents"/>
              <w:bidi w:val="0"/>
              <w:spacing w:before="0" w:after="283"/>
              <w:jc w:val="left"/>
              <w:rPr>
                <w:b/>
              </w:rPr>
            </w:pPr>
            <w:r>
              <w:rPr>
                <w:b/>
              </w:rPr>
              <w:t>Share-Based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Compensation Committee has awarded RSUs to non-employee directors and select executives. RSUs are promises to issue actual shares of common stock at the end of a vesting period. The RSUs granted to executives under the Plan are based on salary. RSUs granted prior to 2024 vest equally over a five-year period. Effective for executive grants beginning in 2024, the RSUs vest equally over a three-year period. As approved by the Compensation Committee, all executive share-based compensation granted in 2025 and 2026 was awarded as RSUs. The RSUs granted to non-employee directors vest 100% on the date of the next annual meeting of shareholders following the grant date. If applicable, dividend equivalents on RSUs are accrued during the vesting period and paid in cash at the end of the vesting period but are subject to forfeiture until the underlying shares become vested. Participants do not have voting rights with respect to RSUs.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and unearned RSUs is presented below:</w:t>
      </w:r>
    </w:p>
    <w:p>
      <w:pPr>
        <w:pStyle w:val="TextBody"/>
        <w:bidi w:val="0"/>
        <w:spacing w:before="0" w:after="0"/>
        <w:ind w:left="0" w:right="0" w:hanging="0"/>
        <w:jc w:val="left"/>
        <w:rPr>
          <w:caps w:val="false"/>
          <w:smallCaps w:val="false"/>
        </w:rPr>
      </w:pPr>
      <w:r>
        <w:rPr>
          <w:caps w:val="false"/>
          <w:smallCaps w:val="false"/>
        </w:rPr>
        <w:t> </w:t>
      </w:r>
    </w:p>
    <w:tbl>
      <w:tblPr>
        <w:tblW w:w="8270" w:type="dxa"/>
        <w:jc w:val="left"/>
        <w:tblInd w:w="0" w:type="dxa"/>
        <w:tblLayout w:type="fixed"/>
        <w:tblCellMar>
          <w:top w:w="0" w:type="dxa"/>
          <w:left w:w="0" w:type="dxa"/>
          <w:bottom w:w="0" w:type="dxa"/>
          <w:right w:w="0" w:type="dxa"/>
        </w:tblCellMar>
      </w:tblPr>
      <w:tblGrid>
        <w:gridCol w:w="5195"/>
        <w:gridCol w:w="60"/>
        <w:gridCol w:w="60"/>
        <w:gridCol w:w="800"/>
        <w:gridCol w:w="95"/>
        <w:gridCol w:w="60"/>
        <w:gridCol w:w="385"/>
        <w:gridCol w:w="1540"/>
        <w:gridCol w:w="7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Grant-Date</w:t>
              <w:br/>
              <w:t>Fair Value</w:t>
              <w:br/>
              <w:t>Per Share</w:t>
            </w:r>
          </w:p>
        </w:tc>
        <w:tc>
          <w:tcPr>
            <w:tcW w:w="75" w:type="dxa"/>
            <w:tcBorders/>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Units outstanding and unearned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15.11</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RSUs granted during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168,798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14.00</w:t>
            </w:r>
          </w:p>
        </w:tc>
        <w:tc>
          <w:tcPr>
            <w:tcW w:w="7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RSUs earned during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15.02</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sz w:val="20"/>
              </w:rPr>
            </w:pPr>
            <w:r>
              <w:rPr>
                <w:sz w:val="20"/>
              </w:rPr>
              <w:t xml:space="preserve">Forfeitures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(89,140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14.68</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Units outstanding and unearned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132,434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14.02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RSUs granted during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13.31</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RSUs earned during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(49,956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14.20</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14.62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Units outstanding and unearned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240,310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13.49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 xml:space="preserve">Represents RSU forfeitures primarily related to the execution of the 2025 separation agreement with the former Chief Executive Officer.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RSU activity to the Company’s financial results:</w:t>
      </w:r>
    </w:p>
    <w:p>
      <w:pPr>
        <w:pStyle w:val="TextBody"/>
        <w:bidi w:val="0"/>
        <w:spacing w:before="0" w:after="0"/>
        <w:ind w:left="0" w:right="0" w:hanging="0"/>
        <w:jc w:val="left"/>
        <w:rPr>
          <w:caps w:val="false"/>
          <w:smallCaps w:val="false"/>
        </w:rPr>
      </w:pPr>
      <w:r>
        <w:rPr>
          <w:caps w:val="false"/>
          <w:smallCaps w:val="false"/>
        </w:rPr>
        <w:t> </w:t>
      </w:r>
    </w:p>
    <w:tbl>
      <w:tblPr>
        <w:tblW w:w="8141" w:type="dxa"/>
        <w:jc w:val="left"/>
        <w:tblInd w:w="0" w:type="dxa"/>
        <w:tblLayout w:type="fixed"/>
        <w:tblCellMar>
          <w:top w:w="0" w:type="dxa"/>
          <w:left w:w="0" w:type="dxa"/>
          <w:bottom w:w="0" w:type="dxa"/>
          <w:right w:w="0" w:type="dxa"/>
        </w:tblCellMar>
      </w:tblPr>
      <w:tblGrid>
        <w:gridCol w:w="4655"/>
        <w:gridCol w:w="60"/>
        <w:gridCol w:w="365"/>
        <w:gridCol w:w="993"/>
        <w:gridCol w:w="248"/>
        <w:gridCol w:w="156"/>
        <w:gridCol w:w="365"/>
        <w:gridCol w:w="1189"/>
        <w:gridCol w:w="11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RSU compensation expense</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337</w:t>
            </w:r>
          </w:p>
        </w:tc>
        <w:tc>
          <w:tcPr>
            <w:tcW w:w="24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w:t>
            </w:r>
          </w:p>
        </w:tc>
        <w:tc>
          <w:tcPr>
            <w:tcW w:w="1189" w:type="dxa"/>
            <w:tcBorders/>
            <w:shd w:fill="CCEEFF" w:val="clear"/>
            <w:vAlign w:val="center"/>
          </w:tcPr>
          <w:p>
            <w:pPr>
              <w:pStyle w:val="TableContents"/>
              <w:bidi w:val="0"/>
              <w:spacing w:before="0" w:after="283"/>
              <w:jc w:val="right"/>
              <w:rPr/>
            </w:pPr>
            <w:r>
              <w:rPr/>
              <w:t>463</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4655"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3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pPr>
            <w:r>
              <w:rPr/>
              <w:t>(71</w:t>
            </w:r>
          </w:p>
        </w:tc>
        <w:tc>
          <w:tcPr>
            <w:tcW w:w="248" w:type="dxa"/>
            <w:tcBorders/>
            <w:shd w:fill="FFFFFF" w:val="clear"/>
            <w:vAlign w:val="center"/>
          </w:tcPr>
          <w:p>
            <w:pPr>
              <w:pStyle w:val="TableContents"/>
              <w:bidi w:val="0"/>
              <w:spacing w:before="0" w:after="283"/>
              <w:jc w:val="left"/>
              <w:rPr/>
            </w:pPr>
            <w:r>
              <w:rPr/>
              <w:t>)</w:t>
            </w:r>
          </w:p>
        </w:tc>
        <w:tc>
          <w:tcPr>
            <w:tcW w:w="156" w:type="dxa"/>
            <w:tcBorders/>
            <w:shd w:fill="FFFFFF" w:val="clear"/>
            <w:vAlign w:val="center"/>
          </w:tcPr>
          <w:p>
            <w:pPr>
              <w:pStyle w:val="TableContents"/>
              <w:bidi w:val="0"/>
              <w:spacing w:before="0" w:after="283"/>
              <w:jc w:val="left"/>
              <w:rPr/>
            </w:pPr>
            <w:r>
              <w:rPr/>
              <w:t> </w:t>
            </w:r>
          </w:p>
        </w:tc>
        <w:tc>
          <w:tcPr>
            <w:tcW w:w="3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bottom w:w="28" w:type="dxa"/>
            </w:tcMar>
            <w:vAlign w:val="center"/>
          </w:tcPr>
          <w:p>
            <w:pPr>
              <w:pStyle w:val="TableContents"/>
              <w:bidi w:val="0"/>
              <w:spacing w:before="0" w:after="283"/>
              <w:jc w:val="right"/>
              <w:rPr/>
            </w:pPr>
            <w:r>
              <w:rPr/>
              <w:t>(105</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4655" w:type="dxa"/>
            <w:tcBorders/>
            <w:shd w:fill="CCEEFF" w:val="clear"/>
            <w:vAlign w:val="center"/>
          </w:tcPr>
          <w:p>
            <w:pPr>
              <w:pStyle w:val="TableContents"/>
              <w:bidi w:val="0"/>
              <w:spacing w:before="0" w:after="283"/>
              <w:jc w:val="left"/>
              <w:rPr/>
            </w:pPr>
            <w:r>
              <w:rPr/>
              <w:t>RSU compensation expense, net of income taxes</w:t>
            </w:r>
          </w:p>
        </w:tc>
        <w:tc>
          <w:tcPr>
            <w:tcW w:w="60" w:type="dxa"/>
            <w:tcBorders/>
            <w:shd w:fill="CCEEFF" w:val="clear"/>
            <w:vAlign w:val="center"/>
          </w:tcPr>
          <w:p>
            <w:pPr>
              <w:pStyle w:val="TableContents"/>
              <w:bidi w:val="0"/>
              <w:spacing w:before="0" w:after="283"/>
              <w:jc w:val="left"/>
              <w:rPr/>
            </w:pPr>
            <w:r>
              <w:rPr/>
              <w:t> </w:t>
            </w:r>
          </w:p>
        </w:tc>
        <w:tc>
          <w:tcPr>
            <w:tcW w:w="3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pPr>
            <w:r>
              <w:rPr/>
              <w:t>266</w:t>
            </w:r>
          </w:p>
        </w:tc>
        <w:tc>
          <w:tcPr>
            <w:tcW w:w="24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3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CCEEFF" w:val="clear"/>
            <w:tcMar>
              <w:bottom w:w="28" w:type="dxa"/>
            </w:tcMar>
            <w:vAlign w:val="center"/>
          </w:tcPr>
          <w:p>
            <w:pPr>
              <w:pStyle w:val="TableContents"/>
              <w:bidi w:val="0"/>
              <w:spacing w:before="0" w:after="283"/>
              <w:jc w:val="right"/>
              <w:rPr/>
            </w:pPr>
            <w:r>
              <w:rPr/>
              <w:t>358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there was $2,739 of unrecognized compensation cost related to outstanding RSUs. That cost is expected to be recognized over a weighted-average period of 2.64 years.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awarded PSUs to select executives. PSUs are promises to issue actual shares of common stock at the end of a vesting period, if certain performance conditions are met. The PSUs granted to employees under the Plan are based on salary and, prior to 2024, include a three-year adjusted book value cumulative growth target with threshold and stretch goals. For grants made in 2024, the performance metric is calculated based on an adjusted return on equity over a three-year period, with annual resets. There were no PSUs granted in 2025 or 2026. PSUs will vest on the third anniversary of the grant date, subject to the participant’s continuous employment through the vesting date and the level of performance achieved. If applicable,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PSUs is presented below:</w:t>
      </w:r>
    </w:p>
    <w:p>
      <w:pPr>
        <w:pStyle w:val="TextBody"/>
        <w:bidi w:val="0"/>
        <w:spacing w:before="0" w:after="0"/>
        <w:ind w:left="0" w:right="0" w:hanging="0"/>
        <w:jc w:val="left"/>
        <w:rPr>
          <w:caps w:val="false"/>
          <w:smallCaps w:val="false"/>
        </w:rPr>
      </w:pPr>
      <w:r>
        <w:rPr>
          <w:caps w:val="false"/>
          <w:smallCaps w:val="false"/>
        </w:rPr>
        <w:t> </w:t>
      </w:r>
    </w:p>
    <w:tbl>
      <w:tblPr>
        <w:tblW w:w="6890" w:type="dxa"/>
        <w:jc w:val="left"/>
        <w:tblInd w:w="0" w:type="dxa"/>
        <w:tblLayout w:type="fixed"/>
        <w:tblCellMar>
          <w:top w:w="0" w:type="dxa"/>
          <w:left w:w="0" w:type="dxa"/>
          <w:bottom w:w="0" w:type="dxa"/>
          <w:right w:w="0" w:type="dxa"/>
        </w:tblCellMar>
      </w:tblPr>
      <w:tblGrid>
        <w:gridCol w:w="3860"/>
        <w:gridCol w:w="60"/>
        <w:gridCol w:w="60"/>
        <w:gridCol w:w="755"/>
        <w:gridCol w:w="95"/>
        <w:gridCol w:w="60"/>
        <w:gridCol w:w="385"/>
        <w:gridCol w:w="1540"/>
        <w:gridCol w:w="7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Grant-Date</w:t>
              <w:br/>
              <w:t>Fair Value</w:t>
              <w:br/>
              <w:t>Per Share</w:t>
            </w:r>
          </w:p>
        </w:tc>
        <w:tc>
          <w:tcPr>
            <w:tcW w:w="75" w:type="dxa"/>
            <w:tcBorders/>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Units outstanding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17.50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pPr>
            <w:r>
              <w:rPr/>
              <w:t>PSUs granted during 2025 (at target)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PSUs earned during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sz w:val="20"/>
              </w:rPr>
            </w:pPr>
            <w:r>
              <w:rPr>
                <w:sz w:val="20"/>
              </w:rPr>
              <w:t xml:space="preserve">Performance adjustment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sz w:val="20"/>
              </w:rPr>
            </w:pPr>
            <w:r>
              <w:rPr>
                <w:sz w:val="20"/>
              </w:rPr>
              <w:t xml:space="preserve">Forfeitures </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(11,694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14.19</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pPr>
            <w:r>
              <w:rPr/>
              <w:t>Units 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20.14</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pPr>
            <w:r>
              <w:rPr/>
              <w:t>PSUs granted during 2026 (at target)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PSUs earned during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sz w:val="20"/>
              </w:rPr>
            </w:pPr>
            <w:r>
              <w:rPr>
                <w:sz w:val="20"/>
              </w:rPr>
              <w:t xml:space="preserve">Performance adjustment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14.19</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14.19</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pPr>
            <w:r>
              <w:rPr/>
              <w:t>Units outstanding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8,688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24.21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  </w:t>
      </w:r>
      <w:r>
        <w:rPr>
          <w:rFonts w:ascii="Times New Roman;Times;Serif" w:hAnsi="Times New Roman;Times;Serif"/>
          <w:b w:val="false"/>
          <w:i w:val="false"/>
          <w:caps w:val="false"/>
          <w:smallCaps w:val="false"/>
          <w:sz w:val="20"/>
        </w:rPr>
        <w:t xml:space="preserve">Represents the change in PSUs issued based upon the attainment of performance goals established by the Company.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  </w:t>
      </w:r>
      <w:r>
        <w:rPr>
          <w:rFonts w:ascii="Times New Roman;Times;Serif" w:hAnsi="Times New Roman;Times;Serif"/>
          <w:b w:val="false"/>
          <w:i w:val="false"/>
          <w:caps w:val="false"/>
          <w:smallCaps w:val="false"/>
          <w:sz w:val="20"/>
        </w:rPr>
        <w:t xml:space="preserve">Represents PSU forfeitures primarily related to the execution of the 2025 separation agreement with the former Chief Executive Officer.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PSU activity to the Company’s financial results:</w:t>
      </w:r>
    </w:p>
    <w:p>
      <w:pPr>
        <w:pStyle w:val="TextBody"/>
        <w:bidi w:val="0"/>
        <w:spacing w:before="0" w:after="0"/>
        <w:ind w:left="0" w:right="0" w:hanging="0"/>
        <w:jc w:val="left"/>
        <w:rPr>
          <w:caps w:val="false"/>
          <w:smallCaps w:val="false"/>
        </w:rPr>
      </w:pPr>
      <w:r>
        <w:rPr>
          <w:caps w:val="false"/>
          <w:smallCaps w:val="false"/>
        </w:rPr>
        <w:t> </w:t>
      </w:r>
    </w:p>
    <w:tbl>
      <w:tblPr>
        <w:tblW w:w="8113" w:type="dxa"/>
        <w:jc w:val="left"/>
        <w:tblInd w:w="0" w:type="dxa"/>
        <w:tblLayout w:type="fixed"/>
        <w:tblCellMar>
          <w:top w:w="0" w:type="dxa"/>
          <w:left w:w="0" w:type="dxa"/>
          <w:bottom w:w="0" w:type="dxa"/>
          <w:right w:w="0" w:type="dxa"/>
        </w:tblCellMar>
      </w:tblPr>
      <w:tblGrid>
        <w:gridCol w:w="4625"/>
        <w:gridCol w:w="60"/>
        <w:gridCol w:w="451"/>
        <w:gridCol w:w="1079"/>
        <w:gridCol w:w="306"/>
        <w:gridCol w:w="193"/>
        <w:gridCol w:w="451"/>
        <w:gridCol w:w="838"/>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0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PSU compensation expense</w:t>
            </w:r>
          </w:p>
        </w:tc>
        <w:tc>
          <w:tcPr>
            <w:tcW w:w="6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(44</w:t>
            </w:r>
          </w:p>
        </w:tc>
        <w:tc>
          <w:tcPr>
            <w:tcW w:w="306" w:type="dxa"/>
            <w:tcBorders/>
            <w:shd w:fill="CCEEFF" w:val="clear"/>
            <w:vAlign w:val="center"/>
          </w:tcPr>
          <w:p>
            <w:pPr>
              <w:pStyle w:val="TableContents"/>
              <w:bidi w:val="0"/>
              <w:spacing w:before="0" w:after="283"/>
              <w:jc w:val="left"/>
              <w:rPr/>
            </w:pPr>
            <w:r>
              <w:rPr/>
              <w:t>)</w:t>
            </w:r>
          </w:p>
        </w:tc>
        <w:tc>
          <w:tcPr>
            <w:tcW w:w="193"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4625"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4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30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4625" w:type="dxa"/>
            <w:tcBorders/>
            <w:shd w:fill="CCEEFF" w:val="clear"/>
            <w:vAlign w:val="center"/>
          </w:tcPr>
          <w:p>
            <w:pPr>
              <w:pStyle w:val="TableContents"/>
              <w:bidi w:val="0"/>
              <w:spacing w:before="0" w:after="283"/>
              <w:jc w:val="left"/>
              <w:rPr/>
            </w:pPr>
            <w:r>
              <w:rPr/>
              <w:t>PSU compensation expense, net of income taxes</w:t>
            </w:r>
          </w:p>
        </w:tc>
        <w:tc>
          <w:tcPr>
            <w:tcW w:w="60" w:type="dxa"/>
            <w:tcBorders/>
            <w:shd w:fill="CCEEFF" w:val="clear"/>
            <w:vAlign w:val="center"/>
          </w:tcPr>
          <w:p>
            <w:pPr>
              <w:pStyle w:val="TableContents"/>
              <w:bidi w:val="0"/>
              <w:spacing w:before="0" w:after="283"/>
              <w:jc w:val="left"/>
              <w:rPr/>
            </w:pPr>
            <w:r>
              <w:rPr/>
              <w:t> </w:t>
            </w:r>
          </w:p>
        </w:tc>
        <w:tc>
          <w:tcPr>
            <w:tcW w:w="4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jc w:val="right"/>
              <w:rPr/>
            </w:pPr>
            <w:r>
              <w:rPr/>
              <w:t>(35</w:t>
            </w:r>
          </w:p>
        </w:tc>
        <w:tc>
          <w:tcPr>
            <w:tcW w:w="306" w:type="dxa"/>
            <w:tcBorders/>
            <w:shd w:fill="CCEEFF" w:val="clear"/>
            <w:vAlign w:val="center"/>
          </w:tcPr>
          <w:p>
            <w:pPr>
              <w:pStyle w:val="TableContents"/>
              <w:bidi w:val="0"/>
              <w:spacing w:before="0" w:after="283"/>
              <w:jc w:val="left"/>
              <w:rPr/>
            </w:pPr>
            <w:r>
              <w:rPr/>
              <w:t>)</w:t>
            </w:r>
          </w:p>
        </w:tc>
        <w:tc>
          <w:tcPr>
            <w:tcW w:w="193" w:type="dxa"/>
            <w:tcBorders/>
            <w:shd w:fill="CCEEFF" w:val="clear"/>
            <w:vAlign w:val="center"/>
          </w:tcPr>
          <w:p>
            <w:pPr>
              <w:pStyle w:val="TableContents"/>
              <w:bidi w:val="0"/>
              <w:spacing w:before="0" w:after="283"/>
              <w:jc w:val="left"/>
              <w:rPr/>
            </w:pPr>
            <w:r>
              <w:rPr/>
              <w:t> </w:t>
            </w:r>
          </w:p>
        </w:tc>
        <w:tc>
          <w:tcPr>
            <w:tcW w:w="4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8" w:type="dxa"/>
            <w:tcBorders>
              <w:bottom w:val="double" w:sz="6"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200% of the initial target awards. During the three months ended March 31, 2026, a performance adjustment was recorded to compensation expense related to the PSU awards granted during 2024 due to the Company's expectations regarding performance goals. During the year ended December 31, 2025, no performance adjustments were made to previously recognized compensation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there was $36 of unrecognized compensation cost related to outstanding PSUs. That cost is expected to be recognized over a weighted-average period of 0.91 years.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766"/>
        <w:gridCol w:w="9349"/>
      </w:tblGrid>
      <w:tr>
        <w:trPr/>
        <w:tc>
          <w:tcPr>
            <w:tcW w:w="9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b/>
              </w:rPr>
            </w:pPr>
            <w:r>
              <w:rPr>
                <w:b/>
              </w:rPr>
              <w:t>17.</w:t>
            </w:r>
          </w:p>
        </w:tc>
        <w:tc>
          <w:tcPr>
            <w:tcW w:w="9349" w:type="dxa"/>
            <w:tcBorders/>
            <w:vAlign w:val="center"/>
          </w:tcPr>
          <w:p>
            <w:pPr>
              <w:pStyle w:val="TableContents"/>
              <w:bidi w:val="0"/>
              <w:spacing w:before="0" w:after="283"/>
              <w:jc w:val="left"/>
              <w:rPr>
                <w:b/>
              </w:rPr>
            </w:pPr>
            <w:r>
              <w:rPr>
                <w:b/>
              </w:rPr>
              <w:t>Allowance for Expected Credit Losses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Premiums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balances of premiums and agents’ balances receivable, net of the allowance for expected credit losses as of March 31, 2026 and 2025, and the changes in the allowance for expected credit losses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3"/>
        <w:gridCol w:w="60"/>
        <w:gridCol w:w="318"/>
        <w:gridCol w:w="1253"/>
        <w:gridCol w:w="103"/>
        <w:gridCol w:w="103"/>
        <w:gridCol w:w="395"/>
        <w:gridCol w:w="1033"/>
        <w:gridCol w:w="95"/>
        <w:gridCol w:w="60"/>
        <w:gridCol w:w="394"/>
        <w:gridCol w:w="1434"/>
        <w:gridCol w:w="122"/>
        <w:gridCol w:w="122"/>
        <w:gridCol w:w="437"/>
        <w:gridCol w:w="1027"/>
        <w:gridCol w:w="116"/>
      </w:tblGrid>
      <w:tr>
        <w:trPr/>
        <w:tc>
          <w:tcPr>
            <w:tcW w:w="3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and For the Three Months</w:t>
              <w:br/>
              <w:t>Ended 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Ended </w:t>
              <w:br/>
              <w:t>March 31, 2025</w:t>
            </w:r>
          </w:p>
        </w:tc>
        <w:tc>
          <w:tcPr>
            <w:tcW w:w="116" w:type="dxa"/>
            <w:tcBorders/>
            <w:vAlign w:val="center"/>
          </w:tcPr>
          <w:p>
            <w:pPr>
              <w:pStyle w:val="TableContents"/>
              <w:bidi w:val="0"/>
              <w:spacing w:before="0" w:after="283"/>
              <w:jc w:val="left"/>
              <w:rPr/>
            </w:pPr>
            <w:r>
              <w:rPr/>
              <w:t> </w:t>
            </w:r>
          </w:p>
        </w:tc>
      </w:tr>
      <w:tr>
        <w:trPr/>
        <w:tc>
          <w:tcPr>
            <w:tcW w:w="3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and</w:t>
              <w:br/>
              <w:t xml:space="preserve">Agents’ Balances </w:t>
              <w:br/>
              <w:t>Receivable, Net of</w:t>
              <w:br/>
              <w:t xml:space="preserve">Allowance for </w:t>
              <w:br/>
              <w:t xml:space="preserve">Expected Credit </w:t>
              <w:br/>
              <w:t>Losses</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Expected Credit</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and</w:t>
              <w:br/>
              <w:t xml:space="preserve">Agents’ Balances </w:t>
              <w:br/>
              <w:t xml:space="preserve">Receivable, Net of </w:t>
              <w:br/>
              <w:t xml:space="preserve">Allowance for </w:t>
              <w:br/>
              <w:t xml:space="preserve">Expected Credit </w:t>
              <w:br/>
              <w:t>Losses</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 xml:space="preserve">Expected Credit </w:t>
              <w:br/>
              <w:t>Losses</w:t>
            </w:r>
          </w:p>
        </w:tc>
        <w:tc>
          <w:tcPr>
            <w:tcW w:w="116" w:type="dxa"/>
            <w:tcBorders/>
            <w:vAlign w:val="center"/>
          </w:tcPr>
          <w:p>
            <w:pPr>
              <w:pStyle w:val="TableContents"/>
              <w:bidi w:val="0"/>
              <w:spacing w:before="0" w:after="283"/>
              <w:jc w:val="left"/>
              <w:rPr/>
            </w:pPr>
            <w:r>
              <w:rPr/>
              <w:t> </w:t>
            </w:r>
          </w:p>
        </w:tc>
      </w:tr>
      <w:tr>
        <w:trPr/>
        <w:tc>
          <w:tcPr>
            <w:tcW w:w="3133"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3" w:type="dxa"/>
            <w:tcBorders>
              <w:bottom w:val="double" w:sz="6" w:space="0" w:color="000000"/>
            </w:tcBorders>
            <w:shd w:fill="CCEEFF" w:val="clear"/>
            <w:tcMar>
              <w:bottom w:w="28" w:type="dxa"/>
            </w:tcMar>
            <w:vAlign w:val="center"/>
          </w:tcPr>
          <w:p>
            <w:pPr>
              <w:pStyle w:val="TableContents"/>
              <w:bidi w:val="0"/>
              <w:spacing w:before="0" w:after="283"/>
              <w:jc w:val="right"/>
              <w:rPr/>
            </w:pPr>
            <w:r>
              <w:rPr/>
              <w:t>41,575</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jc w:val="right"/>
              <w:rPr/>
            </w:pPr>
            <w:r>
              <w:rPr/>
              <w:t>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4" w:type="dxa"/>
            <w:tcBorders>
              <w:bottom w:val="double" w:sz="6" w:space="0" w:color="000000"/>
            </w:tcBorders>
            <w:shd w:fill="CCEEFF" w:val="clear"/>
            <w:tcMar>
              <w:bottom w:w="28" w:type="dxa"/>
            </w:tcMar>
            <w:vAlign w:val="center"/>
          </w:tcPr>
          <w:p>
            <w:pPr>
              <w:pStyle w:val="TableContents"/>
              <w:bidi w:val="0"/>
              <w:spacing w:before="0" w:after="283"/>
              <w:jc w:val="right"/>
              <w:rPr/>
            </w:pPr>
            <w:r>
              <w:rPr/>
              <w:t>52,907</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CCEEFF" w:val="clear"/>
            <w:tcMar>
              <w:bottom w:w="28" w:type="dxa"/>
            </w:tcMar>
            <w:vAlign w:val="center"/>
          </w:tcPr>
          <w:p>
            <w:pPr>
              <w:pStyle w:val="TableContents"/>
              <w:bidi w:val="0"/>
              <w:spacing w:before="0" w:after="283"/>
              <w:jc w:val="right"/>
              <w:rPr/>
            </w:pPr>
            <w:r>
              <w:rPr/>
              <w:t>337</w:t>
            </w:r>
          </w:p>
        </w:tc>
        <w:tc>
          <w:tcPr>
            <w:tcW w:w="116" w:type="dxa"/>
            <w:tcBorders/>
            <w:shd w:fill="CCEEFF" w:val="clear"/>
            <w:vAlign w:val="center"/>
          </w:tcPr>
          <w:p>
            <w:pPr>
              <w:pStyle w:val="TableContents"/>
              <w:bidi w:val="0"/>
              <w:spacing w:before="0" w:after="283"/>
              <w:jc w:val="left"/>
              <w:rPr/>
            </w:pPr>
            <w:r>
              <w:rPr/>
              <w:t> </w:t>
            </w:r>
          </w:p>
        </w:tc>
      </w:tr>
      <w:tr>
        <w:trPr/>
        <w:tc>
          <w:tcPr>
            <w:tcW w:w="31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133" w:type="dxa"/>
            <w:tcBorders/>
            <w:shd w:fill="CCEEFF" w:val="clear"/>
            <w:vAlign w:val="center"/>
          </w:tcPr>
          <w:p>
            <w:pPr>
              <w:pStyle w:val="TableContents"/>
              <w:bidi w:val="0"/>
              <w:spacing w:before="0" w:after="283"/>
              <w:jc w:val="left"/>
              <w:rPr/>
            </w:pPr>
            <w:r>
              <w:rPr/>
              <w:t>Current period charge for expected credit losses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(44</w:t>
            </w:r>
          </w:p>
        </w:tc>
        <w:tc>
          <w:tcPr>
            <w:tcW w:w="116" w:type="dxa"/>
            <w:tcBorders/>
            <w:shd w:fill="CCEEFF" w:val="clear"/>
            <w:vAlign w:val="center"/>
          </w:tcPr>
          <w:p>
            <w:pPr>
              <w:pStyle w:val="TableContents"/>
              <w:bidi w:val="0"/>
              <w:spacing w:before="0" w:after="283"/>
              <w:jc w:val="left"/>
              <w:rPr/>
            </w:pPr>
            <w:r>
              <w:rPr/>
              <w:t>)</w:t>
            </w:r>
          </w:p>
        </w:tc>
      </w:tr>
      <w:tr>
        <w:trPr/>
        <w:tc>
          <w:tcPr>
            <w:tcW w:w="3133" w:type="dxa"/>
            <w:tcBorders/>
            <w:shd w:fill="FFFFFF" w:val="clear"/>
            <w:vAlign w:val="center"/>
          </w:tcPr>
          <w:p>
            <w:pPr>
              <w:pStyle w:val="TableContents"/>
              <w:bidi w:val="0"/>
              <w:spacing w:before="0" w:after="283"/>
              <w:jc w:val="left"/>
              <w:rPr/>
            </w:pPr>
            <w:r>
              <w:rPr/>
              <w:t>Write-offs of uncollectible premiums receivable</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3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6" w:type="dxa"/>
            <w:tcBorders/>
            <w:shd w:fill="FFFFFF" w:val="clear"/>
            <w:vAlign w:val="center"/>
          </w:tcPr>
          <w:p>
            <w:pPr>
              <w:pStyle w:val="TableContents"/>
              <w:bidi w:val="0"/>
              <w:spacing w:before="0" w:after="283"/>
              <w:jc w:val="left"/>
              <w:rPr/>
            </w:pPr>
            <w:r>
              <w:rPr/>
              <w:t>)</w:t>
            </w:r>
          </w:p>
        </w:tc>
      </w:tr>
      <w:tr>
        <w:trPr/>
        <w:tc>
          <w:tcPr>
            <w:tcW w:w="31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133"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3" w:type="dxa"/>
            <w:tcBorders>
              <w:bottom w:val="double" w:sz="6" w:space="0" w:color="000000"/>
            </w:tcBorders>
            <w:shd w:fill="FFFFFF" w:val="clear"/>
            <w:tcMar>
              <w:bottom w:w="28" w:type="dxa"/>
            </w:tcMar>
            <w:vAlign w:val="center"/>
          </w:tcPr>
          <w:p>
            <w:pPr>
              <w:pStyle w:val="TableContents"/>
              <w:bidi w:val="0"/>
              <w:spacing w:before="0" w:after="283"/>
              <w:jc w:val="right"/>
              <w:rPr/>
            </w:pPr>
            <w:r>
              <w:rPr/>
              <w:t>40,210</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3" w:type="dxa"/>
            <w:tcBorders>
              <w:bottom w:val="double" w:sz="6" w:space="0" w:color="000000"/>
            </w:tcBorders>
            <w:shd w:fill="FFFFFF" w:val="clear"/>
            <w:tcMar>
              <w:bottom w:w="28" w:type="dxa"/>
            </w:tcMar>
            <w:vAlign w:val="center"/>
          </w:tcPr>
          <w:p>
            <w:pPr>
              <w:pStyle w:val="TableContents"/>
              <w:bidi w:val="0"/>
              <w:spacing w:before="0" w:after="283"/>
              <w:jc w:val="right"/>
              <w:rPr/>
            </w:pPr>
            <w:r>
              <w:rPr/>
              <w:t>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4" w:type="dxa"/>
            <w:tcBorders>
              <w:bottom w:val="double" w:sz="6" w:space="0" w:color="000000"/>
            </w:tcBorders>
            <w:shd w:fill="FFFFFF" w:val="clear"/>
            <w:tcMar>
              <w:bottom w:w="28" w:type="dxa"/>
            </w:tcMar>
            <w:vAlign w:val="center"/>
          </w:tcPr>
          <w:p>
            <w:pPr>
              <w:pStyle w:val="TableContents"/>
              <w:bidi w:val="0"/>
              <w:spacing w:before="0" w:after="283"/>
              <w:jc w:val="right"/>
              <w:rPr/>
            </w:pPr>
            <w:r>
              <w:rPr/>
              <w:t>49,220</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pPr>
            <w:r>
              <w:rPr/>
              <w:t>232</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1279"/>
        <w:gridCol w:w="8775"/>
      </w:tblGrid>
      <w:tr>
        <w:trPr/>
        <w:tc>
          <w:tcPr>
            <w:tcW w:w="15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b/>
              </w:rPr>
            </w:pPr>
            <w:r>
              <w:rPr>
                <w:b/>
              </w:rPr>
              <w:t>18.</w:t>
            </w:r>
          </w:p>
        </w:tc>
        <w:tc>
          <w:tcPr>
            <w:tcW w:w="8775" w:type="dxa"/>
            <w:tcBorders/>
            <w:vAlign w:val="center"/>
          </w:tcPr>
          <w:p>
            <w:pPr>
              <w:pStyle w:val="TableContents"/>
              <w:bidi w:val="0"/>
              <w:spacing w:before="0" w:after="283"/>
              <w:jc w:val="left"/>
              <w:rPr>
                <w:b/>
              </w:rPr>
            </w:pPr>
            <w:r>
              <w:rPr>
                <w:b/>
              </w:rPr>
              <w:t>Segment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five reportable operating segments, which consist of Private Passenger Auto, Non-Standard Auto, Home and Farm, Crop, and All Other (which primarily consists of commercial, assumed reinsurance, and our excess liability business). We operate only in the U.S., and no single customer or agent provides 10 percent or more of our revenues. The following tables provide available information of these segments for the three-months ended March 31,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operating decision maker is our President and Chief Executive Officer (“CEO”). The primary profitability measurement used by the CEO to review segment operating results is underwriting gain (loss). The CEO uses segment underwriting gain (loss) to allocate resources (including employee, financial, and capital resources) for each segment predominantly in the annual planning process. Segment underwriting gain (loss) is used to monitor segment results compared to prior period, forecasted results, and the annual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assign or allocate all line items in our Consolidated Statement of Operations or Consolidated Balance Sheets to our operating segments. Those line items include fee and other income, net investment income, net investment gains (losses), and income tax expense (benefit) within the Consolidated Statement of Operations. For the Consolidated Balance Sheets, those items include cash and investments, reinsurance premiums receivable or payable, income taxes recoverable or payable, accrued investment income, property and equipment, deferred income taxes, other assets, accrued expenses and other liabilities, and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8"/>
        <w:gridCol w:w="60"/>
        <w:gridCol w:w="217"/>
        <w:gridCol w:w="1060"/>
        <w:gridCol w:w="95"/>
        <w:gridCol w:w="60"/>
        <w:gridCol w:w="254"/>
        <w:gridCol w:w="1236"/>
        <w:gridCol w:w="95"/>
        <w:gridCol w:w="60"/>
        <w:gridCol w:w="157"/>
        <w:gridCol w:w="766"/>
        <w:gridCol w:w="95"/>
        <w:gridCol w:w="60"/>
        <w:gridCol w:w="140"/>
        <w:gridCol w:w="711"/>
        <w:gridCol w:w="95"/>
        <w:gridCol w:w="60"/>
        <w:gridCol w:w="151"/>
        <w:gridCol w:w="735"/>
        <w:gridCol w:w="95"/>
        <w:gridCol w:w="60"/>
        <w:gridCol w:w="140"/>
        <w:gridCol w:w="800"/>
        <w:gridCol w:w="115"/>
      </w:tblGrid>
      <w:tr>
        <w:trPr/>
        <w:tc>
          <w:tcPr>
            <w:tcW w:w="2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42"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2026</w:t>
            </w:r>
          </w:p>
        </w:tc>
        <w:tc>
          <w:tcPr>
            <w:tcW w:w="115" w:type="dxa"/>
            <w:tcBorders/>
            <w:vAlign w:val="center"/>
          </w:tcPr>
          <w:p>
            <w:pPr>
              <w:pStyle w:val="TableContents"/>
              <w:bidi w:val="0"/>
              <w:spacing w:before="0" w:after="283"/>
              <w:jc w:val="left"/>
              <w:rPr/>
            </w:pPr>
            <w:r>
              <w:rPr/>
              <w:t> </w:t>
            </w:r>
          </w:p>
        </w:tc>
      </w:tr>
      <w:tr>
        <w:trPr/>
        <w:tc>
          <w:tcPr>
            <w:tcW w:w="2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Home and</w:t>
              <w:br/>
              <w:t>Farm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Direct premiums earned</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22,848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2,608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28,785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11"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4,168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58,391</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pPr>
            <w:r>
              <w:rPr/>
              <w:t>Assumed premiums earned</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1,983</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Ceded premiums earned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(3,091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pPr>
            <w:r>
              <w:rPr/>
              <w:t>(652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(5,261</w:t>
            </w:r>
          </w:p>
        </w:tc>
        <w:tc>
          <w:tcPr>
            <w:tcW w:w="115" w:type="dxa"/>
            <w:tcBorders/>
            <w:shd w:fill="CCEEFF" w:val="clear"/>
            <w:vAlign w:val="center"/>
          </w:tcPr>
          <w:p>
            <w:pPr>
              <w:pStyle w:val="TableContents"/>
              <w:bidi w:val="0"/>
              <w:spacing w:before="0" w:after="283"/>
              <w:jc w:val="left"/>
              <w:rPr/>
            </w:pPr>
            <w:r>
              <w:rPr/>
              <w:t>)</w:t>
            </w:r>
          </w:p>
        </w:tc>
      </w:tr>
      <w:tr>
        <w:trPr/>
        <w:tc>
          <w:tcPr>
            <w:tcW w:w="2888"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22,296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2,604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25,694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(670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5,189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55,113</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pPr>
            <w:r>
              <w:rPr/>
              <w:t>Direct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2,582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10,716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(323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24,069</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121</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pPr>
            <w:r>
              <w:rPr/>
              <w:t>Ceded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(355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(834</w:t>
            </w:r>
          </w:p>
        </w:tc>
        <w:tc>
          <w:tcPr>
            <w:tcW w:w="115" w:type="dxa"/>
            <w:tcBorders/>
            <w:shd w:fill="FFFFFF" w:val="clear"/>
            <w:vAlign w:val="center"/>
          </w:tcPr>
          <w:p>
            <w:pPr>
              <w:pStyle w:val="TableContents"/>
              <w:bidi w:val="0"/>
              <w:spacing w:before="0" w:after="283"/>
              <w:jc w:val="left"/>
              <w:rPr/>
            </w:pPr>
            <w:r>
              <w:rPr/>
              <w:t>)</w:t>
            </w:r>
          </w:p>
        </w:tc>
      </w:tr>
      <w:tr>
        <w:trPr/>
        <w:tc>
          <w:tcPr>
            <w:tcW w:w="2888"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2,582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10,361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23,356</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12,004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15,333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31,757</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5,582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11,886</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3,158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3,916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8,650</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7,695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1,645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9,498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1,681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20,536</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pPr>
            <w:r>
              <w:rPr/>
              <w:t>Underwriting gain (loss)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4,309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(1,623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5,835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2,694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11,221</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2,655</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Net investment gains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1,704</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pPr>
            <w:r>
              <w:rPr/>
              <w:t>Fee and other income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130</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Income before income taxes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15,710</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3,202</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12,508</w:t>
            </w:r>
          </w:p>
        </w:tc>
        <w:tc>
          <w:tcPr>
            <w:tcW w:w="115" w:type="dxa"/>
            <w:tcBorders/>
            <w:shd w:fill="CCEEFF" w:val="clear"/>
            <w:vAlign w:val="center"/>
          </w:tcPr>
          <w:p>
            <w:pPr>
              <w:pStyle w:val="TableContents"/>
              <w:bidi w:val="0"/>
              <w:spacing w:before="0" w:after="283"/>
              <w:ind w:left="0" w:right="0" w:hanging="216"/>
              <w:jc w:val="left"/>
              <w:rPr/>
            </w:pPr>
            <w:r>
              <w:rPr/>
              <w:t> </w:t>
            </w:r>
          </w:p>
        </w:tc>
      </w:tr>
      <w:tr>
        <w:trPr/>
        <w:tc>
          <w:tcPr>
            <w:tcW w:w="2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16"/>
              <w:jc w:val="left"/>
              <w:rPr/>
            </w:pPr>
            <w:r>
              <w:rPr/>
              <w:t> </w:t>
            </w:r>
          </w:p>
        </w:tc>
      </w:tr>
      <w:tr>
        <w:trPr/>
        <w:tc>
          <w:tcPr>
            <w:tcW w:w="2888" w:type="dxa"/>
            <w:tcBorders/>
            <w:shd w:fill="CCEEFF" w:val="clear"/>
            <w:vAlign w:val="center"/>
          </w:tcPr>
          <w:p>
            <w:pPr>
              <w:pStyle w:val="TableContents"/>
              <w:bidi w:val="0"/>
              <w:spacing w:before="0" w:after="283"/>
              <w:jc w:val="left"/>
              <w:rPr/>
            </w:pPr>
            <w:r>
              <w:rPr/>
              <w:t>Operating Ratios: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firstLine="18"/>
              <w:jc w:val="left"/>
              <w:rPr/>
            </w:pPr>
            <w:r>
              <w:rPr/>
              <w:t> </w:t>
            </w:r>
          </w:p>
        </w:tc>
      </w:tr>
      <w:tr>
        <w:trPr/>
        <w:tc>
          <w:tcPr>
            <w:tcW w:w="2888" w:type="dxa"/>
            <w:tcBorders/>
            <w:shd w:fill="FFFFFF" w:val="clear"/>
            <w:vAlign w:val="center"/>
          </w:tcPr>
          <w:p>
            <w:pPr>
              <w:pStyle w:val="TableContents"/>
              <w:bidi w:val="0"/>
              <w:spacing w:before="0" w:after="283"/>
              <w:jc w:val="left"/>
              <w:rPr/>
            </w:pPr>
            <w:r>
              <w:rPr/>
              <w:t>Loss and loss adjustment expense ratio</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42.4%</w:t>
            </w:r>
          </w:p>
        </w:tc>
        <w:tc>
          <w:tcPr>
            <w:tcW w:w="115" w:type="dxa"/>
            <w:tcBorders/>
            <w:shd w:fill="FFFFFF" w:val="clear"/>
            <w:vAlign w:val="center"/>
          </w:tcPr>
          <w:p>
            <w:pPr>
              <w:pStyle w:val="TableContents"/>
              <w:bidi w:val="0"/>
              <w:spacing w:before="0" w:after="283"/>
              <w:ind w:left="0" w:right="0" w:hanging="216"/>
              <w:jc w:val="left"/>
              <w:rPr/>
            </w:pPr>
            <w:r>
              <w:rPr/>
              <w:t> </w:t>
            </w:r>
          </w:p>
        </w:tc>
      </w:tr>
      <w:tr>
        <w:trPr/>
        <w:tc>
          <w:tcPr>
            <w:tcW w:w="2888" w:type="dxa"/>
            <w:tcBorders/>
            <w:shd w:fill="CCEEFF" w:val="clear"/>
            <w:vAlign w:val="center"/>
          </w:tcPr>
          <w:p>
            <w:pPr>
              <w:pStyle w:val="TableContents"/>
              <w:bidi w:val="0"/>
              <w:spacing w:before="0" w:after="283"/>
              <w:jc w:val="left"/>
              <w:rPr/>
            </w:pPr>
            <w:r>
              <w:rPr/>
              <w:t>Expense ratio</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37.3%</w:t>
            </w:r>
          </w:p>
        </w:tc>
        <w:tc>
          <w:tcPr>
            <w:tcW w:w="115" w:type="dxa"/>
            <w:tcBorders/>
            <w:shd w:fill="CCEEFF" w:val="clear"/>
            <w:vAlign w:val="center"/>
          </w:tcPr>
          <w:p>
            <w:pPr>
              <w:pStyle w:val="TableContents"/>
              <w:bidi w:val="0"/>
              <w:spacing w:before="0" w:after="283"/>
              <w:ind w:left="0" w:right="0" w:hanging="216"/>
              <w:jc w:val="left"/>
              <w:rPr/>
            </w:pPr>
            <w:r>
              <w:rPr/>
              <w:t> </w:t>
            </w:r>
          </w:p>
        </w:tc>
      </w:tr>
      <w:tr>
        <w:trPr/>
        <w:tc>
          <w:tcPr>
            <w:tcW w:w="2888" w:type="dxa"/>
            <w:tcBorders/>
            <w:shd w:fill="FFFFFF" w:val="clear"/>
            <w:vAlign w:val="center"/>
          </w:tcPr>
          <w:p>
            <w:pPr>
              <w:pStyle w:val="TableContents"/>
              <w:bidi w:val="0"/>
              <w:spacing w:before="0" w:after="283"/>
              <w:jc w:val="left"/>
              <w:rPr/>
            </w:pPr>
            <w:r>
              <w:rPr/>
              <w:t>Combined ratio</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80.7%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79.7%</w:t>
            </w:r>
          </w:p>
        </w:tc>
        <w:tc>
          <w:tcPr>
            <w:tcW w:w="115" w:type="dxa"/>
            <w:tcBorders/>
            <w:shd w:fill="FFFFFF" w:val="clear"/>
            <w:vAlign w:val="center"/>
          </w:tcPr>
          <w:p>
            <w:pPr>
              <w:pStyle w:val="TableContents"/>
              <w:bidi w:val="0"/>
              <w:spacing w:before="0" w:after="283"/>
              <w:ind w:left="0" w:right="0" w:hanging="216"/>
              <w:jc w:val="left"/>
              <w:rPr/>
            </w:pPr>
            <w:r>
              <w:rPr/>
              <w:t> </w:t>
            </w:r>
          </w:p>
        </w:tc>
      </w:tr>
      <w:tr>
        <w:trPr/>
        <w:tc>
          <w:tcPr>
            <w:tcW w:w="2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216"/>
              <w:jc w:val="left"/>
              <w:rPr/>
            </w:pPr>
            <w:r>
              <w:rPr/>
              <w:t> </w:t>
            </w:r>
          </w:p>
        </w:tc>
      </w:tr>
      <w:tr>
        <w:trPr/>
        <w:tc>
          <w:tcPr>
            <w:tcW w:w="2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16"/>
              <w:jc w:val="left"/>
              <w:rPr/>
            </w:pPr>
            <w:r>
              <w:rPr/>
              <w:t> </w:t>
            </w:r>
          </w:p>
        </w:tc>
      </w:tr>
      <w:tr>
        <w:trPr/>
        <w:tc>
          <w:tcPr>
            <w:tcW w:w="2888" w:type="dxa"/>
            <w:tcBorders/>
            <w:shd w:fill="CCEEFF" w:val="clear"/>
            <w:vAlign w:val="center"/>
          </w:tcPr>
          <w:p>
            <w:pPr>
              <w:pStyle w:val="TableContents"/>
              <w:bidi w:val="0"/>
              <w:spacing w:before="0" w:after="283"/>
              <w:jc w:val="left"/>
              <w:rPr/>
            </w:pPr>
            <w:r>
              <w:rPr/>
              <w:t>Balances at March 31, 2026:</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2888" w:type="dxa"/>
            <w:tcBorders/>
            <w:shd w:fill="FFFFFF" w:val="clear"/>
            <w:vAlign w:val="center"/>
          </w:tcPr>
          <w:p>
            <w:pPr>
              <w:pStyle w:val="TableContents"/>
              <w:bidi w:val="0"/>
              <w:spacing w:before="0" w:after="283"/>
              <w:jc w:val="left"/>
              <w:rPr/>
            </w:pPr>
            <w:r>
              <w:rPr/>
              <w:t>Premiums and agents’ balances receivable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060" w:type="dxa"/>
            <w:tcBorders/>
            <w:shd w:fill="FFFFFF" w:val="clear"/>
            <w:vAlign w:val="center"/>
          </w:tcPr>
          <w:p>
            <w:pPr>
              <w:pStyle w:val="TableContents"/>
              <w:bidi w:val="0"/>
              <w:spacing w:before="0" w:after="283"/>
              <w:jc w:val="right"/>
              <w:rPr/>
            </w:pPr>
            <w:r>
              <w:rPr/>
              <w:t>25,117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w:t>
            </w:r>
          </w:p>
        </w:tc>
        <w:tc>
          <w:tcPr>
            <w:tcW w:w="1236" w:type="dxa"/>
            <w:tcBorders/>
            <w:shd w:fill="FFFFFF" w:val="clear"/>
            <w:vAlign w:val="center"/>
          </w:tcPr>
          <w:p>
            <w:pPr>
              <w:pStyle w:val="TableContents"/>
              <w:bidi w:val="0"/>
              <w:spacing w:before="0" w:after="283"/>
              <w:jc w:val="right"/>
              <w:rPr/>
            </w:pPr>
            <w:r>
              <w:rPr/>
              <w:t>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6" w:type="dxa"/>
            <w:tcBorders/>
            <w:shd w:fill="FFFFFF" w:val="clear"/>
            <w:vAlign w:val="center"/>
          </w:tcPr>
          <w:p>
            <w:pPr>
              <w:pStyle w:val="TableContents"/>
              <w:bidi w:val="0"/>
              <w:spacing w:before="0" w:after="283"/>
              <w:jc w:val="right"/>
              <w:rPr/>
            </w:pPr>
            <w:r>
              <w:rPr/>
              <w:t>11,551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11" w:type="dxa"/>
            <w:tcBorders/>
            <w:shd w:fill="FFFFFF" w:val="clear"/>
            <w:vAlign w:val="center"/>
          </w:tcPr>
          <w:p>
            <w:pPr>
              <w:pStyle w:val="TableContents"/>
              <w:bidi w:val="0"/>
              <w:spacing w:before="0" w:after="283"/>
              <w:jc w:val="right"/>
              <w:rPr/>
            </w:pPr>
            <w:r>
              <w:rPr/>
              <w:t>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735" w:type="dxa"/>
            <w:tcBorders/>
            <w:shd w:fill="FFFFFF" w:val="clear"/>
            <w:vAlign w:val="center"/>
          </w:tcPr>
          <w:p>
            <w:pPr>
              <w:pStyle w:val="TableContents"/>
              <w:bidi w:val="0"/>
              <w:spacing w:before="0" w:after="283"/>
              <w:jc w:val="right"/>
              <w:rPr/>
            </w:pPr>
            <w:r>
              <w:rPr/>
              <w:t>3,264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40,210</w:t>
            </w:r>
          </w:p>
        </w:tc>
        <w:tc>
          <w:tcPr>
            <w:tcW w:w="115" w:type="dxa"/>
            <w:tcBorders/>
            <w:shd w:fill="FFFFFF" w:val="clear"/>
            <w:vAlign w:val="center"/>
          </w:tcPr>
          <w:p>
            <w:pPr>
              <w:pStyle w:val="TableContents"/>
              <w:bidi w:val="0"/>
              <w:spacing w:before="0" w:after="283"/>
              <w:jc w:val="left"/>
              <w:rPr/>
            </w:pPr>
            <w:r>
              <w:rPr/>
              <w:t> </w:t>
            </w:r>
          </w:p>
        </w:tc>
      </w:tr>
      <w:tr>
        <w:trPr/>
        <w:tc>
          <w:tcPr>
            <w:tcW w:w="2888" w:type="dxa"/>
            <w:tcBorders/>
            <w:shd w:fill="CCEEFF" w:val="clear"/>
            <w:vAlign w:val="center"/>
          </w:tcPr>
          <w:p>
            <w:pPr>
              <w:pStyle w:val="TableContents"/>
              <w:bidi w:val="0"/>
              <w:spacing w:before="0" w:after="283"/>
              <w:jc w:val="left"/>
              <w:rPr/>
            </w:pPr>
            <w:r>
              <w:rPr/>
              <w:t>Deferred policy acquisition costs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10,581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19,110</w:t>
            </w:r>
          </w:p>
        </w:tc>
        <w:tc>
          <w:tcPr>
            <w:tcW w:w="115" w:type="dxa"/>
            <w:tcBorders/>
            <w:shd w:fill="CCEEFF" w:val="clear"/>
            <w:vAlign w:val="center"/>
          </w:tcPr>
          <w:p>
            <w:pPr>
              <w:pStyle w:val="TableContents"/>
              <w:bidi w:val="0"/>
              <w:spacing w:before="0" w:after="283"/>
              <w:ind w:left="0" w:right="0" w:hanging="216"/>
              <w:jc w:val="left"/>
              <w:rPr/>
            </w:pPr>
            <w:r>
              <w:rPr/>
              <w:t> </w:t>
            </w:r>
          </w:p>
        </w:tc>
      </w:tr>
      <w:tr>
        <w:trPr/>
        <w:tc>
          <w:tcPr>
            <w:tcW w:w="2888" w:type="dxa"/>
            <w:tcBorders/>
            <w:shd w:fill="FFFFFF" w:val="clear"/>
            <w:vAlign w:val="center"/>
          </w:tcPr>
          <w:p>
            <w:pPr>
              <w:pStyle w:val="TableContents"/>
              <w:bidi w:val="0"/>
              <w:spacing w:before="0" w:after="283"/>
              <w:jc w:val="left"/>
              <w:rPr/>
            </w:pPr>
            <w:r>
              <w:rPr/>
              <w:t>Reinsurance recoverables on losses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2,626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6,340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9,951</w:t>
            </w:r>
          </w:p>
        </w:tc>
        <w:tc>
          <w:tcPr>
            <w:tcW w:w="115" w:type="dxa"/>
            <w:tcBorders/>
            <w:shd w:fill="FFFFFF" w:val="clear"/>
            <w:vAlign w:val="center"/>
          </w:tcPr>
          <w:p>
            <w:pPr>
              <w:pStyle w:val="TableContents"/>
              <w:bidi w:val="0"/>
              <w:spacing w:before="0" w:after="283"/>
              <w:ind w:left="0" w:right="0" w:firstLine="18"/>
              <w:jc w:val="left"/>
              <w:rPr/>
            </w:pPr>
            <w:r>
              <w:rPr/>
              <w:t> </w:t>
            </w:r>
          </w:p>
        </w:tc>
      </w:tr>
      <w:tr>
        <w:trPr/>
        <w:tc>
          <w:tcPr>
            <w:tcW w:w="2888" w:type="dxa"/>
            <w:tcBorders/>
            <w:shd w:fill="CCEEFF" w:val="clear"/>
            <w:vAlign w:val="center"/>
          </w:tcPr>
          <w:p>
            <w:pPr>
              <w:pStyle w:val="TableContents"/>
              <w:bidi w:val="0"/>
              <w:spacing w:before="0" w:after="283"/>
              <w:jc w:val="left"/>
              <w:rPr/>
            </w:pPr>
            <w:r>
              <w:rPr/>
              <w:t>Receivable from Federal Crop Insurance Corporation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12,786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12,786</w:t>
            </w:r>
          </w:p>
        </w:tc>
        <w:tc>
          <w:tcPr>
            <w:tcW w:w="115" w:type="dxa"/>
            <w:tcBorders/>
            <w:shd w:fill="CCEEFF" w:val="clear"/>
            <w:vAlign w:val="center"/>
          </w:tcPr>
          <w:p>
            <w:pPr>
              <w:pStyle w:val="TableContents"/>
              <w:bidi w:val="0"/>
              <w:spacing w:before="0" w:after="283"/>
              <w:ind w:left="0" w:right="0" w:firstLine="18"/>
              <w:jc w:val="left"/>
              <w:rPr/>
            </w:pPr>
            <w:r>
              <w:rPr/>
              <w:t> </w:t>
            </w:r>
          </w:p>
        </w:tc>
      </w:tr>
      <w:tr>
        <w:trPr/>
        <w:tc>
          <w:tcPr>
            <w:tcW w:w="2888" w:type="dxa"/>
            <w:tcBorders/>
            <w:shd w:fill="FFFFFF" w:val="clear"/>
            <w:vAlign w:val="center"/>
          </w:tcPr>
          <w:p>
            <w:pPr>
              <w:pStyle w:val="TableContents"/>
              <w:bidi w:val="0"/>
              <w:spacing w:before="0" w:after="283"/>
              <w:jc w:val="left"/>
              <w:rPr/>
            </w:pPr>
            <w:r>
              <w:rPr/>
              <w:t>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29,407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61,620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19,471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11,739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123,594</w:t>
            </w:r>
          </w:p>
        </w:tc>
        <w:tc>
          <w:tcPr>
            <w:tcW w:w="115" w:type="dxa"/>
            <w:tcBorders/>
            <w:shd w:fill="FFFFFF" w:val="clear"/>
            <w:vAlign w:val="center"/>
          </w:tcPr>
          <w:p>
            <w:pPr>
              <w:pStyle w:val="TableContents"/>
              <w:bidi w:val="0"/>
              <w:spacing w:before="0" w:after="283"/>
              <w:ind w:left="0" w:right="0" w:hanging="216"/>
              <w:jc w:val="left"/>
              <w:rPr/>
            </w:pPr>
            <w:r>
              <w:rPr/>
              <w:t> </w:t>
            </w:r>
          </w:p>
        </w:tc>
      </w:tr>
      <w:tr>
        <w:trPr/>
        <w:tc>
          <w:tcPr>
            <w:tcW w:w="2888"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36,746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57,287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8,362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103,636</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Other underwriting and general expenses for each segment include expenses related to compensation, vendor services, and other administrative items.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9"/>
        <w:gridCol w:w="60"/>
        <w:gridCol w:w="217"/>
        <w:gridCol w:w="1058"/>
        <w:gridCol w:w="95"/>
        <w:gridCol w:w="60"/>
        <w:gridCol w:w="254"/>
        <w:gridCol w:w="1236"/>
        <w:gridCol w:w="95"/>
        <w:gridCol w:w="60"/>
        <w:gridCol w:w="161"/>
        <w:gridCol w:w="786"/>
        <w:gridCol w:w="95"/>
        <w:gridCol w:w="60"/>
        <w:gridCol w:w="140"/>
        <w:gridCol w:w="711"/>
        <w:gridCol w:w="95"/>
        <w:gridCol w:w="60"/>
        <w:gridCol w:w="151"/>
        <w:gridCol w:w="734"/>
        <w:gridCol w:w="95"/>
        <w:gridCol w:w="60"/>
        <w:gridCol w:w="140"/>
        <w:gridCol w:w="800"/>
        <w:gridCol w:w="113"/>
      </w:tblGrid>
      <w:tr>
        <w:trPr/>
        <w:tc>
          <w:tcPr>
            <w:tcW w:w="2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3"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2025</w:t>
            </w:r>
          </w:p>
        </w:tc>
        <w:tc>
          <w:tcPr>
            <w:tcW w:w="113" w:type="dxa"/>
            <w:tcBorders/>
            <w:vAlign w:val="center"/>
          </w:tcPr>
          <w:p>
            <w:pPr>
              <w:pStyle w:val="TableContents"/>
              <w:bidi w:val="0"/>
              <w:spacing w:before="0" w:after="283"/>
              <w:jc w:val="left"/>
              <w:rPr/>
            </w:pPr>
            <w:r>
              <w:rPr/>
              <w:t> </w:t>
            </w:r>
          </w:p>
        </w:tc>
      </w:tr>
      <w:tr>
        <w:trPr/>
        <w:tc>
          <w:tcPr>
            <w:tcW w:w="2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Private</w:t>
              <w:br/>
              <w:t>Passenger 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Direct premiums earned</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23,828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18,278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26,511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11"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3,559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72,161</w:t>
            </w:r>
          </w:p>
        </w:tc>
        <w:tc>
          <w:tcPr>
            <w:tcW w:w="113" w:type="dxa"/>
            <w:tcBorders/>
            <w:shd w:fill="CCEEFF"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pPr>
            <w:r>
              <w:rPr/>
              <w:t>Assumed premiums earned</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Ceded premiums earned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(1,170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8" w:space="0" w:color="000000"/>
            </w:tcBorders>
            <w:shd w:fill="CCEEFF" w:val="clear"/>
            <w:tcMar>
              <w:bottom w:w="28" w:type="dxa"/>
            </w:tcMar>
            <w:vAlign w:val="center"/>
          </w:tcPr>
          <w:p>
            <w:pPr>
              <w:pStyle w:val="TableContents"/>
              <w:bidi w:val="0"/>
              <w:spacing w:before="0" w:after="283"/>
              <w:jc w:val="right"/>
              <w:rPr/>
            </w:pPr>
            <w:r>
              <w:rPr/>
              <w:t>(2,790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pPr>
            <w:r>
              <w:rPr/>
              <w:t>(361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(4,703</w:t>
            </w:r>
          </w:p>
        </w:tc>
        <w:tc>
          <w:tcPr>
            <w:tcW w:w="113" w:type="dxa"/>
            <w:tcBorders/>
            <w:shd w:fill="CCEEFF" w:val="clear"/>
            <w:vAlign w:val="center"/>
          </w:tcPr>
          <w:p>
            <w:pPr>
              <w:pStyle w:val="TableContents"/>
              <w:bidi w:val="0"/>
              <w:spacing w:before="0" w:after="283"/>
              <w:jc w:val="left"/>
              <w:rPr/>
            </w:pPr>
            <w:r>
              <w:rPr/>
              <w:t>)</w:t>
            </w:r>
          </w:p>
        </w:tc>
      </w:tr>
      <w:tr>
        <w:trPr/>
        <w:tc>
          <w:tcPr>
            <w:tcW w:w="2869"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22,658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18,253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23,721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(376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3,241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67,497</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pPr>
            <w:r>
              <w:rPr/>
              <w:t>Direct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13,498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14,538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9,932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40,379</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(233</w:t>
            </w:r>
          </w:p>
        </w:tc>
        <w:tc>
          <w:tcPr>
            <w:tcW w:w="113" w:type="dxa"/>
            <w:tcBorders/>
            <w:shd w:fill="CCEEFF" w:val="clear"/>
            <w:vAlign w:val="center"/>
          </w:tcPr>
          <w:p>
            <w:pPr>
              <w:pStyle w:val="TableContents"/>
              <w:bidi w:val="0"/>
              <w:spacing w:before="0" w:after="283"/>
              <w:jc w:val="left"/>
              <w:rPr/>
            </w:pPr>
            <w:r>
              <w:rPr/>
              <w:t>)</w:t>
            </w:r>
          </w:p>
        </w:tc>
      </w:tr>
      <w:tr>
        <w:trPr/>
        <w:tc>
          <w:tcPr>
            <w:tcW w:w="2869" w:type="dxa"/>
            <w:tcBorders/>
            <w:shd w:fill="FFFFFF" w:val="clear"/>
            <w:vAlign w:val="center"/>
          </w:tcPr>
          <w:p>
            <w:pPr>
              <w:pStyle w:val="TableContents"/>
              <w:bidi w:val="0"/>
              <w:spacing w:before="0" w:after="283"/>
              <w:jc w:val="left"/>
              <w:rPr/>
            </w:pPr>
            <w:r>
              <w:rPr/>
              <w:t>Ceded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8" w:space="0" w:color="000000"/>
            </w:tcBorders>
            <w:shd w:fill="FFFFFF" w:val="clear"/>
            <w:tcMar>
              <w:bottom w:w="28" w:type="dxa"/>
            </w:tcMar>
            <w:vAlign w:val="center"/>
          </w:tcPr>
          <w:p>
            <w:pPr>
              <w:pStyle w:val="TableContents"/>
              <w:bidi w:val="0"/>
              <w:spacing w:before="0" w:after="283"/>
              <w:jc w:val="right"/>
              <w:rPr/>
            </w:pPr>
            <w:r>
              <w:rPr/>
              <w:t>(145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(628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(845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(1,621</w:t>
            </w:r>
          </w:p>
        </w:tc>
        <w:tc>
          <w:tcPr>
            <w:tcW w:w="113" w:type="dxa"/>
            <w:tcBorders/>
            <w:shd w:fill="FFFFFF" w:val="clear"/>
            <w:vAlign w:val="center"/>
          </w:tcPr>
          <w:p>
            <w:pPr>
              <w:pStyle w:val="TableContents"/>
              <w:bidi w:val="0"/>
              <w:spacing w:before="0" w:after="283"/>
              <w:jc w:val="left"/>
              <w:rPr/>
            </w:pPr>
            <w:r>
              <w:rPr/>
              <w:t>)</w:t>
            </w:r>
          </w:p>
        </w:tc>
      </w:tr>
      <w:tr>
        <w:trPr/>
        <w:tc>
          <w:tcPr>
            <w:tcW w:w="2869"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13,495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14,538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9,787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(499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38,525</w:t>
            </w:r>
          </w:p>
        </w:tc>
        <w:tc>
          <w:tcPr>
            <w:tcW w:w="113" w:type="dxa"/>
            <w:tcBorders/>
            <w:shd w:fill="CCEEFF"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9,163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3,715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8" w:space="0" w:color="000000"/>
            </w:tcBorders>
            <w:shd w:fill="CCEEFF" w:val="clear"/>
            <w:tcMar>
              <w:bottom w:w="28" w:type="dxa"/>
            </w:tcMar>
            <w:vAlign w:val="center"/>
          </w:tcPr>
          <w:p>
            <w:pPr>
              <w:pStyle w:val="TableContents"/>
              <w:bidi w:val="0"/>
              <w:spacing w:before="0" w:after="283"/>
              <w:jc w:val="right"/>
              <w:rPr/>
            </w:pPr>
            <w:r>
              <w:rPr/>
              <w:t>13,934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pPr>
            <w:r>
              <w:rPr/>
              <w:t>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2,037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28,972</w:t>
            </w:r>
          </w:p>
        </w:tc>
        <w:tc>
          <w:tcPr>
            <w:tcW w:w="113" w:type="dxa"/>
            <w:tcBorders/>
            <w:shd w:fill="CCEEFF"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6,324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5,037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16,528</w:t>
            </w:r>
          </w:p>
        </w:tc>
        <w:tc>
          <w:tcPr>
            <w:tcW w:w="113" w:type="dxa"/>
            <w:tcBorders/>
            <w:shd w:fill="CCEEFF"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2,892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1,957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8" w:space="0" w:color="000000"/>
            </w:tcBorders>
            <w:shd w:fill="FFFFFF" w:val="clear"/>
            <w:tcMar>
              <w:bottom w:w="28" w:type="dxa"/>
            </w:tcMar>
            <w:vAlign w:val="center"/>
          </w:tcPr>
          <w:p>
            <w:pPr>
              <w:pStyle w:val="TableContents"/>
              <w:bidi w:val="0"/>
              <w:spacing w:before="0" w:after="283"/>
              <w:jc w:val="right"/>
              <w:rPr/>
            </w:pPr>
            <w:r>
              <w:rPr/>
              <w:t>2,796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8,632</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7,378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8,281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8" w:space="0" w:color="000000"/>
            </w:tcBorders>
            <w:shd w:fill="CCEEFF" w:val="clear"/>
            <w:tcMar>
              <w:bottom w:w="28" w:type="dxa"/>
            </w:tcMar>
            <w:vAlign w:val="center"/>
          </w:tcPr>
          <w:p>
            <w:pPr>
              <w:pStyle w:val="TableContents"/>
              <w:bidi w:val="0"/>
              <w:spacing w:before="0" w:after="283"/>
              <w:jc w:val="right"/>
              <w:rPr/>
            </w:pPr>
            <w:r>
              <w:rPr/>
              <w:t>7,833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1,644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25,160</w:t>
            </w:r>
          </w:p>
        </w:tc>
        <w:tc>
          <w:tcPr>
            <w:tcW w:w="113" w:type="dxa"/>
            <w:tcBorders/>
            <w:shd w:fill="CCEEFF"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pPr>
            <w:r>
              <w:rPr/>
              <w:t>Underwriting gain (loss)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1,785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(4,566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8" w:space="0" w:color="000000"/>
            </w:tcBorders>
            <w:shd w:fill="FFFFFF" w:val="clear"/>
            <w:tcMar>
              <w:bottom w:w="28" w:type="dxa"/>
            </w:tcMar>
            <w:vAlign w:val="center"/>
          </w:tcPr>
          <w:p>
            <w:pPr>
              <w:pStyle w:val="TableContents"/>
              <w:bidi w:val="0"/>
              <w:spacing w:before="0" w:after="283"/>
              <w:jc w:val="right"/>
              <w:rPr/>
            </w:pPr>
            <w:r>
              <w:rPr/>
              <w:t>6,101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3,812</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2,838</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Net investment gains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869</w:t>
            </w:r>
          </w:p>
        </w:tc>
        <w:tc>
          <w:tcPr>
            <w:tcW w:w="113" w:type="dxa"/>
            <w:tcBorders/>
            <w:shd w:fill="CCEEFF"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pPr>
            <w:r>
              <w:rPr/>
              <w:t>Fee and other income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230</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Income before income taxes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7,749</w:t>
            </w:r>
          </w:p>
        </w:tc>
        <w:tc>
          <w:tcPr>
            <w:tcW w:w="113" w:type="dxa"/>
            <w:tcBorders/>
            <w:shd w:fill="CCEEFF"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1,289</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6,460</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2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16"/>
              <w:jc w:val="left"/>
              <w:rPr/>
            </w:pPr>
            <w:r>
              <w:rPr/>
              <w:t> </w:t>
            </w:r>
          </w:p>
        </w:tc>
      </w:tr>
      <w:tr>
        <w:trPr/>
        <w:tc>
          <w:tcPr>
            <w:tcW w:w="2869" w:type="dxa"/>
            <w:tcBorders/>
            <w:shd w:fill="CCEEFF" w:val="clear"/>
            <w:vAlign w:val="center"/>
          </w:tcPr>
          <w:p>
            <w:pPr>
              <w:pStyle w:val="TableContents"/>
              <w:bidi w:val="0"/>
              <w:spacing w:before="0" w:after="283"/>
              <w:jc w:val="left"/>
              <w:rPr/>
            </w:pPr>
            <w:r>
              <w:rPr/>
              <w:t>Operating Ratios: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firstLine="18"/>
              <w:jc w:val="left"/>
              <w:rPr/>
            </w:pPr>
            <w:r>
              <w:rPr/>
              <w:t> </w:t>
            </w:r>
          </w:p>
        </w:tc>
      </w:tr>
      <w:tr>
        <w:trPr/>
        <w:tc>
          <w:tcPr>
            <w:tcW w:w="2869" w:type="dxa"/>
            <w:tcBorders/>
            <w:shd w:fill="FFFFFF" w:val="clear"/>
            <w:vAlign w:val="center"/>
          </w:tcPr>
          <w:p>
            <w:pPr>
              <w:pStyle w:val="TableContents"/>
              <w:bidi w:val="0"/>
              <w:spacing w:before="0" w:after="283"/>
              <w:jc w:val="left"/>
              <w:rPr/>
            </w:pPr>
            <w:r>
              <w:rPr/>
              <w:t>Loss and loss adjustment expense ratio</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59.6%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57.1%</w:t>
            </w:r>
          </w:p>
        </w:tc>
        <w:tc>
          <w:tcPr>
            <w:tcW w:w="113" w:type="dxa"/>
            <w:tcBorders/>
            <w:shd w:fill="FFFFFF" w:val="clear"/>
            <w:vAlign w:val="center"/>
          </w:tcPr>
          <w:p>
            <w:pPr>
              <w:pStyle w:val="TableContents"/>
              <w:bidi w:val="0"/>
              <w:spacing w:before="0" w:after="283"/>
              <w:ind w:left="0" w:right="0" w:hanging="216"/>
              <w:jc w:val="left"/>
              <w:rPr/>
            </w:pPr>
            <w:r>
              <w:rPr/>
              <w:t> </w:t>
            </w:r>
          </w:p>
        </w:tc>
      </w:tr>
      <w:tr>
        <w:trPr/>
        <w:tc>
          <w:tcPr>
            <w:tcW w:w="2869" w:type="dxa"/>
            <w:tcBorders/>
            <w:shd w:fill="CCEEFF" w:val="clear"/>
            <w:vAlign w:val="center"/>
          </w:tcPr>
          <w:p>
            <w:pPr>
              <w:pStyle w:val="TableContents"/>
              <w:bidi w:val="0"/>
              <w:spacing w:before="0" w:after="283"/>
              <w:jc w:val="left"/>
              <w:rPr/>
            </w:pPr>
            <w:r>
              <w:rPr/>
              <w:t>Expense ratio</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37.3%</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2869" w:type="dxa"/>
            <w:tcBorders/>
            <w:shd w:fill="FFFFFF" w:val="clear"/>
            <w:vAlign w:val="center"/>
          </w:tcPr>
          <w:p>
            <w:pPr>
              <w:pStyle w:val="TableContents"/>
              <w:bidi w:val="0"/>
              <w:spacing w:before="0" w:after="283"/>
              <w:jc w:val="left"/>
              <w:rPr/>
            </w:pPr>
            <w:r>
              <w:rPr/>
              <w:t>Combined ratio</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94.4%</w:t>
            </w:r>
          </w:p>
        </w:tc>
        <w:tc>
          <w:tcPr>
            <w:tcW w:w="113" w:type="dxa"/>
            <w:tcBorders/>
            <w:shd w:fill="FFFFFF" w:val="clear"/>
            <w:vAlign w:val="center"/>
          </w:tcPr>
          <w:p>
            <w:pPr>
              <w:pStyle w:val="TableContents"/>
              <w:bidi w:val="0"/>
              <w:spacing w:before="0" w:after="283"/>
              <w:ind w:left="0" w:right="0" w:hanging="216"/>
              <w:jc w:val="left"/>
              <w:rPr/>
            </w:pPr>
            <w:r>
              <w:rPr/>
              <w:t> </w:t>
            </w:r>
          </w:p>
        </w:tc>
      </w:tr>
      <w:tr>
        <w:trPr/>
        <w:tc>
          <w:tcPr>
            <w:tcW w:w="28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2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16"/>
              <w:jc w:val="left"/>
              <w:rPr/>
            </w:pPr>
            <w:r>
              <w:rPr/>
              <w:t> </w:t>
            </w:r>
          </w:p>
        </w:tc>
      </w:tr>
      <w:tr>
        <w:trPr/>
        <w:tc>
          <w:tcPr>
            <w:tcW w:w="2869" w:type="dxa"/>
            <w:tcBorders/>
            <w:shd w:fill="CCEEFF" w:val="clear"/>
            <w:vAlign w:val="center"/>
          </w:tcPr>
          <w:p>
            <w:pPr>
              <w:pStyle w:val="TableContents"/>
              <w:bidi w:val="0"/>
              <w:spacing w:before="0" w:after="283"/>
              <w:jc w:val="left"/>
              <w:rPr/>
            </w:pPr>
            <w:r>
              <w:rPr/>
              <w:t>Balances at March 31, 2025:</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2869" w:type="dxa"/>
            <w:tcBorders/>
            <w:shd w:fill="FFFFFF" w:val="clear"/>
            <w:vAlign w:val="center"/>
          </w:tcPr>
          <w:p>
            <w:pPr>
              <w:pStyle w:val="TableContents"/>
              <w:bidi w:val="0"/>
              <w:spacing w:before="0" w:after="283"/>
              <w:jc w:val="left"/>
              <w:rPr/>
            </w:pPr>
            <w:r>
              <w:rPr/>
              <w:t>Premiums and agents’ balances receivable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058" w:type="dxa"/>
            <w:tcBorders/>
            <w:shd w:fill="FFFFFF" w:val="clear"/>
            <w:vAlign w:val="center"/>
          </w:tcPr>
          <w:p>
            <w:pPr>
              <w:pStyle w:val="TableContents"/>
              <w:bidi w:val="0"/>
              <w:spacing w:before="0" w:after="283"/>
              <w:jc w:val="right"/>
              <w:rPr/>
            </w:pPr>
            <w:r>
              <w:rPr/>
              <w:t>26,159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w:t>
            </w:r>
          </w:p>
        </w:tc>
        <w:tc>
          <w:tcPr>
            <w:tcW w:w="1236" w:type="dxa"/>
            <w:tcBorders/>
            <w:shd w:fill="FFFFFF" w:val="clear"/>
            <w:vAlign w:val="center"/>
          </w:tcPr>
          <w:p>
            <w:pPr>
              <w:pStyle w:val="TableContents"/>
              <w:bidi w:val="0"/>
              <w:spacing w:before="0" w:after="283"/>
              <w:jc w:val="right"/>
              <w:rPr/>
            </w:pPr>
            <w:r>
              <w:rPr/>
              <w:t>9,676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86" w:type="dxa"/>
            <w:tcBorders/>
            <w:shd w:fill="FFFFFF" w:val="clear"/>
            <w:vAlign w:val="center"/>
          </w:tcPr>
          <w:p>
            <w:pPr>
              <w:pStyle w:val="TableContents"/>
              <w:bidi w:val="0"/>
              <w:spacing w:before="0" w:after="283"/>
              <w:jc w:val="right"/>
              <w:rPr/>
            </w:pPr>
            <w:r>
              <w:rPr/>
              <w:t>10,446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11"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2,909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49,220</w:t>
            </w:r>
          </w:p>
        </w:tc>
        <w:tc>
          <w:tcPr>
            <w:tcW w:w="113" w:type="dxa"/>
            <w:tcBorders/>
            <w:shd w:fill="FFFFFF" w:val="clear"/>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pPr>
            <w:r>
              <w:rPr/>
              <w:t>Deferred policy acquisition costs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6,759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6,362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9,400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23,813</w:t>
            </w:r>
          </w:p>
        </w:tc>
        <w:tc>
          <w:tcPr>
            <w:tcW w:w="113" w:type="dxa"/>
            <w:tcBorders/>
            <w:shd w:fill="CCEEFF" w:val="clear"/>
            <w:vAlign w:val="center"/>
          </w:tcPr>
          <w:p>
            <w:pPr>
              <w:pStyle w:val="TableContents"/>
              <w:bidi w:val="0"/>
              <w:spacing w:before="0" w:after="283"/>
              <w:ind w:left="0" w:right="0" w:hanging="216"/>
              <w:jc w:val="left"/>
              <w:rPr/>
            </w:pPr>
            <w:r>
              <w:rPr/>
              <w:t> </w:t>
            </w:r>
          </w:p>
        </w:tc>
      </w:tr>
      <w:tr>
        <w:trPr/>
        <w:tc>
          <w:tcPr>
            <w:tcW w:w="2869" w:type="dxa"/>
            <w:tcBorders/>
            <w:shd w:fill="FFFFFF" w:val="clear"/>
            <w:vAlign w:val="center"/>
          </w:tcPr>
          <w:p>
            <w:pPr>
              <w:pStyle w:val="TableContents"/>
              <w:bidi w:val="0"/>
              <w:spacing w:before="0" w:after="283"/>
              <w:jc w:val="left"/>
              <w:rPr/>
            </w:pPr>
            <w:r>
              <w:rPr/>
              <w:t>Reinsurance recoverables on losses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8,646</w:t>
            </w:r>
          </w:p>
        </w:tc>
        <w:tc>
          <w:tcPr>
            <w:tcW w:w="113" w:type="dxa"/>
            <w:tcBorders/>
            <w:shd w:fill="FFFFFF" w:val="clear"/>
            <w:vAlign w:val="center"/>
          </w:tcPr>
          <w:p>
            <w:pPr>
              <w:pStyle w:val="TableContents"/>
              <w:bidi w:val="0"/>
              <w:spacing w:before="0" w:after="283"/>
              <w:ind w:left="0" w:right="0" w:firstLine="18"/>
              <w:jc w:val="left"/>
              <w:rPr/>
            </w:pPr>
            <w:r>
              <w:rPr/>
              <w:t> </w:t>
            </w:r>
          </w:p>
        </w:tc>
      </w:tr>
      <w:tr>
        <w:trPr/>
        <w:tc>
          <w:tcPr>
            <w:tcW w:w="2869" w:type="dxa"/>
            <w:tcBorders/>
            <w:shd w:fill="CCEEFF" w:val="clear"/>
            <w:vAlign w:val="center"/>
          </w:tcPr>
          <w:p>
            <w:pPr>
              <w:pStyle w:val="TableContents"/>
              <w:bidi w:val="0"/>
              <w:spacing w:before="0" w:after="283"/>
              <w:jc w:val="left"/>
              <w:rPr/>
            </w:pPr>
            <w:r>
              <w:rPr/>
              <w:t>Receivable from Federal Crop Insurance Corporation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11,474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11,474</w:t>
            </w:r>
          </w:p>
        </w:tc>
        <w:tc>
          <w:tcPr>
            <w:tcW w:w="113" w:type="dxa"/>
            <w:tcBorders/>
            <w:shd w:fill="CCEEFF" w:val="clear"/>
            <w:vAlign w:val="center"/>
          </w:tcPr>
          <w:p>
            <w:pPr>
              <w:pStyle w:val="TableContents"/>
              <w:bidi w:val="0"/>
              <w:spacing w:before="0" w:after="283"/>
              <w:ind w:left="0" w:right="0" w:firstLine="18"/>
              <w:jc w:val="left"/>
              <w:rPr/>
            </w:pPr>
            <w:r>
              <w:rPr/>
              <w:t> </w:t>
            </w:r>
          </w:p>
        </w:tc>
      </w:tr>
      <w:tr>
        <w:trPr/>
        <w:tc>
          <w:tcPr>
            <w:tcW w:w="2869" w:type="dxa"/>
            <w:tcBorders/>
            <w:shd w:fill="FFFFFF" w:val="clear"/>
            <w:vAlign w:val="center"/>
          </w:tcPr>
          <w:p>
            <w:pPr>
              <w:pStyle w:val="TableContents"/>
              <w:bidi w:val="0"/>
              <w:spacing w:before="0" w:after="283"/>
              <w:jc w:val="left"/>
              <w:rPr/>
            </w:pPr>
            <w:r>
              <w:rPr/>
              <w:t>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28,726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77,321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19,467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10,337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135,886</w:t>
            </w:r>
          </w:p>
        </w:tc>
        <w:tc>
          <w:tcPr>
            <w:tcW w:w="113" w:type="dxa"/>
            <w:tcBorders/>
            <w:shd w:fill="FFFFFF" w:val="clear"/>
            <w:vAlign w:val="center"/>
          </w:tcPr>
          <w:p>
            <w:pPr>
              <w:pStyle w:val="TableContents"/>
              <w:bidi w:val="0"/>
              <w:spacing w:before="0" w:after="283"/>
              <w:ind w:left="0" w:right="0" w:hanging="216"/>
              <w:jc w:val="left"/>
              <w:rPr/>
            </w:pPr>
            <w:r>
              <w:rPr/>
              <w:t> </w:t>
            </w:r>
          </w:p>
        </w:tc>
      </w:tr>
      <w:tr>
        <w:trPr/>
        <w:tc>
          <w:tcPr>
            <w:tcW w:w="2869"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38,266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22,996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53,358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7,443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122,063</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underwriting and general expenses for each segment include expenses related to compensation, vendor services, and other administrative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intended to provide a more comprehensive review of our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2025 Annual Report should also be reviewed for a discussion of important factors that could cause actual results to differ materially from the results described, or implied by, the forward-looking statements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except per share data, are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First Quarter Consolidated Results of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32"/>
        <w:gridCol w:w="10021"/>
      </w:tblGrid>
      <w:tr>
        <w:trPr/>
        <w:tc>
          <w:tcPr>
            <w:tcW w:w="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left"/>
              <w:rPr/>
            </w:pPr>
            <w:r>
              <w:rPr/>
              <w:t>Net income of $12,508, or $0.60 per share basic and $0.60 per share diluted</w:t>
            </w:r>
          </w:p>
        </w:tc>
      </w:tr>
    </w:tbl>
    <w:tbl>
      <w:tblPr>
        <w:tblW w:w="5000" w:type="pct"/>
        <w:jc w:val="left"/>
        <w:tblInd w:w="0" w:type="dxa"/>
        <w:tblLayout w:type="fixed"/>
        <w:tblCellMar>
          <w:top w:w="0" w:type="dxa"/>
          <w:left w:w="0" w:type="dxa"/>
          <w:bottom w:w="0" w:type="dxa"/>
          <w:right w:w="0" w:type="dxa"/>
        </w:tblCellMar>
      </w:tblPr>
      <w:tblGrid>
        <w:gridCol w:w="117"/>
        <w:gridCol w:w="295"/>
        <w:gridCol w:w="9793"/>
      </w:tblGrid>
      <w:tr>
        <w:trPr/>
        <w:tc>
          <w:tcPr>
            <w:tcW w:w="11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93" w:type="dxa"/>
            <w:tcBorders/>
            <w:vAlign w:val="center"/>
          </w:tcPr>
          <w:p>
            <w:pPr>
              <w:pStyle w:val="TableContents"/>
              <w:bidi w:val="0"/>
              <w:spacing w:before="0" w:after="283"/>
              <w:jc w:val="left"/>
              <w:rPr/>
            </w:pPr>
            <w:r>
              <w:rPr/>
              <w:t>Net premiums earned of $55,113</w:t>
            </w:r>
          </w:p>
        </w:tc>
      </w:tr>
    </w:tbl>
    <w:tbl>
      <w:tblPr>
        <w:tblW w:w="5000" w:type="pct"/>
        <w:jc w:val="left"/>
        <w:tblInd w:w="0" w:type="dxa"/>
        <w:tblLayout w:type="fixed"/>
        <w:tblCellMar>
          <w:top w:w="0" w:type="dxa"/>
          <w:left w:w="0" w:type="dxa"/>
          <w:bottom w:w="0" w:type="dxa"/>
          <w:right w:w="0" w:type="dxa"/>
        </w:tblCellMar>
      </w:tblPr>
      <w:tblGrid>
        <w:gridCol w:w="116"/>
        <w:gridCol w:w="292"/>
        <w:gridCol w:w="9797"/>
      </w:tblGrid>
      <w:tr>
        <w:trPr/>
        <w:tc>
          <w:tcPr>
            <w:tcW w:w="1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97" w:type="dxa"/>
            <w:tcBorders/>
            <w:vAlign w:val="center"/>
          </w:tcPr>
          <w:p>
            <w:pPr>
              <w:pStyle w:val="TableContents"/>
              <w:bidi w:val="0"/>
              <w:spacing w:before="0" w:after="283"/>
              <w:jc w:val="left"/>
              <w:rPr/>
            </w:pPr>
            <w:r>
              <w:rPr/>
              <w:t>Net investment income of $2,655</w:t>
            </w:r>
          </w:p>
        </w:tc>
      </w:tr>
    </w:tbl>
    <w:tbl>
      <w:tblPr>
        <w:tblW w:w="5000" w:type="pct"/>
        <w:jc w:val="left"/>
        <w:tblInd w:w="0" w:type="dxa"/>
        <w:tblLayout w:type="fixed"/>
        <w:tblCellMar>
          <w:top w:w="0" w:type="dxa"/>
          <w:left w:w="0" w:type="dxa"/>
          <w:bottom w:w="0" w:type="dxa"/>
          <w:right w:w="0" w:type="dxa"/>
        </w:tblCellMar>
      </w:tblPr>
      <w:tblGrid>
        <w:gridCol w:w="71"/>
        <w:gridCol w:w="179"/>
        <w:gridCol w:w="9955"/>
      </w:tblGrid>
      <w:tr>
        <w:trPr/>
        <w:tc>
          <w:tcPr>
            <w:tcW w:w="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5" w:type="dxa"/>
            <w:tcBorders/>
            <w:vAlign w:val="center"/>
          </w:tcPr>
          <w:p>
            <w:pPr>
              <w:pStyle w:val="TableContents"/>
              <w:bidi w:val="0"/>
              <w:spacing w:before="0" w:after="283"/>
              <w:jc w:val="left"/>
              <w:rPr/>
            </w:pPr>
            <w:r>
              <w:rPr/>
              <w:t>Net favorable prior year reserve development of $4,048</w:t>
            </w:r>
          </w:p>
        </w:tc>
      </w:tr>
    </w:tbl>
    <w:tbl>
      <w:tblPr>
        <w:tblW w:w="5000" w:type="pct"/>
        <w:jc w:val="left"/>
        <w:tblInd w:w="0" w:type="dxa"/>
        <w:tblLayout w:type="fixed"/>
        <w:tblCellMar>
          <w:top w:w="0" w:type="dxa"/>
          <w:left w:w="0" w:type="dxa"/>
          <w:bottom w:w="0" w:type="dxa"/>
          <w:right w:w="0" w:type="dxa"/>
        </w:tblCellMar>
      </w:tblPr>
      <w:tblGrid>
        <w:gridCol w:w="129"/>
        <w:gridCol w:w="322"/>
        <w:gridCol w:w="9754"/>
      </w:tblGrid>
      <w:tr>
        <w:trPr/>
        <w:tc>
          <w:tcPr>
            <w:tcW w:w="1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54" w:type="dxa"/>
            <w:tcBorders/>
            <w:vAlign w:val="center"/>
          </w:tcPr>
          <w:p>
            <w:pPr>
              <w:pStyle w:val="TableContents"/>
              <w:bidi w:val="0"/>
              <w:spacing w:before="0" w:after="283"/>
              <w:jc w:val="left"/>
              <w:rPr/>
            </w:pPr>
            <w:r>
              <w:rPr/>
              <w:t>Underwriting gain of $11,221</w:t>
            </w:r>
          </w:p>
        </w:tc>
      </w:tr>
    </w:tbl>
    <w:tbl>
      <w:tblPr>
        <w:tblW w:w="5000" w:type="pct"/>
        <w:jc w:val="left"/>
        <w:tblInd w:w="0" w:type="dxa"/>
        <w:tblLayout w:type="fixed"/>
        <w:tblCellMar>
          <w:top w:w="0" w:type="dxa"/>
          <w:left w:w="0" w:type="dxa"/>
          <w:bottom w:w="0" w:type="dxa"/>
          <w:right w:w="0" w:type="dxa"/>
        </w:tblCellMar>
      </w:tblPr>
      <w:tblGrid>
        <w:gridCol w:w="150"/>
        <w:gridCol w:w="378"/>
        <w:gridCol w:w="9677"/>
      </w:tblGrid>
      <w:tr>
        <w:trPr/>
        <w:tc>
          <w:tcPr>
            <w:tcW w:w="15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77" w:type="dxa"/>
            <w:tcBorders/>
            <w:vAlign w:val="center"/>
          </w:tcPr>
          <w:p>
            <w:pPr>
              <w:pStyle w:val="TableContents"/>
              <w:bidi w:val="0"/>
              <w:spacing w:before="0" w:after="283"/>
              <w:jc w:val="left"/>
              <w:rPr/>
            </w:pPr>
            <w:r>
              <w:rPr/>
              <w:t>Combined ratio of 79.7%</w:t>
            </w:r>
          </w:p>
        </w:tc>
      </w:tr>
    </w:tbl>
    <w:tbl>
      <w:tblPr>
        <w:tblW w:w="5000" w:type="pct"/>
        <w:jc w:val="left"/>
        <w:tblInd w:w="0" w:type="dxa"/>
        <w:tblLayout w:type="fixed"/>
        <w:tblCellMar>
          <w:top w:w="0" w:type="dxa"/>
          <w:left w:w="0" w:type="dxa"/>
          <w:bottom w:w="0" w:type="dxa"/>
          <w:right w:w="0" w:type="dxa"/>
        </w:tblCellMar>
      </w:tblPr>
      <w:tblGrid>
        <w:gridCol w:w="117"/>
        <w:gridCol w:w="293"/>
        <w:gridCol w:w="9795"/>
      </w:tblGrid>
      <w:tr>
        <w:trPr/>
        <w:tc>
          <w:tcPr>
            <w:tcW w:w="1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95" w:type="dxa"/>
            <w:tcBorders/>
            <w:vAlign w:val="center"/>
          </w:tcPr>
          <w:p>
            <w:pPr>
              <w:pStyle w:val="TableContents"/>
              <w:bidi w:val="0"/>
              <w:spacing w:before="0" w:after="283"/>
              <w:jc w:val="left"/>
              <w:rPr/>
            </w:pPr>
            <w:r>
              <w:rPr/>
              <w:t>Operating cash flows of ($1,867)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First Quarter Consolidated Financial Condition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46"/>
        <w:gridCol w:w="9861"/>
      </w:tblGrid>
      <w:tr>
        <w:trPr/>
        <w:tc>
          <w:tcPr>
            <w:tcW w:w="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61" w:type="dxa"/>
            <w:tcBorders/>
            <w:vAlign w:val="center"/>
          </w:tcPr>
          <w:p>
            <w:pPr>
              <w:pStyle w:val="TableContents"/>
              <w:bidi w:val="0"/>
              <w:spacing w:before="0" w:after="283"/>
              <w:jc w:val="left"/>
              <w:rPr/>
            </w:pPr>
            <w:r>
              <w:rPr/>
              <w:t>Total cash and investments of $374,910</w:t>
            </w:r>
          </w:p>
        </w:tc>
      </w:tr>
    </w:tbl>
    <w:tbl>
      <w:tblPr>
        <w:tblW w:w="5000" w:type="pct"/>
        <w:jc w:val="left"/>
        <w:tblInd w:w="0" w:type="dxa"/>
        <w:tblLayout w:type="fixed"/>
        <w:tblCellMar>
          <w:top w:w="0" w:type="dxa"/>
          <w:left w:w="0" w:type="dxa"/>
          <w:bottom w:w="0" w:type="dxa"/>
          <w:right w:w="0" w:type="dxa"/>
        </w:tblCellMar>
      </w:tblPr>
      <w:tblGrid>
        <w:gridCol w:w="156"/>
        <w:gridCol w:w="391"/>
        <w:gridCol w:w="9658"/>
      </w:tblGrid>
      <w:tr>
        <w:trPr/>
        <w:tc>
          <w:tcPr>
            <w:tcW w:w="1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58" w:type="dxa"/>
            <w:tcBorders/>
            <w:vAlign w:val="center"/>
          </w:tcPr>
          <w:p>
            <w:pPr>
              <w:pStyle w:val="TableContents"/>
              <w:bidi w:val="0"/>
              <w:spacing w:before="0" w:after="283"/>
              <w:jc w:val="left"/>
              <w:rPr/>
            </w:pPr>
            <w:r>
              <w:rPr/>
              <w:t>Total assets of $492,109</w:t>
            </w:r>
          </w:p>
        </w:tc>
      </w:tr>
    </w:tbl>
    <w:tbl>
      <w:tblPr>
        <w:tblW w:w="5000" w:type="pct"/>
        <w:jc w:val="left"/>
        <w:tblInd w:w="0" w:type="dxa"/>
        <w:tblLayout w:type="fixed"/>
        <w:tblCellMar>
          <w:top w:w="0" w:type="dxa"/>
          <w:left w:w="0" w:type="dxa"/>
          <w:bottom w:w="0" w:type="dxa"/>
          <w:right w:w="0" w:type="dxa"/>
        </w:tblCellMar>
      </w:tblPr>
      <w:tblGrid>
        <w:gridCol w:w="70"/>
        <w:gridCol w:w="175"/>
        <w:gridCol w:w="9960"/>
      </w:tblGrid>
      <w:tr>
        <w:trPr/>
        <w:tc>
          <w:tcPr>
            <w:tcW w:w="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Unpaid losses and loss adjustment expenses of $123,594</w:t>
            </w:r>
          </w:p>
        </w:tc>
      </w:tr>
    </w:tbl>
    <w:tbl>
      <w:tblPr>
        <w:tblW w:w="5000" w:type="pct"/>
        <w:jc w:val="left"/>
        <w:tblInd w:w="0" w:type="dxa"/>
        <w:tblLayout w:type="fixed"/>
        <w:tblCellMar>
          <w:top w:w="0" w:type="dxa"/>
          <w:left w:w="0" w:type="dxa"/>
          <w:bottom w:w="0" w:type="dxa"/>
          <w:right w:w="0" w:type="dxa"/>
        </w:tblCellMar>
      </w:tblPr>
      <w:tblGrid>
        <w:gridCol w:w="139"/>
        <w:gridCol w:w="349"/>
        <w:gridCol w:w="9717"/>
      </w:tblGrid>
      <w:tr>
        <w:trPr/>
        <w:tc>
          <w:tcPr>
            <w:tcW w:w="1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17" w:type="dxa"/>
            <w:tcBorders/>
            <w:vAlign w:val="center"/>
          </w:tcPr>
          <w:p>
            <w:pPr>
              <w:pStyle w:val="TableContents"/>
              <w:bidi w:val="0"/>
              <w:spacing w:before="0" w:after="283"/>
              <w:jc w:val="left"/>
              <w:rPr/>
            </w:pPr>
            <w:r>
              <w:rPr/>
              <w:t>Total liabilities of $241,913</w:t>
            </w:r>
          </w:p>
        </w:tc>
      </w:tr>
    </w:tbl>
    <w:tbl>
      <w:tblPr>
        <w:tblW w:w="5000" w:type="pct"/>
        <w:jc w:val="left"/>
        <w:tblInd w:w="0" w:type="dxa"/>
        <w:tblLayout w:type="fixed"/>
        <w:tblCellMar>
          <w:top w:w="0" w:type="dxa"/>
          <w:left w:w="0" w:type="dxa"/>
          <w:bottom w:w="0" w:type="dxa"/>
          <w:right w:w="0" w:type="dxa"/>
        </w:tblCellMar>
      </w:tblPr>
      <w:tblGrid>
        <w:gridCol w:w="116"/>
        <w:gridCol w:w="291"/>
        <w:gridCol w:w="9798"/>
      </w:tblGrid>
      <w:tr>
        <w:trPr/>
        <w:tc>
          <w:tcPr>
            <w:tcW w:w="1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98" w:type="dxa"/>
            <w:tcBorders/>
            <w:vAlign w:val="center"/>
          </w:tcPr>
          <w:p>
            <w:pPr>
              <w:pStyle w:val="TableContents"/>
              <w:bidi w:val="0"/>
              <w:spacing w:before="0" w:after="283"/>
              <w:jc w:val="left"/>
              <w:rPr/>
            </w:pPr>
            <w:r>
              <w:rPr/>
              <w:t>Shareholders’ equity of $250,196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net income was $12,508 and $6,460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components of our revenues and net income for the two periods are shown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9"/>
        <w:gridCol w:w="60"/>
        <w:gridCol w:w="234"/>
        <w:gridCol w:w="1139"/>
        <w:gridCol w:w="100"/>
        <w:gridCol w:w="100"/>
        <w:gridCol w:w="234"/>
        <w:gridCol w:w="1139"/>
        <w:gridCol w:w="80"/>
      </w:tblGrid>
      <w:tr>
        <w:trPr/>
        <w:tc>
          <w:tcPr>
            <w:tcW w:w="71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80" w:type="dxa"/>
            <w:tcBorders/>
            <w:vAlign w:val="center"/>
          </w:tcPr>
          <w:p>
            <w:pPr>
              <w:pStyle w:val="TableContents"/>
              <w:bidi w:val="0"/>
              <w:spacing w:before="0" w:after="283"/>
              <w:jc w:val="left"/>
              <w:rPr/>
            </w:pPr>
            <w:r>
              <w:rPr/>
              <w:t> </w:t>
            </w:r>
          </w:p>
        </w:tc>
      </w:tr>
      <w:tr>
        <w:trPr/>
        <w:tc>
          <w:tcPr>
            <w:tcW w:w="71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r>
      <w:tr>
        <w:trPr/>
        <w:tc>
          <w:tcPr>
            <w:tcW w:w="7119"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w:t>
            </w:r>
          </w:p>
        </w:tc>
        <w:tc>
          <w:tcPr>
            <w:tcW w:w="1139" w:type="dxa"/>
            <w:tcBorders/>
            <w:shd w:fill="FFFFFF" w:val="clear"/>
            <w:vAlign w:val="center"/>
          </w:tcPr>
          <w:p>
            <w:pPr>
              <w:pStyle w:val="TableContents"/>
              <w:bidi w:val="0"/>
              <w:spacing w:before="0" w:after="283"/>
              <w:jc w:val="right"/>
              <w:rPr/>
            </w:pPr>
            <w:r>
              <w:rPr/>
              <w:t>55,113</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w:t>
            </w:r>
          </w:p>
        </w:tc>
        <w:tc>
          <w:tcPr>
            <w:tcW w:w="1139" w:type="dxa"/>
            <w:tcBorders/>
            <w:shd w:fill="FFFFFF" w:val="clear"/>
            <w:vAlign w:val="center"/>
          </w:tcPr>
          <w:p>
            <w:pPr>
              <w:pStyle w:val="TableContents"/>
              <w:bidi w:val="0"/>
              <w:spacing w:before="0" w:after="283"/>
              <w:jc w:val="right"/>
              <w:rPr/>
            </w:pPr>
            <w:r>
              <w:rPr/>
              <w:t>67,497</w:t>
            </w:r>
          </w:p>
        </w:tc>
        <w:tc>
          <w:tcPr>
            <w:tcW w:w="80" w:type="dxa"/>
            <w:tcBorders/>
            <w:shd w:fill="FFFFFF" w:val="clear"/>
            <w:vAlign w:val="center"/>
          </w:tcPr>
          <w:p>
            <w:pPr>
              <w:pStyle w:val="TableContents"/>
              <w:bidi w:val="0"/>
              <w:spacing w:before="0" w:after="283"/>
              <w:jc w:val="left"/>
              <w:rPr/>
            </w:pPr>
            <w:r>
              <w:rPr/>
              <w:t> </w:t>
            </w:r>
          </w:p>
        </w:tc>
      </w:tr>
      <w:tr>
        <w:trPr/>
        <w:tc>
          <w:tcPr>
            <w:tcW w:w="7119"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2,655</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2,838</w:t>
            </w:r>
          </w:p>
        </w:tc>
        <w:tc>
          <w:tcPr>
            <w:tcW w:w="80" w:type="dxa"/>
            <w:tcBorders/>
            <w:shd w:fill="CCEEFF" w:val="cle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pPr>
            <w:r>
              <w:rPr/>
              <w:t>Net investment gains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1,704</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869</w:t>
            </w:r>
          </w:p>
        </w:tc>
        <w:tc>
          <w:tcPr>
            <w:tcW w:w="80" w:type="dxa"/>
            <w:tcBorders/>
            <w:shd w:fill="FFFFFF" w:val="clear"/>
            <w:vAlign w:val="center"/>
          </w:tcPr>
          <w:p>
            <w:pPr>
              <w:pStyle w:val="TableContents"/>
              <w:bidi w:val="0"/>
              <w:spacing w:before="0" w:after="283"/>
              <w:jc w:val="left"/>
              <w:rPr/>
            </w:pPr>
            <w:r>
              <w:rPr/>
              <w:t> </w:t>
            </w:r>
          </w:p>
        </w:tc>
      </w:tr>
      <w:tr>
        <w:trPr/>
        <w:tc>
          <w:tcPr>
            <w:tcW w:w="7119" w:type="dxa"/>
            <w:tcBorders/>
            <w:shd w:fill="CCEEFF" w:val="clear"/>
            <w:vAlign w:val="center"/>
          </w:tcPr>
          <w:p>
            <w:pPr>
              <w:pStyle w:val="TableContents"/>
              <w:bidi w:val="0"/>
              <w:spacing w:before="0" w:after="283"/>
              <w:jc w:val="left"/>
              <w:rPr/>
            </w:pPr>
            <w:r>
              <w:rPr/>
              <w:t>Fee and other income</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CCEEFF" w:val="clear"/>
            <w:tcMar>
              <w:bottom w:w="28" w:type="dxa"/>
            </w:tcMar>
            <w:vAlign w:val="center"/>
          </w:tcPr>
          <w:p>
            <w:pPr>
              <w:pStyle w:val="TableContents"/>
              <w:bidi w:val="0"/>
              <w:spacing w:before="0" w:after="283"/>
              <w:jc w:val="right"/>
              <w:rPr/>
            </w:pPr>
            <w:r>
              <w:rPr/>
              <w:t>130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80" w:type="dxa"/>
            <w:tcBorders/>
            <w:shd w:fill="CCEEFF" w:val="cle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59,602</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71,434</w:t>
            </w:r>
          </w:p>
        </w:tc>
        <w:tc>
          <w:tcPr>
            <w:tcW w:w="80" w:type="dxa"/>
            <w:tcBorders/>
            <w:shd w:fill="FFFFFF" w:val="clear"/>
            <w:vAlign w:val="center"/>
          </w:tcPr>
          <w:p>
            <w:pPr>
              <w:pStyle w:val="TableContents"/>
              <w:bidi w:val="0"/>
              <w:spacing w:before="0" w:after="283"/>
              <w:jc w:val="left"/>
              <w:rPr/>
            </w:pPr>
            <w:r>
              <w:rPr/>
              <w:t> </w:t>
            </w:r>
          </w:p>
        </w:tc>
      </w:tr>
      <w:tr>
        <w:trPr/>
        <w:tc>
          <w:tcPr>
            <w:tcW w:w="7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pPr>
            <w:r>
              <w:rPr/>
              <w:t>Components of net income: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19"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55,113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67,497</w:t>
            </w:r>
          </w:p>
        </w:tc>
        <w:tc>
          <w:tcPr>
            <w:tcW w:w="80" w:type="dxa"/>
            <w:tcBorders/>
            <w:shd w:fill="CCEEFF" w:val="cle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pPr>
            <w:r>
              <w:rPr/>
              <w:t>Losses and loss adjustment expenses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23,356</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38,525</w:t>
            </w:r>
          </w:p>
        </w:tc>
        <w:tc>
          <w:tcPr>
            <w:tcW w:w="80" w:type="dxa"/>
            <w:tcBorders/>
            <w:shd w:fill="FFFFFF" w:val="clear"/>
            <w:vAlign w:val="center"/>
          </w:tcPr>
          <w:p>
            <w:pPr>
              <w:pStyle w:val="TableContents"/>
              <w:bidi w:val="0"/>
              <w:spacing w:before="0" w:after="283"/>
              <w:jc w:val="left"/>
              <w:rPr/>
            </w:pPr>
            <w:r>
              <w:rPr/>
              <w:t> </w:t>
            </w:r>
          </w:p>
        </w:tc>
      </w:tr>
      <w:tr>
        <w:trPr/>
        <w:tc>
          <w:tcPr>
            <w:tcW w:w="7119" w:type="dxa"/>
            <w:tcBorders/>
            <w:shd w:fill="CCEEFF" w:val="clear"/>
            <w:vAlign w:val="center"/>
          </w:tcPr>
          <w:p>
            <w:pPr>
              <w:pStyle w:val="TableContents"/>
              <w:bidi w:val="0"/>
              <w:spacing w:before="0" w:after="283"/>
              <w:jc w:val="left"/>
              <w:rPr/>
            </w:pPr>
            <w:r>
              <w:rPr/>
              <w:t>Amortization of deferred policy acquisition costs and 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CCEEFF" w:val="clear"/>
            <w:tcMar>
              <w:bottom w:w="28" w:type="dxa"/>
            </w:tcMar>
            <w:vAlign w:val="center"/>
          </w:tcPr>
          <w:p>
            <w:pPr>
              <w:pStyle w:val="TableContents"/>
              <w:bidi w:val="0"/>
              <w:spacing w:before="0" w:after="283"/>
              <w:jc w:val="right"/>
              <w:rPr/>
            </w:pPr>
            <w:r>
              <w:rPr/>
              <w:t>20,536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CCEEFF" w:val="clear"/>
            <w:tcMar>
              <w:bottom w:w="28" w:type="dxa"/>
            </w:tcMar>
            <w:vAlign w:val="center"/>
          </w:tcPr>
          <w:p>
            <w:pPr>
              <w:pStyle w:val="TableContents"/>
              <w:bidi w:val="0"/>
              <w:spacing w:before="0" w:after="283"/>
              <w:jc w:val="right"/>
              <w:rPr/>
            </w:pPr>
            <w:r>
              <w:rPr/>
              <w:t>25,160</w:t>
            </w:r>
          </w:p>
        </w:tc>
        <w:tc>
          <w:tcPr>
            <w:tcW w:w="80" w:type="dxa"/>
            <w:tcBorders/>
            <w:shd w:fill="CCEEFF" w:val="cle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pPr>
            <w:r>
              <w:rPr/>
              <w:t>Underwriting gain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11,221</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3,812</w:t>
            </w:r>
          </w:p>
        </w:tc>
        <w:tc>
          <w:tcPr>
            <w:tcW w:w="80" w:type="dxa"/>
            <w:tcBorders/>
            <w:shd w:fill="FFFFFF" w:val="clear"/>
            <w:vAlign w:val="center"/>
          </w:tcPr>
          <w:p>
            <w:pPr>
              <w:pStyle w:val="TableContents"/>
              <w:bidi w:val="0"/>
              <w:spacing w:before="0" w:after="283"/>
              <w:jc w:val="left"/>
              <w:rPr/>
            </w:pPr>
            <w:r>
              <w:rPr/>
              <w:t> </w:t>
            </w:r>
          </w:p>
        </w:tc>
      </w:tr>
      <w:tr>
        <w:trPr/>
        <w:tc>
          <w:tcPr>
            <w:tcW w:w="7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2,655</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2,838</w:t>
            </w:r>
          </w:p>
        </w:tc>
        <w:tc>
          <w:tcPr>
            <w:tcW w:w="80" w:type="dxa"/>
            <w:tcBorders/>
            <w:shd w:fill="FFFFFF" w:val="clear"/>
            <w:vAlign w:val="center"/>
          </w:tcPr>
          <w:p>
            <w:pPr>
              <w:pStyle w:val="TableContents"/>
              <w:bidi w:val="0"/>
              <w:spacing w:before="0" w:after="283"/>
              <w:jc w:val="left"/>
              <w:rPr/>
            </w:pPr>
            <w:r>
              <w:rPr/>
              <w:t> </w:t>
            </w:r>
          </w:p>
        </w:tc>
      </w:tr>
      <w:tr>
        <w:trPr/>
        <w:tc>
          <w:tcPr>
            <w:tcW w:w="7119" w:type="dxa"/>
            <w:tcBorders/>
            <w:shd w:fill="CCEEFF" w:val="clear"/>
            <w:vAlign w:val="center"/>
          </w:tcPr>
          <w:p>
            <w:pPr>
              <w:pStyle w:val="TableContents"/>
              <w:bidi w:val="0"/>
              <w:spacing w:before="0" w:after="283"/>
              <w:jc w:val="left"/>
              <w:rPr/>
            </w:pPr>
            <w:r>
              <w:rPr/>
              <w:t>Net investment gains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1,704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869</w:t>
            </w:r>
          </w:p>
        </w:tc>
        <w:tc>
          <w:tcPr>
            <w:tcW w:w="80" w:type="dxa"/>
            <w:tcBorders/>
            <w:shd w:fill="CCEEFF" w:val="cle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pPr>
            <w:r>
              <w:rPr/>
              <w:t>Fee and other income</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130</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230</w:t>
            </w:r>
          </w:p>
        </w:tc>
        <w:tc>
          <w:tcPr>
            <w:tcW w:w="80" w:type="dxa"/>
            <w:tcBorders/>
            <w:shd w:fill="FFFFFF" w:val="clear"/>
            <w:vAlign w:val="center"/>
          </w:tcPr>
          <w:p>
            <w:pPr>
              <w:pStyle w:val="TableContents"/>
              <w:bidi w:val="0"/>
              <w:spacing w:before="0" w:after="283"/>
              <w:jc w:val="left"/>
              <w:rPr/>
            </w:pPr>
            <w:r>
              <w:rPr/>
              <w:t> </w:t>
            </w:r>
          </w:p>
        </w:tc>
      </w:tr>
      <w:tr>
        <w:trPr/>
        <w:tc>
          <w:tcPr>
            <w:tcW w:w="7119" w:type="dxa"/>
            <w:tcBorders/>
            <w:shd w:fill="CCEEFF" w:val="clear"/>
            <w:vAlign w:val="center"/>
          </w:tcPr>
          <w:p>
            <w:pPr>
              <w:pStyle w:val="TableContents"/>
              <w:bidi w:val="0"/>
              <w:spacing w:before="0" w:after="283"/>
              <w:jc w:val="left"/>
              <w:rPr/>
            </w:pPr>
            <w:r>
              <w:rPr/>
              <w:t>Income before income taxes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15,710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7,749</w:t>
            </w:r>
          </w:p>
        </w:tc>
        <w:tc>
          <w:tcPr>
            <w:tcW w:w="80" w:type="dxa"/>
            <w:tcBorders/>
            <w:shd w:fill="CCEEFF" w:val="cle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3,202</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1,289</w:t>
            </w:r>
          </w:p>
        </w:tc>
        <w:tc>
          <w:tcPr>
            <w:tcW w:w="80" w:type="dxa"/>
            <w:tcBorders/>
            <w:shd w:fill="FFFFFF" w:val="clear"/>
            <w:vAlign w:val="center"/>
          </w:tcPr>
          <w:p>
            <w:pPr>
              <w:pStyle w:val="TableContents"/>
              <w:bidi w:val="0"/>
              <w:spacing w:before="0" w:after="283"/>
              <w:jc w:val="left"/>
              <w:rPr/>
            </w:pPr>
            <w:r>
              <w:rPr/>
              <w:t> </w:t>
            </w:r>
          </w:p>
        </w:tc>
      </w:tr>
      <w:tr>
        <w:trPr/>
        <w:tc>
          <w:tcPr>
            <w:tcW w:w="7119"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9" w:type="dxa"/>
            <w:tcBorders>
              <w:bottom w:val="double" w:sz="6" w:space="0" w:color="000000"/>
            </w:tcBorders>
            <w:shd w:fill="CCEEFF" w:val="clear"/>
            <w:tcMar>
              <w:bottom w:w="28" w:type="dxa"/>
            </w:tcMar>
            <w:vAlign w:val="center"/>
          </w:tcPr>
          <w:p>
            <w:pPr>
              <w:pStyle w:val="TableContents"/>
              <w:bidi w:val="0"/>
              <w:spacing w:before="0" w:after="283"/>
              <w:jc w:val="right"/>
              <w:rPr/>
            </w:pPr>
            <w:r>
              <w:rPr/>
              <w:t>12,508</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9" w:type="dxa"/>
            <w:tcBorders>
              <w:bottom w:val="double" w:sz="6" w:space="0" w:color="000000"/>
            </w:tcBorders>
            <w:shd w:fill="CCEEFF" w:val="clear"/>
            <w:tcMar>
              <w:bottom w:w="28" w:type="dxa"/>
            </w:tcMar>
            <w:vAlign w:val="center"/>
          </w:tcPr>
          <w:p>
            <w:pPr>
              <w:pStyle w:val="TableContents"/>
              <w:bidi w:val="0"/>
              <w:spacing w:before="0" w:after="283"/>
              <w:jc w:val="right"/>
              <w:rPr/>
            </w:pPr>
            <w:r>
              <w:rPr/>
              <w:t>6,460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Premiums Earned</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2555"/>
        <w:gridCol w:w="60"/>
        <w:gridCol w:w="258"/>
        <w:gridCol w:w="1257"/>
        <w:gridCol w:w="175"/>
        <w:gridCol w:w="110"/>
        <w:gridCol w:w="258"/>
        <w:gridCol w:w="1257"/>
        <w:gridCol w:w="11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Direct premium</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58,391</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72,161</w:t>
            </w:r>
          </w:p>
        </w:tc>
        <w:tc>
          <w:tcPr>
            <w:tcW w:w="11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Assumed premium</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1,983</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Ceded premium</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(5,261</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(4,703</w:t>
            </w:r>
          </w:p>
        </w:tc>
        <w:tc>
          <w:tcPr>
            <w:tcW w:w="110" w:type="dxa"/>
            <w:tcBorders/>
            <w:shd w:fill="FFFFFF" w:val="clear"/>
            <w:vAlign w:val="center"/>
          </w:tcPr>
          <w:p>
            <w:pPr>
              <w:pStyle w:val="TableContents"/>
              <w:bidi w:val="0"/>
              <w:spacing w:before="0" w:after="283"/>
              <w:jc w:val="left"/>
              <w:rPr/>
            </w:pPr>
            <w:r>
              <w:rPr/>
              <w:t>)</w:t>
            </w:r>
          </w:p>
        </w:tc>
      </w:tr>
      <w:tr>
        <w:trPr/>
        <w:tc>
          <w:tcPr>
            <w:tcW w:w="2555" w:type="dxa"/>
            <w:tcBorders/>
            <w:shd w:fill="CCEEFF" w:val="clear"/>
            <w:vAlign w:val="center"/>
          </w:tcPr>
          <w:p>
            <w:pPr>
              <w:pStyle w:val="TableContents"/>
              <w:bidi w:val="0"/>
              <w:spacing w:before="0" w:after="283"/>
              <w:jc w:val="left"/>
              <w:rPr/>
            </w:pPr>
            <w:r>
              <w:rPr/>
              <w:t>Total net premiums earned</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55,113</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67,497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premiums earned for the three months ended March 31, 2026, decreased $12,384, or 18.3%, compared to the three months ended March 31, 2025.</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2555"/>
        <w:gridCol w:w="60"/>
        <w:gridCol w:w="258"/>
        <w:gridCol w:w="1257"/>
        <w:gridCol w:w="175"/>
        <w:gridCol w:w="110"/>
        <w:gridCol w:w="258"/>
        <w:gridCol w:w="1257"/>
        <w:gridCol w:w="11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22,296</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22,658</w:t>
            </w:r>
          </w:p>
        </w:tc>
        <w:tc>
          <w:tcPr>
            <w:tcW w:w="11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2,604</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18,253</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25,694</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23,721</w:t>
            </w:r>
          </w:p>
        </w:tc>
        <w:tc>
          <w:tcPr>
            <w:tcW w:w="11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(670</w:t>
            </w:r>
          </w:p>
        </w:tc>
        <w:tc>
          <w:tcPr>
            <w:tcW w:w="175"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(376</w:t>
            </w:r>
          </w:p>
        </w:tc>
        <w:tc>
          <w:tcPr>
            <w:tcW w:w="110" w:type="dxa"/>
            <w:tcBorders/>
            <w:shd w:fill="CCEEFF" w:val="clear"/>
            <w:vAlign w:val="center"/>
          </w:tcPr>
          <w:p>
            <w:pPr>
              <w:pStyle w:val="TableContents"/>
              <w:bidi w:val="0"/>
              <w:spacing w:before="0" w:after="283"/>
              <w:jc w:val="left"/>
              <w:rPr/>
            </w:pPr>
            <w:r>
              <w:rPr/>
              <w:t>)</w:t>
            </w:r>
          </w:p>
        </w:tc>
      </w:tr>
      <w:tr>
        <w:trPr/>
        <w:tc>
          <w:tcPr>
            <w:tcW w:w="2555"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5,189</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3,241</w:t>
            </w:r>
          </w:p>
        </w:tc>
        <w:tc>
          <w:tcPr>
            <w:tcW w:w="11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Total net premiums earned</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55,113</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67,497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net premiums earned by business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Net premiums earned for the three months ended March 31, 2026, decreased $362, or 1.6%, compared to the same period in 2025. Results were driven by lower renewal premiums in South Dakota and Nebraska as a result of underwriting actions taken in recent periods, partially offset by new business growth in North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Net premiums earned for the three months ended March 31, 2026, decreased $15,649, or 85.7%, compared to the same period in 2025. This decrease was driven by strategic decision during the third quarter of 2025 to stop writing non-standard auto business in Illinois, Arizona, and South Dakota, with existing policies being non-renewed. We anticipate further reductions in net earned premiums in the near term as a result of the decisions to run off these non-standard auto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Net premiums earned for the three months ended March 31, 2026, increased $1,973, or 8.3%, compared to the same period in 2025. Results were driven by new business growth in North Dakota and South Dakota, rate increases, and increased insured property values. These increases were partially offset by lower homeowners renewal premiums in South Dakota and Nebraska as a result of underwriting actions taken to improve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Crop</w:t>
      </w:r>
      <w:r>
        <w:rPr>
          <w:rFonts w:ascii="Times New Roman;Times;Serif" w:hAnsi="Times New Roman;Times;Serif"/>
          <w:b w:val="false"/>
          <w:i w:val="false"/>
          <w:caps w:val="false"/>
          <w:smallCaps w:val="false"/>
          <w:sz w:val="20"/>
        </w:rPr>
        <w:t xml:space="preserve"> – Net premiums earned for the first quarter of any year are typically the result of prior crop year premium adjustments that correspond to the current year settlement of prior crop year claims. The majority of crop insurance premiums are generally written in the second quarter and earned ratably over the remainder of the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Net premiums earned for the three months ended March 31, 2026, increased $1,948, or 60.1%, compared to the same period in 2025 primarily driven by the Company’s decision to participate on the catastrophe reinsurance programs of certain farm bureau insurance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Losses and Loss Adjustment Expenses</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4355"/>
        <w:gridCol w:w="60"/>
        <w:gridCol w:w="258"/>
        <w:gridCol w:w="1257"/>
        <w:gridCol w:w="175"/>
        <w:gridCol w:w="110"/>
        <w:gridCol w:w="258"/>
        <w:gridCol w:w="1257"/>
        <w:gridCol w:w="11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Direct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24,069</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40,379</w:t>
            </w:r>
          </w:p>
        </w:tc>
        <w:tc>
          <w:tcPr>
            <w:tcW w:w="11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121</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jc w:val="left"/>
              <w:rPr/>
            </w:pPr>
            <w:r>
              <w:rPr/>
              <w:t>)</w:t>
            </w:r>
          </w:p>
        </w:tc>
      </w:tr>
      <w:tr>
        <w:trPr/>
        <w:tc>
          <w:tcPr>
            <w:tcW w:w="4355" w:type="dxa"/>
            <w:tcBorders/>
            <w:shd w:fill="FFFFFF" w:val="clear"/>
            <w:vAlign w:val="center"/>
          </w:tcPr>
          <w:p>
            <w:pPr>
              <w:pStyle w:val="TableContents"/>
              <w:bidi w:val="0"/>
              <w:spacing w:before="0" w:after="283"/>
              <w:jc w:val="left"/>
              <w:rPr/>
            </w:pPr>
            <w:r>
              <w:rPr/>
              <w:t>Ceded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(834</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(1,621</w:t>
            </w:r>
          </w:p>
        </w:tc>
        <w:tc>
          <w:tcPr>
            <w:tcW w:w="110" w:type="dxa"/>
            <w:tcBorders/>
            <w:shd w:fill="FFFFFF" w:val="clear"/>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Total 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23,356</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38,525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losses and loss adjustment expenses for the three months ended March 31, 2026, decreased $15,169, or 39.4%, compared to the three months ended March 31, 2025.</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310"/>
        <w:gridCol w:w="60"/>
        <w:gridCol w:w="258"/>
        <w:gridCol w:w="1257"/>
        <w:gridCol w:w="175"/>
        <w:gridCol w:w="110"/>
        <w:gridCol w:w="258"/>
        <w:gridCol w:w="1257"/>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10,292</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13,495</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2,582</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14,538</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10,361</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9,787</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(693</w:t>
            </w:r>
          </w:p>
        </w:tc>
        <w:tc>
          <w:tcPr>
            <w:tcW w:w="175"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(499</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814</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1,204</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Total 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23,356</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38,525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611" w:type="dxa"/>
        <w:jc w:val="left"/>
        <w:tblInd w:w="0" w:type="dxa"/>
        <w:tblLayout w:type="fixed"/>
        <w:tblCellMar>
          <w:top w:w="0" w:type="dxa"/>
          <w:left w:w="0" w:type="dxa"/>
          <w:bottom w:w="0" w:type="dxa"/>
          <w:right w:w="0" w:type="dxa"/>
        </w:tblCellMar>
      </w:tblPr>
      <w:tblGrid>
        <w:gridCol w:w="4160"/>
        <w:gridCol w:w="60"/>
        <w:gridCol w:w="113"/>
        <w:gridCol w:w="1432"/>
        <w:gridCol w:w="113"/>
        <w:gridCol w:w="113"/>
        <w:gridCol w:w="113"/>
        <w:gridCol w:w="1432"/>
        <w:gridCol w:w="75"/>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Loss and loss adjustment expense ratio:</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46.2%</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59.6%</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99.2%</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79.6%</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40.3%</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41.3%</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103.4%</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132.7%</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15.7%</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37.1%</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Total loss and loss adjustment expense ratio</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double" w:sz="6" w:space="0" w:color="000000"/>
            </w:tcBorders>
            <w:shd w:fill="CCEEFF" w:val="clear"/>
            <w:tcMar>
              <w:bottom w:w="28" w:type="dxa"/>
            </w:tcMar>
            <w:vAlign w:val="center"/>
          </w:tcPr>
          <w:p>
            <w:pPr>
              <w:pStyle w:val="TableContents"/>
              <w:bidi w:val="0"/>
              <w:spacing w:before="0" w:after="283"/>
              <w:jc w:val="right"/>
              <w:rPr/>
            </w:pPr>
            <w:r>
              <w:rPr/>
              <w:t>42.4%</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double" w:sz="6" w:space="0" w:color="000000"/>
            </w:tcBorders>
            <w:shd w:fill="CCEEFF" w:val="clear"/>
            <w:tcMar>
              <w:bottom w:w="28" w:type="dxa"/>
            </w:tcMar>
            <w:vAlign w:val="center"/>
          </w:tcPr>
          <w:p>
            <w:pPr>
              <w:pStyle w:val="TableContents"/>
              <w:bidi w:val="0"/>
              <w:spacing w:before="0" w:after="283"/>
              <w:jc w:val="right"/>
              <w:rPr/>
            </w:pPr>
            <w:r>
              <w:rPr/>
              <w:t>57.1%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the net losses and loss adjustment expenses, and the net loss and loss adjustment expense ratios, by business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The net loss and loss adjustment expense ratio decreased 13.4 percentage points in the three-month period ended March 31, 2026, compared to the same period in 2025. This decrease was driven by lower frequency of losses as well as favorable prior year development on loss reserves in the current year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The net loss and loss adjustment expense ratio increased 19.6 percentage points in the three-month period ended March 31, 2026, compared to the same period in 2025. This increase was primarily driven by significant strategic reductions in net earned premium in the current year quarter while continuing to incur expenses necessary to adjust and settle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The net loss and loss adjustment expense ratio decreased 1.0 percentage point in the three-month period ended March 31, 2026, compared to the same period in 2025. This decrease in the current year quarter was driven by favorable prior year development on loss reserves and rate increases impacting net premiums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Crop</w:t>
      </w:r>
      <w:r>
        <w:rPr>
          <w:rFonts w:ascii="Times New Roman;Times;Serif" w:hAnsi="Times New Roman;Times;Serif"/>
          <w:b w:val="false"/>
          <w:i w:val="false"/>
          <w:caps w:val="false"/>
          <w:smallCaps w:val="false"/>
          <w:sz w:val="20"/>
        </w:rPr>
        <w:t xml:space="preserve"> – The net losses and loss adjustment expenses during the first quarter of any year are typically the result of the current year settlement of prior crop year claims. The majority of crop insurance losses and loss adjustment expenses are generally incurred in the last three quarters of the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The net loss and loss adjustment expense ratio decreased 21.4 percentage points in the three-month period ended March 31, 2026, compared to the same period in 2025. This decrease was primarily driven by the strong results in the current year quarter related to the Company’s decision to participate on the catastrophe reinsurance programs of certain farm bureau insurance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and General Expenses and Expense Ratio</w:t>
      </w:r>
    </w:p>
    <w:p>
      <w:pPr>
        <w:pStyle w:val="TextBody"/>
        <w:bidi w:val="0"/>
        <w:spacing w:before="0" w:after="0"/>
        <w:ind w:left="0" w:right="0" w:hanging="0"/>
        <w:jc w:val="left"/>
        <w:rPr>
          <w:caps w:val="false"/>
          <w:smallCaps w:val="false"/>
        </w:rPr>
      </w:pPr>
      <w:r>
        <w:rPr>
          <w:caps w:val="false"/>
          <w:smallCaps w:val="false"/>
        </w:rPr>
        <w:t> </w:t>
      </w:r>
    </w:p>
    <w:tbl>
      <w:tblPr>
        <w:tblW w:w="8078" w:type="dxa"/>
        <w:jc w:val="left"/>
        <w:tblInd w:w="0" w:type="dxa"/>
        <w:tblLayout w:type="fixed"/>
        <w:tblCellMar>
          <w:top w:w="0" w:type="dxa"/>
          <w:left w:w="0" w:type="dxa"/>
          <w:bottom w:w="0" w:type="dxa"/>
          <w:right w:w="0" w:type="dxa"/>
        </w:tblCellMar>
      </w:tblPr>
      <w:tblGrid>
        <w:gridCol w:w="4625"/>
        <w:gridCol w:w="60"/>
        <w:gridCol w:w="264"/>
        <w:gridCol w:w="1282"/>
        <w:gridCol w:w="113"/>
        <w:gridCol w:w="113"/>
        <w:gridCol w:w="264"/>
        <w:gridCol w:w="1282"/>
        <w:gridCol w:w="75"/>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w:t>
            </w:r>
          </w:p>
        </w:tc>
        <w:tc>
          <w:tcPr>
            <w:tcW w:w="1282" w:type="dxa"/>
            <w:tcBorders/>
            <w:shd w:fill="FFFFFF" w:val="clear"/>
            <w:vAlign w:val="center"/>
          </w:tcPr>
          <w:p>
            <w:pPr>
              <w:pStyle w:val="TableContents"/>
              <w:bidi w:val="0"/>
              <w:spacing w:before="0" w:after="283"/>
              <w:jc w:val="right"/>
              <w:rPr/>
            </w:pPr>
            <w:r>
              <w:rPr/>
              <w:t>11,886</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w:t>
            </w:r>
          </w:p>
        </w:tc>
        <w:tc>
          <w:tcPr>
            <w:tcW w:w="1282" w:type="dxa"/>
            <w:tcBorders/>
            <w:shd w:fill="FFFFFF" w:val="clear"/>
            <w:vAlign w:val="center"/>
          </w:tcPr>
          <w:p>
            <w:pPr>
              <w:pStyle w:val="TableContents"/>
              <w:bidi w:val="0"/>
              <w:spacing w:before="0" w:after="283"/>
              <w:jc w:val="right"/>
              <w:rPr/>
            </w:pPr>
            <w:r>
              <w:rPr/>
              <w:t>16,528</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pPr>
            <w:r>
              <w:rPr/>
              <w:t>8,650</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pPr>
            <w:r>
              <w:rPr/>
              <w:t>8,632</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Total underwriting and general expenses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FFFFFF" w:val="clear"/>
            <w:tcMar>
              <w:bottom w:w="28" w:type="dxa"/>
            </w:tcMar>
            <w:vAlign w:val="center"/>
          </w:tcPr>
          <w:p>
            <w:pPr>
              <w:pStyle w:val="TableContents"/>
              <w:bidi w:val="0"/>
              <w:spacing w:before="0" w:after="283"/>
              <w:jc w:val="right"/>
              <w:rPr/>
            </w:pPr>
            <w:r>
              <w:rPr/>
              <w:t>20,536</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FFFFFF" w:val="clear"/>
            <w:tcMar>
              <w:bottom w:w="28" w:type="dxa"/>
            </w:tcMar>
            <w:vAlign w:val="center"/>
          </w:tcPr>
          <w:p>
            <w:pPr>
              <w:pStyle w:val="TableContents"/>
              <w:bidi w:val="0"/>
              <w:spacing w:before="0" w:after="283"/>
              <w:jc w:val="right"/>
              <w:rPr/>
            </w:pPr>
            <w:r>
              <w:rPr/>
              <w:t>25,160</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Expense ratio</w:t>
            </w:r>
          </w:p>
        </w:tc>
        <w:tc>
          <w:tcPr>
            <w:tcW w:w="60"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FFFFFF" w:val="clear"/>
            <w:tcMar>
              <w:bottom w:w="28" w:type="dxa"/>
            </w:tcMar>
            <w:vAlign w:val="center"/>
          </w:tcPr>
          <w:p>
            <w:pPr>
              <w:pStyle w:val="TableContents"/>
              <w:bidi w:val="0"/>
              <w:spacing w:before="0" w:after="283"/>
              <w:jc w:val="right"/>
              <w:rPr/>
            </w:pPr>
            <w:r>
              <w:rPr/>
              <w:t>37.3%</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FFFFFF" w:val="clear"/>
            <w:tcMar>
              <w:bottom w:w="28" w:type="dxa"/>
            </w:tcMar>
            <w:vAlign w:val="center"/>
          </w:tcPr>
          <w:p>
            <w:pPr>
              <w:pStyle w:val="TableContents"/>
              <w:bidi w:val="0"/>
              <w:spacing w:before="0" w:after="283"/>
              <w:jc w:val="right"/>
              <w:rPr/>
            </w:pPr>
            <w:r>
              <w:rPr/>
              <w:t>37.3%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remained consistent in the three-month period ended March 31, 2026, compared to the same period in 2025. The decrease in the amortization of deferred policy acquisition costs is due to lower deferrable costs resulting from the strategic reduction in premium for the Non-Standard Auto segment, which generally pays higher agent commissions than our other segments. Other underwriting and general expenses were consistent with the prior year quarter and reflect strategic investments in human capital and technology during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Gain (Loss) and Combined Ratio</w:t>
      </w:r>
    </w:p>
    <w:p>
      <w:pPr>
        <w:pStyle w:val="TextBody"/>
        <w:bidi w:val="0"/>
        <w:spacing w:before="0" w:after="0"/>
        <w:ind w:left="0" w:right="0" w:hanging="0"/>
        <w:jc w:val="left"/>
        <w:rPr>
          <w:caps w:val="false"/>
          <w:smallCaps w:val="false"/>
        </w:rPr>
      </w:pPr>
      <w:r>
        <w:rPr>
          <w:caps w:val="false"/>
          <w:smallCaps w:val="false"/>
        </w:rPr>
        <w:t> </w:t>
      </w:r>
    </w:p>
    <w:tbl>
      <w:tblPr>
        <w:tblW w:w="6327" w:type="dxa"/>
        <w:jc w:val="left"/>
        <w:tblInd w:w="0" w:type="dxa"/>
        <w:tblLayout w:type="fixed"/>
        <w:tblCellMar>
          <w:top w:w="0" w:type="dxa"/>
          <w:left w:w="0" w:type="dxa"/>
          <w:bottom w:w="0" w:type="dxa"/>
          <w:right w:w="0" w:type="dxa"/>
        </w:tblCellMar>
      </w:tblPr>
      <w:tblGrid>
        <w:gridCol w:w="2840"/>
        <w:gridCol w:w="60"/>
        <w:gridCol w:w="265"/>
        <w:gridCol w:w="1290"/>
        <w:gridCol w:w="180"/>
        <w:gridCol w:w="113"/>
        <w:gridCol w:w="265"/>
        <w:gridCol w:w="1204"/>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Underwriting gain (loss):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18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w:t>
            </w:r>
          </w:p>
        </w:tc>
        <w:tc>
          <w:tcPr>
            <w:tcW w:w="1290" w:type="dxa"/>
            <w:tcBorders/>
            <w:shd w:fill="FFFFFF" w:val="clear"/>
            <w:vAlign w:val="center"/>
          </w:tcPr>
          <w:p>
            <w:pPr>
              <w:pStyle w:val="TableContents"/>
              <w:bidi w:val="0"/>
              <w:spacing w:before="0" w:after="283"/>
              <w:jc w:val="right"/>
              <w:rPr/>
            </w:pPr>
            <w:r>
              <w:rPr/>
              <w:t>4,309</w:t>
            </w:r>
          </w:p>
        </w:tc>
        <w:tc>
          <w:tcPr>
            <w:tcW w:w="18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1,785</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(1,623</w:t>
            </w:r>
          </w:p>
        </w:tc>
        <w:tc>
          <w:tcPr>
            <w:tcW w:w="180"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(4,566</w:t>
            </w:r>
          </w:p>
        </w:tc>
        <w:tc>
          <w:tcPr>
            <w:tcW w:w="110" w:type="dxa"/>
            <w:tcBorders/>
            <w:shd w:fill="CCEEFF" w:val="clear"/>
            <w:vAlign w:val="center"/>
          </w:tcPr>
          <w:p>
            <w:pPr>
              <w:pStyle w:val="TableContents"/>
              <w:bidi w:val="0"/>
              <w:spacing w:before="0" w:after="283"/>
              <w:jc w:val="left"/>
              <w:rPr/>
            </w:pPr>
            <w:r>
              <w:rPr/>
              <w:t>)</w:t>
            </w:r>
          </w:p>
        </w:tc>
      </w:tr>
      <w:tr>
        <w:trPr/>
        <w:tc>
          <w:tcPr>
            <w:tcW w:w="284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5,835</w:t>
            </w:r>
          </w:p>
        </w:tc>
        <w:tc>
          <w:tcPr>
            <w:tcW w:w="18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6,101</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6</w:t>
            </w:r>
          </w:p>
        </w:tc>
        <w:tc>
          <w:tcPr>
            <w:tcW w:w="18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99</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pPr>
            <w:r>
              <w:rPr/>
              <w:t>2,694</w:t>
            </w:r>
          </w:p>
        </w:tc>
        <w:tc>
          <w:tcPr>
            <w:tcW w:w="18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Total underwriting gain (loss)</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r>
              <w:rPr/>
              <w:t>11,221</w:t>
            </w:r>
          </w:p>
        </w:tc>
        <w:tc>
          <w:tcPr>
            <w:tcW w:w="18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pPr>
            <w:r>
              <w:rPr/>
              <w:t>3,812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5691" w:type="dxa"/>
        <w:jc w:val="left"/>
        <w:tblInd w:w="0" w:type="dxa"/>
        <w:tblLayout w:type="fixed"/>
        <w:tblCellMar>
          <w:top w:w="0" w:type="dxa"/>
          <w:left w:w="0" w:type="dxa"/>
          <w:bottom w:w="0" w:type="dxa"/>
          <w:right w:w="0" w:type="dxa"/>
        </w:tblCellMar>
      </w:tblPr>
      <w:tblGrid>
        <w:gridCol w:w="2240"/>
        <w:gridCol w:w="60"/>
        <w:gridCol w:w="113"/>
        <w:gridCol w:w="1432"/>
        <w:gridCol w:w="113"/>
        <w:gridCol w:w="113"/>
        <w:gridCol w:w="113"/>
        <w:gridCol w:w="1432"/>
        <w:gridCol w:w="75"/>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80.7%</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92.2%</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162.4%</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125.0%</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77.3%</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74.3%</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100.9%</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126.3%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48.1%</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87.8%</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double" w:sz="6" w:space="0" w:color="000000"/>
            </w:tcBorders>
            <w:shd w:fill="CCEEFF" w:val="clear"/>
            <w:tcMar>
              <w:bottom w:w="28" w:type="dxa"/>
            </w:tcMar>
            <w:vAlign w:val="center"/>
          </w:tcPr>
          <w:p>
            <w:pPr>
              <w:pStyle w:val="TableContents"/>
              <w:bidi w:val="0"/>
              <w:spacing w:before="0" w:after="283"/>
              <w:jc w:val="right"/>
              <w:rPr/>
            </w:pPr>
            <w:r>
              <w:rPr/>
              <w:t>79.7%</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double" w:sz="6" w:space="0" w:color="000000"/>
            </w:tcBorders>
            <w:shd w:fill="CCEEFF" w:val="clear"/>
            <w:tcMar>
              <w:bottom w:w="28" w:type="dxa"/>
            </w:tcMar>
            <w:vAlign w:val="center"/>
          </w:tcPr>
          <w:p>
            <w:pPr>
              <w:pStyle w:val="TableContents"/>
              <w:bidi w:val="0"/>
              <w:spacing w:before="0" w:after="283"/>
              <w:jc w:val="right"/>
              <w:rPr/>
            </w:pPr>
            <w:r>
              <w:rPr/>
              <w:t>94.4%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underwriting gain increased $7,409 to a gain of $11,221 for the three-month period ended March 31, 2026, from a gain of $3,812 for the three-month period ended March 31, 2025. These results were driven by the factors discussed in the Net Premiums Earned, Loss and Loss Adjustment Expenses, and the Underwriting and General Expenses and Expense Ratio sections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combined ratio decreased 14.7 percentage points in the three-month period ended March 31, 2026, compared to the same period in 2025. These results were driven by the factors discussed in the Net Premiums Earned, Loss and Loss Adjustment Expenses, and the Underwriting and General Expenses and Expense Ratio sections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our average cash and invested assets, net investment income, and return on average cash and invested assets for the reported periods:</w:t>
      </w:r>
    </w:p>
    <w:p>
      <w:pPr>
        <w:pStyle w:val="TextBody"/>
        <w:bidi w:val="0"/>
        <w:spacing w:before="0" w:after="0"/>
        <w:ind w:left="0" w:right="0" w:hanging="0"/>
        <w:jc w:val="left"/>
        <w:rPr>
          <w:caps w:val="false"/>
          <w:smallCaps w:val="false"/>
        </w:rPr>
      </w:pPr>
      <w:r>
        <w:rPr>
          <w:caps w:val="false"/>
          <w:smallCaps w:val="false"/>
        </w:rPr>
        <w:t> </w:t>
      </w:r>
    </w:p>
    <w:tbl>
      <w:tblPr>
        <w:tblW w:w="8078" w:type="dxa"/>
        <w:jc w:val="left"/>
        <w:tblInd w:w="0" w:type="dxa"/>
        <w:tblLayout w:type="fixed"/>
        <w:tblCellMar>
          <w:top w:w="0" w:type="dxa"/>
          <w:left w:w="0" w:type="dxa"/>
          <w:bottom w:w="0" w:type="dxa"/>
          <w:right w:w="0" w:type="dxa"/>
        </w:tblCellMar>
      </w:tblPr>
      <w:tblGrid>
        <w:gridCol w:w="4625"/>
        <w:gridCol w:w="60"/>
        <w:gridCol w:w="232"/>
        <w:gridCol w:w="1328"/>
        <w:gridCol w:w="99"/>
        <w:gridCol w:w="99"/>
        <w:gridCol w:w="232"/>
        <w:gridCol w:w="1328"/>
        <w:gridCol w:w="75"/>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Average cash and invested assets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376,795</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391,998</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328" w:type="dxa"/>
            <w:tcBorders/>
            <w:shd w:fill="FFFFFF" w:val="clear"/>
            <w:vAlign w:val="center"/>
          </w:tcPr>
          <w:p>
            <w:pPr>
              <w:pStyle w:val="TableContents"/>
              <w:bidi w:val="0"/>
              <w:spacing w:before="0" w:after="283"/>
              <w:jc w:val="right"/>
              <w:rPr/>
            </w:pPr>
            <w:r>
              <w:rPr/>
              <w:t>2,655</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328" w:type="dxa"/>
            <w:tcBorders/>
            <w:shd w:fill="FFFFFF" w:val="clear"/>
            <w:vAlign w:val="center"/>
          </w:tcPr>
          <w:p>
            <w:pPr>
              <w:pStyle w:val="TableContents"/>
              <w:bidi w:val="0"/>
              <w:spacing w:before="0" w:after="283"/>
              <w:jc w:val="right"/>
              <w:rPr/>
            </w:pPr>
            <w:r>
              <w:rPr/>
              <w:t>2,838</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Gross return on average cash and invested assets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3.7%</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3.9%</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Net return on average cash and invested assets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2.8%</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decreased $183 for the three months ended March 31, 2026, compared to the three months ended March 31, 2025. This decrease was primarily driven by earning slightly lower yields on a lower average invested assets in the current year, partially offset by lower investment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and net return on average cash and invested assets decreased year-over-year, primarily driven by consistent yields on a lower average fixed income securities balance (measured at fair value) and lower returns on cash and other short-term investments, partially offset by lower investment expenses. The decrease in average cash and invested assets was driven by a decrease in the fixed income securities balance in 2026 as proceeds from maturities and sales were used to fund operating cash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Gains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(losses) consisted of the following:</w:t>
      </w:r>
    </w:p>
    <w:p>
      <w:pPr>
        <w:pStyle w:val="TextBody"/>
        <w:bidi w:val="0"/>
        <w:spacing w:before="0" w:after="0"/>
        <w:ind w:left="15" w:right="15" w:hanging="0"/>
        <w:jc w:val="left"/>
        <w:rPr>
          <w:caps w:val="false"/>
          <w:smallCaps w:val="false"/>
        </w:rPr>
      </w:pPr>
      <w:r>
        <w:rPr>
          <w:caps w:val="false"/>
          <w:smallCaps w:val="false"/>
        </w:rPr>
        <w:t> </w:t>
      </w:r>
    </w:p>
    <w:tbl>
      <w:tblPr>
        <w:tblW w:w="8862" w:type="dxa"/>
        <w:jc w:val="left"/>
        <w:tblInd w:w="0" w:type="dxa"/>
        <w:tblLayout w:type="fixed"/>
        <w:tblCellMar>
          <w:top w:w="0" w:type="dxa"/>
          <w:left w:w="0" w:type="dxa"/>
          <w:bottom w:w="0" w:type="dxa"/>
          <w:right w:w="0" w:type="dxa"/>
        </w:tblCellMar>
      </w:tblPr>
      <w:tblGrid>
        <w:gridCol w:w="5375"/>
        <w:gridCol w:w="60"/>
        <w:gridCol w:w="320"/>
        <w:gridCol w:w="1282"/>
        <w:gridCol w:w="217"/>
        <w:gridCol w:w="137"/>
        <w:gridCol w:w="320"/>
        <w:gridCol w:w="1041"/>
        <w:gridCol w:w="11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Gross realized gains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419</w:t>
            </w:r>
          </w:p>
        </w:tc>
        <w:tc>
          <w:tcPr>
            <w:tcW w:w="2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503</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Gross realized losses, excluding credit impairment losses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(278</w:t>
            </w:r>
          </w:p>
        </w:tc>
        <w:tc>
          <w:tcPr>
            <w:tcW w:w="217" w:type="dxa"/>
            <w:tcBorders/>
            <w:shd w:fill="FFFFFF" w:val="clear"/>
            <w:vAlign w:val="center"/>
          </w:tcPr>
          <w:p>
            <w:pPr>
              <w:pStyle w:val="TableContents"/>
              <w:bidi w:val="0"/>
              <w:spacing w:before="0" w:after="283"/>
              <w:jc w:val="left"/>
              <w:rPr/>
            </w:pPr>
            <w:r>
              <w:rPr/>
              <w:t>)</w:t>
            </w:r>
          </w:p>
        </w:tc>
        <w:tc>
          <w:tcPr>
            <w:tcW w:w="137"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Net realized gains (losses)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141</w:t>
            </w:r>
          </w:p>
        </w:tc>
        <w:tc>
          <w:tcPr>
            <w:tcW w:w="2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326</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Change in net unrealized gains on equity securities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1,563</w:t>
            </w:r>
          </w:p>
        </w:tc>
        <w:tc>
          <w:tcPr>
            <w:tcW w:w="2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543</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Net investment gains</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pPr>
            <w:r>
              <w:rPr/>
              <w:t>1,704</w:t>
            </w:r>
          </w:p>
        </w:tc>
        <w:tc>
          <w:tcPr>
            <w:tcW w:w="2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1" w:type="dxa"/>
            <w:tcBorders>
              <w:bottom w:val="double" w:sz="6" w:space="0" w:color="000000"/>
            </w:tcBorders>
            <w:shd w:fill="CCEEFF" w:val="clear"/>
            <w:tcMar>
              <w:bottom w:w="28" w:type="dxa"/>
            </w:tcMar>
            <w:vAlign w:val="center"/>
          </w:tcPr>
          <w:p>
            <w:pPr>
              <w:pStyle w:val="TableContents"/>
              <w:bidi w:val="0"/>
              <w:spacing w:before="0" w:after="283"/>
              <w:jc w:val="right"/>
              <w:rPr/>
            </w:pPr>
            <w:r>
              <w:rPr/>
              <w:t>869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net realized gains of $141 for the three months ended March 31, 2026, compared to net realized gains of $326 for the three months ended March 31, 2025, which were the result of routine portfolio management decisions. No credit impairment losses were reported during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an increase in net unrealized gains on equity securities of $1,563 and $543 during the three months ended March 31, 2026 and 2025, respectively, driven by the impact of changes in fair value attributable to favorable equity markets during these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fixed income securities are classified as available for sale because we will, from time to time, execute sales of securities that are not impaired, consistent with our investment goals and policies. The fixed income portion of the portfolio experienced net unrealized losses of $2,411 during the three months ended March 31, 2026, compared to net unrealized gains of $3,313 during the three months ended March 31, 2025. The change was primarily the result of changes in U.S. interest rates. The change in the fair value of fixed income securities is not reflected in net income; rather it is reflected as a separate component (net of income taxes) of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Fee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fee and other income of $130 for the three months ended March 31, 2026, compared to $230 for the three months ended March 31, 2025. The decrease in the current year was driven by strategic reductions in non-standard auto premiums that typically generate the majority of the fee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had pre-tax income of $15,710 compared to a pre-tax income of $7,749 for the three months ended March 31, 2025. This change was attributable to the lower frequency of losses for Private Passenger Auto, impact of the strategic decision to exit the majority of the Non-Standard Auto segment, strong results for the assumed business within the All Other segment, favorable prior year development on loss reserves, and more favorable market conditions for equity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income tax expense of $3,202 for the three months ended March 31, 2026, compared to income tax expense of $1,289 for the three months ended March 31, 2025. Our effective tax rate for the three months ended March 31, 2026, was 20.4%, which reflects the impact of tax-exempt investment income on the calculation of the Company’s income tax provision. The effective tax rate was 16.6% for the three months ended March 31, 2025, which was impacted by a change in the recorded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had net income of $12,508 compared to net income of $6,460 for the three months ended March 31, 2025. This change was attributable to the lower frequency of losses for Private Passenger Auto, impact of the strategic decision to exit the majority of the Non-Standard Auto segment, strong results for the assumed business within the All Other segment, favorable prior year development on loss reserves, and more favorable market conditions for equity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Return on Average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had annualized return on average equity of 20.4% compared to 10.4%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equity is calculated as the average between beginning and ending equity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2025 Annual Report. There have been no changes in our critical accounting policies from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 $3,000 line of credit with Wells Fargo Bank, N.A. The terms of the line of credit include a floating interest rate of 2.25% above the daily simple secured overnight financing rate. There were no outstanding amounts during the three months ended March 31, 2026, or the year ended December 31, 2025. This line of credit is scheduled to expire on December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cash and cash equivalents for the three months ended March 31,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7421" w:type="dxa"/>
        <w:jc w:val="left"/>
        <w:tblInd w:w="0" w:type="dxa"/>
        <w:tblLayout w:type="fixed"/>
        <w:tblCellMar>
          <w:top w:w="0" w:type="dxa"/>
          <w:left w:w="0" w:type="dxa"/>
          <w:bottom w:w="0" w:type="dxa"/>
          <w:right w:w="0" w:type="dxa"/>
        </w:tblCellMar>
      </w:tblPr>
      <w:tblGrid>
        <w:gridCol w:w="3935"/>
        <w:gridCol w:w="60"/>
        <w:gridCol w:w="272"/>
        <w:gridCol w:w="1236"/>
        <w:gridCol w:w="184"/>
        <w:gridCol w:w="116"/>
        <w:gridCol w:w="272"/>
        <w:gridCol w:w="1236"/>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216"/>
              <w:jc w:val="left"/>
              <w:rPr/>
            </w:pPr>
            <w:r>
              <w:rPr/>
              <w:t> </w:t>
            </w:r>
          </w:p>
        </w:tc>
      </w:tr>
      <w:tr>
        <w:trPr/>
        <w:tc>
          <w:tcPr>
            <w:tcW w:w="3935"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(1,867</w:t>
            </w:r>
          </w:p>
        </w:tc>
        <w:tc>
          <w:tcPr>
            <w:tcW w:w="184"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9,888</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3935" w:type="dxa"/>
            <w:tcBorders/>
            <w:shd w:fill="FFFFFF" w:val="clear"/>
            <w:vAlign w:val="center"/>
          </w:tcPr>
          <w:p>
            <w:pPr>
              <w:pStyle w:val="TableContents"/>
              <w:bidi w:val="0"/>
              <w:spacing w:before="0" w:after="283"/>
              <w:jc w:val="left"/>
              <w:rPr/>
            </w:pPr>
            <w:r>
              <w:rPr/>
              <w:t>Net 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8,934</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(3,459</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3935"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(1,065</w:t>
            </w:r>
          </w:p>
        </w:tc>
        <w:tc>
          <w:tcPr>
            <w:tcW w:w="184"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(157</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3935"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FFFFFF" w:val="clear"/>
            <w:tcMar>
              <w:bottom w:w="28" w:type="dxa"/>
            </w:tcMar>
            <w:vAlign w:val="center"/>
          </w:tcPr>
          <w:p>
            <w:pPr>
              <w:pStyle w:val="TableContents"/>
              <w:bidi w:val="0"/>
              <w:spacing w:before="0" w:after="283"/>
              <w:jc w:val="right"/>
              <w:rPr/>
            </w:pPr>
            <w:r>
              <w:rPr/>
              <w:t>6,002</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FFFFFF" w:val="clear"/>
            <w:tcMar>
              <w:bottom w:w="28" w:type="dxa"/>
            </w:tcMar>
            <w:vAlign w:val="center"/>
          </w:tcPr>
          <w:p>
            <w:pPr>
              <w:pStyle w:val="TableContents"/>
              <w:bidi w:val="0"/>
              <w:spacing w:before="0" w:after="283"/>
              <w:jc w:val="right"/>
              <w:rPr/>
            </w:pPr>
            <w:r>
              <w:rPr/>
              <w:t>6,272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net cash used by operating activities totaled $1,867 compared to net cash provided of $9,888 in the prior year quarter. This change was primarily driven by lower levels of cash received for premiums in the current year quarter due to the strategic decision during the third quarter of 2025 to stop writing non-standard auto business in Illinois, Arizona, and South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net cash provided by investing activities totaled $8,934 compared to net cash used of $3,459 in the prior year quarter. This change was due to the combination of higher proceeds from maturities and sales of fixed income securities and lower purchase of fixed income securities during the current year quarter compared to the prior year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net cash used by financing activities totaled $1,065 compared to $157 a year ago. This increase in cash used was attributable to an increase in share repurchases in the current year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a principal source of long-term liquidity will be dividend payments from our directly-owned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available for payment of dividends from Nodak Insurance to NI Holdings during 2026 without the prior approval of the North Dakota Insurance Department is approximately $6,730 as of December 31, 2025. No dividends were declared or paid by Nodak Insurance during the three months ended March 31, 2026, 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available for payment of dividends from Direct Auto to NI Holdings during 2026 without the prior approval of the North Dakota Insurance Department is approximately $3,829 as of December 31, 2025. No dividends were declared or paid by Direct Auto during the three months ended March 31, 2026, 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3. -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of market risk as of March 31, 2026, indicates there have been no material changes in the quantitative and qualitative disclosures from those in Part II, Item 7A, “Quantitative and Qualitative Disclosures About Market Risk”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4. -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periodically review our system of internal control over financial reporting to identify opportunities to improve our controls and increase efficiency, while ensuring that we maintain an effective internal control environment.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Part II. - OTHER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 -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litigation in the normal course of business. Based upon information presently available to us, we do not consider any litigation to be material. However, given the inherent uncertainties of litigation, we cannot assure you that our results of operations and financial condition will not be materially adversely affected by any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1A. -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our assessment of our risk factors from those set forth in Part I, Item 1A, “Risk Factors”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2. -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included in Item 2 herein, except per share data, are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unregistered securities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repurchase its own stock. To date, the Company has used the net proceeds from the IPO to fund these 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During the year ended December 31, 2024, we did not repurchase any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2025, our Board of Directors approved an authorization for the repurchase of up to approximately $5,000 of the Company’s outstanding common stock in addition to the $2,052 remaining from the May 9, 2022 authorization. During the year ended December 31, 2025, we completed the repurchase of 188,185 shares of our common stock for $2,517, including the effects from applicable excise taxes under these authorizations. As of December 31, 2025, these share repurchases closed out the May 9, 2022 authorization, and $4,549 remained available under the August 25, 2025 authorization. At March 31, 2026, $3,692 remains available under this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 activity during the three months ended March 31, 2026, is presented below:</w:t>
      </w:r>
    </w:p>
    <w:p>
      <w:pPr>
        <w:pStyle w:val="TextBody"/>
        <w:bidi w:val="0"/>
        <w:spacing w:before="0" w:after="0"/>
        <w:ind w:left="0" w:right="0" w:hanging="0"/>
        <w:jc w:val="left"/>
        <w:rPr>
          <w:caps w:val="false"/>
          <w:smallCaps w:val="false"/>
        </w:rPr>
      </w:pPr>
      <w:r>
        <w:rPr>
          <w:caps w:val="false"/>
          <w:smallCaps w:val="false"/>
        </w:rPr>
        <w:t> </w:t>
      </w:r>
    </w:p>
    <w:tbl>
      <w:tblPr>
        <w:tblW w:w="9083" w:type="dxa"/>
        <w:jc w:val="left"/>
        <w:tblInd w:w="0" w:type="dxa"/>
        <w:tblLayout w:type="fixed"/>
        <w:tblCellMar>
          <w:top w:w="0" w:type="dxa"/>
          <w:left w:w="0" w:type="dxa"/>
          <w:bottom w:w="28" w:type="dxa"/>
          <w:right w:w="0" w:type="dxa"/>
        </w:tblCellMar>
      </w:tblPr>
      <w:tblGrid>
        <w:gridCol w:w="2150"/>
        <w:gridCol w:w="60"/>
        <w:gridCol w:w="134"/>
        <w:gridCol w:w="1535"/>
        <w:gridCol w:w="60"/>
        <w:gridCol w:w="60"/>
        <w:gridCol w:w="229"/>
        <w:gridCol w:w="916"/>
        <w:gridCol w:w="60"/>
        <w:gridCol w:w="60"/>
        <w:gridCol w:w="120"/>
        <w:gridCol w:w="1369"/>
        <w:gridCol w:w="60"/>
        <w:gridCol w:w="60"/>
        <w:gridCol w:w="427"/>
        <w:gridCol w:w="1708"/>
        <w:gridCol w:w="75"/>
      </w:tblGrid>
      <w:tr>
        <w:trPr/>
        <w:tc>
          <w:tcPr>
            <w:tcW w:w="2150" w:type="dxa"/>
            <w:tcBorders>
              <w:bottom w:val="single" w:sz="8" w:space="0" w:color="000000"/>
            </w:tcBorders>
            <w:vAlign w:val="center"/>
          </w:tcPr>
          <w:p>
            <w:pPr>
              <w:pStyle w:val="TableContents"/>
              <w:bidi w:val="0"/>
              <w:spacing w:before="0" w:after="283"/>
              <w:jc w:val="center"/>
              <w:rPr/>
            </w:pPr>
            <w:r>
              <w:rPr/>
              <w:t>Period in 2026</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8" w:space="0" w:color="000000"/>
            </w:tcBorders>
            <w:vAlign w:val="center"/>
          </w:tcPr>
          <w:p>
            <w:pPr>
              <w:pStyle w:val="TableContents"/>
              <w:bidi w:val="0"/>
              <w:spacing w:before="0" w:after="283"/>
              <w:jc w:val="center"/>
              <w:rPr/>
            </w:pPr>
            <w:r>
              <w:rPr/>
              <w:t xml:space="preserve">Total Number of </w:t>
              <w:br/>
              <w:t>Shares</w:t>
              <w:br/>
              <w:t>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sz w:val="20"/>
              </w:rPr>
            </w:pPr>
            <w:r>
              <w:rPr>
                <w:sz w:val="20"/>
              </w:rPr>
              <w:t>Average Price</w:t>
              <w:br/>
              <w:t xml:space="preserve">Paid </w:t>
              <w:br/>
              <w:t>Per Share</w:t>
            </w:r>
            <w:r>
              <w:rPr>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8" w:space="0" w:color="000000"/>
            </w:tcBorders>
            <w:vAlign w:val="center"/>
          </w:tcPr>
          <w:p>
            <w:pPr>
              <w:pStyle w:val="TableContents"/>
              <w:bidi w:val="0"/>
              <w:spacing w:before="0" w:after="283"/>
              <w:jc w:val="center"/>
              <w:rPr>
                <w:sz w:val="20"/>
              </w:rPr>
            </w:pPr>
            <w:r>
              <w:rPr>
                <w:sz w:val="20"/>
              </w:rPr>
              <w:t xml:space="preserve">Total Number of </w:t>
              <w:br/>
              <w:t xml:space="preserve">Shares Purchased </w:t>
              <w:br/>
              <w:t>as Part of Publicly</w:t>
              <w:br/>
              <w:t xml:space="preserve">Announced Plans </w:t>
              <w:br/>
              <w:t xml:space="preserve">or Programs </w:t>
            </w:r>
            <w:r>
              <w:rPr>
                <w:position w:val="7"/>
                <w:sz w:val="16"/>
                <w:sz w:val="20"/>
              </w:rPr>
              <w:t>(1)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35" w:type="dxa"/>
            <w:gridSpan w:val="2"/>
            <w:tcBorders>
              <w:bottom w:val="single" w:sz="8" w:space="0" w:color="000000"/>
            </w:tcBorders>
            <w:vAlign w:val="center"/>
          </w:tcPr>
          <w:p>
            <w:pPr>
              <w:pStyle w:val="TableContents"/>
              <w:bidi w:val="0"/>
              <w:spacing w:before="0" w:after="283"/>
              <w:jc w:val="center"/>
              <w:rPr>
                <w:sz w:val="20"/>
              </w:rPr>
            </w:pPr>
            <w:r>
              <w:rPr>
                <w:sz w:val="20"/>
              </w:rPr>
              <w:t xml:space="preserve">Maximum Approximate </w:t>
              <w:br/>
              <w:t xml:space="preserve">Dollar Value of Shares </w:t>
              <w:br/>
              <w:t xml:space="preserve">That May Yet Be </w:t>
              <w:br/>
              <w:t xml:space="preserve">Purchased Under the </w:t>
              <w:br/>
              <w:t xml:space="preserve">Plans or Programs </w:t>
            </w:r>
            <w:r>
              <w:rPr>
                <w:position w:val="7"/>
                <w:sz w:val="16"/>
                <w:sz w:val="20"/>
              </w:rPr>
              <w:t>(1)(2)(3)</w:t>
            </w:r>
            <w:r>
              <w:rPr>
                <w:sz w:val="20"/>
              </w:rPr>
              <w:br/>
              <w:t>(in thousands)</w:t>
            </w:r>
          </w:p>
        </w:tc>
        <w:tc>
          <w:tcPr>
            <w:tcW w:w="75" w:type="dxa"/>
            <w:tcBorders/>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283"/>
              <w:jc w:val="left"/>
              <w:rPr/>
            </w:pPr>
            <w:r>
              <w:rPr/>
              <w:t>January 1 –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11,327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283"/>
              <w:jc w:val="right"/>
              <w:rPr/>
            </w:pPr>
            <w:r>
              <w:rPr/>
              <w:t>13.30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69" w:type="dxa"/>
            <w:tcBorders/>
            <w:shd w:fill="CCEEFF" w:val="clear"/>
            <w:tcMar>
              <w:bottom w:w="0" w:type="dxa"/>
            </w:tcMar>
            <w:vAlign w:val="center"/>
          </w:tcPr>
          <w:p>
            <w:pPr>
              <w:pStyle w:val="TableContents"/>
              <w:bidi w:val="0"/>
              <w:spacing w:before="0" w:after="283"/>
              <w:jc w:val="right"/>
              <w:rPr/>
            </w:pPr>
            <w:r>
              <w:rPr/>
              <w:t>11,327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w:t>
            </w:r>
          </w:p>
        </w:tc>
        <w:tc>
          <w:tcPr>
            <w:tcW w:w="1708" w:type="dxa"/>
            <w:tcBorders/>
            <w:shd w:fill="CCEEFF" w:val="clear"/>
            <w:tcMar>
              <w:bottom w:w="0" w:type="dxa"/>
            </w:tcMar>
            <w:vAlign w:val="center"/>
          </w:tcPr>
          <w:p>
            <w:pPr>
              <w:pStyle w:val="TableContents"/>
              <w:bidi w:val="0"/>
              <w:spacing w:before="0" w:after="283"/>
              <w:jc w:val="right"/>
              <w:rPr/>
            </w:pPr>
            <w:r>
              <w:rPr/>
              <w:t>4,398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50" w:type="dxa"/>
            <w:tcBorders/>
            <w:shd w:fill="FFFFFF" w:val="clear"/>
            <w:tcMar>
              <w:bottom w:w="0" w:type="dxa"/>
            </w:tcMar>
            <w:vAlign w:val="center"/>
          </w:tcPr>
          <w:p>
            <w:pPr>
              <w:pStyle w:val="TableContents"/>
              <w:bidi w:val="0"/>
              <w:spacing w:before="0" w:after="283"/>
              <w:jc w:val="left"/>
              <w:rPr/>
            </w:pPr>
            <w:r>
              <w:rPr/>
              <w:t>February 1 – 28,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14,784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13.47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369" w:type="dxa"/>
            <w:tcBorders/>
            <w:shd w:fill="FFFFFF" w:val="clear"/>
            <w:tcMar>
              <w:bottom w:w="0" w:type="dxa"/>
            </w:tcMar>
            <w:vAlign w:val="center"/>
          </w:tcPr>
          <w:p>
            <w:pPr>
              <w:pStyle w:val="TableContents"/>
              <w:bidi w:val="0"/>
              <w:spacing w:before="0" w:after="283"/>
              <w:jc w:val="right"/>
              <w:rPr/>
            </w:pPr>
            <w:r>
              <w:rPr/>
              <w:t>14,784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1708" w:type="dxa"/>
            <w:tcBorders/>
            <w:shd w:fill="FFFFFF" w:val="clear"/>
            <w:tcMar>
              <w:bottom w:w="0" w:type="dxa"/>
            </w:tcMar>
            <w:vAlign w:val="center"/>
          </w:tcPr>
          <w:p>
            <w:pPr>
              <w:pStyle w:val="TableContents"/>
              <w:bidi w:val="0"/>
              <w:spacing w:before="0" w:after="283"/>
              <w:jc w:val="right"/>
              <w:rPr/>
            </w:pPr>
            <w:r>
              <w:rPr/>
              <w:t>4,199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283"/>
              <w:jc w:val="left"/>
              <w:rPr/>
            </w:pPr>
            <w:r>
              <w:rPr/>
              <w:t>March 1 –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bottom w:val="single" w:sz="8" w:space="0" w:color="000000"/>
            </w:tcBorders>
            <w:shd w:fill="CCEEFF" w:val="clear"/>
            <w:vAlign w:val="center"/>
          </w:tcPr>
          <w:p>
            <w:pPr>
              <w:pStyle w:val="TableContents"/>
              <w:bidi w:val="0"/>
              <w:spacing w:before="0" w:after="283"/>
              <w:jc w:val="left"/>
              <w:rPr/>
            </w:pPr>
            <w:r>
              <w:rPr/>
              <w:t> </w:t>
            </w:r>
          </w:p>
        </w:tc>
        <w:tc>
          <w:tcPr>
            <w:tcW w:w="1535" w:type="dxa"/>
            <w:tcBorders>
              <w:bottom w:val="single" w:sz="8" w:space="0" w:color="000000"/>
            </w:tcBorders>
            <w:shd w:fill="CCEEFF" w:val="clear"/>
            <w:vAlign w:val="center"/>
          </w:tcPr>
          <w:p>
            <w:pPr>
              <w:pStyle w:val="TableContents"/>
              <w:bidi w:val="0"/>
              <w:spacing w:before="0" w:after="283"/>
              <w:jc w:val="right"/>
              <w:rPr/>
            </w:pPr>
            <w:r>
              <w:rPr/>
              <w:t>38,557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bottom w:val="single" w:sz="8" w:space="0" w:color="000000"/>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vAlign w:val="center"/>
          </w:tcPr>
          <w:p>
            <w:pPr>
              <w:pStyle w:val="TableContents"/>
              <w:bidi w:val="0"/>
              <w:spacing w:before="0" w:after="283"/>
              <w:jc w:val="right"/>
              <w:rPr/>
            </w:pPr>
            <w:r>
              <w:rPr/>
              <w:t>13.15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bottom w:val="single" w:sz="8" w:space="0" w:color="000000"/>
            </w:tcBorders>
            <w:shd w:fill="CCEEFF" w:val="clear"/>
            <w:vAlign w:val="center"/>
          </w:tcPr>
          <w:p>
            <w:pPr>
              <w:pStyle w:val="TableContents"/>
              <w:bidi w:val="0"/>
              <w:spacing w:before="0" w:after="283"/>
              <w:jc w:val="left"/>
              <w:rPr/>
            </w:pPr>
            <w:r>
              <w:rPr/>
              <w:t> </w:t>
            </w:r>
          </w:p>
        </w:tc>
        <w:tc>
          <w:tcPr>
            <w:tcW w:w="1369" w:type="dxa"/>
            <w:tcBorders>
              <w:bottom w:val="single" w:sz="8" w:space="0" w:color="000000"/>
            </w:tcBorders>
            <w:shd w:fill="CCEEFF" w:val="clear"/>
            <w:vAlign w:val="center"/>
          </w:tcPr>
          <w:p>
            <w:pPr>
              <w:pStyle w:val="TableContents"/>
              <w:bidi w:val="0"/>
              <w:spacing w:before="0" w:after="283"/>
              <w:jc w:val="right"/>
              <w:rPr/>
            </w:pPr>
            <w:r>
              <w:rPr/>
              <w:t>38,557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bottom w:val="single" w:sz="8" w:space="0" w:color="000000"/>
            </w:tcBorders>
            <w:shd w:fill="CCEEFF" w:val="clear"/>
            <w:vAlign w:val="center"/>
          </w:tcPr>
          <w:p>
            <w:pPr>
              <w:pStyle w:val="TableContents"/>
              <w:bidi w:val="0"/>
              <w:spacing w:before="0" w:after="283"/>
              <w:jc w:val="left"/>
              <w:rPr/>
            </w:pPr>
            <w:r>
              <w:rPr/>
              <w:t> </w:t>
            </w:r>
          </w:p>
        </w:tc>
        <w:tc>
          <w:tcPr>
            <w:tcW w:w="1708" w:type="dxa"/>
            <w:tcBorders>
              <w:bottom w:val="single" w:sz="8" w:space="0" w:color="000000"/>
            </w:tcBorders>
            <w:shd w:fill="CCEEFF" w:val="clear"/>
            <w:vAlign w:val="center"/>
          </w:tcPr>
          <w:p>
            <w:pPr>
              <w:pStyle w:val="TableContents"/>
              <w:bidi w:val="0"/>
              <w:spacing w:before="0" w:after="283"/>
              <w:jc w:val="right"/>
              <w:rPr/>
            </w:pPr>
            <w:r>
              <w:rPr/>
              <w:t>3,692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5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64,668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w:t>
            </w:r>
          </w:p>
        </w:tc>
        <w:tc>
          <w:tcPr>
            <w:tcW w:w="916" w:type="dxa"/>
            <w:tcBorders/>
            <w:shd w:fill="FFFFFF" w:val="clear"/>
            <w:tcMar>
              <w:bottom w:w="0" w:type="dxa"/>
            </w:tcMar>
            <w:vAlign w:val="center"/>
          </w:tcPr>
          <w:p>
            <w:pPr>
              <w:pStyle w:val="TableContents"/>
              <w:bidi w:val="0"/>
              <w:spacing w:before="0" w:after="283"/>
              <w:jc w:val="right"/>
              <w:rPr/>
            </w:pPr>
            <w:r>
              <w:rPr/>
              <w:t>13.25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369" w:type="dxa"/>
            <w:tcBorders/>
            <w:shd w:fill="FFFFFF" w:val="clear"/>
            <w:tcMar>
              <w:bottom w:w="0" w:type="dxa"/>
            </w:tcMar>
            <w:vAlign w:val="center"/>
          </w:tcPr>
          <w:p>
            <w:pPr>
              <w:pStyle w:val="TableContents"/>
              <w:bidi w:val="0"/>
              <w:spacing w:before="0" w:after="283"/>
              <w:jc w:val="right"/>
              <w:rPr/>
            </w:pPr>
            <w:r>
              <w:rPr/>
              <w:t>64,668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w:t>
            </w:r>
          </w:p>
        </w:tc>
        <w:tc>
          <w:tcPr>
            <w:tcW w:w="1708" w:type="dxa"/>
            <w:tcBorders/>
            <w:shd w:fill="FFFFFF" w:val="clear"/>
            <w:tcMar>
              <w:bottom w:w="0" w:type="dxa"/>
            </w:tcMar>
            <w:vAlign w:val="center"/>
          </w:tcPr>
          <w:p>
            <w:pPr>
              <w:pStyle w:val="TableContents"/>
              <w:bidi w:val="0"/>
              <w:spacing w:before="0" w:after="283"/>
              <w:jc w:val="right"/>
              <w:rPr/>
            </w:pPr>
            <w:r>
              <w:rPr/>
              <w:t>3,692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osition w:val="8"/>
                <w:sz w:val="19"/>
              </w:rPr>
            </w:pPr>
            <w:r>
              <w:rPr>
                <w:position w:val="8"/>
                <w:sz w:val="19"/>
              </w:rPr>
              <w:t>(1)</w:t>
            </w:r>
          </w:p>
        </w:tc>
        <w:tc>
          <w:tcPr>
            <w:tcW w:w="9951" w:type="dxa"/>
            <w:tcBorders/>
            <w:vAlign w:val="center"/>
          </w:tcPr>
          <w:p>
            <w:pPr>
              <w:pStyle w:val="TableContents"/>
              <w:bidi w:val="0"/>
              <w:spacing w:before="0" w:after="283"/>
              <w:jc w:val="left"/>
              <w:rPr/>
            </w:pPr>
            <w:r>
              <w:rPr/>
              <w:t>Shares purchased pursuant to the August 25, 2025 publicly announced share repurchase authorization of up to approximately $5,000 of the Company’s outstanding common stock.</w:t>
            </w:r>
          </w:p>
        </w:tc>
      </w:tr>
    </w:tbl>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osition w:val="8"/>
                <w:sz w:val="19"/>
              </w:rPr>
            </w:pPr>
            <w:r>
              <w:rPr>
                <w:position w:val="8"/>
                <w:sz w:val="19"/>
              </w:rPr>
              <w:t>(2)</w:t>
            </w:r>
          </w:p>
        </w:tc>
        <w:tc>
          <w:tcPr>
            <w:tcW w:w="9947" w:type="dxa"/>
            <w:tcBorders/>
            <w:vAlign w:val="center"/>
          </w:tcPr>
          <w:p>
            <w:pPr>
              <w:pStyle w:val="TableContents"/>
              <w:bidi w:val="0"/>
              <w:spacing w:before="0" w:after="283"/>
              <w:jc w:val="left"/>
              <w:rPr/>
            </w:pPr>
            <w:r>
              <w:rPr/>
              <w:t>Maximum dollar value of shares that may yet be purchased consist of up to $3,692 under the August 25, 2025, publicly announced share repurchase authorization.</w:t>
            </w:r>
          </w:p>
        </w:tc>
      </w:tr>
    </w:tbl>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osition w:val="8"/>
                <w:sz w:val="19"/>
              </w:rPr>
            </w:pPr>
            <w:r>
              <w:rPr>
                <w:position w:val="8"/>
                <w:sz w:val="19"/>
              </w:rPr>
              <w:t>(3)</w:t>
            </w:r>
          </w:p>
        </w:tc>
        <w:tc>
          <w:tcPr>
            <w:tcW w:w="9955" w:type="dxa"/>
            <w:tcBorders/>
            <w:vAlign w:val="center"/>
          </w:tcPr>
          <w:p>
            <w:pPr>
              <w:pStyle w:val="TableContents"/>
              <w:bidi w:val="0"/>
              <w:spacing w:before="0" w:after="283"/>
              <w:jc w:val="left"/>
              <w:rPr/>
            </w:pPr>
            <w:r>
              <w:rPr/>
              <w:t>The Inflation Reduction Act of 2022 imposed a 1% excise tax on the net value of certain share repurchases made after December 31, 2022. All dollar amounts presented exclude such excise taxes, as applicable.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3. -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4. -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5.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10b5-1 Trading Plans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first quarter of 2026, none of our directors or executive officers (as defined in Rule 16a-1(f) under the Exchange Act) adopted or terminated any “Rule 10b5-1 trading arrangement” or “non-Rule 10b5-1 trading arrangement” (as each term is defined in Item 408(a) of Regulation S-K).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6. -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8" w:type="dxa"/>
          <w:bottom w:w="200" w:type="dxa"/>
          <w:right w:w="108" w:type="dxa"/>
        </w:tblCellMar>
      </w:tblPr>
      <w:tblGrid>
        <w:gridCol w:w="1210"/>
        <w:gridCol w:w="8995"/>
      </w:tblGrid>
      <w:tr>
        <w:trPr/>
        <w:tc>
          <w:tcPr>
            <w:tcW w:w="1210" w:type="dxa"/>
            <w:tcBorders>
              <w:top w:val="double" w:sz="4" w:space="0" w:color="000000"/>
              <w:left w:val="double" w:sz="4" w:space="0" w:color="000000"/>
              <w:bottom w:val="double" w:sz="4" w:space="0" w:color="000000"/>
              <w:right w:val="double" w:sz="4" w:space="0" w:color="000000"/>
            </w:tcBorders>
            <w:vAlign w:val="center"/>
          </w:tcPr>
          <w:p>
            <w:pPr>
              <w:pStyle w:val="TableContents"/>
              <w:bidi w:val="0"/>
              <w:spacing w:before="0" w:after="283"/>
              <w:jc w:val="left"/>
              <w:rPr/>
            </w:pPr>
            <w:r>
              <w:rPr/>
              <w:t>EXHIBIT NO.</w:t>
            </w:r>
          </w:p>
        </w:tc>
        <w:tc>
          <w:tcPr>
            <w:tcW w:w="8995" w:type="dxa"/>
            <w:tcBorders>
              <w:top w:val="double" w:sz="4" w:space="0" w:color="000000"/>
              <w:bottom w:val="double" w:sz="4" w:space="0" w:color="000000"/>
              <w:right w:val="double" w:sz="4" w:space="0" w:color="000000"/>
            </w:tcBorders>
            <w:tcMar>
              <w:left w:w="0" w:type="dxa"/>
            </w:tcMar>
            <w:vAlign w:val="center"/>
          </w:tcPr>
          <w:p>
            <w:pPr>
              <w:pStyle w:val="TableContents"/>
              <w:bidi w:val="0"/>
              <w:spacing w:before="0" w:after="283"/>
              <w:jc w:val="left"/>
              <w:rPr/>
            </w:pPr>
            <w:r>
              <w:rPr/>
              <w:t>DESCRIPTION OF EXHIBIT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31.1*</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hyperlink w:anchor="ex31-1.htm">
              <w:r>
                <w:rPr>
                  <w:rStyle w:val="InternetLink"/>
                </w:rPr>
                <w:t>Certification of Principal Executive Officer Pursuant to Rules 13a-14(a) and 15d-14(a) under the Securities Exchange Act of 1934, as Adopted Pursuant to Section 302 of the Sarbanes-Oxley Act of 2002.</w:t>
              </w:r>
            </w:hyperlink>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31.2*</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hyperlink w:anchor="ex31-2.htm">
              <w:r>
                <w:rPr>
                  <w:rStyle w:val="InternetLink"/>
                </w:rPr>
                <w:t>Certification of Principal Financial Officer Pursuant to Rules 13a-14(a) and 15d-14(a) under the Securities Exchange Act of 1934, as Adopted Pursuant to Section 302 of the Sarbanes-Oxley Act of 2002.</w:t>
              </w:r>
            </w:hyperlink>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32**</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hyperlink w:anchor="ex32.htm">
              <w:r>
                <w:rPr>
                  <w:rStyle w:val="InternetLink"/>
                </w:rPr>
                <w:t>Certification of Principal Executive Officer and Principal Financial Officer Pursuant to 18 U.S.C. Section 1350, as Adopted Pursuant to Section 906 of the Sarbanes-Oxley Act of 2002.</w:t>
              </w:r>
            </w:hyperlink>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101.INS***</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101.SCH**</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Schema Linkbase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101.CAL**</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Calculation Linkbase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101.DEF**</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Definition Linkbase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101.LAB**</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Label Linkbase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101.PRE**</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Presentation Linkbase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104</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Inline 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bookmarkStart w:id="22" w:name="a_021"/>
      <w:bookmarkEnd w:id="22"/>
      <w:r>
        <w:rPr>
          <w:rFonts w:ascii="Times New Roman;Times;Serif" w:hAnsi="Times New Roman;Times;Serif"/>
          <w:b w:val="false"/>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on May 8, 2026.</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75"/>
        <w:gridCol w:w="3095"/>
      </w:tblGrid>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INC.</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Cindy L. Launer</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Cindy L. Launer</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Matthew J. Maki</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Matthew J. Maki</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bl>
    <w:p>
      <w:pPr>
        <w:pStyle w:val="TextBody"/>
        <w:bidi w:val="0"/>
        <w:spacing w:before="0" w:after="0"/>
        <w:ind w:left="0" w:right="0" w:firstLine="60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x31-1.htm"/>
      <w:bookmarkStart w:id="24" w:name="ksex311"/>
      <w:bookmarkEnd w:id="23"/>
      <w:bookmarkEnd w:id="24"/>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Cindy L. Launer,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283"/>
              <w:jc w:val="left"/>
              <w:rPr/>
            </w:pPr>
            <w:r>
              <w:rPr/>
              <w:t>I have reviewed this quarterly report on Form 10-Q of NI Holdings, Inc.;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4884" w:type="dxa"/>
        <w:jc w:val="left"/>
        <w:tblInd w:w="0" w:type="dxa"/>
        <w:tblLayout w:type="fixed"/>
        <w:tblCellMar>
          <w:top w:w="0" w:type="dxa"/>
          <w:left w:w="0" w:type="dxa"/>
          <w:bottom w:w="0" w:type="dxa"/>
          <w:right w:w="0" w:type="dxa"/>
        </w:tblCellMar>
      </w:tblPr>
      <w:tblGrid>
        <w:gridCol w:w="1250"/>
        <w:gridCol w:w="3538"/>
        <w:gridCol w:w="96"/>
      </w:tblGrid>
      <w:tr>
        <w:trPr/>
        <w:tc>
          <w:tcPr>
            <w:tcW w:w="1250" w:type="dxa"/>
            <w:tcBorders/>
            <w:vAlign w:val="center"/>
          </w:tcPr>
          <w:p>
            <w:pPr>
              <w:pStyle w:val="TableContents"/>
              <w:bidi w:val="0"/>
              <w:spacing w:before="0" w:after="283"/>
              <w:ind w:left="0" w:right="0" w:hanging="0"/>
              <w:jc w:val="center"/>
              <w:rPr/>
            </w:pPr>
            <w:r>
              <w:rPr/>
              <w:t>May 8, 2026</w:t>
            </w:r>
          </w:p>
        </w:tc>
        <w:tc>
          <w:tcPr>
            <w:tcW w:w="3538"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Cindy L. Launer</w:t>
            </w:r>
          </w:p>
        </w:tc>
        <w:tc>
          <w:tcPr>
            <w:tcW w:w="96" w:type="dxa"/>
            <w:tcBorders/>
            <w:vAlign w:val="center"/>
          </w:tcPr>
          <w:p>
            <w:pPr>
              <w:pStyle w:val="TableContents"/>
              <w:bidi w:val="0"/>
              <w:spacing w:before="0" w:after="283"/>
              <w:ind w:left="0" w:right="0" w:hanging="0"/>
              <w:jc w:val="left"/>
              <w:rPr/>
            </w:pPr>
            <w:r>
              <w:rPr/>
              <w:t> </w:t>
            </w:r>
          </w:p>
        </w:tc>
      </w:tr>
      <w:tr>
        <w:trPr/>
        <w:tc>
          <w:tcPr>
            <w:tcW w:w="1250" w:type="dxa"/>
            <w:tcBorders/>
            <w:vAlign w:val="center"/>
          </w:tcPr>
          <w:p>
            <w:pPr>
              <w:pStyle w:val="TableContents"/>
              <w:bidi w:val="0"/>
              <w:spacing w:before="0" w:after="283"/>
              <w:ind w:left="0" w:right="0" w:hanging="0"/>
              <w:jc w:val="left"/>
              <w:rPr/>
            </w:pPr>
            <w:r>
              <w:rPr/>
              <w:t> </w:t>
            </w:r>
          </w:p>
        </w:tc>
        <w:tc>
          <w:tcPr>
            <w:tcW w:w="3538" w:type="dxa"/>
            <w:tcBorders/>
            <w:vAlign w:val="center"/>
          </w:tcPr>
          <w:p>
            <w:pPr>
              <w:pStyle w:val="TableContents"/>
              <w:bidi w:val="0"/>
              <w:spacing w:before="0" w:after="283"/>
              <w:ind w:left="0" w:right="0" w:hanging="0"/>
              <w:jc w:val="left"/>
              <w:rPr/>
            </w:pPr>
            <w:r>
              <w:rPr/>
              <w:t>Cindy L. Launer</w:t>
            </w:r>
          </w:p>
        </w:tc>
        <w:tc>
          <w:tcPr>
            <w:tcW w:w="96" w:type="dxa"/>
            <w:tcBorders/>
            <w:vAlign w:val="center"/>
          </w:tcPr>
          <w:p>
            <w:pPr>
              <w:pStyle w:val="TableContents"/>
              <w:bidi w:val="0"/>
              <w:spacing w:before="0" w:after="283"/>
              <w:ind w:left="0" w:right="0" w:hanging="0"/>
              <w:jc w:val="left"/>
              <w:rPr/>
            </w:pPr>
            <w:r>
              <w:rPr/>
              <w:t> </w:t>
            </w:r>
          </w:p>
        </w:tc>
      </w:tr>
      <w:tr>
        <w:trPr/>
        <w:tc>
          <w:tcPr>
            <w:tcW w:w="1250" w:type="dxa"/>
            <w:tcBorders/>
            <w:vAlign w:val="center"/>
          </w:tcPr>
          <w:p>
            <w:pPr>
              <w:pStyle w:val="TableContents"/>
              <w:bidi w:val="0"/>
              <w:spacing w:before="0" w:after="283"/>
              <w:ind w:left="0" w:right="0" w:hanging="0"/>
              <w:jc w:val="left"/>
              <w:rPr/>
            </w:pPr>
            <w:r>
              <w:rPr/>
              <w:t> </w:t>
            </w:r>
          </w:p>
        </w:tc>
        <w:tc>
          <w:tcPr>
            <w:tcW w:w="3634" w:type="dxa"/>
            <w:gridSpan w:val="2"/>
            <w:tcBorders/>
            <w:vAlign w:val="center"/>
          </w:tcPr>
          <w:p>
            <w:pPr>
              <w:pStyle w:val="TableContents"/>
              <w:bidi w:val="0"/>
              <w:spacing w:before="0" w:after="283"/>
              <w:ind w:left="0" w:right="0" w:hanging="0"/>
              <w:jc w:val="left"/>
              <w:rPr/>
            </w:pPr>
            <w:r>
              <w:rPr/>
              <w:t>President and Chief Executive Officer</w:t>
            </w:r>
          </w:p>
        </w:tc>
      </w:tr>
      <w:tr>
        <w:trPr/>
        <w:tc>
          <w:tcPr>
            <w:tcW w:w="1250" w:type="dxa"/>
            <w:tcBorders/>
            <w:vAlign w:val="center"/>
          </w:tcPr>
          <w:p>
            <w:pPr>
              <w:pStyle w:val="TableContents"/>
              <w:bidi w:val="0"/>
              <w:spacing w:before="0" w:after="283"/>
              <w:ind w:left="0" w:right="0" w:hanging="0"/>
              <w:jc w:val="left"/>
              <w:rPr/>
            </w:pPr>
            <w:r>
              <w:rPr/>
              <w:t> </w:t>
            </w:r>
          </w:p>
        </w:tc>
        <w:tc>
          <w:tcPr>
            <w:tcW w:w="3538" w:type="dxa"/>
            <w:tcBorders/>
            <w:vAlign w:val="center"/>
          </w:tcPr>
          <w:p>
            <w:pPr>
              <w:pStyle w:val="TableContents"/>
              <w:bidi w:val="0"/>
              <w:spacing w:before="0" w:after="283"/>
              <w:ind w:left="0" w:right="0" w:hanging="0"/>
              <w:jc w:val="left"/>
              <w:rPr/>
            </w:pPr>
            <w:r>
              <w:rPr/>
              <w:t>(</w:t>
            </w:r>
            <w:r>
              <w:rPr>
                <w:i/>
              </w:rPr>
              <w:t>Principal Executive Officer</w:t>
            </w:r>
            <w:r>
              <w:rPr/>
              <w:t>)</w:t>
            </w:r>
          </w:p>
        </w:tc>
        <w:tc>
          <w:tcPr>
            <w:tcW w:w="9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x31-2.htm"/>
      <w:bookmarkStart w:id="26" w:name="ksex312"/>
      <w:bookmarkEnd w:id="25"/>
      <w:bookmarkEnd w:id="26"/>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Matthew J. Maki,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283"/>
              <w:jc w:val="left"/>
              <w:rPr/>
            </w:pPr>
            <w:r>
              <w:rPr/>
              <w:t>I have reviewed this quarterly report on Form 10-Q of NI Holdings, Inc.;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250"/>
        <w:gridCol w:w="2750"/>
        <w:gridCol w:w="75"/>
      </w:tblGrid>
      <w:tr>
        <w:trPr/>
        <w:tc>
          <w:tcPr>
            <w:tcW w:w="1250" w:type="dxa"/>
            <w:tcBorders/>
            <w:vAlign w:val="center"/>
          </w:tcPr>
          <w:p>
            <w:pPr>
              <w:pStyle w:val="TableContents"/>
              <w:bidi w:val="0"/>
              <w:spacing w:before="0" w:after="283"/>
              <w:ind w:left="0" w:right="0" w:hanging="0"/>
              <w:jc w:val="center"/>
              <w:rPr/>
            </w:pPr>
            <w:r>
              <w:rPr/>
              <w:t>May 8, 2026</w:t>
            </w:r>
          </w:p>
        </w:tc>
        <w:tc>
          <w:tcPr>
            <w:tcW w:w="2750" w:type="dxa"/>
            <w:tcBorders>
              <w:bottom w:val="single" w:sz="8" w:space="0" w:color="000000"/>
            </w:tcBorders>
            <w:tcMar>
              <w:bottom w:w="28" w:type="dxa"/>
            </w:tcMar>
            <w:vAlign w:val="center"/>
          </w:tcPr>
          <w:p>
            <w:pPr>
              <w:pStyle w:val="TableContents"/>
              <w:bidi w:val="0"/>
              <w:spacing w:before="0" w:after="283"/>
              <w:ind w:left="0" w:right="0" w:hanging="0"/>
              <w:jc w:val="left"/>
              <w:rPr/>
            </w:pPr>
            <w:r>
              <w:rPr/>
              <w:t>/s/ Matthew J. Maki</w:t>
            </w:r>
          </w:p>
        </w:tc>
        <w:tc>
          <w:tcPr>
            <w:tcW w:w="75" w:type="dxa"/>
            <w:tcBorders/>
            <w:vAlign w:val="center"/>
          </w:tcPr>
          <w:p>
            <w:pPr>
              <w:pStyle w:val="TableContents"/>
              <w:bidi w:val="0"/>
              <w:spacing w:before="0" w:after="283"/>
              <w:ind w:left="0" w:right="0" w:hanging="0"/>
              <w:jc w:val="left"/>
              <w:rPr/>
            </w:pPr>
            <w:r>
              <w:rPr/>
              <w:t> </w:t>
            </w:r>
          </w:p>
        </w:tc>
      </w:tr>
      <w:tr>
        <w:trPr/>
        <w:tc>
          <w:tcPr>
            <w:tcW w:w="1250"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Matthew J. Maki</w:t>
            </w:r>
          </w:p>
        </w:tc>
        <w:tc>
          <w:tcPr>
            <w:tcW w:w="75" w:type="dxa"/>
            <w:tcBorders/>
            <w:vAlign w:val="center"/>
          </w:tcPr>
          <w:p>
            <w:pPr>
              <w:pStyle w:val="TableContents"/>
              <w:bidi w:val="0"/>
              <w:spacing w:before="0" w:after="283"/>
              <w:ind w:left="0" w:right="0" w:hanging="0"/>
              <w:jc w:val="left"/>
              <w:rPr/>
            </w:pPr>
            <w:r>
              <w:rPr/>
              <w:t> </w:t>
            </w:r>
          </w:p>
        </w:tc>
      </w:tr>
      <w:tr>
        <w:trPr/>
        <w:tc>
          <w:tcPr>
            <w:tcW w:w="1250"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 xml:space="preserve">Chief Financial Officer </w:t>
            </w:r>
          </w:p>
        </w:tc>
        <w:tc>
          <w:tcPr>
            <w:tcW w:w="75" w:type="dxa"/>
            <w:tcBorders/>
            <w:vAlign w:val="center"/>
          </w:tcPr>
          <w:p>
            <w:pPr>
              <w:pStyle w:val="TableContents"/>
              <w:bidi w:val="0"/>
              <w:spacing w:before="0" w:after="283"/>
              <w:ind w:left="0" w:right="0" w:hanging="0"/>
              <w:jc w:val="left"/>
              <w:rPr/>
            </w:pPr>
            <w:r>
              <w:rPr/>
              <w:t> </w:t>
            </w:r>
          </w:p>
        </w:tc>
      </w:tr>
      <w:tr>
        <w:trPr/>
        <w:tc>
          <w:tcPr>
            <w:tcW w:w="1250"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w:t>
            </w:r>
            <w:r>
              <w:rPr>
                <w:i/>
              </w:rPr>
              <w:t>Principal Financial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x32.htm"/>
      <w:bookmarkStart w:id="28" w:name="ksex32"/>
      <w:bookmarkEnd w:id="27"/>
      <w:bookmarkEnd w:id="28"/>
      <w:r>
        <w:rPr>
          <w:rFonts w:ascii="Times New Roman;Times;Serif" w:hAnsi="Times New Roman;Times;Serif"/>
          <w:b/>
          <w:i w:val="false"/>
          <w:caps w:val="false"/>
          <w:smallCaps w:val="false"/>
          <w:sz w:val="20"/>
        </w:rPr>
        <w:t>Exhibit 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w:t>
        <w:br/>
        <w:t>18 U.S.C. SECTION 1350,</w:t>
        <w:br/>
        <w:t>AS ADOPTED PURSUANT TO</w:t>
        <w:b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NI Holdings, Inc. (the “Company”) on Form 10-Q for the period ended March 31, 2026, as filed with the Securities and Exchange Commission on the date hereof (the “Report”), we, Cindy L. Launer, President and Chief Executive Officer, and Matthew J. Maki, Chief Financial Officer, of the Company, certify, pursuant to 18 U.S.C. Section 1350, as adopted pursuant to Section 906 of the Sarbanes-Oxley Act of 2002, that, to our knowledge: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caps w:val="false"/>
          <w:smallCaps w:val="false"/>
        </w:rPr>
      </w:pPr>
      <w:r>
        <w:rPr>
          <w:caps w:val="false"/>
          <w:smallCaps w:val="false"/>
        </w:rPr>
        <w:t> </w:t>
      </w:r>
    </w:p>
    <w:tbl>
      <w:tblPr>
        <w:tblW w:w="4884" w:type="dxa"/>
        <w:jc w:val="left"/>
        <w:tblInd w:w="0" w:type="dxa"/>
        <w:tblLayout w:type="fixed"/>
        <w:tblCellMar>
          <w:top w:w="0" w:type="dxa"/>
          <w:left w:w="0" w:type="dxa"/>
          <w:bottom w:w="0" w:type="dxa"/>
          <w:right w:w="0" w:type="dxa"/>
        </w:tblCellMar>
      </w:tblPr>
      <w:tblGrid>
        <w:gridCol w:w="1250"/>
        <w:gridCol w:w="3538"/>
        <w:gridCol w:w="96"/>
      </w:tblGrid>
      <w:tr>
        <w:trPr/>
        <w:tc>
          <w:tcPr>
            <w:tcW w:w="1250" w:type="dxa"/>
            <w:tcBorders/>
            <w:vAlign w:val="center"/>
          </w:tcPr>
          <w:p>
            <w:pPr>
              <w:pStyle w:val="TableContents"/>
              <w:bidi w:val="0"/>
              <w:spacing w:before="0" w:after="283"/>
              <w:ind w:left="0" w:right="0" w:hanging="0"/>
              <w:jc w:val="center"/>
              <w:rPr/>
            </w:pPr>
            <w:r>
              <w:rPr/>
              <w:t>May 8, 2026</w:t>
            </w:r>
          </w:p>
        </w:tc>
        <w:tc>
          <w:tcPr>
            <w:tcW w:w="3538"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Cindy L. Launer</w:t>
            </w:r>
          </w:p>
        </w:tc>
        <w:tc>
          <w:tcPr>
            <w:tcW w:w="96" w:type="dxa"/>
            <w:tcBorders/>
            <w:vAlign w:val="center"/>
          </w:tcPr>
          <w:p>
            <w:pPr>
              <w:pStyle w:val="TableContents"/>
              <w:bidi w:val="0"/>
              <w:spacing w:before="0" w:after="283"/>
              <w:ind w:left="0" w:right="0" w:hanging="0"/>
              <w:jc w:val="left"/>
              <w:rPr/>
            </w:pPr>
            <w:r>
              <w:rPr/>
              <w:t> </w:t>
            </w:r>
          </w:p>
        </w:tc>
      </w:tr>
      <w:tr>
        <w:trPr/>
        <w:tc>
          <w:tcPr>
            <w:tcW w:w="1250" w:type="dxa"/>
            <w:tcBorders/>
            <w:vAlign w:val="center"/>
          </w:tcPr>
          <w:p>
            <w:pPr>
              <w:pStyle w:val="TableContents"/>
              <w:bidi w:val="0"/>
              <w:spacing w:before="0" w:after="283"/>
              <w:ind w:left="0" w:right="0" w:hanging="0"/>
              <w:jc w:val="left"/>
              <w:rPr/>
            </w:pPr>
            <w:r>
              <w:rPr/>
              <w:t> </w:t>
            </w:r>
          </w:p>
        </w:tc>
        <w:tc>
          <w:tcPr>
            <w:tcW w:w="3538" w:type="dxa"/>
            <w:tcBorders/>
            <w:vAlign w:val="center"/>
          </w:tcPr>
          <w:p>
            <w:pPr>
              <w:pStyle w:val="TableContents"/>
              <w:bidi w:val="0"/>
              <w:spacing w:before="0" w:after="283"/>
              <w:ind w:left="0" w:right="0" w:hanging="0"/>
              <w:jc w:val="left"/>
              <w:rPr/>
            </w:pPr>
            <w:r>
              <w:rPr/>
              <w:t>Cindy L. Launer</w:t>
            </w:r>
          </w:p>
        </w:tc>
        <w:tc>
          <w:tcPr>
            <w:tcW w:w="96" w:type="dxa"/>
            <w:tcBorders/>
            <w:vAlign w:val="center"/>
          </w:tcPr>
          <w:p>
            <w:pPr>
              <w:pStyle w:val="TableContents"/>
              <w:bidi w:val="0"/>
              <w:spacing w:before="0" w:after="283"/>
              <w:ind w:left="0" w:right="0" w:hanging="0"/>
              <w:jc w:val="left"/>
              <w:rPr/>
            </w:pPr>
            <w:r>
              <w:rPr/>
              <w:t> </w:t>
            </w:r>
          </w:p>
        </w:tc>
      </w:tr>
      <w:tr>
        <w:trPr/>
        <w:tc>
          <w:tcPr>
            <w:tcW w:w="1250" w:type="dxa"/>
            <w:tcBorders/>
            <w:vAlign w:val="center"/>
          </w:tcPr>
          <w:p>
            <w:pPr>
              <w:pStyle w:val="TableContents"/>
              <w:bidi w:val="0"/>
              <w:spacing w:before="0" w:after="283"/>
              <w:ind w:left="0" w:right="0" w:hanging="0"/>
              <w:jc w:val="left"/>
              <w:rPr/>
            </w:pPr>
            <w:r>
              <w:rPr/>
              <w:t> </w:t>
            </w:r>
          </w:p>
        </w:tc>
        <w:tc>
          <w:tcPr>
            <w:tcW w:w="3634" w:type="dxa"/>
            <w:gridSpan w:val="2"/>
            <w:tcBorders/>
            <w:vAlign w:val="center"/>
          </w:tcPr>
          <w:p>
            <w:pPr>
              <w:pStyle w:val="TableContents"/>
              <w:bidi w:val="0"/>
              <w:spacing w:before="0" w:after="283"/>
              <w:ind w:left="0" w:right="0" w:hanging="0"/>
              <w:jc w:val="left"/>
              <w:rPr/>
            </w:pPr>
            <w:r>
              <w:rPr/>
              <w:t>President and Chief Executive Officer</w:t>
            </w:r>
          </w:p>
        </w:tc>
      </w:tr>
      <w:tr>
        <w:trPr/>
        <w:tc>
          <w:tcPr>
            <w:tcW w:w="1250" w:type="dxa"/>
            <w:tcBorders/>
            <w:vAlign w:val="center"/>
          </w:tcPr>
          <w:p>
            <w:pPr>
              <w:pStyle w:val="TableContents"/>
              <w:bidi w:val="0"/>
              <w:spacing w:before="0" w:after="283"/>
              <w:ind w:left="0" w:right="0" w:hanging="0"/>
              <w:jc w:val="left"/>
              <w:rPr/>
            </w:pPr>
            <w:r>
              <w:rPr/>
              <w:t> </w:t>
            </w:r>
          </w:p>
        </w:tc>
        <w:tc>
          <w:tcPr>
            <w:tcW w:w="3538" w:type="dxa"/>
            <w:tcBorders/>
            <w:vAlign w:val="center"/>
          </w:tcPr>
          <w:p>
            <w:pPr>
              <w:pStyle w:val="TableContents"/>
              <w:bidi w:val="0"/>
              <w:spacing w:before="0" w:after="283"/>
              <w:ind w:left="0" w:right="0" w:hanging="0"/>
              <w:jc w:val="left"/>
              <w:rPr/>
            </w:pPr>
            <w:r>
              <w:rPr/>
              <w:t>(</w:t>
            </w:r>
            <w:r>
              <w:rPr>
                <w:i/>
              </w:rPr>
              <w:t>Principal Executive Officer</w:t>
            </w:r>
            <w:r>
              <w:rPr/>
              <w:t>)</w:t>
            </w:r>
          </w:p>
        </w:tc>
        <w:tc>
          <w:tcPr>
            <w:tcW w:w="96"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250"/>
        <w:gridCol w:w="2750"/>
        <w:gridCol w:w="75"/>
      </w:tblGrid>
      <w:tr>
        <w:trPr/>
        <w:tc>
          <w:tcPr>
            <w:tcW w:w="1250" w:type="dxa"/>
            <w:tcBorders/>
            <w:vAlign w:val="center"/>
          </w:tcPr>
          <w:p>
            <w:pPr>
              <w:pStyle w:val="TableContents"/>
              <w:bidi w:val="0"/>
              <w:spacing w:before="0" w:after="283"/>
              <w:ind w:left="0" w:right="0" w:hanging="0"/>
              <w:jc w:val="center"/>
              <w:rPr/>
            </w:pPr>
            <w:r>
              <w:rPr/>
              <w:t>May 8, 2026</w:t>
            </w:r>
          </w:p>
        </w:tc>
        <w:tc>
          <w:tcPr>
            <w:tcW w:w="2750" w:type="dxa"/>
            <w:tcBorders>
              <w:bottom w:val="single" w:sz="8" w:space="0" w:color="000000"/>
            </w:tcBorders>
            <w:tcMar>
              <w:bottom w:w="28" w:type="dxa"/>
            </w:tcMar>
            <w:vAlign w:val="center"/>
          </w:tcPr>
          <w:p>
            <w:pPr>
              <w:pStyle w:val="TableContents"/>
              <w:bidi w:val="0"/>
              <w:spacing w:before="0" w:after="283"/>
              <w:ind w:left="0" w:right="0" w:hanging="0"/>
              <w:jc w:val="left"/>
              <w:rPr/>
            </w:pPr>
            <w:r>
              <w:rPr/>
              <w:t>/s/ Matthew J. Maki</w:t>
            </w:r>
          </w:p>
        </w:tc>
        <w:tc>
          <w:tcPr>
            <w:tcW w:w="75" w:type="dxa"/>
            <w:tcBorders/>
            <w:vAlign w:val="center"/>
          </w:tcPr>
          <w:p>
            <w:pPr>
              <w:pStyle w:val="TableContents"/>
              <w:bidi w:val="0"/>
              <w:spacing w:before="0" w:after="283"/>
              <w:ind w:left="0" w:right="0" w:hanging="0"/>
              <w:jc w:val="left"/>
              <w:rPr/>
            </w:pPr>
            <w:r>
              <w:rPr/>
              <w:t> </w:t>
            </w:r>
          </w:p>
        </w:tc>
      </w:tr>
      <w:tr>
        <w:trPr/>
        <w:tc>
          <w:tcPr>
            <w:tcW w:w="1250"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Matthew J. Maki</w:t>
            </w:r>
          </w:p>
        </w:tc>
        <w:tc>
          <w:tcPr>
            <w:tcW w:w="75" w:type="dxa"/>
            <w:tcBorders/>
            <w:vAlign w:val="center"/>
          </w:tcPr>
          <w:p>
            <w:pPr>
              <w:pStyle w:val="TableContents"/>
              <w:bidi w:val="0"/>
              <w:spacing w:before="0" w:after="283"/>
              <w:ind w:left="0" w:right="0" w:hanging="0"/>
              <w:jc w:val="left"/>
              <w:rPr/>
            </w:pPr>
            <w:r>
              <w:rPr/>
              <w:t> </w:t>
            </w:r>
          </w:p>
        </w:tc>
      </w:tr>
      <w:tr>
        <w:trPr/>
        <w:tc>
          <w:tcPr>
            <w:tcW w:w="1250"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 xml:space="preserve">Chief Financial Officer </w:t>
            </w:r>
          </w:p>
        </w:tc>
        <w:tc>
          <w:tcPr>
            <w:tcW w:w="75" w:type="dxa"/>
            <w:tcBorders/>
            <w:vAlign w:val="center"/>
          </w:tcPr>
          <w:p>
            <w:pPr>
              <w:pStyle w:val="TableContents"/>
              <w:bidi w:val="0"/>
              <w:spacing w:before="0" w:after="283"/>
              <w:ind w:left="0" w:right="0" w:hanging="0"/>
              <w:jc w:val="left"/>
              <w:rPr/>
            </w:pPr>
            <w:r>
              <w:rPr/>
              <w:t> </w:t>
            </w:r>
          </w:p>
        </w:tc>
      </w:tr>
      <w:tr>
        <w:trPr/>
        <w:tc>
          <w:tcPr>
            <w:tcW w:w="1250"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w:t>
            </w:r>
            <w:r>
              <w:rPr>
                <w:i/>
              </w:rPr>
              <w:t>Principal Financial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18145</Words>
  <Characters>99155</Characters>
  <CharactersWithSpaces>120510</CharactersWithSpaces>
  <Paragraphs>8641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