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4"/>
          <w:szCs w:val="24"/>
          <w:color w:val="auto"/>
        </w:rPr>
      </w:pPr>
    </w:p>
    <w:p>
      <w:pPr>
        <w:ind w:right="1740" w:firstLine="8"/>
        <w:spacing w:after="0" w:line="282"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81" w:lineRule="exact"/>
        <w:rPr>
          <w:sz w:val="24"/>
          <w:szCs w:val="24"/>
          <w:color w:val="auto"/>
        </w:rPr>
      </w:pPr>
    </w:p>
    <w:p>
      <w:pPr>
        <w:ind w:right="1740" w:firstLine="8"/>
        <w:spacing w:after="0" w:line="282" w:lineRule="auto"/>
        <w:tabs>
          <w:tab w:leader="none" w:pos="34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NI HOLDINGS,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rPr>
              <w:t>NORTH DAKOTA</w:t>
            </w: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81-2683619</w:t>
            </w:r>
          </w:p>
        </w:tc>
      </w:tr>
      <w:tr>
        <w:trPr>
          <w:trHeight w:val="216"/>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w w:val="90"/>
              </w:rPr>
              <w:t>(State or other jurisdiction of</w:t>
            </w:r>
          </w:p>
        </w:tc>
        <w:tc>
          <w:tcPr>
            <w:tcW w:w="35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w w:val="91"/>
              </w:rPr>
              <w:t>incorporation or organization)</w:t>
            </w:r>
          </w:p>
        </w:tc>
        <w:tc>
          <w:tcPr>
            <w:tcW w:w="35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3"/>
              </w:rPr>
              <w:t>Identification No.)</w:t>
            </w:r>
          </w:p>
        </w:tc>
      </w:tr>
      <w:tr>
        <w:trPr>
          <w:trHeight w:val="481"/>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w w:val="90"/>
              </w:rPr>
              <w:t>1101 First Avenue North</w:t>
            </w:r>
          </w:p>
        </w:tc>
        <w:tc>
          <w:tcPr>
            <w:tcW w:w="3520" w:type="dxa"/>
            <w:vAlign w:val="bottom"/>
          </w:tcPr>
          <w:p>
            <w:pPr>
              <w:spacing w:after="0"/>
              <w:rPr>
                <w:sz w:val="24"/>
                <w:szCs w:val="24"/>
                <w:color w:val="auto"/>
              </w:rPr>
            </w:pPr>
          </w:p>
        </w:tc>
      </w:tr>
      <w:tr>
        <w:trPr>
          <w:trHeight w:val="234"/>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w w:val="92"/>
              </w:rPr>
              <w:t>Fargo, North Dakota</w:t>
            </w:r>
          </w:p>
        </w:tc>
        <w:tc>
          <w:tcPr>
            <w:tcW w:w="3520" w:type="dxa"/>
            <w:vAlign w:val="bottom"/>
          </w:tcPr>
          <w:p>
            <w:pPr>
              <w:jc w:val="right"/>
              <w:ind w:right="2370"/>
              <w:spacing w:after="0"/>
              <w:rPr>
                <w:sz w:val="20"/>
                <w:szCs w:val="20"/>
                <w:color w:val="auto"/>
              </w:rPr>
            </w:pPr>
            <w:r>
              <w:rPr>
                <w:rFonts w:ascii="Arial" w:cs="Arial" w:eastAsia="Arial" w:hAnsi="Arial"/>
                <w:sz w:val="18"/>
                <w:szCs w:val="18"/>
                <w:b w:val="1"/>
                <w:bCs w:val="1"/>
                <w:color w:val="auto"/>
              </w:rPr>
              <w:t>58102</w:t>
            </w:r>
          </w:p>
        </w:tc>
      </w:tr>
      <w:tr>
        <w:trPr>
          <w:trHeight w:val="257"/>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5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r>
        <w:trPr>
          <w:trHeight w:val="427"/>
        </w:trPr>
        <w:tc>
          <w:tcPr>
            <w:tcW w:w="7720" w:type="dxa"/>
            <w:vAlign w:val="bottom"/>
          </w:tcPr>
          <w:p>
            <w:pPr>
              <w:jc w:val="right"/>
              <w:ind w:right="1450"/>
              <w:spacing w:after="0"/>
              <w:rPr>
                <w:sz w:val="20"/>
                <w:szCs w:val="20"/>
                <w:color w:val="auto"/>
              </w:rPr>
            </w:pPr>
            <w:r>
              <w:rPr>
                <w:rFonts w:ascii="Arial" w:cs="Arial" w:eastAsia="Arial" w:hAnsi="Arial"/>
                <w:sz w:val="18"/>
                <w:szCs w:val="18"/>
                <w:b w:val="1"/>
                <w:bCs w:val="1"/>
                <w:color w:val="auto"/>
              </w:rPr>
              <w:t>(701) 298-4200</w:t>
            </w:r>
          </w:p>
        </w:tc>
        <w:tc>
          <w:tcPr>
            <w:tcW w:w="3520" w:type="dxa"/>
            <w:vAlign w:val="bottom"/>
          </w:tcPr>
          <w:p>
            <w:pPr>
              <w:spacing w:after="0"/>
              <w:rPr>
                <w:sz w:val="24"/>
                <w:szCs w:val="24"/>
                <w:color w:val="auto"/>
              </w:rPr>
            </w:pPr>
          </w:p>
        </w:tc>
      </w:tr>
      <w:tr>
        <w:trPr>
          <w:trHeight w:val="234"/>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3520" w:type="dxa"/>
            <w:vAlign w:val="bottom"/>
          </w:tcPr>
          <w:p>
            <w:pPr>
              <w:spacing w:after="0"/>
              <w:rPr>
                <w:sz w:val="20"/>
                <w:szCs w:val="20"/>
                <w:color w:val="auto"/>
              </w:rPr>
            </w:pPr>
          </w:p>
        </w:tc>
      </w:tr>
      <w:tr>
        <w:trPr>
          <w:trHeight w:val="175"/>
        </w:trPr>
        <w:tc>
          <w:tcPr>
            <w:tcW w:w="772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77"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220" w:type="dxa"/>
            <w:vAlign w:val="bottom"/>
            <w:gridSpan w:val="2"/>
          </w:tcPr>
          <w:p>
            <w:pPr>
              <w:jc w:val="center"/>
              <w:ind w:right="1880"/>
              <w:spacing w:after="0"/>
              <w:rPr>
                <w:sz w:val="20"/>
                <w:szCs w:val="20"/>
                <w:color w:val="auto"/>
              </w:rPr>
            </w:pPr>
            <w:r>
              <w:rPr>
                <w:rFonts w:ascii="Arial" w:cs="Arial" w:eastAsia="Arial" w:hAnsi="Arial"/>
                <w:sz w:val="18"/>
                <w:szCs w:val="18"/>
                <w:b w:val="1"/>
                <w:bCs w:val="1"/>
                <w:color w:val="auto"/>
                <w:w w:val="86"/>
              </w:rPr>
              <w:t>Title of each class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54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8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84"/>
        </w:trPr>
        <w:tc>
          <w:tcPr>
            <w:tcW w:w="4060" w:type="dxa"/>
            <w:vAlign w:val="bottom"/>
            <w:gridSpan w:val="3"/>
          </w:tcPr>
          <w:p>
            <w:pPr>
              <w:jc w:val="center"/>
              <w:ind w:right="1040"/>
              <w:spacing w:after="0"/>
              <w:rPr>
                <w:sz w:val="20"/>
                <w:szCs w:val="20"/>
                <w:color w:val="auto"/>
              </w:rPr>
            </w:pPr>
            <w:r>
              <w:rPr>
                <w:rFonts w:ascii="Arial" w:cs="Arial" w:eastAsia="Arial" w:hAnsi="Arial"/>
                <w:sz w:val="18"/>
                <w:szCs w:val="18"/>
                <w:color w:val="auto"/>
                <w:w w:val="89"/>
              </w:rPr>
              <w:t>Common Stock, $0.01 par value per share</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NODK</w:t>
            </w:r>
          </w:p>
        </w:tc>
        <w:tc>
          <w:tcPr>
            <w:tcW w:w="12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07"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89"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30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on October 31, 2020 was 21,306,582.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494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5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954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FINANCIAL INFORMATION</w:t>
              </w:r>
            </w:hyperlink>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94"/>
        </w:trPr>
        <w:tc>
          <w:tcPr>
            <w:tcW w:w="95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 Financial Statements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540" w:type="dxa"/>
            <w:vAlign w:val="bottom"/>
          </w:tcPr>
          <w:p>
            <w:pPr>
              <w:ind w:left="16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Balance Sheets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540" w:type="dxa"/>
            <w:vAlign w:val="bottom"/>
          </w:tcPr>
          <w:p>
            <w:pPr>
              <w:ind w:left="16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Operations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540" w:type="dxa"/>
            <w:vAlign w:val="bottom"/>
          </w:tcPr>
          <w:p>
            <w:pPr>
              <w:ind w:left="16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Comprehensive Income (Loss)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540" w:type="dxa"/>
            <w:vAlign w:val="bottom"/>
          </w:tcPr>
          <w:p>
            <w:pPr>
              <w:ind w:left="16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Consolidated Statements of Changes in Shareholders’ Equity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540" w:type="dxa"/>
            <w:vAlign w:val="bottom"/>
          </w:tcPr>
          <w:p>
            <w:pPr>
              <w:ind w:left="16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Unaudited Consolidated Statements of Cash Flows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9540" w:type="dxa"/>
            <w:vAlign w:val="bottom"/>
          </w:tcPr>
          <w:p>
            <w:pPr>
              <w:ind w:left="16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Consolidated Financial Statements</w:t>
              </w:r>
            </w:hyperlink>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94"/>
        </w:trPr>
        <w:tc>
          <w:tcPr>
            <w:tcW w:w="95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2. - Management's Discussion and Analysis of Financial Condition and Results of Operations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3. - Quantitative and Qualitative Disclosures about Market Risk</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9540" w:type="dxa"/>
            <w:vAlign w:val="bottom"/>
          </w:tcPr>
          <w:p>
            <w:pPr>
              <w:ind w:left="9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4. - Controls and Procedures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72">
              <w:r>
                <w:rPr>
                  <w:rFonts w:ascii="Arial" w:cs="Arial" w:eastAsia="Arial" w:hAnsi="Arial"/>
                  <w:sz w:val="18"/>
                  <w:szCs w:val="18"/>
                  <w:b w:val="1"/>
                  <w:bCs w:val="1"/>
                  <w:u w:val="single" w:color="auto"/>
                  <w:color w:val="0000EE"/>
                </w:rPr>
                <w:t>Part II.- OTHER INFORMATION</w:t>
              </w:r>
            </w:hyperlink>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94"/>
        </w:trPr>
        <w:tc>
          <w:tcPr>
            <w:tcW w:w="95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1. - Legal Proceedings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1A. - Risk Factors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2. - Unregistered Sales of Equity Securities and Use of Proceeds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3. - Defaults upon Senior Securities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4. - Mine Safety Disclosures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5. - Other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6. - Exhibits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9540" w:type="dxa"/>
            <w:vAlign w:val="bottom"/>
          </w:tcPr>
          <w:p>
            <w:pPr>
              <w:ind w:left="90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Signatures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CERTAIN IMPORTANT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w:t>
      </w:r>
    </w:p>
    <w:p>
      <w:pPr>
        <w:spacing w:after="0" w:line="239" w:lineRule="exact"/>
        <w:rPr>
          <w:sz w:val="20"/>
          <w:szCs w:val="20"/>
          <w:color w:val="auto"/>
        </w:rPr>
      </w:pPr>
    </w:p>
    <w:p>
      <w:pPr>
        <w:ind w:left="660" w:hanging="328"/>
        <w:spacing w:after="0" w:line="284"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p>
      <w:pPr>
        <w:spacing w:after="0" w:line="145"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Mutual Group” refers to Nodak Mutual Group, Inc., which is the majority shareholder of NI Holdings;</w:t>
      </w:r>
    </w:p>
    <w:p>
      <w:pPr>
        <w:spacing w:after="0" w:line="215" w:lineRule="exact"/>
        <w:rPr>
          <w:rFonts w:ascii="Arial" w:cs="Arial" w:eastAsia="Arial" w:hAnsi="Arial"/>
          <w:sz w:val="22"/>
          <w:szCs w:val="22"/>
          <w:color w:val="auto"/>
        </w:rPr>
      </w:pPr>
    </w:p>
    <w:p>
      <w:pPr>
        <w:ind w:left="660" w:right="20" w:hanging="328"/>
        <w:spacing w:after="0" w:line="23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20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color w:val="auto"/>
        </w:rPr>
        <w:t>“Nodak Stock” refers to Nodak Insurance Company, the successor company to Nodak Mutual Insurance Company after the conversion;</w:t>
      </w:r>
    </w:p>
    <w:p>
      <w:pPr>
        <w:spacing w:after="0" w:line="201" w:lineRule="exact"/>
        <w:rPr>
          <w:rFonts w:ascii="Arial" w:cs="Arial" w:eastAsia="Arial" w:hAnsi="Arial"/>
          <w:sz w:val="21"/>
          <w:szCs w:val="21"/>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“Nodak Mutual” refers to Nodak Mutual Insurance Company, the predecessor company to Nodak Insurance Company prior to the conversion;</w:t>
      </w:r>
    </w:p>
    <w:p>
      <w:pPr>
        <w:spacing w:after="0" w:line="204"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Insurance” refers to Nodak Stock or Nodak Mutual interchangeably;</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“members” refers to the policyholders of Nodak Insurance, who are the named insureds under insurance policies issued by Nodak Insurance;</w:t>
      </w:r>
    </w:p>
    <w:p>
      <w:pPr>
        <w:spacing w:after="0" w:line="213" w:lineRule="exact"/>
        <w:rPr>
          <w:rFonts w:ascii="Arial" w:cs="Arial" w:eastAsia="Arial" w:hAnsi="Arial"/>
          <w:sz w:val="19"/>
          <w:szCs w:val="19"/>
          <w:color w:val="auto"/>
        </w:rPr>
      </w:pPr>
    </w:p>
    <w:p>
      <w:pPr>
        <w:ind w:left="660" w:right="6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“Battle Creek” refers to Battle Creek Mutual Insurance Company. Battle Creek is not a subsidiary of Nodak Insurance, but all of its insurance policies are reinsured by Nodak Insurance through a 100% quota-share reinsurance agreement. Battle Creek is controlled by Nodak Insurance as a result of an affiliation agreement between Battle Creek and Nodak Insurance. Battle Creek is consolidated with Nodak Insurance for financial reporting purposes;</w:t>
      </w:r>
    </w:p>
    <w:p>
      <w:pPr>
        <w:spacing w:after="0" w:line="215" w:lineRule="exact"/>
        <w:rPr>
          <w:rFonts w:ascii="Arial" w:cs="Arial" w:eastAsia="Arial" w:hAnsi="Arial"/>
          <w:sz w:val="22"/>
          <w:szCs w:val="22"/>
          <w:color w:val="auto"/>
        </w:rPr>
      </w:pPr>
    </w:p>
    <w:p>
      <w:pPr>
        <w:ind w:left="660" w:right="340" w:hanging="328"/>
        <w:spacing w:after="0" w:line="285"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58"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“American West” refers to American West Insurance Company. American West is a wholly-owned subsidiary of Nodak Insurance;</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215" w:lineRule="exact"/>
        <w:rPr>
          <w:rFonts w:ascii="Arial" w:cs="Arial" w:eastAsia="Arial" w:hAnsi="Arial"/>
          <w:sz w:val="22"/>
          <w:szCs w:val="22"/>
          <w:color w:val="auto"/>
        </w:rPr>
      </w:pPr>
    </w:p>
    <w:p>
      <w:pPr>
        <w:ind w:left="660" w:right="22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“Westminster” refers to Westminster American Insurance Company. On January 1, 2020, NI Holdings completed the acquisition of 100% of the common stock of Westminster from the private shareholder of Westminster. The financial results of Westminster have been included in the Consolidated Financial Statements herein since January 1, 2020. Westminster is a property and casualty insurance company specializing in commercial multi-peril insurance in the Mid-Atlantic region of the United States; and</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Agency” refers to Nodak Agency, Inc. Nodak Agency is a wholly-owned subsidiary of Nodak Insurance.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6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statements of goals, intentions, and expectations;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statements regarding prospects and business strategy; and</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estimates of future costs, benefits, and results.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forward-looking statements are subject to numerous assumptions, risks and uncertainties, including, among other things, the factors discussed under the heading “Risk Factors” in this Quarterly Report and our Annual Report on Form 10-K that could affect the actual outcome of future events.</w:t>
      </w:r>
    </w:p>
    <w:p>
      <w:pPr>
        <w:spacing w:after="0" w:line="11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6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material changes to the federal crop insurance program;</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future economic conditions in the markets in which we compete that are less favorable than expected;</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215" w:lineRule="exact"/>
        <w:rPr>
          <w:rFonts w:ascii="Arial" w:cs="Arial" w:eastAsia="Arial" w:hAnsi="Arial"/>
          <w:sz w:val="22"/>
          <w:szCs w:val="22"/>
          <w:color w:val="auto"/>
        </w:rPr>
      </w:pPr>
    </w:p>
    <w:p>
      <w:pPr>
        <w:ind w:left="980" w:right="54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successfully integrate acquired businesses;</w:t>
      </w:r>
    </w:p>
    <w:p>
      <w:pPr>
        <w:spacing w:after="0" w:line="215" w:lineRule="exact"/>
        <w:rPr>
          <w:rFonts w:ascii="Arial" w:cs="Arial" w:eastAsia="Arial" w:hAnsi="Arial"/>
          <w:sz w:val="22"/>
          <w:szCs w:val="22"/>
          <w:color w:val="auto"/>
        </w:rPr>
      </w:pPr>
    </w:p>
    <w:p>
      <w:pPr>
        <w:ind w:left="980" w:right="28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216" w:lineRule="exact"/>
        <w:rPr>
          <w:rFonts w:ascii="Arial" w:cs="Arial" w:eastAsia="Arial" w:hAnsi="Arial"/>
          <w:sz w:val="22"/>
          <w:szCs w:val="22"/>
          <w:color w:val="auto"/>
        </w:rPr>
      </w:pPr>
    </w:p>
    <w:p>
      <w:pPr>
        <w:ind w:left="980" w:right="12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impact of national or global events, including pandemics, military conflicts, and other wide-spread events;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estimates and adequacy of loss reserves and trends in loss and loss adjustment expenses;</w:t>
      </w:r>
    </w:p>
    <w:p>
      <w:pPr>
        <w:spacing w:after="0" w:line="19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1"/>
          <w:szCs w:val="21"/>
          <w:color w:val="auto"/>
        </w:rPr>
      </w:pPr>
      <w:r>
        <w:rPr>
          <w:rFonts w:ascii="Arial" w:cs="Arial" w:eastAsia="Arial" w:hAnsi="Arial"/>
          <w:sz w:val="17"/>
          <w:szCs w:val="17"/>
          <w:color w:val="auto"/>
        </w:rPr>
        <w:t>changes in the coverage terms required by state laws with respect to minimum auto liability insurance, including higher minimum limits;</w:t>
      </w:r>
    </w:p>
    <w:p>
      <w:pPr>
        <w:spacing w:after="0" w:line="192" w:lineRule="exact"/>
        <w:rPr>
          <w:rFonts w:ascii="Arial" w:cs="Arial" w:eastAsia="Arial" w:hAnsi="Arial"/>
          <w:sz w:val="21"/>
          <w:szCs w:val="21"/>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inability to obtain regulatory approval of, or to implement, premium rate increases;</w:t>
      </w:r>
    </w:p>
    <w:p>
      <w:pPr>
        <w:spacing w:after="0" w:line="215" w:lineRule="exact"/>
        <w:rPr>
          <w:rFonts w:ascii="Arial" w:cs="Arial" w:eastAsia="Arial" w:hAnsi="Arial"/>
          <w:sz w:val="22"/>
          <w:szCs w:val="22"/>
          <w:color w:val="auto"/>
        </w:rPr>
      </w:pPr>
    </w:p>
    <w:p>
      <w:pPr>
        <w:ind w:left="980" w:right="22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203" w:lineRule="exact"/>
        <w:rPr>
          <w:rFonts w:ascii="Arial" w:cs="Arial" w:eastAsia="Arial" w:hAnsi="Arial"/>
          <w:sz w:val="22"/>
          <w:szCs w:val="22"/>
          <w:color w:val="auto"/>
        </w:rPr>
      </w:pPr>
    </w:p>
    <w:p>
      <w:pPr>
        <w:ind w:left="98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potential impact on our reported net income that could result from the adoption of future accounting standards issued by the Securities and Exchange Commission, the Financial Accounting Standards Board, or other standard-setting bodies;</w:t>
      </w:r>
    </w:p>
    <w:p>
      <w:pPr>
        <w:spacing w:after="0" w:line="194"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potential impact of fraud, operational errors, systems malfunctions, or cybersecurity incidents;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adverse litigation or arbitration results; and</w:t>
      </w:r>
    </w:p>
    <w:p>
      <w:pPr>
        <w:spacing w:after="0" w:line="215" w:lineRule="exact"/>
        <w:rPr>
          <w:rFonts w:ascii="Arial" w:cs="Arial" w:eastAsia="Arial" w:hAnsi="Arial"/>
          <w:sz w:val="22"/>
          <w:szCs w:val="22"/>
          <w:color w:val="auto"/>
        </w:rPr>
      </w:pPr>
    </w:p>
    <w:p>
      <w:pPr>
        <w:ind w:left="980" w:right="660" w:hanging="324"/>
        <w:spacing w:after="0" w:line="238"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7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Item 1. - Financial Statements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32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September 30, 2020</w:t>
            </w:r>
          </w:p>
        </w:tc>
        <w:tc>
          <w:tcPr>
            <w:tcW w:w="120" w:type="dxa"/>
            <w:vAlign w:val="bottom"/>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71,305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62,132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 at fair value</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322,429</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Equity securities, at fair value</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65,786</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59,932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2,907</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tcPr>
          <w:p>
            <w:pPr>
              <w:ind w:left="360"/>
              <w:spacing w:after="0"/>
              <w:rPr>
                <w:sz w:val="20"/>
                <w:szCs w:val="20"/>
                <w:color w:val="auto"/>
              </w:rPr>
            </w:pPr>
            <w:r>
              <w:rPr>
                <w:rFonts w:ascii="Arial" w:cs="Arial" w:eastAsia="Arial" w:hAnsi="Arial"/>
                <w:sz w:val="18"/>
                <w:szCs w:val="18"/>
                <w:color w:val="auto"/>
              </w:rPr>
              <w:t>Total cash and investments</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462,427</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419,923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84,868</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36,691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23,885</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Reinsurance recoverables on losses</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13,556</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recoverables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Accrued investment income</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10,008</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9,519</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14,230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18,637</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4,499</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630,036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508,159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134,803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93,250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125,966</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Reinsurance premiums payable</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7,401</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35,180</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304,523</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$0.01 par value, authorized: 25,000,000 shares;</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issued: 23,000,000 shares; and</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outstanding: 2020 – 21,346,079 shares, 2019 – 22,119,380 shares</w:t>
            </w:r>
          </w:p>
        </w:tc>
        <w:tc>
          <w:tcPr>
            <w:tcW w:w="12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without par value, authorized 5,000,000 shares,</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shares issued or outstanding</w:t>
            </w:r>
          </w:p>
        </w:tc>
        <w:tc>
          <w:tcPr>
            <w:tcW w:w="1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97,146</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95,961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employee stock ownership plan shares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237,162</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218,480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net of income taxes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12,064</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Treasury stock, at cost, 2020 – 1,486,866 shares, 2019 – 713,565 shares</w:t>
            </w:r>
          </w:p>
        </w:tc>
        <w:tc>
          <w:tcPr>
            <w:tcW w:w="12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(23,097)</w:t>
            </w:r>
          </w:p>
        </w:tc>
        <w:tc>
          <w:tcPr>
            <w:tcW w:w="1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(12,308)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3,679</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325,513</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309,803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6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630,036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508,159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320" w:type="dxa"/>
            <w:vAlign w:val="bottom"/>
          </w:tcPr>
          <w:p>
            <w:pPr>
              <w:ind w:left="55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6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6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676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Unaudited Consolidated Statements of Operations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(dollar amounts in thousands, except per share amounts)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Three Months Ended</w:t>
            </w:r>
          </w:p>
        </w:tc>
        <w:tc>
          <w:tcPr>
            <w:tcW w:w="160" w:type="dxa"/>
            <w:vAlign w:val="bottom"/>
          </w:tcPr>
          <w:p>
            <w:pPr>
              <w:spacing w:after="0"/>
              <w:rPr>
                <w:sz w:val="24"/>
                <w:szCs w:val="24"/>
                <w:color w:val="auto"/>
              </w:rPr>
            </w:pPr>
          </w:p>
        </w:tc>
        <w:tc>
          <w:tcPr>
            <w:tcW w:w="18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8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73,342</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67,116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214,120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182,736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1,983</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5,875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80,854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70,248</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222,707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199,468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136,622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11,309</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39,277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22,651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75,980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78,849</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198,550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186,910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(8,601)</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24,157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5,259</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(6,959)</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18,898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tcPr>
          <w:p>
            <w:pPr>
              <w:ind w:left="180"/>
              <w:spacing w:after="0"/>
              <w:rPr>
                <w:sz w:val="20"/>
                <w:szCs w:val="20"/>
                <w:color w:val="auto"/>
              </w:rPr>
            </w:pPr>
            <w:r>
              <w:rPr>
                <w:rFonts w:ascii="Arial" w:cs="Arial" w:eastAsia="Arial" w:hAnsi="Arial"/>
                <w:sz w:val="18"/>
                <w:szCs w:val="18"/>
                <w:color w:val="auto"/>
              </w:rPr>
              <w:t>Net income (loss) attributable to NI Holdings, Inc.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3,664</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(6,979)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18,810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Diluted earnings (loss) per common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0.17</w:t>
            </w:r>
          </w:p>
        </w:tc>
        <w:tc>
          <w:tcPr>
            <w:tcW w:w="2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(0.31)</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0.42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62"/>
        </w:trPr>
        <w:tc>
          <w:tcPr>
            <w:tcW w:w="262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700" w:type="dxa"/>
            <w:vAlign w:val="bottom"/>
            <w:gridSpan w:val="7"/>
          </w:tcPr>
          <w:p>
            <w:pPr>
              <w:spacing w:after="0"/>
              <w:rPr>
                <w:sz w:val="20"/>
                <w:szCs w:val="20"/>
                <w:color w:val="auto"/>
              </w:rPr>
            </w:pPr>
            <w:r>
              <w:rPr>
                <w:rFonts w:ascii="Arial" w:cs="Arial" w:eastAsia="Arial" w:hAnsi="Arial"/>
                <w:sz w:val="18"/>
                <w:szCs w:val="18"/>
                <w:b w:val="1"/>
                <w:bCs w:val="1"/>
                <w:color w:val="auto"/>
                <w:w w:val="94"/>
              </w:rPr>
              <w:t>Unaudited Consolidated Statements of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(dollar amounts in thousands)</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gridSpan w:val="8"/>
          </w:tcPr>
          <w:p>
            <w:pPr>
              <w:ind w:left="420"/>
              <w:spacing w:after="0"/>
              <w:rPr>
                <w:sz w:val="20"/>
                <w:szCs w:val="20"/>
                <w:color w:val="auto"/>
              </w:rPr>
            </w:pPr>
            <w:r>
              <w:rPr>
                <w:rFonts w:ascii="Arial" w:cs="Arial" w:eastAsia="Arial" w:hAnsi="Arial"/>
                <w:sz w:val="18"/>
                <w:szCs w:val="18"/>
                <w:b w:val="1"/>
                <w:bCs w:val="1"/>
                <w:color w:val="auto"/>
              </w:rPr>
              <w:t>Three Months Ended September 30, 2020</w:t>
            </w:r>
          </w:p>
        </w:tc>
        <w:tc>
          <w:tcPr>
            <w:tcW w:w="240" w:type="dxa"/>
            <w:vAlign w:val="bottom"/>
          </w:tcPr>
          <w:p>
            <w:pPr>
              <w:spacing w:after="0"/>
              <w:rPr>
                <w:sz w:val="24"/>
                <w:szCs w:val="24"/>
                <w:color w:val="auto"/>
              </w:rPr>
            </w:pPr>
          </w:p>
        </w:tc>
        <w:tc>
          <w:tcPr>
            <w:tcW w:w="386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Nine Months Ended September 30, 2020</w:t>
            </w:r>
          </w:p>
        </w:tc>
      </w:tr>
      <w:tr>
        <w:trPr>
          <w:trHeight w:val="191"/>
        </w:trPr>
        <w:tc>
          <w:tcPr>
            <w:tcW w:w="2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center"/>
              <w:ind w:right="32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to 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to Non-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Controlling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Controlling</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Holdings, Inc.</w:t>
            </w:r>
          </w:p>
        </w:tc>
        <w:tc>
          <w:tcPr>
            <w:tcW w:w="10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Interest</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Holdings, Inc.</w:t>
            </w:r>
          </w:p>
        </w:tc>
        <w:tc>
          <w:tcPr>
            <w:tcW w:w="10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18,810</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18,898</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ind w:left="180" w:hanging="179"/>
        <w:spacing w:after="0" w:line="286" w:lineRule="auto"/>
        <w:rPr>
          <w:sz w:val="20"/>
          <w:szCs w:val="20"/>
          <w:color w:val="auto"/>
        </w:rPr>
      </w:pPr>
      <w:r>
        <w:rPr>
          <w:rFonts w:ascii="Arial" w:cs="Arial" w:eastAsia="Arial" w:hAnsi="Arial"/>
          <w:sz w:val="16"/>
          <w:szCs w:val="16"/>
          <w:color w:val="auto"/>
        </w:rPr>
        <w:t>Other comprehensive income, before income taxes: Holding gains on investments Reclassification adjustment for</w:t>
      </w:r>
    </w:p>
    <w:p>
      <w:pPr>
        <w:spacing w:after="0" w:line="1" w:lineRule="exact"/>
        <w:rPr>
          <w:sz w:val="20"/>
          <w:szCs w:val="20"/>
          <w:color w:val="auto"/>
        </w:rPr>
      </w:pPr>
    </w:p>
    <w:p>
      <w:pPr>
        <w:ind w:left="360" w:right="80"/>
        <w:spacing w:after="0" w:line="281" w:lineRule="auto"/>
        <w:rPr>
          <w:sz w:val="20"/>
          <w:szCs w:val="20"/>
          <w:color w:val="auto"/>
        </w:rPr>
      </w:pPr>
      <w:r>
        <w:rPr>
          <w:rFonts w:ascii="Arial" w:cs="Arial" w:eastAsia="Arial" w:hAnsi="Arial"/>
          <w:sz w:val="16"/>
          <w:szCs w:val="16"/>
          <w:color w:val="auto"/>
        </w:rPr>
        <w:t>net realized capital (gain) loss included in net income Other comprehensive</w:t>
      </w:r>
    </w:p>
    <w:p>
      <w:pPr>
        <w:spacing w:after="0" w:line="2" w:lineRule="exact"/>
        <w:rPr>
          <w:sz w:val="20"/>
          <w:szCs w:val="20"/>
          <w:color w:val="auto"/>
        </w:rPr>
      </w:pPr>
    </w:p>
    <w:p>
      <w:pPr>
        <w:ind w:left="540" w:right="220"/>
        <w:spacing w:after="0" w:line="250" w:lineRule="auto"/>
        <w:rPr>
          <w:sz w:val="20"/>
          <w:szCs w:val="20"/>
          <w:color w:val="auto"/>
        </w:rPr>
      </w:pPr>
      <w:r>
        <w:rPr>
          <w:rFonts w:ascii="Arial" w:cs="Arial" w:eastAsia="Arial" w:hAnsi="Arial"/>
          <w:sz w:val="18"/>
          <w:szCs w:val="18"/>
          <w:color w:val="auto"/>
        </w:rPr>
        <w:t>income, before income taxes</w:t>
      </w:r>
    </w:p>
    <w:p>
      <w:pPr>
        <w:spacing w:after="0" w:line="1" w:lineRule="exact"/>
        <w:rPr>
          <w:sz w:val="20"/>
          <w:szCs w:val="20"/>
          <w:color w:val="auto"/>
        </w:rPr>
      </w:pPr>
    </w:p>
    <w:p>
      <w:pPr>
        <w:ind w:left="180" w:right="100" w:hanging="179"/>
        <w:spacing w:after="0" w:line="250" w:lineRule="auto"/>
        <w:rPr>
          <w:sz w:val="20"/>
          <w:szCs w:val="20"/>
          <w:color w:val="auto"/>
        </w:rPr>
      </w:pPr>
      <w:r>
        <w:rPr>
          <w:rFonts w:ascii="Arial" w:cs="Arial" w:eastAsia="Arial" w:hAnsi="Arial"/>
          <w:sz w:val="18"/>
          <w:szCs w:val="18"/>
          <w:color w:val="auto"/>
        </w:rPr>
        <w:t>Income tax expense related to items of other comprehensive income</w:t>
      </w:r>
    </w:p>
    <w:p>
      <w:pPr>
        <w:spacing w:after="0" w:line="1" w:lineRule="exact"/>
        <w:rPr>
          <w:sz w:val="20"/>
          <w:szCs w:val="20"/>
          <w:color w:val="auto"/>
        </w:rPr>
      </w:pPr>
    </w:p>
    <w:p>
      <w:pPr>
        <w:ind w:left="540" w:right="260" w:hanging="179"/>
        <w:spacing w:after="0" w:line="251" w:lineRule="auto"/>
        <w:rPr>
          <w:sz w:val="20"/>
          <w:szCs w:val="20"/>
          <w:color w:val="auto"/>
        </w:rPr>
      </w:pPr>
      <w:r>
        <w:rPr>
          <w:rFonts w:ascii="Arial" w:cs="Arial" w:eastAsia="Arial" w:hAnsi="Arial"/>
          <w:sz w:val="18"/>
          <w:szCs w:val="18"/>
          <w:color w:val="auto"/>
        </w:rPr>
        <w:t>Other comprehensive income, net of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right"/>
              <w:spacing w:after="0"/>
              <w:rPr>
                <w:sz w:val="20"/>
                <w:szCs w:val="20"/>
                <w:color w:val="auto"/>
              </w:rPr>
            </w:pPr>
            <w:r>
              <w:rPr>
                <w:rFonts w:ascii="Arial" w:cs="Arial" w:eastAsia="Arial" w:hAnsi="Arial"/>
                <w:sz w:val="18"/>
                <w:szCs w:val="18"/>
                <w:color w:val="auto"/>
              </w:rPr>
              <w:t>2,038</w:t>
            </w:r>
          </w:p>
        </w:tc>
        <w:tc>
          <w:tcPr>
            <w:tcW w:w="36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2,049</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8,851</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8,970</w:t>
            </w:r>
          </w:p>
        </w:tc>
      </w:tr>
      <w:tr>
        <w:trPr>
          <w:trHeight w:val="634"/>
        </w:trPr>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(539)</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(531)</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(684)</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(686)</w:t>
            </w:r>
          </w:p>
        </w:tc>
      </w:tr>
      <w:tr>
        <w:trPr>
          <w:trHeight w:val="20"/>
        </w:trPr>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1240" w:type="dxa"/>
            <w:vAlign w:val="bottom"/>
          </w:tcPr>
          <w:p>
            <w:pPr>
              <w:jc w:val="right"/>
              <w:spacing w:after="0"/>
              <w:rPr>
                <w:sz w:val="20"/>
                <w:szCs w:val="20"/>
                <w:color w:val="auto"/>
              </w:rPr>
            </w:pPr>
            <w:r>
              <w:rPr>
                <w:rFonts w:ascii="Arial" w:cs="Arial" w:eastAsia="Arial" w:hAnsi="Arial"/>
                <w:sz w:val="18"/>
                <w:szCs w:val="18"/>
                <w:color w:val="auto"/>
              </w:rPr>
              <w:t>1,499</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1,518</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8,167</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8,284</w:t>
            </w:r>
          </w:p>
        </w:tc>
      </w:tr>
      <w:tr>
        <w:trPr>
          <w:trHeight w:val="634"/>
        </w:trPr>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(319)</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(1,715)</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(1,740)</w:t>
            </w:r>
          </w:p>
        </w:tc>
      </w:tr>
      <w:tr>
        <w:trPr>
          <w:trHeight w:val="20"/>
        </w:trPr>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1240" w:type="dxa"/>
            <w:vAlign w:val="bottom"/>
          </w:tcPr>
          <w:p>
            <w:pPr>
              <w:jc w:val="right"/>
              <w:spacing w:after="0"/>
              <w:rPr>
                <w:sz w:val="20"/>
                <w:szCs w:val="20"/>
                <w:color w:val="auto"/>
              </w:rPr>
            </w:pPr>
            <w:r>
              <w:rPr>
                <w:rFonts w:ascii="Arial" w:cs="Arial" w:eastAsia="Arial" w:hAnsi="Arial"/>
                <w:sz w:val="18"/>
                <w:szCs w:val="18"/>
                <w:color w:val="auto"/>
              </w:rPr>
              <w:t>1,184</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1,199</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6,452</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6,544</w:t>
            </w:r>
          </w:p>
        </w:tc>
      </w:tr>
      <w:tr>
        <w:trPr>
          <w:trHeight w:val="20"/>
        </w:trPr>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-2056765</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-1645285</wp:posOffset>
            </wp:positionV>
            <wp:extent cx="71323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-822325</wp:posOffset>
            </wp:positionV>
            <wp:extent cx="713232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2420" w:space="200"/>
            <w:col w:w="8620"/>
          </w:cols>
          <w:pgMar w:left="320" w:top="125" w:right="339" w:bottom="1440" w:gutter="0" w:footer="0" w:header="0"/>
          <w:type w:val="continuous"/>
        </w:sectPr>
      </w:pPr>
    </w:p>
    <w:p>
      <w:pPr>
        <w:spacing w:after="0"/>
        <w:tabs>
          <w:tab w:leader="none" w:pos="2600" w:val="left"/>
          <w:tab w:leader="none" w:pos="3440" w:val="left"/>
          <w:tab w:leader="none" w:pos="4200" w:val="left"/>
          <w:tab w:leader="none" w:pos="5160" w:val="left"/>
          <w:tab w:leader="none" w:pos="5680" w:val="left"/>
          <w:tab w:leader="none" w:pos="6400" w:val="left"/>
          <w:tab w:leader="none" w:pos="7120" w:val="left"/>
          <w:tab w:leader="none" w:pos="7740" w:val="left"/>
          <w:tab w:leader="none" w:pos="8560" w:val="left"/>
          <w:tab w:leader="none" w:pos="9400" w:val="left"/>
          <w:tab w:leader="none" w:pos="10000" w:val="left"/>
          <w:tab w:leader="none" w:pos="10600" w:val="left"/>
        </w:tabs>
        <w:rPr>
          <w:sz w:val="20"/>
          <w:szCs w:val="20"/>
          <w:color w:val="auto"/>
        </w:rPr>
      </w:pPr>
      <w:r>
        <w:rPr>
          <w:rFonts w:ascii="Arial" w:cs="Arial" w:eastAsia="Arial" w:hAnsi="Arial"/>
          <w:sz w:val="35"/>
          <w:szCs w:val="35"/>
          <w:color w:val="auto"/>
          <w:vertAlign w:val="subscript"/>
        </w:rPr>
        <w:t>Comprehensive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4,848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4,885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25,262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25,442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17780</wp:posOffset>
            </wp:positionV>
            <wp:extent cx="540067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40" w:type="dxa"/>
            <w:vAlign w:val="bottom"/>
            <w:gridSpan w:val="8"/>
          </w:tcPr>
          <w:p>
            <w:pPr>
              <w:jc w:val="right"/>
              <w:ind w:right="561"/>
              <w:spacing w:after="0"/>
              <w:rPr>
                <w:sz w:val="20"/>
                <w:szCs w:val="20"/>
                <w:color w:val="auto"/>
              </w:rPr>
            </w:pPr>
            <w:r>
              <w:rPr>
                <w:rFonts w:ascii="Arial" w:cs="Arial" w:eastAsia="Arial" w:hAnsi="Arial"/>
                <w:sz w:val="18"/>
                <w:szCs w:val="18"/>
                <w:b w:val="1"/>
                <w:bCs w:val="1"/>
                <w:color w:val="auto"/>
              </w:rPr>
              <w:t>Three Months Ended September 30, 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 30, 2019</w:t>
            </w:r>
          </w:p>
        </w:tc>
        <w:tc>
          <w:tcPr>
            <w:tcW w:w="0" w:type="dxa"/>
            <w:vAlign w:val="bottom"/>
          </w:tcPr>
          <w:p>
            <w:pPr>
              <w:spacing w:after="0"/>
              <w:rPr>
                <w:sz w:val="1"/>
                <w:szCs w:val="1"/>
                <w:color w:val="auto"/>
              </w:rPr>
            </w:pPr>
          </w:p>
        </w:tc>
      </w:tr>
      <w:tr>
        <w:trPr>
          <w:trHeight w:val="191"/>
        </w:trPr>
        <w:tc>
          <w:tcPr>
            <w:tcW w:w="2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367"/>
              <w:spacing w:after="0"/>
              <w:rPr>
                <w:sz w:val="20"/>
                <w:szCs w:val="20"/>
                <w:color w:val="auto"/>
              </w:rPr>
            </w:pPr>
            <w:r>
              <w:rPr>
                <w:rFonts w:ascii="Arial" w:cs="Arial" w:eastAsia="Arial" w:hAnsi="Arial"/>
                <w:sz w:val="18"/>
                <w:szCs w:val="18"/>
                <w:b w:val="1"/>
                <w:bCs w:val="1"/>
                <w:color w:val="auto"/>
                <w:w w:val="95"/>
              </w:rPr>
              <w:t>Attributable</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 Non-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Attributable</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 Non-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367"/>
              <w:spacing w:after="0"/>
              <w:rPr>
                <w:sz w:val="20"/>
                <w:szCs w:val="20"/>
                <w:color w:val="auto"/>
              </w:rPr>
            </w:pPr>
            <w:r>
              <w:rPr>
                <w:rFonts w:ascii="Arial" w:cs="Arial" w:eastAsia="Arial" w:hAnsi="Arial"/>
                <w:sz w:val="18"/>
                <w:szCs w:val="18"/>
                <w:b w:val="1"/>
                <w:bCs w:val="1"/>
                <w:color w:val="auto"/>
                <w:w w:val="99"/>
              </w:rPr>
              <w:t>to NI</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Controlling</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to NI</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Controlling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3"/>
          </w:tcPr>
          <w:p>
            <w:pPr>
              <w:jc w:val="center"/>
              <w:ind w:right="367"/>
              <w:spacing w:after="0"/>
              <w:rPr>
                <w:sz w:val="20"/>
                <w:szCs w:val="20"/>
                <w:color w:val="auto"/>
              </w:rPr>
            </w:pPr>
            <w:r>
              <w:rPr>
                <w:rFonts w:ascii="Arial" w:cs="Arial" w:eastAsia="Arial" w:hAnsi="Arial"/>
                <w:sz w:val="18"/>
                <w:szCs w:val="18"/>
                <w:b w:val="1"/>
                <w:bCs w:val="1"/>
                <w:color w:val="auto"/>
                <w:w w:val="91"/>
              </w:rPr>
              <w:t>Holdings, Inc.</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260" w:type="dxa"/>
            <w:vAlign w:val="bottom"/>
          </w:tcPr>
          <w:p>
            <w:pPr>
              <w:spacing w:after="0"/>
              <w:rPr>
                <w:sz w:val="20"/>
                <w:szCs w:val="20"/>
                <w:color w:val="auto"/>
              </w:rPr>
            </w:pPr>
          </w:p>
        </w:tc>
        <w:tc>
          <w:tcPr>
            <w:tcW w:w="112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Holdings, Inc.</w:t>
            </w: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before income taxes:</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Holding gains on investments</w:t>
            </w:r>
          </w:p>
        </w:tc>
        <w:tc>
          <w:tcPr>
            <w:tcW w:w="80" w:type="dxa"/>
            <w:vAlign w:val="bottom"/>
          </w:tcPr>
          <w:p>
            <w:pPr>
              <w:spacing w:after="0"/>
              <w:rPr>
                <w:sz w:val="18"/>
                <w:szCs w:val="18"/>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2,054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Reclassification adjustment for</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capital (gain)</w:t>
            </w:r>
          </w:p>
        </w:tc>
        <w:tc>
          <w:tcPr>
            <w:tcW w:w="8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right"/>
              <w:ind w:right="12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included in net income</w:t>
            </w:r>
          </w:p>
        </w:tc>
        <w:tc>
          <w:tcPr>
            <w:tcW w:w="8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Borders>
              <w:top w:val="single" w:sz="8" w:color="CCEEFF"/>
            </w:tcBorders>
          </w:tcPr>
          <w:p>
            <w:pPr>
              <w:ind w:left="360"/>
              <w:spacing w:after="0" w:line="195" w:lineRule="exact"/>
              <w:rPr>
                <w:sz w:val="20"/>
                <w:szCs w:val="20"/>
                <w:color w:val="auto"/>
              </w:rPr>
            </w:pPr>
            <w:r>
              <w:rPr>
                <w:rFonts w:ascii="Arial" w:cs="Arial" w:eastAsia="Arial" w:hAnsi="Arial"/>
                <w:sz w:val="18"/>
                <w:szCs w:val="18"/>
                <w:color w:val="auto"/>
              </w:rPr>
              <w:t>Other comprehensive</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540"/>
              <w:spacing w:after="0"/>
              <w:rPr>
                <w:sz w:val="20"/>
                <w:szCs w:val="20"/>
                <w:color w:val="auto"/>
              </w:rPr>
            </w:pPr>
            <w:r>
              <w:rPr>
                <w:rFonts w:ascii="Arial" w:cs="Arial" w:eastAsia="Arial" w:hAnsi="Arial"/>
                <w:sz w:val="18"/>
                <w:szCs w:val="18"/>
                <w:color w:val="auto"/>
              </w:rPr>
              <w:t>income, before income</w:t>
            </w:r>
          </w:p>
        </w:tc>
        <w:tc>
          <w:tcPr>
            <w:tcW w:w="80" w:type="dxa"/>
            <w:vAlign w:val="bottom"/>
          </w:tcPr>
          <w:p>
            <w:pPr>
              <w:spacing w:after="0"/>
              <w:rPr>
                <w:sz w:val="18"/>
                <w:szCs w:val="18"/>
                <w:color w:val="auto"/>
              </w:rPr>
            </w:pPr>
          </w:p>
        </w:tc>
        <w:tc>
          <w:tcPr>
            <w:tcW w:w="142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9,898</w:t>
            </w:r>
          </w:p>
        </w:tc>
        <w:tc>
          <w:tcPr>
            <w:tcW w:w="120" w:type="dxa"/>
            <w:vAlign w:val="bottom"/>
          </w:tcPr>
          <w:p>
            <w:pPr>
              <w:spacing w:after="0"/>
              <w:rPr>
                <w:sz w:val="18"/>
                <w:szCs w:val="18"/>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17"/>
        </w:trPr>
        <w:tc>
          <w:tcPr>
            <w:tcW w:w="2620" w:type="dxa"/>
            <w:vAlign w:val="bottom"/>
          </w:tcPr>
          <w:p>
            <w:pPr>
              <w:ind w:left="54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180" w:hanging="179"/>
        <w:spacing w:after="0" w:line="250" w:lineRule="auto"/>
        <w:rPr>
          <w:sz w:val="20"/>
          <w:szCs w:val="20"/>
          <w:color w:val="auto"/>
        </w:rPr>
      </w:pPr>
      <w:r>
        <w:rPr>
          <w:rFonts w:ascii="Arial" w:cs="Arial" w:eastAsia="Arial" w:hAnsi="Arial"/>
          <w:sz w:val="18"/>
          <w:szCs w:val="18"/>
          <w:color w:val="auto"/>
        </w:rPr>
        <w:t>Income tax expense related to items of other comprehensive income</w:t>
      </w:r>
    </w:p>
    <w:p>
      <w:pPr>
        <w:spacing w:after="0" w:line="1" w:lineRule="exact"/>
        <w:rPr>
          <w:sz w:val="20"/>
          <w:szCs w:val="20"/>
          <w:color w:val="auto"/>
        </w:rPr>
      </w:pPr>
    </w:p>
    <w:p>
      <w:pPr>
        <w:ind w:left="540" w:right="160" w:hanging="179"/>
        <w:spacing w:after="0" w:line="251" w:lineRule="auto"/>
        <w:rPr>
          <w:sz w:val="20"/>
          <w:szCs w:val="20"/>
          <w:color w:val="auto"/>
        </w:rPr>
      </w:pPr>
      <w:r>
        <w:rPr>
          <w:rFonts w:ascii="Arial" w:cs="Arial" w:eastAsia="Arial" w:hAnsi="Arial"/>
          <w:sz w:val="18"/>
          <w:szCs w:val="18"/>
          <w:color w:val="auto"/>
        </w:rPr>
        <w:t>Other comprehensive income, net of income taxes</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(422)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(429)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(2,079)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(2,114)</w:t>
            </w:r>
          </w:p>
        </w:tc>
      </w:tr>
      <w:tr>
        <w:trPr>
          <w:trHeight w:val="20"/>
        </w:trPr>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1240" w:type="dxa"/>
            <w:vAlign w:val="bottom"/>
          </w:tcPr>
          <w:p>
            <w:pPr>
              <w:jc w:val="right"/>
              <w:spacing w:after="0"/>
              <w:rPr>
                <w:sz w:val="20"/>
                <w:szCs w:val="20"/>
                <w:color w:val="auto"/>
              </w:rPr>
            </w:pPr>
            <w:r>
              <w:rPr>
                <w:rFonts w:ascii="Arial" w:cs="Arial" w:eastAsia="Arial" w:hAnsi="Arial"/>
                <w:sz w:val="18"/>
                <w:szCs w:val="18"/>
                <w:color w:val="auto"/>
              </w:rPr>
              <w:t>1,584</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1,613</w:t>
            </w:r>
          </w:p>
        </w:tc>
        <w:tc>
          <w:tcPr>
            <w:tcW w:w="22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7,819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7,953</w:t>
            </w:r>
          </w:p>
        </w:tc>
      </w:tr>
      <w:tr>
        <w:trPr>
          <w:trHeight w:val="20"/>
        </w:trPr>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-410845</wp:posOffset>
            </wp:positionV>
            <wp:extent cx="713232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2320" w:space="300"/>
            <w:col w:w="8620"/>
          </w:cols>
          <w:pgMar w:left="320" w:top="125" w:right="339" w:bottom="1440" w:gutter="0" w:footer="0" w:header="0"/>
          <w:type w:val="continuous"/>
        </w:sectPr>
      </w:pPr>
    </w:p>
    <w:p>
      <w:pPr>
        <w:ind w:left="180"/>
        <w:spacing w:after="0"/>
        <w:tabs>
          <w:tab w:leader="none" w:pos="2600" w:val="left"/>
          <w:tab w:leader="none" w:pos="3380" w:val="left"/>
          <w:tab w:leader="none" w:pos="4100" w:val="left"/>
          <w:tab w:leader="none" w:pos="5160" w:val="left"/>
          <w:tab w:leader="none" w:pos="5560" w:val="left"/>
          <w:tab w:leader="none" w:pos="6320" w:val="left"/>
          <w:tab w:leader="none" w:pos="7000" w:val="left"/>
          <w:tab w:leader="none" w:pos="7720" w:val="left"/>
          <w:tab w:leader="none" w:pos="8440" w:val="left"/>
          <w:tab w:leader="none" w:pos="9400" w:val="left"/>
          <w:tab w:leader="none" w:pos="9880" w:val="left"/>
          <w:tab w:leader="none" w:pos="10620" w:val="left"/>
        </w:tabs>
        <w:rPr>
          <w:sz w:val="20"/>
          <w:szCs w:val="20"/>
          <w:color w:val="auto"/>
        </w:rPr>
      </w:pPr>
      <w:r>
        <w:rPr>
          <w:rFonts w:ascii="Arial" w:cs="Arial" w:eastAsia="Arial" w:hAnsi="Arial"/>
          <w:sz w:val="28"/>
          <w:szCs w:val="28"/>
          <w:color w:val="auto"/>
          <w:vertAlign w:val="subscript"/>
        </w:rPr>
        <w:t>Comprehensive income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(5,395)</w:t>
        <w:tab/>
        <w:t>$</w:t>
      </w:r>
      <w:r>
        <w:rPr>
          <w:sz w:val="20"/>
          <w:szCs w:val="20"/>
          <w:color w:val="auto"/>
        </w:rPr>
        <w:tab/>
      </w:r>
      <w:r>
        <w:rPr>
          <w:rFonts w:ascii="Arial" w:cs="Arial" w:eastAsia="Arial" w:hAnsi="Arial"/>
          <w:sz w:val="18"/>
          <w:szCs w:val="18"/>
          <w:color w:val="auto"/>
        </w:rPr>
        <w:t>49</w:t>
        <w:tab/>
        <w:t>$</w:t>
      </w:r>
      <w:r>
        <w:rPr>
          <w:sz w:val="20"/>
          <w:szCs w:val="20"/>
          <w:color w:val="auto"/>
        </w:rPr>
        <w:tab/>
      </w:r>
      <w:r>
        <w:rPr>
          <w:rFonts w:ascii="Arial" w:cs="Arial" w:eastAsia="Arial" w:hAnsi="Arial"/>
          <w:sz w:val="18"/>
          <w:szCs w:val="18"/>
          <w:color w:val="auto"/>
        </w:rPr>
        <w:t>(5,346)</w:t>
        <w:tab/>
        <w:t>$</w:t>
      </w:r>
      <w:r>
        <w:rPr>
          <w:sz w:val="20"/>
          <w:szCs w:val="20"/>
          <w:color w:val="auto"/>
        </w:rPr>
        <w:tab/>
      </w:r>
      <w:r>
        <w:rPr>
          <w:rFonts w:ascii="Arial" w:cs="Arial" w:eastAsia="Arial" w:hAnsi="Arial"/>
          <w:sz w:val="18"/>
          <w:szCs w:val="18"/>
          <w:color w:val="auto"/>
        </w:rPr>
        <w:t>17,091</w:t>
        <w:tab/>
        <w:t>$</w:t>
      </w:r>
      <w:r>
        <w:rPr>
          <w:sz w:val="20"/>
          <w:szCs w:val="20"/>
          <w:color w:val="auto"/>
        </w:rPr>
        <w:tab/>
      </w:r>
      <w:r>
        <w:rPr>
          <w:rFonts w:ascii="Arial" w:cs="Arial" w:eastAsia="Arial" w:hAnsi="Arial"/>
          <w:sz w:val="18"/>
          <w:szCs w:val="18"/>
          <w:color w:val="auto"/>
        </w:rPr>
        <w:t>214</w:t>
        <w:tab/>
        <w:t>$</w:t>
      </w:r>
      <w:r>
        <w:rPr>
          <w:sz w:val="20"/>
          <w:szCs w:val="20"/>
          <w:color w:val="auto"/>
        </w:rPr>
        <w:tab/>
      </w:r>
      <w:r>
        <w:rPr>
          <w:rFonts w:ascii="Arial" w:cs="Arial" w:eastAsia="Arial" w:hAnsi="Arial"/>
          <w:sz w:val="16"/>
          <w:szCs w:val="16"/>
          <w:color w:val="auto"/>
        </w:rPr>
        <w:t>17,305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Unearned</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Employee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Plan</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Retained</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Income, Net of</w:t>
            </w:r>
          </w:p>
        </w:tc>
        <w:tc>
          <w:tcPr>
            <w:tcW w:w="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Treasury</w:t>
            </w:r>
          </w:p>
        </w:tc>
        <w:tc>
          <w:tcPr>
            <w:tcW w:w="12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Controlling</w:t>
            </w:r>
          </w:p>
        </w:tc>
        <w:tc>
          <w:tcPr>
            <w:tcW w:w="1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Stock</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Earnings</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Income Taxes</w:t>
            </w:r>
          </w:p>
        </w:tc>
        <w:tc>
          <w:tcPr>
            <w:tcW w:w="120" w:type="dxa"/>
            <w:vAlign w:val="bottom"/>
          </w:tcPr>
          <w:p>
            <w:pPr>
              <w:spacing w:after="0"/>
              <w:rPr>
                <w:sz w:val="20"/>
                <w:szCs w:val="20"/>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Interest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July 1, 2020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96,661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233,498</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(18,517)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324,723</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3,664</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income,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net of income taxes</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Balance, September 30, 2020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237,162</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(23,097)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3,679</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325,513</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1"/>
          </w:tcPr>
          <w:p>
            <w:pPr>
              <w:jc w:val="right"/>
              <w:ind w:right="640"/>
              <w:spacing w:after="0"/>
              <w:rPr>
                <w:sz w:val="20"/>
                <w:szCs w:val="20"/>
                <w:color w:val="auto"/>
              </w:rPr>
            </w:pPr>
            <w:r>
              <w:rPr>
                <w:rFonts w:ascii="Arial" w:cs="Arial" w:eastAsia="Arial" w:hAnsi="Arial"/>
                <w:sz w:val="18"/>
                <w:szCs w:val="18"/>
                <w:b w:val="1"/>
                <w:bCs w:val="1"/>
                <w:color w:val="auto"/>
              </w:rPr>
              <w:t>Nine Months Ended September 30, 2020</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Unearned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Employee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Ownership</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Common</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Plan</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Income, Net of</w:t>
            </w:r>
          </w:p>
        </w:tc>
        <w:tc>
          <w:tcPr>
            <w:tcW w:w="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Treasury</w:t>
            </w:r>
          </w:p>
        </w:tc>
        <w:tc>
          <w:tcPr>
            <w:tcW w:w="11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Controlling</w:t>
            </w:r>
          </w:p>
        </w:tc>
        <w:tc>
          <w:tcPr>
            <w:tcW w:w="14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Stock</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Income Taxes</w:t>
            </w:r>
          </w:p>
        </w:tc>
        <w:tc>
          <w:tcPr>
            <w:tcW w:w="12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Interest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95,961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218,480</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(12,308)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309,803</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18,810</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income,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net of income taxes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tcPr>
          <w:p>
            <w:pPr>
              <w:spacing w:after="0"/>
              <w:rPr>
                <w:sz w:val="20"/>
                <w:szCs w:val="20"/>
                <w:color w:val="auto"/>
              </w:rPr>
            </w:pPr>
            <w:r>
              <w:rPr>
                <w:rFonts w:ascii="Arial" w:cs="Arial" w:eastAsia="Arial" w:hAnsi="Arial"/>
                <w:sz w:val="18"/>
                <w:szCs w:val="18"/>
                <w:color w:val="auto"/>
                <w:w w:val="97"/>
              </w:rPr>
              <w:t>Balance, September 30, 2020</w:t>
            </w:r>
          </w:p>
        </w:tc>
        <w:tc>
          <w:tcPr>
            <w:tcW w:w="100" w:type="dxa"/>
            <w:vAlign w:val="bottom"/>
          </w:tcPr>
          <w:p>
            <w:pPr>
              <w:jc w:val="right"/>
              <w:spacing w:after="0"/>
              <w:rPr>
                <w:sz w:val="20"/>
                <w:szCs w:val="20"/>
                <w:color w:val="auto"/>
              </w:rPr>
            </w:pPr>
            <w:r>
              <w:rPr>
                <w:rFonts w:ascii="Arial" w:cs="Arial" w:eastAsia="Arial" w:hAnsi="Arial"/>
                <w:sz w:val="4"/>
                <w:szCs w:val="4"/>
                <w:color w:val="auto"/>
                <w:w w:val="87"/>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97,146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237,162</w:t>
            </w:r>
          </w:p>
        </w:tc>
        <w:tc>
          <w:tcPr>
            <w:tcW w:w="28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12,064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(23,097)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3,679</w:t>
            </w:r>
          </w:p>
        </w:tc>
        <w:tc>
          <w:tcPr>
            <w:tcW w:w="14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6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1"/>
              </w:rPr>
              <w:t>Unearned</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Ownership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Plan</w:t>
            </w:r>
          </w:p>
        </w:tc>
        <w:tc>
          <w:tcPr>
            <w:tcW w:w="8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Income, Net of</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Treasury</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r>
      <w:tr>
        <w:trPr>
          <w:trHeight w:val="234"/>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Earnings</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Income Taxes</w:t>
            </w:r>
          </w:p>
        </w:tc>
        <w:tc>
          <w:tcPr>
            <w:tcW w:w="14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Balance, July 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208,330</w:t>
            </w: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(12,308)</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297,314</w:t>
            </w: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(6,979)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(6,959)</w:t>
            </w: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income, net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of income taxes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1,584</w:t>
            </w: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r>
      <w:tr>
        <w:trPr>
          <w:trHeight w:val="20"/>
        </w:trPr>
        <w:tc>
          <w:tcPr>
            <w:tcW w:w="26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64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95,460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201,351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(12,308)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292,307</w:t>
            </w:r>
          </w:p>
        </w:tc>
      </w:tr>
      <w:tr>
        <w:trPr>
          <w:trHeight w:val="20"/>
        </w:trPr>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Unearned</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Employee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Plan</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Retained</w:t>
            </w:r>
          </w:p>
        </w:tc>
        <w:tc>
          <w:tcPr>
            <w:tcW w:w="1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Income, Net of</w:t>
            </w:r>
          </w:p>
        </w:tc>
        <w:tc>
          <w:tcPr>
            <w:tcW w:w="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Treasury</w:t>
            </w:r>
          </w:p>
        </w:tc>
        <w:tc>
          <w:tcPr>
            <w:tcW w:w="1200" w:type="dxa"/>
            <w:vAlign w:val="bottom"/>
            <w:gridSpan w:val="4"/>
          </w:tcPr>
          <w:p>
            <w:pPr>
              <w:ind w:left="120"/>
              <w:spacing w:after="0"/>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r>
      <w:tr>
        <w:trPr>
          <w:trHeight w:val="234"/>
        </w:trPr>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Earnings</w:t>
            </w:r>
          </w:p>
        </w:tc>
        <w:tc>
          <w:tcPr>
            <w:tcW w:w="120" w:type="dxa"/>
            <w:vAlign w:val="bottom"/>
          </w:tcPr>
          <w:p>
            <w:pPr>
              <w:spacing w:after="0"/>
              <w:rPr>
                <w:sz w:val="20"/>
                <w:szCs w:val="20"/>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Income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183,946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275,753</w:t>
            </w:r>
          </w:p>
        </w:tc>
        <w:tc>
          <w:tcPr>
            <w:tcW w:w="12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 change in</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accounting for equity securities</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8,184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9,272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9,352</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Other comprehensive income, net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income taxes</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7,953</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(2,006)</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8"/>
              </w:rPr>
              <w:t>Issuance of vested award shares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0"/>
        </w:trPr>
        <w:tc>
          <w:tcPr>
            <w:tcW w:w="2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201,351</w:t>
            </w:r>
          </w:p>
        </w:tc>
        <w:tc>
          <w:tcPr>
            <w:tcW w:w="34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(12,308)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292,307</w:t>
            </w:r>
          </w:p>
        </w:tc>
      </w:tr>
      <w:tr>
        <w:trPr>
          <w:trHeight w:val="20"/>
        </w:trPr>
        <w:tc>
          <w:tcPr>
            <w:tcW w:w="2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806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(dollar amounts in thousands)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8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18,898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9,352</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Net capital gain on investments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(1,380)</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(benefit) expense</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Depreciation of property and equipment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1,662</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policy acquisition costs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39,277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36,682</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Deferral of policy acquisition costs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(47,763)</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(39,620)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amortization of premiums and discounts on investments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Loss on sale of property and equipment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Premiums and agents’ balances receivable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(39,670)</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(42,739)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Reinsurance premiums receivable / payable</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Reinsurance recoverables on losses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(8,748)</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investment income</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Receivable from Federal Crop Insurance Corporation</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4,711</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(8,022)</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recoverable / payable</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Unpaid losses and loss adjustment expenses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32,985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30,252</w:t>
            </w: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Unearned premiums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20,079</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720"/>
              <w:spacing w:after="0"/>
              <w:rPr>
                <w:sz w:val="20"/>
                <w:szCs w:val="20"/>
                <w:color w:val="auto"/>
              </w:rPr>
            </w:pPr>
            <w:r>
              <w:rPr>
                <w:rFonts w:ascii="Arial" w:cs="Arial" w:eastAsia="Arial" w:hAnsi="Arial"/>
                <w:sz w:val="18"/>
                <w:szCs w:val="18"/>
                <w:color w:val="auto"/>
              </w:rPr>
              <w:t>Net cash flows from operating activities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30,944</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fixed income securities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67,029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36,924</w:t>
            </w: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Proceeds from sales of equity securities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13,176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12,373</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fixed income securities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(73,502)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(71,828)</w:t>
            </w: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Purchases of equity securities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(15,630)</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(16,708)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 net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2"/>
        </w:trPr>
        <w:tc>
          <w:tcPr>
            <w:tcW w:w="8060" w:type="dxa"/>
            <w:vAlign w:val="bottom"/>
          </w:tcPr>
          <w:p>
            <w:pPr>
              <w:ind w:left="180"/>
              <w:spacing w:after="0" w:line="201" w:lineRule="exact"/>
              <w:rPr>
                <w:sz w:val="20"/>
                <w:szCs w:val="20"/>
                <w:color w:val="auto"/>
              </w:rPr>
            </w:pPr>
            <w:r>
              <w:rPr>
                <w:rFonts w:ascii="Arial" w:cs="Arial" w:eastAsia="Arial" w:hAnsi="Arial"/>
                <w:sz w:val="18"/>
                <w:szCs w:val="18"/>
                <w:color w:val="auto"/>
                <w:w w:val="94"/>
              </w:rPr>
              <w:t>Acquisition of Westminster American Insurance Company (cash consideration paid net of cash and cash</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equivalents acquired)</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(703)</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0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(10,377)</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(40,186)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treasury stock</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(11,363)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Issuance of restricted stock awards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(11,394)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(43,708)</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62,132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68,950</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71,305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25,242</w:t>
            </w:r>
          </w:p>
        </w:tc>
        <w:tc>
          <w:tcPr>
            <w:tcW w:w="0" w:type="dxa"/>
            <w:vAlign w:val="bottom"/>
          </w:tcPr>
          <w:p>
            <w:pPr>
              <w:spacing w:after="0"/>
              <w:rPr>
                <w:sz w:val="1"/>
                <w:szCs w:val="1"/>
                <w:color w:val="auto"/>
              </w:rPr>
            </w:pPr>
          </w:p>
        </w:tc>
      </w:tr>
      <w:tr>
        <w:trPr>
          <w:trHeight w:val="196"/>
        </w:trPr>
        <w:tc>
          <w:tcPr>
            <w:tcW w:w="80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60" w:type="dxa"/>
            <w:vAlign w:val="bottom"/>
          </w:tcPr>
          <w:p>
            <w:pPr>
              <w:spacing w:after="0" w:line="201" w:lineRule="exact"/>
              <w:rPr>
                <w:sz w:val="20"/>
                <w:szCs w:val="20"/>
                <w:color w:val="auto"/>
              </w:rPr>
            </w:pPr>
            <w:r>
              <w:rPr>
                <w:rFonts w:ascii="Arial" w:cs="Arial" w:eastAsia="Arial" w:hAnsi="Arial"/>
                <w:sz w:val="18"/>
                <w:szCs w:val="18"/>
                <w:color w:val="auto"/>
                <w:w w:val="96"/>
              </w:rPr>
              <w:t>Non-cash item: Present value of installment payable issued in connection with acquisition of Westminster</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18,787</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8060" w:type="dxa"/>
            <w:vAlign w:val="bottom"/>
          </w:tcPr>
          <w:p>
            <w:pPr>
              <w:ind w:left="180"/>
              <w:spacing w:after="0" w:line="190" w:lineRule="exact"/>
              <w:rPr>
                <w:sz w:val="20"/>
                <w:szCs w:val="20"/>
                <w:color w:val="auto"/>
              </w:rPr>
            </w:pPr>
            <w:r>
              <w:rPr>
                <w:rFonts w:ascii="Arial" w:cs="Arial" w:eastAsia="Arial" w:hAnsi="Arial"/>
                <w:sz w:val="18"/>
                <w:szCs w:val="18"/>
                <w:color w:val="auto"/>
              </w:rPr>
              <w:t>American Insurance Company</w:t>
            </w:r>
          </w:p>
        </w:tc>
        <w:tc>
          <w:tcPr>
            <w:tcW w:w="6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Income taxes paid</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7,819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1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These consolidated financial statements of NI Holdings include the financial position and results of NI Holdings and seven other entities:</w:t>
      </w:r>
    </w:p>
    <w:p>
      <w:pPr>
        <w:spacing w:after="0" w:line="13" w:lineRule="exact"/>
        <w:rPr>
          <w:sz w:val="20"/>
          <w:szCs w:val="20"/>
          <w:color w:val="auto"/>
        </w:rPr>
      </w:pPr>
    </w:p>
    <w:p>
      <w:pPr>
        <w:ind w:left="1120" w:hanging="320"/>
        <w:spacing w:after="0"/>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Nodak Insurance Company (“Nodak Insurance”, formerly Nodak Mutual Insurance Company prior to the conversion);</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Nodak Agency, Inc. (“Nodak Agency”);</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American West Insurance Company (“American West”);</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Primero Insurance Company (“Primero”);</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Battle Creek Mutual Insurance Company (“Battle Creek”, an affiliated company with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Direct Auto Insurance Company (“Direct Auto”); and</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Westminster American Insurance Company (“Westminster”).</w:t>
      </w:r>
    </w:p>
    <w:p>
      <w:pPr>
        <w:spacing w:after="0" w:line="17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specializes in providing private passenger auto, homeowners, farmowners, commercial, crop hail, and Federal multi-peril crop insurance coverages.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21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6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11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Direct Auto, a wholly-owned subsidiary of NI Holdings, is a property and casualty company licensed in Illinois. Direct Auto began writing non-standard automobile coverage in 2007, and was acquired by NI Holdings on August 31, 2018 via a stock purchase agreement.</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Westminster, a wholly-owned subsidiary of NI Holdings, is a property and casualty insurance company licensed in seventeen states and the District of Columbia. Westminster is headquartered in Owings Mills, Maryland and underwrites multi-peril commercial insurance in the states of Delaware, Georgia, Maryland, New Jersey, North Carolina, Pennsylvania, South Carolina, Virginia, West Virginia, and the District of Columbia. Westminster was acquired by NI Holdings on January 1, 2020 via a stock purchase agreement. The financial results of Westminster have been included in the Consolidated Financial Statements herein since January 1, 2020. See Note 4.</w:t>
      </w:r>
    </w:p>
    <w:p>
      <w:pPr>
        <w:spacing w:after="0" w:line="17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ectPr>
          <w:pgSz w:w="11900" w:h="16838" w:orient="portrait"/>
          <w:cols w:equalWidth="0" w:num="1">
            <w:col w:w="11220"/>
          </w:cols>
          <w:pgMar w:left="320" w:top="125" w:right="3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1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interim periods ended September 30, 2020 are not necessarily indicative of the results that may be expected for the year ended December 31, 2020.</w:t>
      </w:r>
    </w:p>
    <w:p>
      <w:pPr>
        <w:spacing w:after="0" w:line="148"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Our consolidated financial statements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126" w:lineRule="exact"/>
        <w:rPr>
          <w:sz w:val="20"/>
          <w:szCs w:val="20"/>
          <w:color w:val="auto"/>
        </w:rPr>
      </w:pPr>
    </w:p>
    <w:p>
      <w:pPr>
        <w:ind w:left="660" w:right="7200" w:hanging="652"/>
        <w:spacing w:after="0" w:line="479"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u w:val="single" w:color="auto"/>
          <w:color w:val="auto"/>
        </w:rPr>
        <w:t>Use of Estimates:</w:t>
      </w:r>
    </w:p>
    <w:p>
      <w:pPr>
        <w:spacing w:after="0" w:line="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70" w:lineRule="exact"/>
        <w:rPr>
          <w:sz w:val="20"/>
          <w:szCs w:val="20"/>
          <w:color w:val="auto"/>
        </w:rPr>
      </w:pPr>
    </w:p>
    <w:p>
      <w:pPr>
        <w:ind w:right="460" w:firstLine="648"/>
        <w:spacing w:after="0" w:line="293"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Variable-Interest Entities: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21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3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7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control Battle Creek via a 100% quota-share reinsurance agreement between Nodak Insurance and Battle Creek, as well as the ability to control a majority of the Board of Directors of Battle Creek. Through the effects of the 100% quota-share agreement with Battle Creek, we are considered the primary beneficiary of Battle Creek’s operating results excluding net investment income, bad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debt expense, and income taxes. Therefore, we consolidate the financial statements of Battle Creek, and Battle Creek’s policyholders’ interest in Battle Creek is reflected as a non-controlling interest in shareholders’ equity in our Consolidated Balance Sheet.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19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categorized our investment portfolio as “available-for-sale” and have reported the portfolio at fair value. Unrealized gains and losses on fixed income securities, and on equity securities prior to January 1, 2019, net of income taxes, are reported in accumulated other comprehensive income. Effective January 1, 2019, in accordance with a change in accounting principle, changes in unrealized gains and losses on equity securities are reported as a component of net capital gain (loss) on investments in our operating results.</w:t>
      </w:r>
    </w:p>
    <w:p>
      <w:pPr>
        <w:spacing w:after="0" w:line="160"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capital gain (loss) on investments, along with the change in unrealized gains and losses on equity securities after January 1, 2019.</w:t>
      </w:r>
    </w:p>
    <w:p>
      <w:pPr>
        <w:spacing w:after="0" w:line="14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 (loss).</w:t>
      </w:r>
    </w:p>
    <w:p>
      <w:pPr>
        <w:spacing w:after="0" w:line="16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I – Quoted price in active markets for identical assets and liabilities.</w:t>
      </w:r>
    </w:p>
    <w:p>
      <w:pPr>
        <w:spacing w:after="0" w:line="212" w:lineRule="exact"/>
        <w:rPr>
          <w:sz w:val="20"/>
          <w:szCs w:val="20"/>
          <w:color w:val="auto"/>
        </w:rPr>
      </w:pPr>
    </w:p>
    <w:p>
      <w:pPr>
        <w:ind w:left="660" w:right="160"/>
        <w:spacing w:after="0" w:line="311" w:lineRule="auto"/>
        <w:rPr>
          <w:sz w:val="20"/>
          <w:szCs w:val="20"/>
          <w:color w:val="auto"/>
        </w:rPr>
      </w:pPr>
      <w:r>
        <w:rPr>
          <w:rFonts w:ascii="Arial" w:cs="Arial" w:eastAsia="Arial" w:hAnsi="Arial"/>
          <w:sz w:val="16"/>
          <w:szCs w:val="16"/>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35" w:lineRule="exact"/>
        <w:rPr>
          <w:sz w:val="20"/>
          <w:szCs w:val="20"/>
          <w:color w:val="auto"/>
        </w:rPr>
      </w:pPr>
    </w:p>
    <w:p>
      <w:pPr>
        <w:jc w:val="both"/>
        <w:ind w:left="660" w:right="300"/>
        <w:spacing w:after="0" w:line="301" w:lineRule="auto"/>
        <w:rPr>
          <w:sz w:val="20"/>
          <w:szCs w:val="20"/>
          <w:color w:val="auto"/>
        </w:rPr>
      </w:pPr>
      <w:r>
        <w:rPr>
          <w:rFonts w:ascii="Arial" w:cs="Arial" w:eastAsia="Arial" w:hAnsi="Arial"/>
          <w:sz w:val="16"/>
          <w:szCs w:val="16"/>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Fair Value of Other Financial Instruments:</w:t>
      </w:r>
    </w:p>
    <w:p>
      <w:pPr>
        <w:spacing w:after="0" w:line="21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All other invested assets have been assessed for impairment. The carrying value of these other invested assets was $2,907 at September 30, 2020 and $1,914 at December 31, 2019.</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 of Segment Information:</w:t>
      </w:r>
    </w:p>
    <w:p>
      <w:pPr>
        <w:spacing w:after="0" w:line="212"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Effective in the first quarter of 2020, the Company’s results are being reported in our Consolidated Financial Statements in the following five primary operating segments – private passenger auto insurance, non-standard auto insurance, home and farm insurance, crop insurance, and commercial insurance. A sixth “all other” segment captures all other insurance business, including our assumed reinsurance lines of business.</w:t>
      </w:r>
    </w:p>
    <w:p>
      <w:pPr>
        <w:spacing w:after="0" w:line="12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Commercial insurance was previously reported within the all other segment. All prior periods presented have been reclassified to conform to this presentation.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1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60"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The period of risk for our crop insurance program, which comprise primarily spring-planted crops, typically runs from April1 (the approximate time when farmers can begin to work their fields) through December 15 (last date claims can be made for the most recent planting season). The crop insurance program provides indemnification for acreage that cannot be planted because of flood, drought, or other natural disaster (known as “prevented planting”). In cases where a valid prevented planting claim is made by an insured, the Company assumes that the risk period has ended as there will be no additional coverage under the policy, and the Company will immediately recognize the remaining unearned premium.</w:t>
      </w:r>
    </w:p>
    <w:p>
      <w:pPr>
        <w:spacing w:after="0" w:line="14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uses the direct write-off method for recognizing bad debts. Accounts billed directly to the policyholder are provided grace payment and cancellation notice periods per state insurance regulations. Any earned but uncollected premiums are written off within 90 days after the effective date of policy cancellation.</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Direct Auto also provides for agency billing for a portion of their agents. Accounts billed to agents are due within 60 days of the statement date. The balances are carried as agents’ balances receivable until it is determined the amount is not collectible from the agent. At that time, the balance is written off as uncollectible. The agent is responsible for all past due balances. As part of its agent appointment, Direct Auto requires a personal guarantee for all balances due to Direct Auto from the principal of the contracted agency.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Policy Acquisition Costs:</w:t>
      </w:r>
    </w:p>
    <w:p>
      <w:pPr>
        <w:spacing w:after="0" w:line="21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defer our policy acquisition costs, consisting primarily of commissions, state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9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the estimated useful lives of the assets.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Losses and Loss Adjustment Expenses:</w:t>
      </w:r>
    </w:p>
    <w:p>
      <w:pPr>
        <w:spacing w:after="0" w:line="21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6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w:t>
      </w:r>
    </w:p>
    <w:p>
      <w:pPr>
        <w:sectPr>
          <w:pgSz w:w="11900" w:h="16838" w:orient="portrait"/>
          <w:cols w:equalWidth="0" w:num="1">
            <w:col w:w="11240"/>
          </w:cols>
          <w:pgMar w:left="320" w:top="125" w:right="339"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inflation is embedded in the estimated loss development factors. We closely monitor our liabilities and update them periodically using new information on reported claims and a variety of statistical techniques. We do not discount our liabilities for unpaid losses and loss adjustment expense.</w:t>
      </w:r>
    </w:p>
    <w:p>
      <w:pPr>
        <w:spacing w:after="0" w:line="11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1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With the exception of Battle Creek, which files a stand-alone federal income tax return, we currently file a consolidated federal income tax return which includes NI Holdings and its wholly-owned subsidiaries. Direct Auto and Westminster became part of the consolidated federal income tax return as of their acquisition dates.</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Insurance companies typically pay state premium taxes rather than state income taxes. However, Direct Auto is subject to state income taxes in the state of Illinois, in addition to state premium taxes. Additionally, NI Holdings, on a stand-alone basis, pays state income taxes to the state of North Dakota for income or losses generated as a separate financial entity. While state premium taxes are included as a part of amortization of deferred policy acquisition costs, state income taxes are combined with federal income taxes within the financial reporting category labeled income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reports tax-related interest and penalties, if any, as part of income tax expense in the year such amounts are determinable.</w:t>
      </w:r>
    </w:p>
    <w:p>
      <w:pPr>
        <w:spacing w:after="0" w:line="223"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4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elected to reclassify any tax effects stranded in accumulated other comprehensive income as a result of a change in income tax rates to retained earnings.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Risk:</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management team and investment advisors. We also limit the amount of our total investment portfolio that we invest in any one security.</w:t>
      </w:r>
    </w:p>
    <w:p>
      <w:pPr>
        <w:spacing w:after="0" w:line="16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Property and liability insurance coverages are marketed through captive agents in North Dakota and through independent insurance agencies located throughout all other operating areas. All business, except for the majority of Direct Auto’s business, is billed directly to the policyholders.</w:t>
      </w:r>
    </w:p>
    <w:p>
      <w:pPr>
        <w:spacing w:after="0" w:line="11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Corporation (“SIPC”) up to $500. On occasion, balances for these accounts are maintained in excess of the SIPC insurance limit.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Reinsurance:</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Goodwill and Other Intangibles:</w:t>
      </w:r>
    </w:p>
    <w:p>
      <w:pPr>
        <w:spacing w:after="0" w:line="198"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6"/>
          <w:szCs w:val="16"/>
          <w:color w:val="auto"/>
        </w:rPr>
        <w:t>Goodwill represents the excess of the purchase price over the underlying fair value of acquired entities. When completing acquisitions, we seek also to identify separately identifiable intangible assets that we have acquired. We assess goodwill and other intangibles with an indefinite useful life for impairment annually. We also assess goodwill and other intangibles for impairment upon the occurrence of certain events. In making our assessment, we consider a number of factors including operating results, business plans, economic projections, anticipated future cash flows, and current market data.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Inherent uncertainties exist with respect to these factors and to our judgment in applying them when we make our assessment. Impairment of goodwill and other intangibles could result from changes in economic and operating conditions in future periods. We did not record any impairments of goodwill or other intangibles during the three or nine month periods ended September 30, 2020 and 2019.</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intangibles not reflected in the net assets acquired. The purchase price was paid with a combination of cash and cancellation of obligations owed to the acquired company by the sellers. The goodwill which arose from this transaction is included in the basis of the net assets acquired and is not deductible for income tax purposes.</w:t>
      </w:r>
    </w:p>
    <w:p>
      <w:pPr>
        <w:spacing w:after="0" w:line="17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favorable lease contract, Direct Auto trade name, and VOBA assets will be amortized over eighteen months, five years, and twelve months, respectively, from the August 31, 2018 acquisition/valuation date.</w:t>
      </w:r>
    </w:p>
    <w:p>
      <w:pPr>
        <w:spacing w:after="0" w:line="14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Goodwill arising from the acquisition of Westminster in January 2020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commercial business product line of the Company. Other intangible assets arising from the acquisition of Westminster represent the estimated fair values of certain intangible assets, including state insurance licenses, the value of Westminster’s distribution network, the value of the Westminster trade name, and the VOBA. The state insurance license asset has an indefinite life, while the distribution networks asset, Westminster trade name, and VOBA assets will be amortized over twenty years, ten years, and twelve months, respectively, from the January 1, 2020 acquisition/valuation date.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Westminster American Insurance Company</w:t>
      </w:r>
    </w:p>
    <w:p>
      <w:pPr>
        <w:spacing w:after="0" w:line="21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January 1, 2020, the Company completed the acquisition of 100% of the common stock of Westminster from the private shareholder of Westminster, and Westminster became a consolidated subsidiary of the Company. Westminster is a property and casualty insurance company specializing in multi-peril commercial insurance in nine states and the District of Columbia.</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Westminster remains headquartered in Owings Mills, Maryland, and the current president of Westminster continues to manage the Westminster insurance operations along with the staff and management team in place at the time of the acquisition. The results of Westminster are included as part of the Company’s commercial business segment following the closing date.</w:t>
      </w:r>
    </w:p>
    <w:p>
      <w:pPr>
        <w:spacing w:after="0" w:line="157"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Westminster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During the three months ended June 30, 2020, the Company made minor adjustments to property and equipment, the value of business acquired intangible asset, and deferred income taxes. During the three months ended September 30, 2020, the Company made minor adjustments to fixed income securities, deferred income taxes, and goodwill.</w:t>
      </w:r>
    </w:p>
    <w:p>
      <w:pPr>
        <w:spacing w:after="0" w:line="1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acquired Westminster business contributed revenues of $10,294 and net income of $1,763 to the Company for the three months ended September 30, 2020, and revenues of $24,085 and net income of $1,080 for the nine months ended September 30, 2020. The following unaudited pro forma summary presents consolidated information of the Company as if the business combination had occurred on January 1, 2019:</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Pro forma</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4"/>
              </w:rPr>
              <w:t>Pro forma</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Three Months Ended</w:t>
            </w:r>
          </w:p>
        </w:tc>
        <w:tc>
          <w:tcPr>
            <w:tcW w:w="160" w:type="dxa"/>
            <w:vAlign w:val="bottom"/>
          </w:tcPr>
          <w:p>
            <w:pPr>
              <w:spacing w:after="0"/>
              <w:rPr>
                <w:sz w:val="18"/>
                <w:szCs w:val="18"/>
                <w:color w:val="auto"/>
              </w:rPr>
            </w:pPr>
          </w:p>
        </w:tc>
        <w:tc>
          <w:tcPr>
            <w:tcW w:w="18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8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NI Holdings, Inc.</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20,624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 attributable to NI Holdings, Inc.</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did not reflect any material, nonrecurring pro forma adjustments directly attributable to the business combination in the above pro forma revenue and earnings.</w:t>
      </w:r>
    </w:p>
    <w:p>
      <w:pPr>
        <w:spacing w:after="0" w:line="157"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These pro forma amounts have been calculated after applying the Company’s accounting policies and adjusting the results of Westminster to reflect the deferral and amortization of policy acquisition costs and the additional amortization that would have been charged assuming the fair value adjustments to intangible assets had been applied from January 1, 2019, with the related income tax effects.</w:t>
      </w:r>
    </w:p>
    <w:p>
      <w:pPr>
        <w:spacing w:after="0" w:line="138"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 Company incurred acquisition-related costs of $828 during the nine months ended September 30, 2020, and $83 during the year ended December 31, 2019. These expenses were reclassified to occur in first quarter 2019 in the pro forma amounts presented above.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 paid $20,000 in cash consideration to the private shareholder of Westminster as of the closing date, and will pay an additional $20,000 in three equal annual installments. The acquisition of Westminster did not include any contingent consideration other than a provision regarding future changes to federal income tax rates. The following table summarizes the consideration transferred to acquire Westminster and the amounts of identified assets acquired and liabilities assumed at the acquisition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Arial" w:cs="Arial" w:eastAsia="Arial" w:hAnsi="Arial"/>
                <w:sz w:val="18"/>
                <w:szCs w:val="18"/>
                <w:b w:val="1"/>
                <w:bCs w:val="1"/>
                <w:color w:val="auto"/>
              </w:rPr>
              <w:t>Fair Value of Consideration:</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transferred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Present value of future cash consideration</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18,787</w:t>
            </w:r>
          </w:p>
        </w:tc>
        <w:tc>
          <w:tcPr>
            <w:tcW w:w="120" w:type="dxa"/>
            <w:vAlign w:val="bottom"/>
          </w:tcPr>
          <w:p>
            <w:pPr>
              <w:spacing w:after="0"/>
              <w:rPr>
                <w:sz w:val="18"/>
                <w:szCs w:val="18"/>
                <w:color w:val="auto"/>
              </w:rPr>
            </w:pPr>
          </w:p>
        </w:tc>
      </w:tr>
      <w:tr>
        <w:trPr>
          <w:trHeight w:val="250"/>
        </w:trPr>
        <w:tc>
          <w:tcPr>
            <w:tcW w:w="9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consideration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6"/>
        </w:trPr>
        <w:tc>
          <w:tcPr>
            <w:tcW w:w="9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19,297</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Fixed income securities, at fair value</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12,073</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 at fair value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Reinsurance recoverables on losses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2,376</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income tax recoverable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State insurance licenses (included in goodwill and other intangibles)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 (included in goodwill and other intangibles)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Trade name (included in goodwill and other intangibles)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(8,568)</w:t>
            </w: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(16,611)</w:t>
            </w: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Reinsurance premiums payable</w:t>
            </w: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(1,132)</w:t>
            </w:r>
          </w:p>
        </w:tc>
      </w:tr>
      <w:tr>
        <w:trPr>
          <w:trHeight w:val="210"/>
        </w:trPr>
        <w:tc>
          <w:tcPr>
            <w:tcW w:w="98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identifiable net assets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32,031</w:t>
            </w:r>
          </w:p>
        </w:tc>
        <w:tc>
          <w:tcPr>
            <w:tcW w:w="120" w:type="dxa"/>
            <w:vAlign w:val="bottom"/>
            <w:tcBorders>
              <w:top w:val="single" w:sz="8" w:color="CCEEFF"/>
            </w:tcBorders>
          </w:tcPr>
          <w:p>
            <w:pPr>
              <w:spacing w:after="0"/>
              <w:rPr>
                <w:sz w:val="18"/>
                <w:szCs w:val="18"/>
                <w:color w:val="auto"/>
              </w:rPr>
            </w:pP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9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18"/>
                <w:szCs w:val="18"/>
                <w:color w:val="auto"/>
              </w:rPr>
            </w:pP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fair value of the assets acquired includes premiums and agents’ balances receivable of $8,507 and reinsurance recoverables on losses of $763. These are the gross amounts due from policyholders and reinsurers, respectively, none of which are anticipated to be uncollectible. The Company did not acquire any other material class of receivable as a result of the acquisition of Westminster.</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fair values of the acquired distribution network, state insurance licenses, Westminster trade name, and VOBA intangible assets of $6,700, $1,800, $500, and $4,750, respectively, are provisional pending final valuation for those assets. The state insurance license intangible has an indefinite life, while the other intangible assets will be amortized over useful lives of up to twenty years.</w:t>
      </w:r>
    </w:p>
    <w:p>
      <w:pPr>
        <w:spacing w:after="0" w:line="12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w:t>
      </w:r>
    </w:p>
    <w:p>
      <w:pPr>
        <w:spacing w:after="0" w:line="21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January 2019, the Company adopted amended guidance from the Financial Accounting Standards Board (“FASB”) that generally requires entities to measure equity securities at fair value and recognize changes in fair value in their results of operations. The FASB issued other impairment, disclosure, and presentation improvements related to financial instruments within the guidance. Effective January 1, 2019, we applied this guidance, which resulted in a cumulative-effect reclassification of after-tax unrealized net capital gains aggregating $8,184, from accumulated other comprehensive income to retained earnings. This reclassification had no</w:t>
      </w:r>
    </w:p>
    <w:p>
      <w:pPr>
        <w:sectPr>
          <w:pgSz w:w="11900" w:h="16838" w:orient="portrait"/>
          <w:cols w:equalWidth="0" w:num="1">
            <w:col w:w="11240"/>
          </w:cols>
          <w:pgMar w:left="320" w:top="125"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impact to the Company’s results of operations at the date of adoption. The after-tax change in accounting for equity securities did not affect the Company’s total shareholders’ equity; however, the unrealized net capital gains reclassified at the transition date to retained earnings will never be recognized in net income. Prior year financial statements were not restated. Going forward, the accounting used for equity securities will record the market fluctuations attributed to equity securities through our results of operations rather than as a component of other comprehensive income (loss), which will add a level of volatility to our net income.</w:t>
      </w:r>
    </w:p>
    <w:p>
      <w:pPr>
        <w:spacing w:after="0" w:line="17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December 2019, the Company adopted guidance from the FASB that establishes the manner in which an entity recognizes the amount of revenue to which it expects to be entitled for the transfer of promised goods or services to customers. While the guidance replaces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As a result, there was no impact to the Company’s financial position, results of operations, or cash flows.</w:t>
      </w:r>
    </w:p>
    <w:p>
      <w:pPr>
        <w:spacing w:after="0" w:line="14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December 2019, the Company adopted amended guidance from the FASB that addressed diversity in how certain cash receipts and cash payments are presented and classified in the Consolidated Statement of Cash Flows, and the presentation of restricted cash in the Consolidated Statement of Cash Flows. The amendments provided clarity on the treatment of eight specifically defined types of cash inflows and outflows, and requires entities to explain the changes during a reporting period in the total of cash, cash equivalents, and amounts generally described as restricted cash or restricted cash equivalents. There was no impact to the Company’s financial position, results of operations, or cash flows.</w:t>
      </w:r>
    </w:p>
    <w:p>
      <w:pPr>
        <w:spacing w:after="0" w:line="163"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In March 2020, the Company adopted modified disclosure requirements from the FASB relating to the fair value of assets and liabilities. The modifications primarily related to Level 3 fair value measurements. The Company does not currently carry any Level 3 assets or liabilities. As a result, there was no impact to the Company’s financial statement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9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adoption. The new guidance, which replaces the current lease guidance, is effective for annual and interim reporting periods beginning after December 15, 2019 for public business entities. For private companies and emerging growth companies, this guidance is effective for annual reporting periods beginning after December 15, 2021 and interim periods within fiscal years beginning after December 15, 2022. Early adoption is permitted for all entities. We do not expect the adoption of this new guidance to have a significant impact on our financial position, results of operations, or cash flows.In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filers with the Securities and Exchange Commission (“SEC”) excluding smaller reporting companies, and emerging growth companies that did not relinquish private company relief. For all other entities, this guidance is effective for annual reporting periods beginning after December 15, 2022 and interim periods within those fiscal years. Early adoption is permitted for all entities. We are evaluating the impact this new guidance will have on our financial position, results of operations, and cash flows.</w:t>
      </w:r>
    </w:p>
    <w:p>
      <w:pPr>
        <w:spacing w:after="0" w:line="16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public business entities.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w:t>
      </w:r>
    </w:p>
    <w:p>
      <w:pPr>
        <w:sectPr>
          <w:pgSz w:w="11900" w:h="16838" w:orient="portrait"/>
          <w:cols w:equalWidth="0" w:num="1">
            <w:col w:w="11240"/>
          </w:cols>
          <w:pgMar w:left="320" w:top="125" w:right="339"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directly to retained earnings as of the beginning of the period of adoption. We are evaluating the requirements of this guidance and the potential impact to our financial position, results of operations, and cash flows.</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2019, the FASB issued amended guidance to simplify the accounting for income taxes. The amended guidance is effective for fiscal years beginning after December 15, 2020, including interim periods within those fiscal years, for public business entities. For private companies and emerging growth companies, this amended guidance is effective for fiscal years beginning after December 15, 2021, and interim periods within fiscal years beginning after December 15, 2022. Early adoption is permitted, including adoption in an interim period. We are evaluating the impact this new guidance will have on our financial position, results of operations, and cash flows.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amortized cost and estimated fair value of investment securities as of September 30, 2020 and December 31, 2019,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8"/>
                <w:szCs w:val="18"/>
                <w:b w:val="1"/>
                <w:bCs w:val="1"/>
                <w:color w:val="auto"/>
              </w:rPr>
              <w:t>September 30, 2020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Cost 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16,110</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17,433</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3,044</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65,869</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120,955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8,137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128,658</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1,612</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37,992</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26,250</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46,227</w:t>
            </w:r>
          </w:p>
        </w:tc>
      </w:tr>
      <w:tr>
        <w:trPr>
          <w:trHeight w:val="20"/>
        </w:trPr>
        <w:tc>
          <w:tcPr>
            <w:tcW w:w="5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306,904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16,331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322,429</w:t>
            </w:r>
          </w:p>
        </w:tc>
      </w:tr>
      <w:tr>
        <w:trPr>
          <w:trHeight w:val="209"/>
        </w:trPr>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1,479</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2,563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6,360</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3,139</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8,446</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6,092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15,790</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1,417</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5,908</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4,240</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10,965</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7,570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15,385</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r>
      <w:tr>
        <w:trPr>
          <w:trHeight w:val="20"/>
        </w:trPr>
        <w:tc>
          <w:tcPr>
            <w:tcW w:w="5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2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24,431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65,786</w:t>
            </w: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351,435</w:t>
            </w:r>
          </w:p>
        </w:tc>
        <w:tc>
          <w:tcPr>
            <w:tcW w:w="2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40,762</w:t>
            </w: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388,215</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790"/>
        </w:trPr>
        <w:tc>
          <w:tcPr>
            <w:tcW w:w="5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Cost 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17,078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17,546</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56,652</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113,213</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51,486</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27,057</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29,991</w:t>
            </w:r>
          </w:p>
        </w:tc>
      </w:tr>
      <w:tr>
        <w:trPr>
          <w:trHeight w:val="20"/>
        </w:trPr>
        <w:tc>
          <w:tcPr>
            <w:tcW w:w="55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2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288,704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295,945</w:t>
            </w:r>
          </w:p>
        </w:tc>
      </w:tr>
      <w:tr>
        <w:trPr>
          <w:trHeight w:val="210"/>
        </w:trPr>
        <w:tc>
          <w:tcPr>
            <w:tcW w:w="5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6,996</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9,612</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12,567</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2,456</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5,929</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9,299</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11,863</w:t>
            </w:r>
          </w:p>
        </w:tc>
      </w:tr>
      <w:tr>
        <w:trPr>
          <w:trHeight w:val="20"/>
        </w:trPr>
        <w:tc>
          <w:tcPr>
            <w:tcW w:w="5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59,932</w:t>
            </w:r>
          </w:p>
        </w:tc>
      </w:tr>
      <w:tr>
        <w:trPr>
          <w:trHeight w:val="20"/>
        </w:trPr>
        <w:tc>
          <w:tcPr>
            <w:tcW w:w="55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326,740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30,473</w:t>
            </w:r>
          </w:p>
        </w:tc>
        <w:tc>
          <w:tcPr>
            <w:tcW w:w="10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355,877</w:t>
            </w: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Due to mature: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One year or less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one year through five years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After five years through ten years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After ten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Mortgage / asset-backed securities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fixed income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Due to mature: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One year or less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one year through five years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After five years through ten years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After ten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Mortgage / asset-backed securities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fixed income securities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September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Amortized Cost</w:t>
            </w:r>
          </w:p>
        </w:tc>
        <w:tc>
          <w:tcPr>
            <w:tcW w:w="34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8"/>
                <w:szCs w:val="18"/>
                <w:color w:val="auto"/>
              </w:rPr>
            </w:pPr>
          </w:p>
        </w:tc>
      </w:tr>
      <w:tr>
        <w:trPr>
          <w:trHeight w:val="41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16,413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16,659</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90,477</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95,182</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59,812</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64,928</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33,338</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35,191</w:t>
            </w:r>
          </w:p>
        </w:tc>
      </w:tr>
      <w:tr>
        <w:trPr>
          <w:trHeight w:val="230"/>
        </w:trPr>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106,864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110,469</w:t>
            </w:r>
          </w:p>
        </w:tc>
      </w:tr>
      <w:tr>
        <w:trPr>
          <w:trHeight w:val="20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306,904</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322,429</w:t>
            </w:r>
          </w:p>
        </w:tc>
        <w:tc>
          <w:tcPr>
            <w:tcW w:w="2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-993775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-719455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-445135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-161925</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Amortized Cost</w:t>
            </w:r>
          </w:p>
        </w:tc>
        <w:tc>
          <w:tcPr>
            <w:tcW w:w="34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8"/>
                <w:szCs w:val="18"/>
                <w:color w:val="auto"/>
              </w:rPr>
            </w:pPr>
          </w:p>
        </w:tc>
      </w:tr>
      <w:tr>
        <w:trPr>
          <w:trHeight w:val="41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19,567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19,663</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84,937</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87,134</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55,927</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58,466</w:t>
            </w:r>
          </w:p>
        </w:tc>
      </w:tr>
      <w:tr>
        <w:trPr>
          <w:trHeight w:val="216"/>
        </w:trPr>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21,336</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22,148</w:t>
            </w:r>
          </w:p>
        </w:tc>
      </w:tr>
      <w:tr>
        <w:trPr>
          <w:trHeight w:val="230"/>
        </w:trPr>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106,937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108,534</w:t>
            </w: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288,704</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-993775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-719455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-445135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-161925</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7180" w:space="720"/>
            <w:col w:w="3220"/>
          </w:cols>
          <w:pgMar w:left="320" w:top="125" w:right="459" w:bottom="1440" w:gutter="0" w:footer="0" w:header="0"/>
          <w:type w:val="continuous"/>
        </w:sectPr>
      </w:pPr>
    </w:p>
    <w:p>
      <w:pPr>
        <w:ind w:right="180" w:firstLine="648"/>
        <w:spacing w:after="0" w:line="277" w:lineRule="auto"/>
        <w:rPr>
          <w:sz w:val="20"/>
          <w:szCs w:val="20"/>
          <w:color w:val="auto"/>
        </w:rPr>
      </w:pPr>
      <w:r>
        <w:rPr>
          <w:rFonts w:ascii="Arial" w:cs="Arial" w:eastAsia="Arial" w:hAnsi="Arial"/>
          <w:sz w:val="18"/>
          <w:szCs w:val="18"/>
          <w:color w:val="auto"/>
        </w:rPr>
        <w:t>Fixed income securities with a fair value of $6,164 at September 30, 2020 and $5,585 at December 31, 2019, were deposited with various state regulatory agencies as required by law. The Company has not pledged any assets to secure any obligations.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investment category and duration of the Company’s gross unrealized losses on fixed income securities and equity securities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w w:val="98"/>
              </w:rPr>
              <w:t>September 30, 2020</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8,763</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9,456</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1,511</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14,717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8"/>
                <w:szCs w:val="18"/>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5,086</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30,862</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18"/>
                <w:szCs w:val="18"/>
                <w:color w:val="auto"/>
              </w:rPr>
            </w:pPr>
          </w:p>
        </w:tc>
      </w:tr>
      <w:tr>
        <w:trPr>
          <w:trHeight w:val="210"/>
        </w:trPr>
        <w:tc>
          <w:tcPr>
            <w:tcW w:w="39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2,456</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2,750</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1,379</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(2,609)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11,262</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(3,176)</w:t>
            </w:r>
          </w:p>
        </w:tc>
        <w:tc>
          <w:tcPr>
            <w:tcW w:w="2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36,385</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42,124</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(3,982)</w:t>
            </w:r>
          </w:p>
        </w:tc>
        <w:tc>
          <w:tcPr>
            <w:tcW w:w="20" w:type="dxa"/>
            <w:vAlign w:val="bottom"/>
            <w:shd w:val="clear" w:color="auto" w:fill="CCEEFF"/>
          </w:tcPr>
          <w:p>
            <w:pPr>
              <w:spacing w:after="0"/>
              <w:rPr>
                <w:sz w:val="21"/>
                <w:szCs w:val="21"/>
                <w:color w:val="auto"/>
              </w:rPr>
            </w:pPr>
          </w:p>
        </w:tc>
      </w:tr>
      <w:tr>
        <w:trPr>
          <w:trHeight w:val="602"/>
        </w:trPr>
        <w:tc>
          <w:tcPr>
            <w:tcW w:w="39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2"/>
        </w:trPr>
        <w:tc>
          <w:tcPr>
            <w:tcW w:w="39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w w:val="99"/>
              </w:rPr>
              <w:t>December 31, 2019</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Losses</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5,494</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11,572</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38,413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r>
      <w:tr>
        <w:trPr>
          <w:trHeight w:val="210"/>
        </w:trPr>
        <w:tc>
          <w:tcPr>
            <w:tcW w:w="39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(982)</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31,644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12,382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44,026</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(1,336)</w:t>
            </w: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15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record any impairments during the three or nine month periods ended September 30, 2020 and 2019.</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September 30, 2020, we held 83 fixed income securities with unrealized losses. As of December 31, 2019, we held 88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5280" w:type="dxa"/>
            <w:vAlign w:val="bottom"/>
          </w:tcPr>
          <w:p>
            <w:pPr>
              <w:ind w:left="500"/>
              <w:spacing w:after="0"/>
              <w:rPr>
                <w:sz w:val="20"/>
                <w:szCs w:val="20"/>
                <w:color w:val="auto"/>
              </w:rPr>
            </w:pPr>
            <w:r>
              <w:rPr>
                <w:rFonts w:ascii="Arial" w:cs="Arial" w:eastAsia="Arial" w:hAnsi="Arial"/>
                <w:sz w:val="18"/>
                <w:szCs w:val="18"/>
                <w:color w:val="auto"/>
              </w:rPr>
              <w:t>Net investment income consisted of the following:</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1"/>
              </w:rPr>
              <w:t>Three Months Ended September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b w:val="1"/>
                <w:bCs w:val="1"/>
                <w:color w:val="auto"/>
                <w:w w:val="95"/>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5"/>
              </w:rPr>
              <w:t>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2,065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903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shd w:val="clear" w:color="auto" w:fill="CCEEFF"/>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gross investment income</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2,514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2,150</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60" w:type="dxa"/>
            <w:vAlign w:val="bottom"/>
            <w:shd w:val="clear" w:color="auto" w:fill="CCEEFF"/>
          </w:tcPr>
          <w:p>
            <w:pPr>
              <w:spacing w:after="0"/>
              <w:rPr>
                <w:sz w:val="21"/>
                <w:szCs w:val="21"/>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1,886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399"/>
        </w:trPr>
        <w:tc>
          <w:tcPr>
            <w:tcW w:w="160" w:type="dxa"/>
            <w:vAlign w:val="bottom"/>
            <w:tcBorders>
              <w:top w:val="single" w:sz="8" w:color="CCEEFF"/>
            </w:tcBorders>
          </w:tcPr>
          <w:p>
            <w:pPr>
              <w:spacing w:after="0"/>
              <w:rPr>
                <w:sz w:val="24"/>
                <w:szCs w:val="24"/>
                <w:color w:val="auto"/>
              </w:rPr>
            </w:pPr>
          </w:p>
        </w:tc>
        <w:tc>
          <w:tcPr>
            <w:tcW w:w="528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w w:val="93"/>
              </w:rPr>
              <w:t>Net capital gain (loss) on investments consisted of the following:</w:t>
            </w:r>
          </w:p>
        </w:tc>
        <w:tc>
          <w:tcPr>
            <w:tcW w:w="8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1"/>
              </w:rPr>
              <w:t>Three Months Ended September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b w:val="1"/>
                <w:bCs w:val="1"/>
                <w:color w:val="auto"/>
                <w:w w:val="95"/>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5"/>
              </w:rPr>
              <w:t>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756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Total gross realized gains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916</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3,643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w w:val="92"/>
              </w:rPr>
              <w:t>Gross realized losses, excluding other-than-temporary impairment losses: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(1,552)</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195"/>
        </w:trPr>
        <w:tc>
          <w:tcPr>
            <w:tcW w:w="160" w:type="dxa"/>
            <w:vAlign w:val="bottom"/>
            <w:shd w:val="clear" w:color="auto" w:fill="CCEEFF"/>
          </w:tcPr>
          <w:p>
            <w:pPr>
              <w:spacing w:after="0"/>
              <w:rPr>
                <w:sz w:val="16"/>
                <w:szCs w:val="16"/>
                <w:color w:val="auto"/>
              </w:rPr>
            </w:pPr>
          </w:p>
        </w:tc>
        <w:tc>
          <w:tcPr>
            <w:tcW w:w="52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Total gross realized losses, excluding other-than-temporary</w:t>
            </w:r>
          </w:p>
        </w:tc>
        <w:tc>
          <w:tcPr>
            <w:tcW w:w="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5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impairment losses</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(1,622)</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shd w:val="clear" w:color="auto" w:fill="CCEEFF"/>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gain on investments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net unrealized gain on equity securities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4,466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Net capital gain on investments</w:t>
            </w:r>
          </w:p>
        </w:tc>
        <w:tc>
          <w:tcPr>
            <w:tcW w:w="8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5,102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1,380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7.</w:t>
            </w:r>
          </w:p>
        </w:tc>
        <w:tc>
          <w:tcPr>
            <w:tcW w:w="528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Fair Value Measurements</w:t>
            </w: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0" w:type="dxa"/>
            <w:vAlign w:val="bottom"/>
            <w:vMerge w:val="continue"/>
          </w:tcPr>
          <w:p>
            <w:pPr>
              <w:spacing w:after="0"/>
              <w:rPr>
                <w:sz w:val="24"/>
                <w:szCs w:val="24"/>
                <w:color w:val="auto"/>
              </w:rPr>
            </w:pPr>
          </w:p>
        </w:tc>
        <w:tc>
          <w:tcPr>
            <w:tcW w:w="5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maximize the use of observable inputs in our valuation techniques and apply unobservable inputs only to the extent that observable inputs are unavailable. The largest class of assets and liabilities carried at fair value by the Company at September 30, 2020 and December 31, 2019 were fixed income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198"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September 30, 2020 or December 31, 2019.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set forth our assets which are measured on a recurring basis by the level within the fair value hierarchy in which fair value measurements fall: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 2020</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17,433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17,433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65,869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65,869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128,658</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37,992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37,992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26,250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26,250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46,227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46,227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2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322,429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322,429</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15,790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15,790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15,385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15,385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65,786</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65,786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71,305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71,305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459,520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137,091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322,429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385"/>
        </w:trPr>
        <w:tc>
          <w:tcPr>
            <w:tcW w:w="5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8"/>
                <w:szCs w:val="18"/>
                <w:b w:val="1"/>
                <w:bCs w:val="1"/>
                <w:color w:val="auto"/>
                <w:w w:val="90"/>
              </w:rPr>
              <w:t>December 31, 2019</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17,546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56,652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56,652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113,213</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113,213</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51,486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51,486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27,057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27,057</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29,991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295,945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295,945</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12,567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12,567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59,932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5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62,132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20" w:type="dxa"/>
            <w:vAlign w:val="bottom"/>
          </w:tcPr>
          <w:p>
            <w:pPr>
              <w:ind w:left="360"/>
              <w:spacing w:after="0"/>
              <w:rPr>
                <w:sz w:val="20"/>
                <w:szCs w:val="20"/>
                <w:color w:val="auto"/>
              </w:rPr>
            </w:pPr>
            <w:r>
              <w:rPr>
                <w:rFonts w:ascii="Arial" w:cs="Arial" w:eastAsia="Arial" w:hAnsi="Arial"/>
                <w:sz w:val="18"/>
                <w:szCs w:val="18"/>
                <w:color w:val="auto"/>
              </w:rPr>
              <w:t>Total assets at fair value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418,009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122,064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295,945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September 30, 2020 or December 31, 2019.</w:t>
      </w:r>
    </w:p>
    <w:p>
      <w:pPr>
        <w:sectPr>
          <w:pgSz w:w="11900" w:h="16838" w:orient="portrait"/>
          <w:cols w:equalWidth="0" w:num="1">
            <w:col w:w="11240"/>
          </w:cols>
          <w:pgMar w:left="320" w:top="125"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16"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13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16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a group, during the nine month period ended September 30, 2020, the Company retained the first $10,000 of weather-related losses from catastrophic events and had reinsurance under various reinsurance agreements up to $97,000 in excess of its $10,000 retained risk. During the year ended December 31, 2019, the Company retained the first $10,000 of weather-related losses from catastrophic events and had reinsurance under various reinsurance agreements up to $78,600 in excess of its $10,000 retained risk.</w:t>
      </w:r>
    </w:p>
    <w:p>
      <w:pPr>
        <w:spacing w:after="0" w:line="17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5"/>
              </w:rPr>
              <w:t>Three Months Ended September 30, 2020</w:t>
            </w:r>
          </w:p>
        </w:tc>
        <w:tc>
          <w:tcPr>
            <w:tcW w:w="100" w:type="dxa"/>
            <w:vAlign w:val="bottom"/>
          </w:tcPr>
          <w:p>
            <w:pPr>
              <w:spacing w:after="0"/>
              <w:rPr>
                <w:sz w:val="20"/>
                <w:szCs w:val="20"/>
                <w:color w:val="auto"/>
              </w:rPr>
            </w:pPr>
          </w:p>
        </w:tc>
        <w:tc>
          <w:tcPr>
            <w:tcW w:w="35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Nine Months Ended September 30, 2020</w:t>
            </w:r>
          </w:p>
        </w:tc>
      </w:tr>
      <w:tr>
        <w:trPr>
          <w:trHeight w:val="210"/>
        </w:trPr>
        <w:tc>
          <w:tcPr>
            <w:tcW w:w="2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4"/>
              </w:rPr>
              <w:t>Premiums Written</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Premiums Earned</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3"/>
              </w:rPr>
              <w:t>Premiums Written</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Premiums Earned</w:t>
            </w:r>
          </w:p>
        </w:tc>
        <w:tc>
          <w:tcPr>
            <w:tcW w:w="120" w:type="dxa"/>
            <w:vAlign w:val="bottom"/>
          </w:tcPr>
          <w:p>
            <w:pPr>
              <w:spacing w:after="0"/>
              <w:rPr>
                <w:sz w:val="18"/>
                <w:szCs w:val="18"/>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0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244,053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224,300</w:t>
            </w:r>
          </w:p>
        </w:tc>
        <w:tc>
          <w:tcPr>
            <w:tcW w:w="12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Assumed premium</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5,728</w:t>
            </w:r>
          </w:p>
        </w:tc>
        <w:tc>
          <w:tcPr>
            <w:tcW w:w="1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5,655</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(7,485)</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(15,497)</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(15,835)</w:t>
            </w:r>
          </w:p>
        </w:tc>
      </w:tr>
      <w:tr>
        <w:trPr>
          <w:trHeight w:val="20"/>
        </w:trPr>
        <w:tc>
          <w:tcPr>
            <w:tcW w:w="24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440" w:type="dxa"/>
            <w:vAlign w:val="bottom"/>
          </w:tcPr>
          <w:p>
            <w:pPr>
              <w:ind w:left="180"/>
              <w:spacing w:after="0"/>
              <w:rPr>
                <w:sz w:val="20"/>
                <w:szCs w:val="20"/>
                <w:color w:val="auto"/>
              </w:rPr>
            </w:pPr>
            <w:r>
              <w:rPr>
                <w:rFonts w:ascii="Arial" w:cs="Arial" w:eastAsia="Arial" w:hAnsi="Arial"/>
                <w:sz w:val="18"/>
                <w:szCs w:val="18"/>
                <w:color w:val="auto"/>
              </w:rPr>
              <w:t>Net premiums</w:t>
            </w:r>
          </w:p>
        </w:tc>
        <w:tc>
          <w:tcPr>
            <w:tcW w:w="1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62,152</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73,342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234,284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214,120</w:t>
            </w:r>
          </w:p>
        </w:tc>
      </w:tr>
      <w:tr>
        <w:trPr>
          <w:trHeight w:val="20"/>
        </w:trPr>
        <w:tc>
          <w:tcPr>
            <w:tcW w:w="2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2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180" w:hanging="179"/>
        <w:spacing w:after="0" w:line="260" w:lineRule="auto"/>
        <w:rPr>
          <w:sz w:val="20"/>
          <w:szCs w:val="20"/>
          <w:color w:val="auto"/>
        </w:rPr>
      </w:pPr>
      <w:r>
        <w:rPr>
          <w:rFonts w:ascii="Arial" w:cs="Arial" w:eastAsia="Arial" w:hAnsi="Arial"/>
          <w:sz w:val="18"/>
          <w:szCs w:val="18"/>
          <w:color w:val="auto"/>
        </w:rPr>
        <w:t>Percentage of assumed earned premium to direct earned premium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Direct premium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Assumed premium</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 September 30, 2019</w:t>
            </w:r>
          </w:p>
        </w:tc>
        <w:tc>
          <w:tcPr>
            <w:tcW w:w="120" w:type="dxa"/>
            <w:vAlign w:val="bottom"/>
          </w:tcPr>
          <w:p>
            <w:pPr>
              <w:spacing w:after="0"/>
              <w:rPr>
                <w:sz w:val="24"/>
                <w:szCs w:val="24"/>
                <w:color w:val="auto"/>
              </w:rPr>
            </w:pPr>
          </w:p>
        </w:tc>
        <w:tc>
          <w:tcPr>
            <w:tcW w:w="3480" w:type="dxa"/>
            <w:vAlign w:val="bottom"/>
            <w:gridSpan w:val="7"/>
          </w:tcPr>
          <w:p>
            <w:pPr>
              <w:ind w:left="120"/>
              <w:spacing w:after="0"/>
              <w:rPr>
                <w:sz w:val="20"/>
                <w:szCs w:val="20"/>
                <w:color w:val="auto"/>
              </w:rPr>
            </w:pPr>
            <w:r>
              <w:rPr>
                <w:rFonts w:ascii="Arial" w:cs="Arial" w:eastAsia="Arial" w:hAnsi="Arial"/>
                <w:sz w:val="18"/>
                <w:szCs w:val="18"/>
                <w:b w:val="1"/>
                <w:bCs w:val="1"/>
                <w:color w:val="auto"/>
                <w:w w:val="97"/>
              </w:rPr>
              <w:t>Nine Months Ended September 30, 2019</w:t>
            </w: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Premiums Written</w:t>
            </w: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4"/>
              </w:rPr>
              <w:t>Premiums Earned</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2"/>
              </w:rPr>
              <w:t>Premiums Written</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1"/>
              </w:rPr>
              <w:t>Premiums Earned</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49,984</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70,481</w:t>
            </w: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208,880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192,233</w:t>
            </w:r>
          </w:p>
        </w:tc>
        <w:tc>
          <w:tcPr>
            <w:tcW w:w="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1,203</w:t>
            </w:r>
          </w:p>
        </w:tc>
        <w:tc>
          <w:tcPr>
            <w:tcW w:w="140" w:type="dxa"/>
            <w:vAlign w:val="bottom"/>
          </w:tcPr>
          <w:p>
            <w:pPr>
              <w:spacing w:after="0"/>
              <w:rPr>
                <w:sz w:val="19"/>
                <w:szCs w:val="19"/>
                <w:color w:val="auto"/>
              </w:rPr>
            </w:pP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5,235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5,233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-272415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3060" w:space="440"/>
            <w:col w:w="77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(4,599)</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(14,730)</w:t>
            </w: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ind w:left="180"/>
              <w:spacing w:after="0"/>
              <w:rPr>
                <w:sz w:val="20"/>
                <w:szCs w:val="20"/>
                <w:color w:val="auto"/>
              </w:rPr>
            </w:pPr>
            <w:r>
              <w:rPr>
                <w:rFonts w:ascii="Arial" w:cs="Arial" w:eastAsia="Arial" w:hAnsi="Arial"/>
                <w:sz w:val="18"/>
                <w:szCs w:val="18"/>
                <w:color w:val="auto"/>
              </w:rPr>
              <w:t>Net premiums</w:t>
            </w:r>
          </w:p>
        </w:tc>
        <w:tc>
          <w:tcPr>
            <w:tcW w:w="22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46,588</w:t>
            </w:r>
          </w:p>
        </w:tc>
        <w:tc>
          <w:tcPr>
            <w:tcW w:w="14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67,116</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199,385</w:t>
            </w: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182,736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4"/>
              </w:rPr>
              <w:t>Percentage of assumed earned premium to</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20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8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180"/>
              <w:spacing w:after="0" w:line="190" w:lineRule="exact"/>
              <w:rPr>
                <w:sz w:val="20"/>
                <w:szCs w:val="20"/>
                <w:color w:val="auto"/>
              </w:rPr>
            </w:pPr>
            <w:r>
              <w:rPr>
                <w:rFonts w:ascii="Arial" w:cs="Arial" w:eastAsia="Arial" w:hAnsi="Arial"/>
                <w:sz w:val="18"/>
                <w:szCs w:val="18"/>
                <w:color w:val="auto"/>
              </w:rPr>
              <w:t>direct earned premium</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25</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70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72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60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580" w:type="dxa"/>
            <w:vAlign w:val="bottom"/>
            <w:tcBorders>
              <w:bottom w:val="single" w:sz="8" w:color="EEEEEE"/>
            </w:tcBorders>
          </w:tcPr>
          <w:p>
            <w:pPr>
              <w:spacing w:after="0"/>
              <w:rPr>
                <w:sz w:val="17"/>
                <w:szCs w:val="17"/>
                <w:color w:val="auto"/>
              </w:rPr>
            </w:pPr>
          </w:p>
        </w:tc>
        <w:tc>
          <w:tcPr>
            <w:tcW w:w="11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losses and loss adjustment expenses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Three Months Ended September</w:t>
            </w:r>
          </w:p>
        </w:tc>
        <w:tc>
          <w:tcPr>
            <w:tcW w:w="100" w:type="dxa"/>
            <w:vAlign w:val="bottom"/>
          </w:tcPr>
          <w:p>
            <w:pPr>
              <w:spacing w:after="0"/>
              <w:rPr>
                <w:sz w:val="18"/>
                <w:szCs w:val="18"/>
                <w:color w:val="auto"/>
              </w:rPr>
            </w:pPr>
          </w:p>
        </w:tc>
        <w:tc>
          <w:tcPr>
            <w:tcW w:w="26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5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Direct losses and loss adjustment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59,936</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138,481</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Assumed losses and loss adjustment expenses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3,538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Ceded losses and loss adjustment expenses</w:t>
            </w: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(8,536)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(5,496)</w:t>
            </w:r>
          </w:p>
        </w:tc>
      </w:tr>
      <w:tr>
        <w:trPr>
          <w:trHeight w:val="20"/>
        </w:trPr>
        <w:tc>
          <w:tcPr>
            <w:tcW w:w="5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520" w:type="dxa"/>
            <w:vAlign w:val="bottom"/>
          </w:tcPr>
          <w:p>
            <w:pPr>
              <w:ind w:left="180"/>
              <w:spacing w:after="0"/>
              <w:rPr>
                <w:sz w:val="20"/>
                <w:szCs w:val="20"/>
                <w:color w:val="auto"/>
              </w:rPr>
            </w:pPr>
            <w:r>
              <w:rPr>
                <w:rFonts w:ascii="Arial" w:cs="Arial" w:eastAsia="Arial" w:hAnsi="Arial"/>
                <w:sz w:val="18"/>
                <w:szCs w:val="18"/>
                <w:color w:val="auto"/>
              </w:rPr>
              <w:t>Net losses and loss adjustment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53,836</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61,558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136,622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135,985</w:t>
            </w: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If 100% of our ceded reinsurance was cancelled as of September 30, 2020 or December 31, 2019, no ceded commissions would need to be returned to the reinsurers. Reinsurance contracts are typically effective from January 1 through December 31 each year.</w:t>
      </w:r>
    </w:p>
    <w:p>
      <w:pPr>
        <w:spacing w:after="0" w:line="8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with regards to our deferred policy acquisition costs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Three Months Ended September</w:t>
            </w:r>
          </w:p>
        </w:tc>
        <w:tc>
          <w:tcPr>
            <w:tcW w:w="100" w:type="dxa"/>
            <w:vAlign w:val="bottom"/>
          </w:tcPr>
          <w:p>
            <w:pPr>
              <w:spacing w:after="0"/>
              <w:rPr>
                <w:sz w:val="18"/>
                <w:szCs w:val="18"/>
                <w:color w:val="auto"/>
              </w:rPr>
            </w:pPr>
          </w:p>
        </w:tc>
        <w:tc>
          <w:tcPr>
            <w:tcW w:w="26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5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10,392</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47,763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39,620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(15,061)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(36,682)</w:t>
            </w:r>
          </w:p>
        </w:tc>
      </w:tr>
      <w:tr>
        <w:trPr>
          <w:trHeight w:val="20"/>
        </w:trPr>
        <w:tc>
          <w:tcPr>
            <w:tcW w:w="5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23,885</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23,885</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15,804</w:t>
            </w: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in the liability for unpaid losses and loss adjustment expenses is summarized as follows:</w:t>
      </w:r>
    </w:p>
    <w:p>
      <w:pPr>
        <w:spacing w:after="0" w:line="181" w:lineRule="exact"/>
        <w:rPr>
          <w:sz w:val="20"/>
          <w:szCs w:val="20"/>
          <w:color w:val="auto"/>
        </w:rPr>
      </w:pPr>
    </w:p>
    <w:p>
      <w:pPr>
        <w:jc w:val="center"/>
        <w:ind w:left="786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19799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7" w:lineRule="exact"/>
        <w:rPr>
          <w:sz w:val="20"/>
          <w:szCs w:val="20"/>
          <w:color w:val="auto"/>
        </w:rPr>
      </w:pPr>
    </w:p>
    <w:p>
      <w:pPr>
        <w:ind w:left="8540"/>
        <w:spacing w:after="0"/>
        <w:tabs>
          <w:tab w:leader="none" w:pos="102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19799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ectPr>
          <w:pgSz w:w="11900" w:h="16838" w:orient="portrait"/>
          <w:cols w:equalWidth="0" w:num="1">
            <w:col w:w="11240"/>
          </w:cols>
          <w:pgMar w:left="320" w:top="125" w:right="339" w:bottom="1087"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3040"/>
        <w:spacing w:after="0" w:line="258"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Net balance at beginning of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93,250</w:t>
            </w:r>
          </w:p>
        </w:tc>
        <w:tc>
          <w:tcPr>
            <w:tcW w:w="200" w:type="dxa"/>
            <w:vAlign w:val="bottom"/>
          </w:tcPr>
          <w:p>
            <w:pPr>
              <w:spacing w:after="0"/>
              <w:rPr>
                <w:sz w:val="18"/>
                <w:szCs w:val="18"/>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87,121</w:t>
            </w:r>
          </w:p>
        </w:tc>
      </w:tr>
      <w:tr>
        <w:trPr>
          <w:trHeight w:val="230"/>
        </w:trPr>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2,232</w:t>
            </w:r>
          </w:p>
        </w:tc>
      </w:tr>
      <w:tr>
        <w:trPr>
          <w:trHeight w:val="210"/>
        </w:trPr>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89,205</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20" w:type="dxa"/>
            <w:vAlign w:val="bottom"/>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2">
            <w:col w:w="7280" w:space="720"/>
            <w:col w:w="3240"/>
          </w:cols>
          <w:pgMar w:left="320" w:top="125" w:right="339" w:bottom="1087"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incurred</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8,568</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140,890</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142,428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(4,268)</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(6,443)</w:t>
            </w:r>
          </w:p>
        </w:tc>
      </w:tr>
      <w:tr>
        <w:trPr>
          <w:trHeight w:val="209"/>
        </w:trPr>
        <w:tc>
          <w:tcPr>
            <w:tcW w:w="800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incurred</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136,622</w:t>
            </w: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135,985</w:t>
            </w:r>
          </w:p>
        </w:tc>
        <w:tc>
          <w:tcPr>
            <w:tcW w:w="12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Paid related to:</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65,234</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73,974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47,914</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35,280</w:t>
            </w:r>
          </w:p>
        </w:tc>
        <w:tc>
          <w:tcPr>
            <w:tcW w:w="12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paid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113,148</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109,254</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87"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3040"/>
        <w:spacing w:after="0" w:line="273" w:lineRule="auto"/>
        <w:rPr>
          <w:sz w:val="20"/>
          <w:szCs w:val="20"/>
          <w:color w:val="auto"/>
        </w:rPr>
      </w:pPr>
      <w:r>
        <w:rPr>
          <w:rFonts w:ascii="Arial" w:cs="Arial" w:eastAsia="Arial" w:hAnsi="Arial"/>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Net balance at end of period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134,803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117,373</w:t>
            </w:r>
          </w:p>
        </w:tc>
      </w:tr>
      <w:tr>
        <w:trPr>
          <w:trHeight w:val="230"/>
        </w:trPr>
        <w:tc>
          <w:tcPr>
            <w:tcW w:w="4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13,556</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5,753</w:t>
            </w:r>
          </w:p>
        </w:tc>
      </w:tr>
      <w:tr>
        <w:trPr>
          <w:trHeight w:val="210"/>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121,247</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111,620</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7280" w:space="720"/>
            <w:col w:w="3240"/>
          </w:cols>
          <w:pgMar w:left="320" w:top="125" w:right="339" w:bottom="1087" w:gutter="0" w:footer="0" w:header="0"/>
          <w:type w:val="continuous"/>
        </w:sectPr>
      </w:pPr>
    </w:p>
    <w:p>
      <w:pPr>
        <w:ind w:right="20" w:firstLine="648"/>
        <w:spacing w:after="0" w:line="263" w:lineRule="auto"/>
        <w:rPr>
          <w:sz w:val="20"/>
          <w:szCs w:val="20"/>
          <w:color w:val="auto"/>
        </w:rPr>
      </w:pPr>
      <w:r>
        <w:rPr>
          <w:rFonts w:ascii="Arial" w:cs="Arial" w:eastAsia="Arial" w:hAnsi="Arial"/>
          <w:sz w:val="18"/>
          <w:szCs w:val="18"/>
          <w:color w:val="auto"/>
        </w:rPr>
        <w:t>During the nine months ended September 30, 2020, the Company’s reported losses and LAE included $4,268 of net favorable development on prior accident years, compared to $6,443 of net favorable development on prior accident years during the nine months ended September 30, 2019. Increases and decreases are generally the result of ongoing analysis of loss development trends. As</w:t>
      </w:r>
    </w:p>
    <w:p>
      <w:pPr>
        <w:sectPr>
          <w:pgSz w:w="11900" w:h="16838" w:orient="portrait"/>
          <w:cols w:equalWidth="0" w:num="1">
            <w:col w:w="11240"/>
          </w:cols>
          <w:pgMar w:left="320" w:top="125" w:right="339" w:bottom="1087" w:gutter="0" w:footer="0" w:header="0"/>
          <w:type w:val="continuous"/>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087"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additional information becomes known regarding individual claims, original estimates are increased or decreased accordingly. The net favorable development reported for the nine months ended September 30, 2020 was primarily attributable to our Direct Auto non-standard auto business and North Dakota personal lines of business, partially offset by unfavorable development from our 2019 multi-peril crop business.</w:t>
      </w:r>
    </w:p>
    <w:p>
      <w:pPr>
        <w:sectPr>
          <w:pgSz w:w="11900" w:h="16838" w:orient="portrait"/>
          <w:cols w:equalWidth="0" w:num="1">
            <w:col w:w="11240"/>
          </w:cols>
          <w:pgMar w:left="320" w:top="125" w:right="339" w:bottom="1440" w:gutter="0" w:footer="0" w:header="0"/>
        </w:sectPr>
      </w:pPr>
    </w:p>
    <w:p>
      <w:pPr>
        <w:spacing w:after="0" w:line="10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Property and equipment consisted of the following: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Cost: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Real estate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Electronic data processing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jc w:val="right"/>
        <w:ind w:right="3240"/>
        <w:spacing w:after="0"/>
        <w:rPr>
          <w:sz w:val="20"/>
          <w:szCs w:val="20"/>
          <w:color w:val="auto"/>
        </w:rPr>
      </w:pPr>
      <w:r>
        <w:rPr>
          <w:rFonts w:ascii="Arial" w:cs="Arial" w:eastAsia="Arial" w:hAnsi="Arial"/>
          <w:sz w:val="18"/>
          <w:szCs w:val="18"/>
          <w:color w:val="auto"/>
        </w:rPr>
        <w:t>Automobiles</w:t>
      </w:r>
    </w:p>
    <w:p>
      <w:pPr>
        <w:spacing w:after="0" w:line="23" w:lineRule="exact"/>
        <w:rPr>
          <w:sz w:val="20"/>
          <w:szCs w:val="20"/>
          <w:color w:val="auto"/>
        </w:rPr>
      </w:pPr>
    </w:p>
    <w:p>
      <w:pPr>
        <w:jc w:val="right"/>
        <w:ind w:right="3240"/>
        <w:spacing w:after="0"/>
        <w:rPr>
          <w:sz w:val="20"/>
          <w:szCs w:val="20"/>
          <w:color w:val="auto"/>
        </w:rPr>
      </w:pPr>
      <w:r>
        <w:rPr>
          <w:rFonts w:ascii="Arial" w:cs="Arial" w:eastAsia="Arial" w:hAnsi="Arial"/>
          <w:sz w:val="18"/>
          <w:szCs w:val="18"/>
          <w:color w:val="auto"/>
        </w:rPr>
        <w:t>Gross cost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September 30,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December 31, 2019</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Estimated Useful Life</w:t>
            </w:r>
          </w:p>
        </w:tc>
      </w:tr>
      <w:tr>
        <w:trPr>
          <w:trHeight w:val="411"/>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15,260</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12,733</w:t>
            </w:r>
          </w:p>
        </w:tc>
        <w:tc>
          <w:tcPr>
            <w:tcW w:w="2260" w:type="dxa"/>
            <w:vAlign w:val="bottom"/>
          </w:tcPr>
          <w:p>
            <w:pPr>
              <w:jc w:val="right"/>
              <w:spacing w:after="0"/>
              <w:rPr>
                <w:sz w:val="20"/>
                <w:szCs w:val="20"/>
                <w:color w:val="auto"/>
              </w:rPr>
            </w:pPr>
            <w:r>
              <w:rPr>
                <w:rFonts w:ascii="Arial" w:cs="Arial" w:eastAsia="Arial" w:hAnsi="Arial"/>
                <w:sz w:val="18"/>
                <w:szCs w:val="18"/>
                <w:color w:val="auto"/>
              </w:rPr>
              <w:t>10 - 31 years</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226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2,796</w:t>
            </w:r>
          </w:p>
        </w:tc>
        <w:tc>
          <w:tcPr>
            <w:tcW w:w="226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1,130</w:t>
            </w:r>
          </w:p>
        </w:tc>
        <w:tc>
          <w:tcPr>
            <w:tcW w:w="2260" w:type="dxa"/>
            <w:vAlign w:val="bottom"/>
          </w:tcPr>
          <w:p>
            <w:pPr>
              <w:jc w:val="right"/>
              <w:spacing w:after="0"/>
              <w:rPr>
                <w:sz w:val="20"/>
                <w:szCs w:val="20"/>
                <w:color w:val="auto"/>
              </w:rPr>
            </w:pPr>
            <w:r>
              <w:rPr>
                <w:rFonts w:ascii="Arial" w:cs="Arial" w:eastAsia="Arial" w:hAnsi="Arial"/>
                <w:sz w:val="18"/>
                <w:szCs w:val="18"/>
                <w:color w:val="auto"/>
              </w:rPr>
              <w:t>2-3 years</w:t>
            </w:r>
          </w:p>
        </w:tc>
      </w:tr>
      <w:tr>
        <w:trPr>
          <w:trHeight w:val="224"/>
        </w:trPr>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17,930</w:t>
            </w: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(10,698)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(10,236)</w:t>
            </w:r>
          </w:p>
        </w:tc>
        <w:tc>
          <w:tcPr>
            <w:tcW w:w="2260" w:type="dxa"/>
            <w:vAlign w:val="bottom"/>
          </w:tcPr>
          <w:p>
            <w:pPr>
              <w:spacing w:after="0"/>
              <w:rPr>
                <w:sz w:val="24"/>
                <w:szCs w:val="24"/>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-1276985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-1002665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-728345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-445135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-162560</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4360" w:space="600"/>
            <w:col w:w="6280"/>
          </w:cols>
          <w:pgMar w:left="320" w:top="125" w:right="339" w:bottom="1440" w:gutter="0" w:footer="0" w:header="0"/>
          <w:type w:val="continuous"/>
        </w:sectPr>
      </w:pPr>
    </w:p>
    <w:p>
      <w:pPr>
        <w:ind w:right="140" w:firstLine="648"/>
        <w:spacing w:after="0" w:line="277" w:lineRule="auto"/>
        <w:rPr>
          <w:sz w:val="20"/>
          <w:szCs w:val="20"/>
          <w:color w:val="auto"/>
        </w:rPr>
      </w:pPr>
      <w:r>
        <w:rPr>
          <w:rFonts w:ascii="Arial" w:cs="Arial" w:eastAsia="Arial" w:hAnsi="Arial"/>
          <w:sz w:val="18"/>
          <w:szCs w:val="18"/>
          <w:color w:val="auto"/>
        </w:rPr>
        <w:t>Depreciation expense was $180 and $129 for the three months ended September 30, 2020 and 2019, respectively, and $545 and $374 for the nine months ended September 30, 2020 and 2019, respectively.</w:t>
      </w:r>
    </w:p>
    <w:p>
      <w:pPr>
        <w:spacing w:after="0" w:line="112" w:lineRule="exact"/>
        <w:rPr>
          <w:sz w:val="20"/>
          <w:szCs w:val="20"/>
          <w:color w:val="auto"/>
        </w:rPr>
      </w:pPr>
    </w:p>
    <w:p>
      <w:pPr>
        <w:ind w:left="660" w:right="8140" w:hanging="652"/>
        <w:spacing w:after="0" w:line="479" w:lineRule="auto"/>
        <w:tabs>
          <w:tab w:leader="none" w:pos="65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Intangibles </w:t>
      </w:r>
      <w:r>
        <w:rPr>
          <w:rFonts w:ascii="Arial" w:cs="Arial" w:eastAsia="Arial" w:hAnsi="Arial"/>
          <w:sz w:val="18"/>
          <w:szCs w:val="18"/>
          <w:b w:val="1"/>
          <w:bCs w:val="1"/>
          <w:i w:val="1"/>
          <w:iCs w:val="1"/>
          <w:color w:val="auto"/>
        </w:rPr>
        <w:t>Goodwill</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carrying amount of the Company’s goodwill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September 30, 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2019</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Non-standard auto from acquisition of Primero</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Commercial from acquisition of Westminster</w:t>
            </w:r>
          </w:p>
        </w:tc>
        <w:tc>
          <w:tcPr>
            <w:tcW w:w="1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amount of the Company’s other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September 30, 2020</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Amortization</w:t>
            </w:r>
          </w:p>
        </w:tc>
        <w:tc>
          <w:tcPr>
            <w:tcW w:w="30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Value of business acquired</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4,425</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subject to amortization</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Not subject to amortization – state insurance licenses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tcPr>
          <w:p>
            <w:pPr>
              <w:ind w:left="360"/>
              <w:spacing w:after="0"/>
              <w:rPr>
                <w:sz w:val="20"/>
                <w:szCs w:val="20"/>
                <w:color w:val="auto"/>
              </w:rPr>
            </w:pPr>
            <w:r>
              <w:rPr>
                <w:rFonts w:ascii="Arial" w:cs="Arial" w:eastAsia="Arial" w:hAnsi="Arial"/>
                <w:sz w:val="18"/>
                <w:szCs w:val="18"/>
                <w:color w:val="auto"/>
              </w:rPr>
              <w:t>Total</w:t>
            </w:r>
          </w:p>
        </w:tc>
        <w:tc>
          <w:tcPr>
            <w:tcW w:w="2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14,098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4,845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960" w:type="dxa"/>
            <w:vAlign w:val="bottom"/>
            <w:vMerge w:val="restart"/>
          </w:tcPr>
          <w:p>
            <w:pPr>
              <w:jc w:val="right"/>
              <w:ind w:right="8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EEEEEE"/>
            </w:tcBorders>
          </w:tcPr>
          <w:p>
            <w:pPr>
              <w:spacing w:after="0"/>
              <w:rPr>
                <w:sz w:val="18"/>
                <w:szCs w:val="18"/>
                <w:color w:val="auto"/>
              </w:rPr>
            </w:pPr>
          </w:p>
        </w:tc>
        <w:tc>
          <w:tcPr>
            <w:tcW w:w="196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9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0"/>
        </w:trPr>
        <w:tc>
          <w:tcPr>
            <w:tcW w:w="6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860" w:type="dxa"/>
            <w:vAlign w:val="bottom"/>
          </w:tcPr>
          <w:p>
            <w:pPr>
              <w:ind w:left="36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Not subject to amortization – state insurance license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r>
      <w:tr>
        <w:trPr>
          <w:trHeight w:val="20"/>
        </w:trPr>
        <w:tc>
          <w:tcPr>
            <w:tcW w:w="6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Amortization expense was $1,070 and $108 for the three months ended September 30, 2020 and 2019, respectively, and $4,781 and $1,695 for the nine months ended September 30, 2020 and 2019, respectively.</w:t>
      </w:r>
    </w:p>
    <w:p>
      <w:pPr>
        <w:spacing w:after="0" w:line="11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1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$386 and $384 during the three months ended September 30, 2020 and 2019, respectively, and $1,115 and $1,104 during the nine months ended September 30, 2020 and 2019, respectively. Royalty amounts payable of $23 and $115 were accrued as a liability to the NDFB at September 30, 2020 and December 31, 2019, respectively.</w:t>
      </w:r>
    </w:p>
    <w:p>
      <w:pPr>
        <w:spacing w:after="0" w:line="174"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2019 exceeded the amount of statutory capital and surplus necessary to satisfy regulatory requirements, including the RBC requirements, by a significant margin.</w:t>
      </w:r>
    </w:p>
    <w:p>
      <w:pPr>
        <w:spacing w:after="0" w:line="14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amount available for payment of dividends from Nodak Insurance to NI Holdings during 2020 without the prior approval of the North Dakota Insurance Department is $18,984 based upon the policyholders’ surplus of Nodak Insurance at December 31, 2019.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The Board of Directors of Nodak Insurance declared a $6,000 dividend during the nine months ended September 30, 2020, to be paid to NI Holdings in the fourth quarter of 2020. No dividends were declared or paid by Nodak Insurance during the year ended December 31, 2019.</w:t>
      </w:r>
    </w:p>
    <w:p>
      <w:pPr>
        <w:spacing w:after="0" w:line="16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amount available for payment of dividends from Direct Auto to NI Holdings during 2020 without the prior approval of the Illinois Department of Insurance is $6,881 based upon the statutory net income of Direct Auto for the year ended December 31, 2019.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nine months ended September 30, 2020 or the year ended December 31, 2019.</w:t>
      </w:r>
    </w:p>
    <w:p>
      <w:pPr>
        <w:spacing w:after="0" w:line="15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2020 without the prior approval of the Maryland Insurance Administration is $636 based upon the statutory net investment income of Westminster for the year ended December 31, 2019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nine months ended September 30, 2020.</w:t>
      </w:r>
    </w:p>
    <w:p>
      <w:pPr>
        <w:sectPr>
          <w:pgSz w:w="11900" w:h="16838" w:orient="portrait"/>
          <w:cols w:equalWidth="0" w:num="1">
            <w:col w:w="11240"/>
          </w:cols>
          <w:pgMar w:left="320" w:top="125" w:right="33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illustrates the impact of including Battle Creek in our Consolidated Balance Sheets prior to intercompany eliminations: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September 30, 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December 31, 2019</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Cash and cash equivalents (overdraft)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5,988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4,801</w:t>
            </w:r>
          </w:p>
        </w:tc>
      </w:tr>
      <w:tr>
        <w:trPr>
          <w:trHeight w:val="257"/>
        </w:trPr>
        <w:tc>
          <w:tcPr>
            <w:tcW w:w="73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26,330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Accrued investment income</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 net</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r>
      <w:tr>
        <w:trPr>
          <w:trHeight w:val="216"/>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3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44,195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35,845</w:t>
            </w: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16,868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15,708</w:t>
            </w:r>
          </w:p>
        </w:tc>
      </w:tr>
      <w:tr>
        <w:trPr>
          <w:trHeight w:val="257"/>
        </w:trPr>
        <w:tc>
          <w:tcPr>
            <w:tcW w:w="73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r>
      <w:tr>
        <w:trPr>
          <w:trHeight w:val="256"/>
        </w:trPr>
        <w:tc>
          <w:tcPr>
            <w:tcW w:w="732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Reinsurance premiums payable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2,727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1,706</w:t>
            </w:r>
          </w:p>
        </w:tc>
      </w:tr>
      <w:tr>
        <w:trPr>
          <w:trHeight w:val="216"/>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3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40,516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32,346</w:t>
            </w:r>
          </w:p>
        </w:tc>
      </w:tr>
      <w:tr>
        <w:trPr>
          <w:trHeight w:val="210"/>
        </w:trPr>
        <w:tc>
          <w:tcPr>
            <w:tcW w:w="7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32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44,195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35,845</w:t>
            </w: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920" w:hanging="345"/>
        <w:spacing w:after="0"/>
        <w:tabs>
          <w:tab w:leader="none" w:pos="920" w:val="left"/>
        </w:tabs>
        <w:numPr>
          <w:ilvl w:val="0"/>
          <w:numId w:val="19"/>
        </w:numPr>
        <w:rPr>
          <w:rFonts w:ascii="Arial" w:cs="Arial" w:eastAsia="Arial" w:hAnsi="Arial"/>
          <w:sz w:val="18"/>
          <w:szCs w:val="18"/>
          <w:color w:val="auto"/>
          <w:vertAlign w:val="superscript"/>
        </w:rPr>
      </w:pPr>
      <w:r>
        <w:rPr>
          <w:rFonts w:ascii="Arial" w:cs="Arial" w:eastAsia="Arial" w:hAnsi="Arial"/>
          <w:sz w:val="18"/>
          <w:szCs w:val="18"/>
          <w:color w:val="auto"/>
        </w:rPr>
        <w:t>Amount eliminated in consolidation.</w:t>
      </w:r>
    </w:p>
    <w:p>
      <w:pPr>
        <w:spacing w:after="0" w:line="21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Total statutory revenues of Battle Creek, after intercompany eliminations, which is limited to net investment income and other income, were $27 and $26, respectively, during the three months ended September 30, 2020 and 2019, respectively.</w:t>
      </w:r>
    </w:p>
    <w:p>
      <w:pPr>
        <w:spacing w:after="0" w:line="14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Total statutory revenues of Battle Creek, after intercompany eliminations, which is limited to net investment income and other income, were $112 and $103, respectively, during the nine months ended September 30, 2020 and 2019,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statutory-basis expenses reported, after intercompany eliminations, during the three or nine months ended September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5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16"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 sponsors a money purchase plan that covers all Nodak Insurance eligible employees. Plan costs are funded annually as they are earned. The Company reported expenses related to the money purchase plan totaling $97 and $95 during the three months ended September 30, 2020 and 2019, respectively, and $500 and $493 during the nine months ended September 30, 2020 and 2019, respectively.</w:t>
      </w:r>
    </w:p>
    <w:p>
      <w:pPr>
        <w:spacing w:after="0" w:line="13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Company sponsors a 401(k) plan with an automatic contribution to all eligible employees and a matching contribution for eligible employees of 50% up to 3% of eligible compensation. Primero, Direct Auto, and Westminster also sponsor 401(k) plans. The Company reported expenses related to the 401(k) plans totaling $164 and $139 during the three months ended September 30, 2020 and 2019, respectively, and $489 and $417 during the nine months ended September 30, 2020 and 2019, respectively. All fees associated with all plans are deducted from the eligible employee accounts.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1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Board of Directors has authorized a non-qualified deferred compensation plan covering key executives of the Company (as designated by the Board of Directors). The Company’s policy is to fund the plan by amounts that represent the excess of the maximum contribution allowed by the Employee Retirement Income Security Act (“ERISA”) over the key executives’ allowable 401(k) contribution. The plan also allows employee-directed deferral of key executive’s compensation or incentive payments. The Company reported expenses related to this plan totaling $15 and $14 during the three months ended September 30, 2020 and 2019, respectively, and $43 and $41 during the nine months ended September 30, 2020 and 2019,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Ownership Plan</w:t>
      </w:r>
    </w:p>
    <w:p>
      <w:pPr>
        <w:spacing w:after="0" w:line="21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has established an Employee Stock Ownership Plan (the “ESOP”). The ESOP is intended to be an employee stock ownership plan within the meaning of Internal Revenue Code Section 4975(e)(7) and will invest solely in common stock of the Company.</w:t>
      </w:r>
    </w:p>
    <w:p>
      <w:pPr>
        <w:sectPr>
          <w:pgSz w:w="11900" w:h="16838" w:orient="portrait"/>
          <w:cols w:equalWidth="0" w:num="1">
            <w:col w:w="11240"/>
          </w:cols>
          <w:pgMar w:left="320" w:top="125" w:right="339" w:bottom="277"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277"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5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39"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It is anticipated that the only assets held by the ESOP will be shares of the Company’s common stock. Participants in the ESOP cannot direct the investment of any assets allocated to their accounts. The current ESOP participants are employees of Nodak Insurance. The employees of Primero, Direct Auto, and Westminster do not participate in the ESOP. American West and Battle Creek have no employees.</w:t>
      </w:r>
    </w:p>
    <w:p>
      <w:pPr>
        <w:spacing w:after="0" w:line="1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7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3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recognized compensation expense of $98 and $104 during the three months ended September 30, 2020 and 2019, respectively, related to the ESOP, and $270 and $301 during the nine months ended September 30, 2020 and 2019, respectively.</w:t>
      </w:r>
    </w:p>
    <w:p>
      <w:pPr>
        <w:spacing w:after="0" w:line="15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Through September 30, 2020 and December 31, 2019, the Company had released and allocated 72,945 ESOP shares to participants, with a remainder of 167,055 ESOP shares in suspense at September 30, 2020 and December 31, 2019. Using the Company’s quarter-end market price of $16.89 per share, the fair value of the unearned ESOP shares was $2,822 at September 30, 2020.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16"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Nodak Insurance has a $5,000 line of credit with Wells Fargo Bank, N.A., of which there were no outstanding amounts during the nine months ended September 30, 2020, or the year ended December 31, 2019. This line of credit is scheduled to expire on January 30, 2022.</w:t>
      </w:r>
    </w:p>
    <w:p>
      <w:pPr>
        <w:spacing w:after="0" w:line="8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At September 30, 2020 and December 31, 2019, we had no unrecognized tax benefits, no accrued interest and penalties, and no significant uncertain tax positions. No interest and penalties were recognized during the three or nine month periods ended September 30, 2020 or 2019.</w:t>
      </w:r>
    </w:p>
    <w:p>
      <w:pPr>
        <w:spacing w:after="0" w:line="9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September 30, 2020 and December 31, 2019, the Company, other than Battle Creek and Westminster, had no income tax related carryovers for net operating losses, alternative minimum tax credits, or capital losses.</w:t>
      </w:r>
    </w:p>
    <w:p>
      <w:pPr>
        <w:spacing w:after="0" w:line="15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Battle Creek, which files its income tax returns on a stand-alone basis, had $4,652 of net operating loss carryover at December 31, 2019. The net operating loss carryforward expires beginning in 2021 through 2030.</w:t>
      </w:r>
    </w:p>
    <w:p>
      <w:pPr>
        <w:spacing w:after="0" w:line="15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Westminster, which became part of the Company’s consolidated federal income tax return beginning in 2020, had $2,559 of net operating loss carryover at December 31, 2019. This net operating loss carryforward expires beginning in 2021 through 2023.</w:t>
      </w:r>
    </w:p>
    <w:p>
      <w:pPr>
        <w:spacing w:after="0" w:line="11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Primero subsidiary leases a facility in Spearfish, South Dakota under a non-cancellable operating lease expiring in 2023. Our Direct Auto subsidiary leases a facility in Chicago, Illinois under a non-cancellable operating lease expiring in 2029. Our Nodak Insurance subsidiary leases a facility in Fargo, North Dakota under a non-cancellable operating lease expiring in 2024. There were expenses of $94 and $76 related to these leases during the three months ended September 30, 2020 and 2019, respectively, and expenses of $277 and $227 related to these leases during the nine months ended September 30, 2020 and 2019, respectively.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have minimum future commitments under non-cancellable leases as follows:</w:t>
      </w:r>
    </w:p>
    <w:p>
      <w:pPr>
        <w:spacing w:after="0" w:line="181"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Estimated Future</w:t>
            </w:r>
          </w:p>
        </w:tc>
      </w:tr>
      <w:tr>
        <w:trPr>
          <w:trHeight w:val="216"/>
        </w:trPr>
        <w:tc>
          <w:tcPr>
            <w:tcW w:w="3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Minimum</w:t>
            </w: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10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Commitments</w:t>
            </w:r>
          </w:p>
        </w:tc>
      </w:tr>
      <w:tr>
        <w:trPr>
          <w:trHeight w:val="210"/>
        </w:trPr>
        <w:tc>
          <w:tcPr>
            <w:tcW w:w="39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2021</w:t>
            </w:r>
          </w:p>
        </w:tc>
        <w:tc>
          <w:tcPr>
            <w:tcW w:w="21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2023</w:t>
            </w:r>
          </w:p>
        </w:tc>
        <w:tc>
          <w:tcPr>
            <w:tcW w:w="21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2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10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1,353</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sub-lease portions of our home office building under non-cancellable operating leases.</w:t>
      </w:r>
    </w:p>
    <w:p>
      <w:pPr>
        <w:spacing w:after="0" w:line="16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1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does not have any unrecorded or potential contingent liabilities or material commitments requiring the use of assets as of September 30, 2020 or December 31, 2019.</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left="34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left="344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32" w:lineRule="exact"/>
        <w:rPr>
          <w:sz w:val="20"/>
          <w:szCs w:val="20"/>
          <w:color w:val="auto"/>
        </w:rPr>
      </w:pPr>
    </w:p>
    <w:p>
      <w:pPr>
        <w:jc w:val="center"/>
        <w:ind w:left="3440"/>
        <w:spacing w:after="0"/>
        <w:rPr>
          <w:sz w:val="20"/>
          <w:szCs w:val="20"/>
          <w:color w:val="auto"/>
        </w:rPr>
      </w:pPr>
      <w:r>
        <w:rPr>
          <w:rFonts w:ascii="Arial" w:cs="Arial" w:eastAsia="Arial" w:hAnsi="Arial"/>
          <w:sz w:val="15"/>
          <w:szCs w:val="15"/>
          <w:b w:val="1"/>
          <w:bCs w:val="1"/>
          <w:color w:val="auto"/>
        </w:rPr>
        <w:t>(dollar amounts in thousands, except per share amounts)</w:t>
      </w:r>
    </w:p>
    <w:p>
      <w:pPr>
        <w:spacing w:after="0" w:line="200" w:lineRule="exact"/>
        <w:rPr>
          <w:sz w:val="20"/>
          <w:szCs w:val="20"/>
          <w:color w:val="auto"/>
        </w:rPr>
      </w:pPr>
    </w:p>
    <w:p>
      <w:pPr>
        <w:spacing w:after="0" w:line="39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the number of common stock shares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Treasury shares repurchased through stock repurchase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right="3140" w:firstLine="180"/>
        <w:spacing w:after="0" w:line="323" w:lineRule="auto"/>
        <w:rPr>
          <w:sz w:val="20"/>
          <w:szCs w:val="20"/>
          <w:color w:val="auto"/>
        </w:rPr>
      </w:pPr>
      <w:r>
        <w:rPr>
          <w:rFonts w:ascii="Arial" w:cs="Arial" w:eastAsia="Arial" w:hAnsi="Arial"/>
          <w:sz w:val="18"/>
          <w:szCs w:val="18"/>
          <w:color w:val="auto"/>
        </w:rPr>
        <w:t>Issuance of treasury shares for vesting of restricted stock units 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31750</wp:posOffset>
            </wp:positionV>
            <wp:extent cx="19799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19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14605</wp:posOffset>
            </wp:positionV>
            <wp:extent cx="19799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2060" w:val="left"/>
        </w:tabs>
        <w:rPr>
          <w:sz w:val="20"/>
          <w:szCs w:val="20"/>
          <w:color w:val="auto"/>
        </w:rPr>
      </w:pPr>
      <w:r>
        <w:rPr>
          <w:rFonts w:ascii="Arial" w:cs="Arial" w:eastAsia="Arial" w:hAnsi="Arial"/>
          <w:sz w:val="17"/>
          <w:szCs w:val="17"/>
          <w:color w:val="auto"/>
        </w:rPr>
        <w:t>22,119,380</w:t>
      </w:r>
      <w:r>
        <w:rPr>
          <w:sz w:val="20"/>
          <w:szCs w:val="20"/>
          <w:color w:val="auto"/>
        </w:rPr>
        <w:tab/>
      </w:r>
      <w:r>
        <w:rPr>
          <w:rFonts w:ascii="Arial" w:cs="Arial" w:eastAsia="Arial" w:hAnsi="Arial"/>
          <w:sz w:val="17"/>
          <w:szCs w:val="17"/>
          <w:color w:val="auto"/>
        </w:rPr>
        <w:t>22,192,894</w:t>
      </w:r>
    </w:p>
    <w:p>
      <w:pPr>
        <w:spacing w:after="0" w:line="34" w:lineRule="exact"/>
        <w:rPr>
          <w:sz w:val="20"/>
          <w:szCs w:val="20"/>
          <w:color w:val="auto"/>
        </w:rPr>
      </w:pPr>
    </w:p>
    <w:p>
      <w:pPr>
        <w:jc w:val="both"/>
        <w:ind w:left="600"/>
        <w:spacing w:after="0"/>
        <w:tabs>
          <w:tab w:leader="none" w:pos="2240" w:val="left"/>
        </w:tabs>
        <w:rPr>
          <w:sz w:val="20"/>
          <w:szCs w:val="20"/>
          <w:color w:val="auto"/>
        </w:rPr>
      </w:pPr>
      <w:r>
        <w:rPr>
          <w:rFonts w:ascii="Arial" w:cs="Arial" w:eastAsia="Arial" w:hAnsi="Arial"/>
          <w:sz w:val="18"/>
          <w:szCs w:val="18"/>
          <w:color w:val="auto"/>
        </w:rPr>
        <w:t>(804,743)</w:t>
      </w:r>
      <w:r>
        <w:rPr>
          <w:sz w:val="20"/>
          <w:szCs w:val="20"/>
          <w:color w:val="auto"/>
        </w:rPr>
        <w:tab/>
      </w:r>
      <w:r>
        <w:rPr>
          <w:rFonts w:ascii="Arial" w:cs="Arial" w:eastAsia="Arial" w:hAnsi="Arial"/>
          <w:sz w:val="18"/>
          <w:szCs w:val="18"/>
          <w:color w:val="auto"/>
        </w:rPr>
        <w:t>(116,034)</w:t>
      </w:r>
    </w:p>
    <w:p>
      <w:pPr>
        <w:spacing w:after="0" w:line="9" w:lineRule="exact"/>
        <w:rPr>
          <w:sz w:val="20"/>
          <w:szCs w:val="20"/>
          <w:color w:val="auto"/>
        </w:rPr>
      </w:pPr>
    </w:p>
    <w:p>
      <w:pPr>
        <w:ind w:left="740"/>
        <w:spacing w:after="0"/>
        <w:tabs>
          <w:tab w:leader="none" w:pos="2380" w:val="left"/>
        </w:tabs>
        <w:rPr>
          <w:sz w:val="20"/>
          <w:szCs w:val="20"/>
          <w:color w:val="auto"/>
        </w:rPr>
      </w:pPr>
      <w:r>
        <w:rPr>
          <w:rFonts w:ascii="Arial" w:cs="Arial" w:eastAsia="Arial" w:hAnsi="Arial"/>
          <w:sz w:val="18"/>
          <w:szCs w:val="18"/>
          <w:color w:val="auto"/>
        </w:rPr>
        <w:t>31,442</w:t>
      </w:r>
      <w:r>
        <w:rPr>
          <w:sz w:val="20"/>
          <w:szCs w:val="20"/>
          <w:color w:val="auto"/>
        </w:rPr>
        <w:tab/>
      </w:r>
      <w:r>
        <w:rPr>
          <w:rFonts w:ascii="Arial" w:cs="Arial" w:eastAsia="Arial" w:hAnsi="Arial"/>
          <w:sz w:val="18"/>
          <w:szCs w:val="18"/>
          <w:color w:val="auto"/>
        </w:rPr>
        <w:t>18,205</w:t>
      </w:r>
    </w:p>
    <w:p>
      <w:pPr>
        <w:spacing w:after="0" w:line="9" w:lineRule="exact"/>
        <w:rPr>
          <w:sz w:val="20"/>
          <w:szCs w:val="20"/>
          <w:color w:val="auto"/>
        </w:rPr>
      </w:pPr>
    </w:p>
    <w:p>
      <w:pPr>
        <w:ind w:left="420"/>
        <w:spacing w:after="0"/>
        <w:tabs>
          <w:tab w:leader="none" w:pos="2060" w:val="left"/>
        </w:tabs>
        <w:rPr>
          <w:sz w:val="20"/>
          <w:szCs w:val="20"/>
          <w:color w:val="auto"/>
        </w:rPr>
      </w:pPr>
      <w:r>
        <w:rPr>
          <w:rFonts w:ascii="Arial" w:cs="Arial" w:eastAsia="Arial" w:hAnsi="Arial"/>
          <w:sz w:val="17"/>
          <w:szCs w:val="17"/>
          <w:color w:val="auto"/>
        </w:rPr>
        <w:t>21,346,079</w:t>
      </w:r>
      <w:r>
        <w:rPr>
          <w:sz w:val="20"/>
          <w:szCs w:val="20"/>
          <w:color w:val="auto"/>
        </w:rPr>
        <w:tab/>
      </w:r>
      <w:r>
        <w:rPr>
          <w:rFonts w:ascii="Arial" w:cs="Arial" w:eastAsia="Arial" w:hAnsi="Arial"/>
          <w:sz w:val="17"/>
          <w:szCs w:val="17"/>
          <w:color w:val="auto"/>
        </w:rPr>
        <w:t>22,095,065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21590</wp:posOffset>
            </wp:positionV>
            <wp:extent cx="197993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79930" cy="26035"/>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7800" w:space="420"/>
            <w:col w:w="3020"/>
          </w:cols>
          <w:pgMar w:left="320" w:top="125" w:right="339" w:bottom="1440" w:gutter="0" w:footer="0" w:header="0"/>
        </w:sect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nine months ended September 30, 2020, we completed the repurchase of 402,056 shares of our common stock for $4,996 to close out this authorization.</w:t>
      </w:r>
    </w:p>
    <w:p>
      <w:pPr>
        <w:spacing w:after="0" w:line="17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May 4, 2020, our Board of Directors approved an additional authorization for the repurchase of up to approximately $10,000 of the Company’s outstanding common stock. During the nine months ended September 30, 2020, we completed the repurchase of 402,687 shares of our common stock for $6,367 under this new authorization.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this treasury stock is a reduction of shareholders’ equity within our Consolidated Balance Sheet.</w:t>
      </w:r>
    </w:p>
    <w:p>
      <w:pPr>
        <w:spacing w:after="0" w:line="16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21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At its 2020 Annual Shareholders’ Meeting, the NI Holdings, Inc. 2020 Stock and Incentive Plan (the “Plan”) was approved by shareholders. The purpose of the Plan is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6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4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total aggregate number of shares of common stock that awards may be issued under all awards made under the Plan shall not exceed 1,000,000 shares of common stock,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4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125" w:right="33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 amounts in thousands, except per share amounts)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outstanding and unearned restricted stock units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RSUs earned during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earned during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September 30, 2020</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1"/>
              </w:rPr>
              <w:t>Weighted-Average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14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RSUs</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195"/>
        </w:trPr>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73,880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30"/>
        </w:trPr>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(34,440)</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0"/>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96,540</w:t>
            </w:r>
          </w:p>
        </w:tc>
        <w:tc>
          <w:tcPr>
            <w:tcW w:w="2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30"/>
        </w:trPr>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(46,760)</w:t>
            </w:r>
          </w:p>
        </w:tc>
        <w:tc>
          <w:tcPr>
            <w:tcW w:w="1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0"/>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115,780</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6" w:lineRule="exact"/>
        <w:rPr>
          <w:sz w:val="20"/>
          <w:szCs w:val="20"/>
          <w:color w:val="auto"/>
        </w:rPr>
      </w:pPr>
    </w:p>
    <w:p>
      <w:pPr>
        <w:sectPr>
          <w:pgSz w:w="11900" w:h="16838" w:orient="portrait"/>
          <w:cols w:equalWidth="0" w:num="2">
            <w:col w:w="7680" w:space="540"/>
            <w:col w:w="30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4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4"/>
              </w:rPr>
              <w:t>Nine Months Ended</w:t>
            </w:r>
          </w:p>
        </w:tc>
      </w:tr>
      <w:tr>
        <w:trPr>
          <w:trHeight w:val="234"/>
        </w:trPr>
        <w:tc>
          <w:tcPr>
            <w:tcW w:w="5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40" w:type="dxa"/>
            <w:vAlign w:val="bottom"/>
            <w:gridSpan w:val="5"/>
          </w:tcPr>
          <w:p>
            <w:pPr>
              <w:jc w:val="right"/>
              <w:ind w:right="207"/>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60" w:type="dxa"/>
            <w:vAlign w:val="bottom"/>
          </w:tcPr>
          <w:p>
            <w:pPr>
              <w:spacing w:after="0"/>
              <w:rPr>
                <w:sz w:val="18"/>
                <w:szCs w:val="18"/>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15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Income tax benefit</w:t>
            </w: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5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RSU compensation expense, net of income taxes</w:t>
            </w: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167</w:t>
            </w:r>
          </w:p>
        </w:tc>
        <w:tc>
          <w:tcPr>
            <w:tcW w:w="80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130</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At September 30, 2020, there was $892 of unrecognized compensation cost related to outstanding RSUs. That cost is expected to be recognized over a weighted-average period of 1.93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9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6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No forfeitures are currently estimated. The current cost estimate assumes that the cumulative growth target will be achieved.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outstanding performance share units is presented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7"/>
              </w:rPr>
              <w:t>Weighted-Average</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7"/>
              </w:rPr>
              <w:t>PSUs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Units outstanding at January 1, 2019</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PSUs granted during 2019 (at target)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62,400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December 31, 2019</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PSUs granted during 2020 (at target)</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Units outstanding at September 30, 2020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174,600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7260" w:type="dxa"/>
            <w:vAlign w:val="bottom"/>
            <w:gridSpan w:val="6"/>
            <w:vMerge w:val="restart"/>
          </w:tcPr>
          <w:p>
            <w:pPr>
              <w:ind w:left="660"/>
              <w:spacing w:after="0"/>
              <w:rPr>
                <w:sz w:val="20"/>
                <w:szCs w:val="20"/>
                <w:color w:val="auto"/>
              </w:rPr>
            </w:pPr>
            <w:r>
              <w:rPr>
                <w:rFonts w:ascii="Arial" w:cs="Arial" w:eastAsia="Arial" w:hAnsi="Arial"/>
                <w:sz w:val="18"/>
                <w:szCs w:val="18"/>
                <w:color w:val="auto"/>
                <w:w w:val="94"/>
              </w:rPr>
              <w:t>The following table shows the impact of PSU activity to the Company’s financial results:</w:t>
            </w: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60" w:type="dxa"/>
            <w:vAlign w:val="bottom"/>
            <w:gridSpan w:val="6"/>
            <w:vMerge w:val="continue"/>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Three Months Ended September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1100"/>
              <w:spacing w:after="0"/>
              <w:rPr>
                <w:sz w:val="20"/>
                <w:szCs w:val="20"/>
                <w:color w:val="auto"/>
              </w:rPr>
            </w:pPr>
            <w:r>
              <w:rPr>
                <w:rFonts w:ascii="Arial" w:cs="Arial" w:eastAsia="Arial" w:hAnsi="Arial"/>
                <w:sz w:val="18"/>
                <w:szCs w:val="18"/>
                <w:b w:val="1"/>
                <w:bCs w:val="1"/>
                <w:color w:val="auto"/>
              </w:rPr>
              <w:t>30,</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tax benefit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56"/>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PSU compensation expense, net of income taxes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September 30, 2020, there was $1,288 of unrecognized compensation cost related to outstanding PSUs. That cost is expected to be recognized over a weighted-average period of 1.73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described in Note 1, the conversion of the mutual company to a stock company resulted in the issuance of NI Holdings common shares on March 13, 2017. Earnings per share are computed by dividing net income available to common shareholders for the period by the weighted average number of common shares outstanding for the same period. The weighted average number of common shares outstanding was 21,565,962 and 22,136,885 during the three months ended September 30, 2020 and 2019, respectively, and 21,889,138 and 22,194,102 during the nine months ended September 30, 2020 and 2019, respectively.</w:t>
      </w:r>
    </w:p>
    <w:p>
      <w:pPr>
        <w:spacing w:after="0" w:line="17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Unearned ESOP shares are not considered outstanding until they are released and allocated to plan participants. Unearned RSU and PSU shares are not considered outstanding until they are earned by award participants.</w:t>
      </w:r>
    </w:p>
    <w:p>
      <w:pPr>
        <w:spacing w:after="0" w:line="14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a reconciliation of the numerators and denominators we used in the basic and diluted per share computations for our common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4"/>
              </w:rPr>
              <w:t>Three Months Ended September</w:t>
            </w:r>
          </w:p>
        </w:tc>
        <w:tc>
          <w:tcPr>
            <w:tcW w:w="100" w:type="dxa"/>
            <w:vAlign w:val="bottom"/>
          </w:tcPr>
          <w:p>
            <w:pPr>
              <w:spacing w:after="0"/>
              <w:rPr>
                <w:sz w:val="18"/>
                <w:szCs w:val="18"/>
                <w:color w:val="auto"/>
              </w:rPr>
            </w:pPr>
          </w:p>
        </w:tc>
        <w:tc>
          <w:tcPr>
            <w:tcW w:w="2680" w:type="dxa"/>
            <w:vAlign w:val="bottom"/>
            <w:gridSpan w:val="7"/>
          </w:tcPr>
          <w:p>
            <w:pPr>
              <w:ind w:left="20"/>
              <w:spacing w:after="0"/>
              <w:rPr>
                <w:sz w:val="20"/>
                <w:szCs w:val="20"/>
                <w:color w:val="auto"/>
              </w:rPr>
            </w:pPr>
            <w:r>
              <w:rPr>
                <w:rFonts w:ascii="Arial" w:cs="Arial" w:eastAsia="Arial" w:hAnsi="Arial"/>
                <w:sz w:val="18"/>
                <w:szCs w:val="18"/>
                <w:b w:val="1"/>
                <w:bCs w:val="1"/>
                <w:color w:val="auto"/>
                <w:w w:val="99"/>
              </w:rPr>
              <w:t>Nine Months Ended September</w:t>
            </w:r>
          </w:p>
        </w:tc>
      </w:tr>
      <w:tr>
        <w:trPr>
          <w:trHeight w:val="234"/>
        </w:trPr>
        <w:tc>
          <w:tcPr>
            <w:tcW w:w="4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NI Holdings, Inc.</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9,272</w:t>
            </w:r>
          </w:p>
        </w:tc>
        <w:tc>
          <w:tcPr>
            <w:tcW w:w="20" w:type="dxa"/>
            <w:vAlign w:val="bottom"/>
            <w:shd w:val="clear" w:color="auto" w:fill="CCEEFF"/>
          </w:tcPr>
          <w:p>
            <w:pPr>
              <w:spacing w:after="0"/>
              <w:rPr>
                <w:sz w:val="22"/>
                <w:szCs w:val="22"/>
                <w:color w:val="auto"/>
              </w:rPr>
            </w:pPr>
          </w:p>
        </w:tc>
      </w:tr>
      <w:tr>
        <w:trPr>
          <w:trHeight w:val="197"/>
        </w:trPr>
        <w:tc>
          <w:tcPr>
            <w:tcW w:w="4800" w:type="dxa"/>
            <w:vAlign w:val="bottom"/>
            <w:tcBorders>
              <w:top w:val="single" w:sz="8" w:color="CCEEFF"/>
            </w:tcBorders>
          </w:tcPr>
          <w:p>
            <w:pPr>
              <w:ind w:left="180"/>
              <w:spacing w:after="0" w:line="196" w:lineRule="exact"/>
              <w:rPr>
                <w:sz w:val="20"/>
                <w:szCs w:val="20"/>
                <w:color w:val="auto"/>
              </w:rPr>
            </w:pPr>
            <w:r>
              <w:rPr>
                <w:rFonts w:ascii="Arial" w:cs="Arial" w:eastAsia="Arial" w:hAnsi="Arial"/>
                <w:sz w:val="18"/>
                <w:szCs w:val="18"/>
                <w:color w:val="auto"/>
              </w:rPr>
              <w:t>Denominator:</w:t>
            </w:r>
          </w:p>
        </w:tc>
        <w:tc>
          <w:tcPr>
            <w:tcW w:w="7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3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21,565,962</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22,136,885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21,889,138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22,194,102</w:t>
            </w:r>
          </w:p>
        </w:tc>
        <w:tc>
          <w:tcPr>
            <w:tcW w:w="20" w:type="dxa"/>
            <w:vAlign w:val="bottom"/>
            <w:shd w:val="clear" w:color="auto" w:fill="CCEEFF"/>
          </w:tcPr>
          <w:p>
            <w:pPr>
              <w:spacing w:after="0"/>
              <w:rPr>
                <w:sz w:val="20"/>
                <w:szCs w:val="20"/>
                <w:color w:val="auto"/>
              </w:rPr>
            </w:pP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800" w:type="dxa"/>
            <w:vAlign w:val="bottom"/>
          </w:tcPr>
          <w:p>
            <w:pPr>
              <w:ind w:left="180"/>
              <w:spacing w:after="0" w:line="196" w:lineRule="exact"/>
              <w:rPr>
                <w:sz w:val="20"/>
                <w:szCs w:val="20"/>
                <w:color w:val="auto"/>
              </w:rPr>
            </w:pPr>
            <w:r>
              <w:rPr>
                <w:rFonts w:ascii="Arial" w:cs="Arial" w:eastAsia="Arial" w:hAnsi="Arial"/>
                <w:sz w:val="18"/>
                <w:szCs w:val="18"/>
                <w:color w:val="auto"/>
              </w:rPr>
              <w:t>Basic earnings (loss) per common share</w:t>
            </w:r>
          </w:p>
        </w:tc>
        <w:tc>
          <w:tcPr>
            <w:tcW w:w="72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0.17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0.86</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0.42</w:t>
            </w:r>
          </w:p>
        </w:tc>
        <w:tc>
          <w:tcPr>
            <w:tcW w:w="2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Net income (loss) attributable to NI Holdings, Inc.</w:t>
            </w: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3,664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(6,979)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18,810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9,272</w:t>
            </w:r>
          </w:p>
        </w:tc>
        <w:tc>
          <w:tcPr>
            <w:tcW w:w="2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Denominator:</w:t>
            </w: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Number of shares used in basic computation</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21,565,962</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22,136,885</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21,889,138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22,194,102</w:t>
            </w: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effect of dilutive securities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800" w:type="dxa"/>
            <w:vAlign w:val="bottom"/>
          </w:tcPr>
          <w:p>
            <w:pPr>
              <w:ind w:left="540"/>
              <w:spacing w:after="0"/>
              <w:rPr>
                <w:sz w:val="20"/>
                <w:szCs w:val="20"/>
                <w:color w:val="auto"/>
              </w:rPr>
            </w:pPr>
            <w:r>
              <w:rPr>
                <w:rFonts w:ascii="Arial" w:cs="Arial" w:eastAsia="Arial" w:hAnsi="Arial"/>
                <w:sz w:val="18"/>
                <w:szCs w:val="18"/>
                <w:color w:val="auto"/>
              </w:rPr>
              <w:t>Add: RSUs and PSUs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189,266</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95,189</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149,748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75,398</w:t>
            </w:r>
          </w:p>
        </w:tc>
        <w:tc>
          <w:tcPr>
            <w:tcW w:w="2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4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Number of shares used in diluted computation</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21,755,228</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22,232,074</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22,038,886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22,269,500</w:t>
            </w:r>
          </w:p>
        </w:tc>
        <w:tc>
          <w:tcPr>
            <w:tcW w:w="20" w:type="dxa"/>
            <w:vAlign w:val="bottom"/>
            <w:shd w:val="clear" w:color="auto" w:fill="CCEEFF"/>
          </w:tcPr>
          <w:p>
            <w:pPr>
              <w:spacing w:after="0"/>
              <w:rPr>
                <w:sz w:val="19"/>
                <w:szCs w:val="19"/>
                <w:color w:val="auto"/>
              </w:rPr>
            </w:pP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800" w:type="dxa"/>
            <w:vAlign w:val="bottom"/>
          </w:tcPr>
          <w:p>
            <w:pPr>
              <w:ind w:left="180"/>
              <w:spacing w:after="0" w:line="196" w:lineRule="exact"/>
              <w:rPr>
                <w:sz w:val="20"/>
                <w:szCs w:val="20"/>
                <w:color w:val="auto"/>
              </w:rPr>
            </w:pPr>
            <w:r>
              <w:rPr>
                <w:rFonts w:ascii="Arial" w:cs="Arial" w:eastAsia="Arial" w:hAnsi="Arial"/>
                <w:sz w:val="18"/>
                <w:szCs w:val="18"/>
                <w:color w:val="auto"/>
              </w:rPr>
              <w:t>Diluted earnings (loss) per common share</w:t>
            </w:r>
          </w:p>
        </w:tc>
        <w:tc>
          <w:tcPr>
            <w:tcW w:w="72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0.17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0.85</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0.42</w:t>
            </w:r>
          </w:p>
        </w:tc>
        <w:tc>
          <w:tcPr>
            <w:tcW w:w="2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480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35</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800" w:type="dxa"/>
            <w:vAlign w:val="bottom"/>
            <w:tcBorders>
              <w:bottom w:val="single" w:sz="8" w:color="EEEEEE"/>
            </w:tcBorders>
          </w:tcPr>
          <w:p>
            <w:pPr>
              <w:spacing w:after="0"/>
              <w:rPr>
                <w:sz w:val="17"/>
                <w:szCs w:val="17"/>
                <w:color w:val="auto"/>
              </w:rPr>
            </w:pPr>
          </w:p>
        </w:tc>
        <w:tc>
          <w:tcPr>
            <w:tcW w:w="72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1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have five primary reportable operating segments, which consist of private passenger auto insurance, non-standard auto insurance, home and farm insurance, crop insurance, and commercial insurance. A sixth segment captures all other insurance coverages we sell, including our assumed reinsurance lines of business. We operate only in the United States, and no single customer or agent provides 10 percent or more of our revenues. The following tables provide available information of these segments for the three and nine month periods ended September 30, 2020 and 2019. For presentation in these tables, “LAE” refers to loss adjustment expenses.</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ratios presented in these tables are non-GAAP financial measures under Securities and Exchange Commission rules and regulations. The non-GAAP ratios may not be comparable to similarly-named measures reported by other companies.</w:t>
      </w:r>
    </w:p>
    <w:p>
      <w:pPr>
        <w:spacing w:after="0" w:line="143"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10"/>
          </w:tcPr>
          <w:p>
            <w:pPr>
              <w:jc w:val="right"/>
              <w:ind w:right="300"/>
              <w:spacing w:after="0"/>
              <w:rPr>
                <w:sz w:val="20"/>
                <w:szCs w:val="20"/>
                <w:color w:val="auto"/>
              </w:rPr>
            </w:pPr>
            <w:r>
              <w:rPr>
                <w:rFonts w:ascii="Arial" w:cs="Arial" w:eastAsia="Arial" w:hAnsi="Arial"/>
                <w:sz w:val="18"/>
                <w:szCs w:val="18"/>
                <w:b w:val="1"/>
                <w:bCs w:val="1"/>
                <w:color w:val="auto"/>
                <w:w w:val="92"/>
              </w:rPr>
              <w:t>Three Months Ended September 30, 2020</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Crop</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Commercial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2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17,947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9,719</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10,773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Direct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13,570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13,912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12,154</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9,257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Ceded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(3,546)</w:t>
            </w: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(3,680)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9,225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2"/>
              </w:rPr>
              <w:t>Underwriting and general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40" w:type="dxa"/>
            <w:vAlign w:val="bottom"/>
          </w:tcPr>
          <w:p>
            <w:pPr>
              <w:ind w:left="180"/>
              <w:spacing w:after="0"/>
              <w:rPr>
                <w:sz w:val="20"/>
                <w:szCs w:val="20"/>
                <w:color w:val="auto"/>
              </w:rPr>
            </w:pPr>
            <w:r>
              <w:rPr>
                <w:rFonts w:ascii="Arial" w:cs="Arial" w:eastAsia="Arial" w:hAnsi="Arial"/>
                <w:sz w:val="18"/>
                <w:szCs w:val="18"/>
                <w:color w:val="auto"/>
              </w:rPr>
              <w:t>Underwriting gain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(1,048)</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Fee and other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1,886</w:t>
            </w: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capital gain on investments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attributable to non-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vMerge w:val="restart"/>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line="195" w:lineRule="exact"/>
              <w:rPr>
                <w:sz w:val="20"/>
                <w:szCs w:val="20"/>
                <w:color w:val="auto"/>
              </w:rPr>
            </w:pPr>
            <w:r>
              <w:rPr>
                <w:rFonts w:ascii="Arial" w:cs="Arial" w:eastAsia="Arial" w:hAnsi="Arial"/>
                <w:sz w:val="18"/>
                <w:szCs w:val="18"/>
                <w:color w:val="auto"/>
              </w:rPr>
              <w:t>Net income attributable to NI</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tcPr>
          <w:p>
            <w:pPr>
              <w:ind w:left="360"/>
              <w:spacing w:after="0" w:line="190" w:lineRule="exact"/>
              <w:rPr>
                <w:sz w:val="20"/>
                <w:szCs w:val="20"/>
                <w:color w:val="auto"/>
              </w:rPr>
            </w:pPr>
            <w:r>
              <w:rPr>
                <w:rFonts w:ascii="Arial" w:cs="Arial" w:eastAsia="Arial" w:hAnsi="Arial"/>
                <w:sz w:val="18"/>
                <w:szCs w:val="18"/>
                <w:color w:val="auto"/>
              </w:rPr>
              <w:t>Holdings, Inc.</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Non-GAAP Ratios: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8"/>
              </w:rPr>
              <w:t>Balances at September 30, 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Premiums and agents’ balances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9,323</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39,182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84,868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w w:val="94"/>
              </w:rPr>
              <w:t>Deferred policy acquisition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409</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180"/>
              <w:spacing w:after="0" w:line="201" w:lineRule="exact"/>
              <w:rPr>
                <w:sz w:val="20"/>
                <w:szCs w:val="20"/>
                <w:color w:val="auto"/>
              </w:rPr>
            </w:pPr>
            <w:r>
              <w:rPr>
                <w:rFonts w:ascii="Arial" w:cs="Arial" w:eastAsia="Arial" w:hAnsi="Arial"/>
                <w:sz w:val="18"/>
                <w:szCs w:val="18"/>
                <w:color w:val="auto"/>
              </w:rPr>
              <w:t>Receivable from Federal Crop</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360"/>
              <w:spacing w:after="0"/>
              <w:rPr>
                <w:sz w:val="20"/>
                <w:szCs w:val="20"/>
                <w:color w:val="auto"/>
              </w:rPr>
            </w:pPr>
            <w:r>
              <w:rPr>
                <w:rFonts w:ascii="Arial" w:cs="Arial" w:eastAsia="Arial" w:hAnsi="Arial"/>
                <w:sz w:val="18"/>
                <w:szCs w:val="18"/>
                <w:color w:val="auto"/>
              </w:rPr>
              <w:t>Insurance Corporation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9,519</w:t>
            </w:r>
          </w:p>
        </w:tc>
        <w:tc>
          <w:tcPr>
            <w:tcW w:w="3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29,723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29,203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17,147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41,724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8,730</w:t>
            </w:r>
          </w:p>
        </w:tc>
        <w:tc>
          <w:tcPr>
            <w:tcW w:w="3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26,247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125,966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7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8"/>
                <w:szCs w:val="18"/>
                <w:b w:val="1"/>
                <w:bCs w:val="1"/>
                <w:color w:val="auto"/>
                <w:w w:val="92"/>
              </w:rPr>
              <w:t>Three Months Ended September 30, 2019</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Private</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Passenger</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18,256</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70,481</w:t>
            </w: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1,243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1,234</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(4,599)</w:t>
            </w:r>
          </w:p>
        </w:tc>
      </w:tr>
      <w:tr>
        <w:trPr>
          <w:trHeight w:val="20"/>
        </w:trPr>
        <w:tc>
          <w:tcPr>
            <w:tcW w:w="2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72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17,316</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14,044</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17,908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14,517</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3,331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67,116</w:t>
            </w:r>
          </w:p>
        </w:tc>
      </w:tr>
      <w:tr>
        <w:trPr>
          <w:trHeight w:val="216"/>
        </w:trPr>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19,120</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18,639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13,977</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62,248</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(2,151)</w:t>
            </w:r>
          </w:p>
        </w:tc>
        <w:tc>
          <w:tcPr>
            <w:tcW w:w="3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(2,707)</w:t>
            </w:r>
          </w:p>
        </w:tc>
      </w:tr>
      <w:tr>
        <w:trPr>
          <w:trHeight w:val="20"/>
        </w:trPr>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18,716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13,142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61,558</w:t>
            </w:r>
          </w:p>
        </w:tc>
      </w:tr>
      <w:tr>
        <w:trPr>
          <w:trHeight w:val="216"/>
        </w:trPr>
        <w:tc>
          <w:tcPr>
            <w:tcW w:w="2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w:t>
            </w:r>
          </w:p>
        </w:tc>
      </w:tr>
      <w:tr>
        <w:trPr>
          <w:trHeight w:val="209"/>
        </w:trPr>
        <w:tc>
          <w:tcPr>
            <w:tcW w:w="2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17,291</w:t>
            </w:r>
          </w:p>
        </w:tc>
      </w:tr>
      <w:tr>
        <w:trPr>
          <w:trHeight w:val="20"/>
        </w:trPr>
        <w:tc>
          <w:tcPr>
            <w:tcW w:w="2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720" w:type="dxa"/>
            <w:vAlign w:val="bottom"/>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(5,582)</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3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(11,733)</w:t>
            </w:r>
          </w:p>
        </w:tc>
      </w:tr>
      <w:tr>
        <w:trPr>
          <w:trHeight w:val="209"/>
        </w:trPr>
        <w:tc>
          <w:tcPr>
            <w:tcW w:w="2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10"/>
        </w:trPr>
        <w:tc>
          <w:tcPr>
            <w:tcW w:w="2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133"/>
        <w:spacing w:after="0"/>
        <w:rPr>
          <w:sz w:val="20"/>
          <w:szCs w:val="20"/>
          <w:color w:val="auto"/>
        </w:rPr>
      </w:pPr>
      <w:r>
        <w:rPr>
          <w:rFonts w:ascii="Arial" w:cs="Arial" w:eastAsia="Arial" w:hAnsi="Arial"/>
          <w:sz w:val="16"/>
          <w:szCs w:val="16"/>
          <w:color w:val="auto"/>
        </w:rPr>
        <w:t>Net capital gain on investments</w:t>
      </w:r>
    </w:p>
    <w:p>
      <w:pPr>
        <w:spacing w:after="0" w:line="46" w:lineRule="exact"/>
        <w:rPr>
          <w:sz w:val="20"/>
          <w:szCs w:val="20"/>
          <w:color w:val="auto"/>
        </w:rPr>
      </w:pPr>
    </w:p>
    <w:p>
      <w:pPr>
        <w:jc w:val="right"/>
        <w:ind w:right="7193"/>
        <w:spacing w:after="0"/>
        <w:rPr>
          <w:sz w:val="20"/>
          <w:szCs w:val="20"/>
          <w:color w:val="auto"/>
        </w:rPr>
      </w:pPr>
      <w:r>
        <w:rPr>
          <w:rFonts w:ascii="Arial" w:cs="Arial" w:eastAsia="Arial" w:hAnsi="Arial"/>
          <w:sz w:val="17"/>
          <w:szCs w:val="17"/>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jc w:val="right"/>
        <w:ind w:right="8453"/>
        <w:spacing w:after="0"/>
        <w:rPr>
          <w:sz w:val="20"/>
          <w:szCs w:val="20"/>
          <w:color w:val="auto"/>
        </w:rPr>
      </w:pPr>
      <w:r>
        <w:rPr>
          <w:rFonts w:ascii="Arial" w:cs="Arial" w:eastAsia="Arial" w:hAnsi="Arial"/>
          <w:sz w:val="16"/>
          <w:szCs w:val="16"/>
          <w:color w:val="auto"/>
        </w:rPr>
        <w:t>Income taxes</w:t>
      </w:r>
    </w:p>
    <w:p>
      <w:pPr>
        <w:spacing w:after="0" w:line="46" w:lineRule="exact"/>
        <w:rPr>
          <w:sz w:val="20"/>
          <w:szCs w:val="20"/>
          <w:color w:val="auto"/>
        </w:rPr>
      </w:pPr>
    </w:p>
    <w:p>
      <w:pPr>
        <w:jc w:val="right"/>
        <w:ind w:right="8393"/>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income attributable to non-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attributable to NI</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1,983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622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(8,601)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(1,642)</w:t>
      </w:r>
    </w:p>
    <w:p>
      <w:pPr>
        <w:spacing w:after="0" w:line="23" w:lineRule="exact"/>
        <w:rPr>
          <w:sz w:val="20"/>
          <w:szCs w:val="20"/>
          <w:color w:val="auto"/>
        </w:rPr>
      </w:pPr>
    </w:p>
    <w:p>
      <w:pPr>
        <w:ind w:left="527"/>
        <w:spacing w:after="0"/>
        <w:rPr>
          <w:sz w:val="20"/>
          <w:szCs w:val="20"/>
          <w:color w:val="auto"/>
        </w:rPr>
      </w:pPr>
      <w:r>
        <w:rPr>
          <w:rFonts w:ascii="Arial" w:cs="Arial" w:eastAsia="Arial" w:hAnsi="Arial"/>
          <w:sz w:val="17"/>
          <w:szCs w:val="17"/>
          <w:color w:val="auto"/>
        </w:rPr>
        <w:t>(6,959)</w:t>
      </w:r>
    </w:p>
    <w:p>
      <w:pPr>
        <w:spacing w:after="0" w:line="209" w:lineRule="exact"/>
        <w:rPr>
          <w:sz w:val="20"/>
          <w:szCs w:val="20"/>
          <w:color w:val="auto"/>
        </w:rPr>
      </w:pPr>
    </w:p>
    <w:p>
      <w:pPr>
        <w:ind w:left="827"/>
        <w:spacing w:after="0"/>
        <w:rPr>
          <w:sz w:val="20"/>
          <w:szCs w:val="20"/>
          <w:color w:val="auto"/>
        </w:rPr>
      </w:pPr>
      <w:r>
        <w:rPr>
          <w:rFonts w:ascii="Arial" w:cs="Arial" w:eastAsia="Arial" w:hAnsi="Arial"/>
          <w:sz w:val="18"/>
          <w:szCs w:val="18"/>
          <w:color w:val="auto"/>
        </w:rPr>
        <w:t>20</w:t>
      </w:r>
    </w:p>
    <w:p>
      <w:pPr>
        <w:spacing w:after="0" w:line="198" w:lineRule="exact"/>
        <w:rPr>
          <w:sz w:val="20"/>
          <w:szCs w:val="20"/>
          <w:color w:val="auto"/>
        </w:rPr>
      </w:pPr>
    </w:p>
    <w:p>
      <w:pPr>
        <w:ind w:left="527" w:hanging="527"/>
        <w:spacing w:after="0"/>
        <w:tabs>
          <w:tab w:leader="none" w:pos="527" w:val="left"/>
        </w:tabs>
        <w:numPr>
          <w:ilvl w:val="0"/>
          <w:numId w:val="29"/>
        </w:numPr>
        <w:rPr>
          <w:rFonts w:ascii="Arial" w:cs="Arial" w:eastAsia="Arial" w:hAnsi="Arial"/>
          <w:sz w:val="17"/>
          <w:szCs w:val="17"/>
          <w:color w:val="auto"/>
        </w:rPr>
      </w:pPr>
      <w:r>
        <w:rPr>
          <w:rFonts w:ascii="Arial" w:cs="Arial" w:eastAsia="Arial" w:hAnsi="Arial"/>
          <w:sz w:val="17"/>
          <w:szCs w:val="17"/>
          <w:color w:val="auto"/>
        </w:rPr>
        <w:t>(6,979)</w:t>
      </w:r>
    </w:p>
    <w:p>
      <w:pPr>
        <w:spacing w:after="0" w:line="35" w:lineRule="exact"/>
        <w:rPr>
          <w:sz w:val="20"/>
          <w:szCs w:val="20"/>
          <w:color w:val="auto"/>
        </w:rPr>
      </w:pPr>
    </w:p>
    <w:p>
      <w:pPr>
        <w:sectPr>
          <w:pgSz w:w="11900" w:h="16838" w:orient="portrait"/>
          <w:cols w:equalWidth="0" w:num="2">
            <w:col w:w="9413" w:space="720"/>
            <w:col w:w="1107"/>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Non-GAAP Ratios: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131.6%</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28.1%</w:t>
            </w:r>
          </w:p>
        </w:tc>
        <w:tc>
          <w:tcPr>
            <w:tcW w:w="3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133.7%</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159.7%</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117.5%</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Balances at June 30, 2019:</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Premiums and agents’ balances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18,776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8,186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39,275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77,026</w:t>
            </w:r>
          </w:p>
        </w:tc>
        <w:tc>
          <w:tcPr>
            <w:tcW w:w="20" w:type="dxa"/>
            <w:vAlign w:val="bottom"/>
            <w:shd w:val="clear" w:color="auto" w:fill="CCEEFF"/>
          </w:tcPr>
          <w:p>
            <w:pPr>
              <w:spacing w:after="0"/>
              <w:rPr>
                <w:sz w:val="20"/>
                <w:szCs w:val="20"/>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w w:val="94"/>
              </w:rPr>
              <w:t>Deferred policy acquisition costs</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4,143</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4,794</w:t>
            </w: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5,945</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38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15,804</w:t>
            </w: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5,753</w:t>
            </w:r>
          </w:p>
        </w:tc>
        <w:tc>
          <w:tcPr>
            <w:tcW w:w="20" w:type="dxa"/>
            <w:vAlign w:val="bottom"/>
            <w:shd w:val="clear" w:color="auto" w:fill="CCEEFF"/>
          </w:tcPr>
          <w:p>
            <w:pPr>
              <w:spacing w:after="0"/>
              <w:rPr>
                <w:sz w:val="18"/>
                <w:szCs w:val="18"/>
                <w:color w:val="auto"/>
              </w:rPr>
            </w:pPr>
          </w:p>
        </w:tc>
      </w:tr>
      <w:tr>
        <w:trPr>
          <w:trHeight w:val="202"/>
        </w:trPr>
        <w:tc>
          <w:tcPr>
            <w:tcW w:w="2640" w:type="dxa"/>
            <w:vAlign w:val="bottom"/>
          </w:tcPr>
          <w:p>
            <w:pPr>
              <w:ind w:left="180"/>
              <w:spacing w:after="0" w:line="201" w:lineRule="exact"/>
              <w:rPr>
                <w:sz w:val="20"/>
                <w:szCs w:val="20"/>
                <w:color w:val="auto"/>
              </w:rPr>
            </w:pPr>
            <w:r>
              <w:rPr>
                <w:rFonts w:ascii="Arial" w:cs="Arial" w:eastAsia="Arial" w:hAnsi="Arial"/>
                <w:sz w:val="18"/>
                <w:szCs w:val="18"/>
                <w:color w:val="auto"/>
              </w:rPr>
              <w:t>Receivable from Federal Crop</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640" w:type="dxa"/>
            <w:vAlign w:val="bottom"/>
          </w:tcPr>
          <w:p>
            <w:pPr>
              <w:ind w:left="360"/>
              <w:spacing w:after="0"/>
              <w:rPr>
                <w:sz w:val="20"/>
                <w:szCs w:val="20"/>
                <w:color w:val="auto"/>
              </w:rPr>
            </w:pPr>
            <w:r>
              <w:rPr>
                <w:rFonts w:ascii="Arial" w:cs="Arial" w:eastAsia="Arial" w:hAnsi="Arial"/>
                <w:sz w:val="18"/>
                <w:szCs w:val="18"/>
                <w:color w:val="auto"/>
              </w:rPr>
              <w:t>Insurance Corporation</w:t>
            </w: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24,191</w:t>
            </w:r>
          </w:p>
        </w:tc>
        <w:tc>
          <w:tcPr>
            <w:tcW w:w="3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24,191</w:t>
            </w:r>
          </w:p>
        </w:tc>
        <w:tc>
          <w:tcPr>
            <w:tcW w:w="20" w:type="dxa"/>
            <w:vAlign w:val="bottom"/>
          </w:tcPr>
          <w:p>
            <w:pPr>
              <w:spacing w:after="0"/>
              <w:rPr>
                <w:sz w:val="20"/>
                <w:szCs w:val="20"/>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2,928</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LAE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21,447</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47,672</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14,574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23,738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1,233</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9,942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117,373</w:t>
            </w:r>
          </w:p>
        </w:tc>
        <w:tc>
          <w:tcPr>
            <w:tcW w:w="20" w:type="dxa"/>
            <w:vAlign w:val="bottom"/>
            <w:shd w:val="clear" w:color="auto" w:fill="CCEEFF"/>
          </w:tcPr>
          <w:p>
            <w:pPr>
              <w:spacing w:after="0"/>
              <w:rPr>
                <w:sz w:val="18"/>
                <w:szCs w:val="18"/>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28,312</w:t>
            </w:r>
          </w:p>
        </w:tc>
        <w:tc>
          <w:tcPr>
            <w:tcW w:w="4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16,723</w:t>
            </w: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40,114</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11,233</w:t>
            </w:r>
          </w:p>
        </w:tc>
        <w:tc>
          <w:tcPr>
            <w:tcW w:w="3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2,706</w:t>
            </w:r>
          </w:p>
        </w:tc>
        <w:tc>
          <w:tcPr>
            <w:tcW w:w="34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5,035</w:t>
            </w: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101,417</w:t>
            </w:r>
          </w:p>
        </w:tc>
        <w:tc>
          <w:tcPr>
            <w:tcW w:w="20" w:type="dxa"/>
            <w:vAlign w:val="bottom"/>
          </w:tcPr>
          <w:p>
            <w:pPr>
              <w:spacing w:after="0"/>
              <w:rPr>
                <w:sz w:val="20"/>
                <w:szCs w:val="20"/>
                <w:color w:val="auto"/>
              </w:rPr>
            </w:pPr>
          </w:p>
        </w:tc>
      </w:tr>
      <w:tr>
        <w:trPr>
          <w:trHeight w:val="377"/>
        </w:trPr>
        <w:tc>
          <w:tcPr>
            <w:tcW w:w="2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570"/>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64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44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7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16"/>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3"/>
              </w:rPr>
              <w:t>NI Holdings, Inc.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12"/>
          </w:tcPr>
          <w:p>
            <w:pPr>
              <w:jc w:val="center"/>
              <w:ind w:left="33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12"/>
          </w:tcPr>
          <w:p>
            <w:pPr>
              <w:jc w:val="center"/>
              <w:ind w:left="33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8"/>
                <w:szCs w:val="18"/>
                <w:b w:val="1"/>
                <w:bCs w:val="1"/>
                <w:color w:val="auto"/>
                <w:w w:val="90"/>
              </w:rPr>
              <w:t>Nine Months Ended September 30, 2020</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Private</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Passenger</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55,899</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40,253</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31,438</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224,300</w:t>
            </w:r>
          </w:p>
        </w:tc>
        <w:tc>
          <w:tcPr>
            <w:tcW w:w="12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1,903</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5,655</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(61,062)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(15,835)</w:t>
            </w:r>
          </w:p>
        </w:tc>
      </w:tr>
      <w:tr>
        <w:trPr>
          <w:trHeight w:val="20"/>
        </w:trPr>
        <w:tc>
          <w:tcPr>
            <w:tcW w:w="2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272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52,632</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40,124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53,937</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33,450</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26,967</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214,120</w:t>
            </w:r>
          </w:p>
        </w:tc>
      </w:tr>
      <w:tr>
        <w:trPr>
          <w:trHeight w:val="216"/>
        </w:trPr>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33,324</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23,560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32,661</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35,212</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26,169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153,203</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3,538</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(1,826)</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(5,352)</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(11,640)</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(20,119)</w:t>
            </w:r>
          </w:p>
        </w:tc>
      </w:tr>
      <w:tr>
        <w:trPr>
          <w:trHeight w:val="20"/>
        </w:trPr>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33,323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30,835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136,622</w:t>
            </w:r>
          </w:p>
        </w:tc>
      </w:tr>
      <w:tr>
        <w:trPr>
          <w:trHeight w:val="203"/>
        </w:trPr>
        <w:tc>
          <w:tcPr>
            <w:tcW w:w="2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19,309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16,564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23,102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77,498</w:t>
            </w:r>
          </w:p>
        </w:tc>
      </w:tr>
      <w:tr>
        <w:trPr>
          <w:trHeight w:val="210"/>
        </w:trPr>
        <w:tc>
          <w:tcPr>
            <w:tcW w:w="2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14,248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61,928</w:t>
            </w:r>
          </w:p>
        </w:tc>
      </w:tr>
      <w:tr>
        <w:trPr>
          <w:trHeight w:val="20"/>
        </w:trPr>
        <w:tc>
          <w:tcPr>
            <w:tcW w:w="2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2720" w:type="dxa"/>
            <w:vAlign w:val="bottom"/>
          </w:tcPr>
          <w:p>
            <w:pPr>
              <w:ind w:left="180"/>
              <w:spacing w:after="0"/>
              <w:rPr>
                <w:sz w:val="20"/>
                <w:szCs w:val="20"/>
                <w:color w:val="auto"/>
              </w:rPr>
            </w:pPr>
            <w:r>
              <w:rPr>
                <w:rFonts w:ascii="Arial" w:cs="Arial" w:eastAsia="Arial" w:hAnsi="Arial"/>
                <w:sz w:val="18"/>
                <w:szCs w:val="18"/>
                <w:color w:val="auto"/>
              </w:rPr>
              <w:t>Underwriting gain (loss)</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5,061</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(791)</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15,570</w:t>
            </w:r>
          </w:p>
        </w:tc>
      </w:tr>
      <w:tr>
        <w:trPr>
          <w:trHeight w:val="210"/>
        </w:trPr>
        <w:tc>
          <w:tcPr>
            <w:tcW w:w="2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1,332</w:t>
            </w:r>
          </w:p>
        </w:tc>
      </w:tr>
      <w:tr>
        <w:trPr>
          <w:trHeight w:val="209"/>
        </w:trPr>
        <w:tc>
          <w:tcPr>
            <w:tcW w:w="2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right"/>
        <w:ind w:right="7159"/>
        <w:spacing w:after="0"/>
        <w:rPr>
          <w:sz w:val="20"/>
          <w:szCs w:val="20"/>
          <w:color w:val="auto"/>
        </w:rPr>
      </w:pPr>
      <w:r>
        <w:rPr>
          <w:rFonts w:ascii="Arial" w:cs="Arial" w:eastAsia="Arial" w:hAnsi="Arial"/>
          <w:sz w:val="16"/>
          <w:szCs w:val="16"/>
          <w:color w:val="auto"/>
        </w:rPr>
        <w:t>Net capital loss on investments</w:t>
      </w:r>
    </w:p>
    <w:p>
      <w:pPr>
        <w:spacing w:after="0" w:line="46" w:lineRule="exact"/>
        <w:rPr>
          <w:sz w:val="20"/>
          <w:szCs w:val="20"/>
          <w:color w:val="auto"/>
        </w:rPr>
      </w:pPr>
    </w:p>
    <w:p>
      <w:pPr>
        <w:jc w:val="right"/>
        <w:ind w:right="7179"/>
        <w:spacing w:after="0"/>
        <w:rPr>
          <w:sz w:val="20"/>
          <w:szCs w:val="20"/>
          <w:color w:val="auto"/>
        </w:rPr>
      </w:pPr>
      <w:r>
        <w:rPr>
          <w:rFonts w:ascii="Arial" w:cs="Arial" w:eastAsia="Arial" w:hAnsi="Arial"/>
          <w:sz w:val="17"/>
          <w:szCs w:val="17"/>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jc w:val="right"/>
        <w:ind w:right="8439"/>
        <w:spacing w:after="0"/>
        <w:rPr>
          <w:sz w:val="20"/>
          <w:szCs w:val="20"/>
          <w:color w:val="auto"/>
        </w:rPr>
      </w:pPr>
      <w:r>
        <w:rPr>
          <w:rFonts w:ascii="Arial" w:cs="Arial" w:eastAsia="Arial" w:hAnsi="Arial"/>
          <w:sz w:val="16"/>
          <w:szCs w:val="16"/>
          <w:color w:val="auto"/>
        </w:rPr>
        <w:t>Income taxes</w:t>
      </w:r>
    </w:p>
    <w:p>
      <w:pPr>
        <w:spacing w:after="0" w:line="32" w:lineRule="exact"/>
        <w:rPr>
          <w:sz w:val="20"/>
          <w:szCs w:val="20"/>
          <w:color w:val="auto"/>
        </w:rPr>
      </w:pPr>
    </w:p>
    <w:p>
      <w:pPr>
        <w:jc w:val="right"/>
        <w:ind w:right="8379"/>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attributable to NI</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8"/>
          <w:szCs w:val="18"/>
          <w:color w:val="auto"/>
        </w:rPr>
        <w:t>5,875</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1,380</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24,157</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5,259</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18,898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343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91"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88</w:t>
      </w:r>
    </w:p>
    <w:p>
      <w:pPr>
        <w:spacing w:after="0" w:line="198" w:lineRule="exact"/>
        <w:rPr>
          <w:sz w:val="20"/>
          <w:szCs w:val="20"/>
          <w:color w:val="auto"/>
        </w:rPr>
      </w:pPr>
    </w:p>
    <w:p>
      <w:pPr>
        <w:ind w:left="501" w:hanging="501"/>
        <w:spacing w:after="0"/>
        <w:tabs>
          <w:tab w:leader="none" w:pos="501" w:val="left"/>
        </w:tabs>
        <w:numPr>
          <w:ilvl w:val="0"/>
          <w:numId w:val="30"/>
        </w:numPr>
        <w:rPr>
          <w:rFonts w:ascii="Arial" w:cs="Arial" w:eastAsia="Arial" w:hAnsi="Arial"/>
          <w:sz w:val="16"/>
          <w:szCs w:val="16"/>
          <w:color w:val="auto"/>
        </w:rPr>
      </w:pPr>
      <w:r>
        <w:rPr>
          <w:rFonts w:ascii="Arial" w:cs="Arial" w:eastAsia="Arial" w:hAnsi="Arial"/>
          <w:sz w:val="16"/>
          <w:szCs w:val="16"/>
          <w:color w:val="auto"/>
        </w:rPr>
        <w:t>18,810</w:t>
      </w:r>
    </w:p>
    <w:p>
      <w:pPr>
        <w:spacing w:after="0" w:line="47" w:lineRule="exact"/>
        <w:rPr>
          <w:sz w:val="20"/>
          <w:szCs w:val="20"/>
          <w:color w:val="auto"/>
        </w:rPr>
      </w:pPr>
    </w:p>
    <w:p>
      <w:pPr>
        <w:sectPr>
          <w:pgSz w:w="11900" w:h="16838" w:orient="portrait"/>
          <w:cols w:equalWidth="0" w:num="2">
            <w:col w:w="9399" w:space="720"/>
            <w:col w:w="1121"/>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24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Non-GAAP Ratios:</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63.3%</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58.7%</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57.2%</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91.8%</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53.9%</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20" w:type="dxa"/>
            <w:vAlign w:val="bottom"/>
            <w:shd w:val="clear" w:color="auto" w:fill="CCEEFF"/>
          </w:tcPr>
          <w:p>
            <w:pPr>
              <w:spacing w:after="0"/>
              <w:rPr>
                <w:sz w:val="18"/>
                <w:szCs w:val="18"/>
                <w:color w:val="auto"/>
              </w:rPr>
            </w:pPr>
          </w:p>
        </w:tc>
      </w:tr>
      <w:tr>
        <w:trPr>
          <w:trHeight w:val="216"/>
        </w:trPr>
        <w:tc>
          <w:tcPr>
            <w:tcW w:w="24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27.1%</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38.6%</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28.0%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10.6%</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43.9%</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24.4%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r>
      <w:tr>
        <w:trPr>
          <w:trHeight w:val="216"/>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90.4%</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97.3%</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85.2%</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102.4%</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97.8%</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20" w:type="dxa"/>
            <w:vAlign w:val="bottom"/>
            <w:shd w:val="clear" w:color="auto" w:fill="CCEEFF"/>
          </w:tcPr>
          <w:p>
            <w:pPr>
              <w:spacing w:after="0"/>
              <w:rPr>
                <w:sz w:val="18"/>
                <w:szCs w:val="18"/>
                <w:color w:val="auto"/>
              </w:rPr>
            </w:pPr>
          </w:p>
        </w:tc>
      </w:tr>
      <w:tr>
        <w:trPr>
          <w:trHeight w:val="392"/>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jc w:val="right"/>
              <w:ind w:right="770"/>
              <w:spacing w:after="0"/>
              <w:rPr>
                <w:sz w:val="20"/>
                <w:szCs w:val="20"/>
                <w:color w:val="auto"/>
              </w:rPr>
            </w:pPr>
            <w:r>
              <w:rPr>
                <w:rFonts w:ascii="Arial" w:cs="Arial" w:eastAsia="Arial" w:hAnsi="Arial"/>
                <w:sz w:val="18"/>
                <w:szCs w:val="18"/>
                <w:color w:val="auto"/>
              </w:rPr>
              <w:t>39</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440" w:type="dxa"/>
            <w:vAlign w:val="bottom"/>
            <w:tcBorders>
              <w:bottom w:val="single" w:sz="8" w:color="EEEEEE"/>
            </w:tcBorders>
          </w:tcPr>
          <w:p>
            <w:pPr>
              <w:spacing w:after="0"/>
              <w:rPr>
                <w:sz w:val="18"/>
                <w:szCs w:val="18"/>
                <w:color w:val="auto"/>
              </w:rPr>
            </w:pPr>
          </w:p>
        </w:tc>
        <w:tc>
          <w:tcPr>
            <w:tcW w:w="1700" w:type="dxa"/>
            <w:vAlign w:val="bottom"/>
            <w:tcBorders>
              <w:bottom w:val="single" w:sz="8" w:color="EEEEEE"/>
            </w:tcBorders>
          </w:tcPr>
          <w:p>
            <w:pPr>
              <w:spacing w:after="0"/>
              <w:rPr>
                <w:sz w:val="18"/>
                <w:szCs w:val="18"/>
                <w:color w:val="auto"/>
              </w:rPr>
            </w:pPr>
          </w:p>
        </w:tc>
        <w:tc>
          <w:tcPr>
            <w:tcW w:w="1140" w:type="dxa"/>
            <w:vAlign w:val="bottom"/>
            <w:tcBorders>
              <w:bottom w:val="single" w:sz="8" w:color="EEEEEE"/>
            </w:tcBorders>
          </w:tcPr>
          <w:p>
            <w:pPr>
              <w:spacing w:after="0"/>
              <w:rPr>
                <w:sz w:val="18"/>
                <w:szCs w:val="18"/>
                <w:color w:val="auto"/>
              </w:rPr>
            </w:pPr>
          </w:p>
        </w:tc>
        <w:tc>
          <w:tcPr>
            <w:tcW w:w="130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122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16"/>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3"/>
              </w:rPr>
              <w:t>NI Holdings, Inc.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gridSpan w:val="12"/>
          </w:tcPr>
          <w:p>
            <w:pPr>
              <w:jc w:val="center"/>
              <w:ind w:left="27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0" w:type="dxa"/>
            <w:vAlign w:val="bottom"/>
            <w:gridSpan w:val="12"/>
          </w:tcPr>
          <w:p>
            <w:pPr>
              <w:jc w:val="center"/>
              <w:ind w:left="27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8"/>
                <w:szCs w:val="18"/>
                <w:b w:val="1"/>
                <w:bCs w:val="1"/>
                <w:color w:val="auto"/>
                <w:w w:val="90"/>
              </w:rPr>
              <w:t>Nine Months Ended September 30, 2019</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Private</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Passenger</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09"/>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52,792</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44,029</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57,592</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192,233</w:t>
            </w: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2,087</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3,145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5,233</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(14,730)</w:t>
            </w:r>
          </w:p>
        </w:tc>
      </w:tr>
      <w:tr>
        <w:trPr>
          <w:trHeight w:val="20"/>
        </w:trPr>
        <w:tc>
          <w:tcPr>
            <w:tcW w:w="2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72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50,094</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43,906</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51,950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27,528</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6,258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182,736</w:t>
            </w:r>
          </w:p>
        </w:tc>
      </w:tr>
      <w:tr>
        <w:trPr>
          <w:trHeight w:val="216"/>
        </w:trPr>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41,300</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27,416</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41,396</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23,046</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3,154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138,481</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(1,329)</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(2,558)</w:t>
            </w:r>
          </w:p>
        </w:tc>
        <w:tc>
          <w:tcPr>
            <w:tcW w:w="3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(5,496)</w:t>
            </w:r>
          </w:p>
        </w:tc>
      </w:tr>
      <w:tr>
        <w:trPr>
          <w:trHeight w:val="20"/>
        </w:trPr>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40,743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21,882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135,985</w:t>
            </w:r>
          </w:p>
        </w:tc>
      </w:tr>
      <w:tr>
        <w:trPr>
          <w:trHeight w:val="216"/>
        </w:trPr>
        <w:tc>
          <w:tcPr>
            <w:tcW w:w="2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9,351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46,751</w:t>
            </w:r>
          </w:p>
        </w:tc>
      </w:tr>
      <w:tr>
        <w:trPr>
          <w:trHeight w:val="209"/>
        </w:trPr>
        <w:tc>
          <w:tcPr>
            <w:tcW w:w="2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5"/>
              </w:rPr>
              <w:t>Underwriting and general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14,097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50,925</w:t>
            </w:r>
          </w:p>
        </w:tc>
      </w:tr>
      <w:tr>
        <w:trPr>
          <w:trHeight w:val="20"/>
        </w:trPr>
        <w:tc>
          <w:tcPr>
            <w:tcW w:w="2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720" w:type="dxa"/>
            <w:vAlign w:val="bottom"/>
          </w:tcPr>
          <w:p>
            <w:pPr>
              <w:ind w:left="180"/>
              <w:spacing w:after="0"/>
              <w:rPr>
                <w:sz w:val="20"/>
                <w:szCs w:val="20"/>
                <w:color w:val="auto"/>
              </w:rPr>
            </w:pPr>
            <w:r>
              <w:rPr>
                <w:rFonts w:ascii="Arial" w:cs="Arial" w:eastAsia="Arial" w:hAnsi="Arial"/>
                <w:sz w:val="18"/>
                <w:szCs w:val="18"/>
                <w:color w:val="auto"/>
              </w:rPr>
              <w:t>Underwriting gain</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(4,746)</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3,444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2,555</w:t>
            </w:r>
          </w:p>
        </w:tc>
        <w:tc>
          <w:tcPr>
            <w:tcW w:w="3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(4,174)</w:t>
            </w:r>
          </w:p>
        </w:tc>
      </w:tr>
      <w:tr>
        <w:trPr>
          <w:trHeight w:val="210"/>
        </w:trPr>
        <w:tc>
          <w:tcPr>
            <w:tcW w:w="2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r>
      <w:tr>
        <w:trPr>
          <w:trHeight w:val="209"/>
        </w:trPr>
        <w:tc>
          <w:tcPr>
            <w:tcW w:w="2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right"/>
        <w:ind w:right="7133"/>
        <w:spacing w:after="0"/>
        <w:rPr>
          <w:sz w:val="20"/>
          <w:szCs w:val="20"/>
          <w:color w:val="auto"/>
        </w:rPr>
      </w:pPr>
      <w:r>
        <w:rPr>
          <w:rFonts w:ascii="Arial" w:cs="Arial" w:eastAsia="Arial" w:hAnsi="Arial"/>
          <w:sz w:val="16"/>
          <w:szCs w:val="16"/>
          <w:color w:val="auto"/>
        </w:rPr>
        <w:t>Net capital gain on investments</w:t>
      </w:r>
    </w:p>
    <w:p>
      <w:pPr>
        <w:spacing w:after="0" w:line="46" w:lineRule="exact"/>
        <w:rPr>
          <w:sz w:val="20"/>
          <w:szCs w:val="20"/>
          <w:color w:val="auto"/>
        </w:rPr>
      </w:pPr>
    </w:p>
    <w:p>
      <w:pPr>
        <w:jc w:val="right"/>
        <w:ind w:right="7193"/>
        <w:spacing w:after="0"/>
        <w:rPr>
          <w:sz w:val="20"/>
          <w:szCs w:val="20"/>
          <w:color w:val="auto"/>
        </w:rPr>
      </w:pPr>
      <w:r>
        <w:rPr>
          <w:rFonts w:ascii="Arial" w:cs="Arial" w:eastAsia="Arial" w:hAnsi="Arial"/>
          <w:sz w:val="17"/>
          <w:szCs w:val="17"/>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jc w:val="right"/>
        <w:ind w:right="8453"/>
        <w:spacing w:after="0"/>
        <w:rPr>
          <w:sz w:val="20"/>
          <w:szCs w:val="20"/>
          <w:color w:val="auto"/>
        </w:rPr>
      </w:pPr>
      <w:r>
        <w:rPr>
          <w:rFonts w:ascii="Arial" w:cs="Arial" w:eastAsia="Arial" w:hAnsi="Arial"/>
          <w:sz w:val="16"/>
          <w:szCs w:val="16"/>
          <w:color w:val="auto"/>
        </w:rPr>
        <w:t>Income taxes</w:t>
      </w:r>
    </w:p>
    <w:p>
      <w:pPr>
        <w:spacing w:after="0" w:line="46" w:lineRule="exact"/>
        <w:rPr>
          <w:sz w:val="20"/>
          <w:szCs w:val="20"/>
          <w:color w:val="auto"/>
        </w:rPr>
      </w:pPr>
    </w:p>
    <w:p>
      <w:pPr>
        <w:jc w:val="right"/>
        <w:ind w:right="8393"/>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income attributable to non-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controlling interest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NI</w:t>
      </w:r>
    </w:p>
    <w:p>
      <w:pPr>
        <w:ind w:left="180"/>
        <w:spacing w:after="0" w:line="227" w:lineRule="auto"/>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ind w:left="587"/>
        <w:spacing w:after="0"/>
        <w:rPr>
          <w:sz w:val="20"/>
          <w:szCs w:val="20"/>
          <w:color w:val="auto"/>
        </w:rPr>
      </w:pPr>
      <w:r>
        <w:rPr>
          <w:rFonts w:ascii="Arial" w:cs="Arial" w:eastAsia="Arial" w:hAnsi="Arial"/>
          <w:sz w:val="16"/>
          <w:szCs w:val="16"/>
          <w:color w:val="auto"/>
        </w:rPr>
        <w:t>5,504</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9,591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12,558</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3,206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9,352</w:t>
      </w:r>
    </w:p>
    <w:p>
      <w:pPr>
        <w:spacing w:after="0" w:line="21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80</w:t>
      </w:r>
    </w:p>
    <w:p>
      <w:pPr>
        <w:spacing w:after="0" w:line="198" w:lineRule="exact"/>
        <w:rPr>
          <w:sz w:val="20"/>
          <w:szCs w:val="20"/>
          <w:color w:val="auto"/>
        </w:rPr>
      </w:pPr>
    </w:p>
    <w:p>
      <w:pPr>
        <w:ind w:left="587" w:hanging="587"/>
        <w:spacing w:after="0"/>
        <w:tabs>
          <w:tab w:leader="none" w:pos="5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9,272</w:t>
      </w:r>
    </w:p>
    <w:p>
      <w:pPr>
        <w:spacing w:after="0" w:line="47" w:lineRule="exact"/>
        <w:rPr>
          <w:sz w:val="20"/>
          <w:szCs w:val="20"/>
          <w:color w:val="auto"/>
        </w:rPr>
      </w:pPr>
    </w:p>
    <w:p>
      <w:pPr>
        <w:sectPr>
          <w:pgSz w:w="11900" w:h="16838" w:orient="portrait"/>
          <w:cols w:equalWidth="0" w:num="2">
            <w:col w:w="9413" w:space="720"/>
            <w:col w:w="1107"/>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4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Non-GAAP Ratios:</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81.3%</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62.4%</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77.1%</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79.5%</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71.3%</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59.7%</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20" w:type="dxa"/>
            <w:vAlign w:val="bottom"/>
            <w:shd w:val="clear" w:color="auto" w:fill="CCEEFF"/>
          </w:tcPr>
          <w:p>
            <w:pPr>
              <w:spacing w:after="0"/>
              <w:rPr>
                <w:sz w:val="18"/>
                <w:szCs w:val="18"/>
                <w:color w:val="auto"/>
              </w:rPr>
            </w:pPr>
          </w:p>
        </w:tc>
      </w:tr>
      <w:tr>
        <w:trPr>
          <w:trHeight w:val="216"/>
        </w:trPr>
        <w:tc>
          <w:tcPr>
            <w:tcW w:w="240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28.1%</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36.1%</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29.5%</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11.2%</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33.2%</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25.1%</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109.5%</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98.5%</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106.6%</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90.7%</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104.5%</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84.8%</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102.3%</w:t>
            </w:r>
          </w:p>
        </w:tc>
        <w:tc>
          <w:tcPr>
            <w:tcW w:w="20" w:type="dxa"/>
            <w:vAlign w:val="bottom"/>
            <w:shd w:val="clear" w:color="auto" w:fill="CCEEFF"/>
          </w:tcPr>
          <w:p>
            <w:pPr>
              <w:spacing w:after="0"/>
              <w:rPr>
                <w:sz w:val="18"/>
                <w:szCs w:val="18"/>
                <w:color w:val="auto"/>
              </w:rPr>
            </w:pPr>
          </w:p>
        </w:tc>
      </w:tr>
      <w:tr>
        <w:trPr>
          <w:trHeight w:val="392"/>
        </w:trPr>
        <w:tc>
          <w:tcPr>
            <w:tcW w:w="2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right"/>
              <w:ind w:right="830"/>
              <w:spacing w:after="0"/>
              <w:rPr>
                <w:sz w:val="20"/>
                <w:szCs w:val="20"/>
                <w:color w:val="auto"/>
              </w:rPr>
            </w:pPr>
            <w:r>
              <w:rPr>
                <w:rFonts w:ascii="Arial" w:cs="Arial" w:eastAsia="Arial" w:hAnsi="Arial"/>
                <w:sz w:val="18"/>
                <w:szCs w:val="18"/>
                <w:color w:val="auto"/>
              </w:rPr>
              <w:t>40</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400" w:type="dxa"/>
            <w:vAlign w:val="bottom"/>
            <w:tcBorders>
              <w:bottom w:val="single" w:sz="8" w:color="EEEEEE"/>
            </w:tcBorders>
          </w:tcPr>
          <w:p>
            <w:pPr>
              <w:spacing w:after="0"/>
              <w:rPr>
                <w:sz w:val="18"/>
                <w:szCs w:val="18"/>
                <w:color w:val="auto"/>
              </w:rPr>
            </w:pPr>
          </w:p>
        </w:tc>
        <w:tc>
          <w:tcPr>
            <w:tcW w:w="1740" w:type="dxa"/>
            <w:vAlign w:val="bottom"/>
            <w:tcBorders>
              <w:bottom w:val="single" w:sz="8" w:color="EEEEEE"/>
            </w:tcBorders>
          </w:tcPr>
          <w:p>
            <w:pPr>
              <w:spacing w:after="0"/>
              <w:rPr>
                <w:sz w:val="18"/>
                <w:szCs w:val="18"/>
                <w:color w:val="auto"/>
              </w:rPr>
            </w:pPr>
          </w:p>
        </w:tc>
        <w:tc>
          <w:tcPr>
            <w:tcW w:w="1140" w:type="dxa"/>
            <w:vAlign w:val="bottom"/>
            <w:tcBorders>
              <w:bottom w:val="single" w:sz="8" w:color="EEEEEE"/>
            </w:tcBorders>
          </w:tcPr>
          <w:p>
            <w:pPr>
              <w:spacing w:after="0"/>
              <w:rPr>
                <w:sz w:val="18"/>
                <w:szCs w:val="18"/>
                <w:color w:val="auto"/>
              </w:rPr>
            </w:pPr>
          </w:p>
        </w:tc>
        <w:tc>
          <w:tcPr>
            <w:tcW w:w="1360" w:type="dxa"/>
            <w:vAlign w:val="bottom"/>
            <w:tcBorders>
              <w:bottom w:val="single" w:sz="8" w:color="EEEEEE"/>
            </w:tcBorders>
          </w:tcPr>
          <w:p>
            <w:pPr>
              <w:spacing w:after="0"/>
              <w:rPr>
                <w:sz w:val="18"/>
                <w:szCs w:val="18"/>
                <w:color w:val="auto"/>
              </w:rPr>
            </w:pPr>
          </w:p>
        </w:tc>
        <w:tc>
          <w:tcPr>
            <w:tcW w:w="118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do not assign or allocate all Consolidated Statement of Operations or Consolidated Balance Sheet line items to our operating segments. Those line items include investment income, net capital gain (loss) on investments, other income excluding non-standard auto insurance fees, and income taxes within the Consolidated Statement of Operations. For the Consolidated Balance Sheet, those items include cash and investments, property and equipment, other assets, accrued expenses, income taxes recoverable or payable, and shareholders’ equity.</w:t>
      </w:r>
    </w:p>
    <w:p>
      <w:pPr>
        <w:spacing w:after="0" w:line="113"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2" w:lineRule="exact"/>
        <w:rPr>
          <w:rFonts w:ascii="Arial" w:cs="Arial" w:eastAsia="Arial" w:hAnsi="Arial"/>
          <w:sz w:val="18"/>
          <w:szCs w:val="18"/>
          <w:b w:val="1"/>
          <w:bCs w:val="1"/>
          <w:color w:val="auto"/>
        </w:rPr>
      </w:pPr>
    </w:p>
    <w:p>
      <w:pPr>
        <w:ind w:left="660" w:right="340"/>
        <w:spacing w:after="0" w:line="485" w:lineRule="auto"/>
        <w:rPr>
          <w:rFonts w:ascii="Arial" w:cs="Arial" w:eastAsia="Arial" w:hAnsi="Arial"/>
          <w:sz w:val="18"/>
          <w:szCs w:val="18"/>
          <w:b w:val="1"/>
          <w:bCs w:val="1"/>
          <w:color w:val="auto"/>
        </w:rPr>
      </w:pPr>
      <w:r>
        <w:rPr>
          <w:rFonts w:ascii="Arial" w:cs="Arial" w:eastAsia="Arial" w:hAnsi="Arial"/>
          <w:sz w:val="18"/>
          <w:szCs w:val="18"/>
          <w:color w:val="auto"/>
        </w:rPr>
        <w:t xml:space="preserve">We have evaluated subsequent events through November 4, 2020, the date these consolidated financial statements were available for issuance. </w:t>
      </w:r>
      <w:r>
        <w:rPr>
          <w:rFonts w:ascii="Arial" w:cs="Arial" w:eastAsia="Arial" w:hAnsi="Arial"/>
          <w:sz w:val="18"/>
          <w:szCs w:val="18"/>
          <w:i w:val="1"/>
          <w:iCs w:val="1"/>
          <w:color w:val="auto"/>
        </w:rPr>
        <w:t>COVID-19 Pandemic</w:t>
      </w:r>
    </w:p>
    <w:p>
      <w:pPr>
        <w:ind w:right="120" w:firstLine="648"/>
        <w:spacing w:after="0" w:line="254" w:lineRule="auto"/>
        <w:rPr>
          <w:sz w:val="20"/>
          <w:szCs w:val="20"/>
          <w:color w:val="auto"/>
        </w:rPr>
      </w:pPr>
      <w:r>
        <w:rPr>
          <w:rFonts w:ascii="Arial" w:cs="Arial" w:eastAsia="Arial" w:hAnsi="Arial"/>
          <w:sz w:val="18"/>
          <w:szCs w:val="18"/>
          <w:color w:val="auto"/>
        </w:rPr>
        <w:t>Beginning in March 2020, the global pandemic associated with novel coronavirus COVID-19 (“COVID-19”) and related economic conditions began to impact the Company’s results. For the nine month period ended September 30, 2020, the Company’s underwriting results were impacted by reduced net premiums earned in our non-standard auto segment. The Company also incurred net unrealized investment losses driven by the impact of changes in fair value on the Company’s equity investments, attributable to the disruption in global financial markets. The actual long-term impact of the pandemic on the property and casualty industry is highly uncertain and will not be known for some time. In the short-term, we expect decreased economic activity to pressure overall top-line growth while negatively impacting investment results, dependent on the extent and duration of the economic contraction.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Annual Report on Form 10-K for a discussion of important factors that could cause actual results to differ materially from the results described, or implied by, the forward-looking statements contained herein.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included in Item 2 herein are in thousands.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operations of NI Holdings and seven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ind w:left="1120" w:hanging="320"/>
        <w:spacing w:after="0"/>
        <w:tabs>
          <w:tab w:leader="none" w:pos="1120" w:val="left"/>
        </w:tabs>
        <w:numPr>
          <w:ilvl w:val="0"/>
          <w:numId w:val="33"/>
        </w:numPr>
        <w:rPr>
          <w:rFonts w:ascii="Arial" w:cs="Arial" w:eastAsia="Arial" w:hAnsi="Arial"/>
          <w:sz w:val="22"/>
          <w:szCs w:val="22"/>
          <w:color w:val="auto"/>
        </w:rPr>
      </w:pPr>
      <w:r>
        <w:rPr>
          <w:rFonts w:ascii="Arial" w:cs="Arial" w:eastAsia="Arial" w:hAnsi="Arial"/>
          <w:sz w:val="18"/>
          <w:szCs w:val="18"/>
          <w:color w:val="auto"/>
        </w:rPr>
        <w:t>Nodak Insurance – a wholly-owned subsidiary of NI Holdings;</w:t>
      </w:r>
    </w:p>
    <w:p>
      <w:pPr>
        <w:spacing w:after="0" w:line="9"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3"/>
        </w:numPr>
        <w:rPr>
          <w:rFonts w:ascii="Arial" w:cs="Arial" w:eastAsia="Arial" w:hAnsi="Arial"/>
          <w:sz w:val="22"/>
          <w:szCs w:val="22"/>
          <w:color w:val="auto"/>
        </w:rPr>
      </w:pPr>
      <w:r>
        <w:rPr>
          <w:rFonts w:ascii="Arial" w:cs="Arial" w:eastAsia="Arial" w:hAnsi="Arial"/>
          <w:sz w:val="18"/>
          <w:szCs w:val="18"/>
          <w:color w:val="auto"/>
        </w:rPr>
        <w:t>Nodak Agency – a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3"/>
        </w:numPr>
        <w:rPr>
          <w:rFonts w:ascii="Arial" w:cs="Arial" w:eastAsia="Arial" w:hAnsi="Arial"/>
          <w:sz w:val="22"/>
          <w:szCs w:val="22"/>
          <w:color w:val="auto"/>
        </w:rPr>
      </w:pPr>
      <w:r>
        <w:rPr>
          <w:rFonts w:ascii="Arial" w:cs="Arial" w:eastAsia="Arial" w:hAnsi="Arial"/>
          <w:sz w:val="18"/>
          <w:szCs w:val="18"/>
          <w:color w:val="auto"/>
        </w:rPr>
        <w:t>American West – a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3"/>
        </w:numPr>
        <w:rPr>
          <w:rFonts w:ascii="Arial" w:cs="Arial" w:eastAsia="Arial" w:hAnsi="Arial"/>
          <w:sz w:val="22"/>
          <w:szCs w:val="22"/>
          <w:color w:val="auto"/>
        </w:rPr>
      </w:pPr>
      <w:r>
        <w:rPr>
          <w:rFonts w:ascii="Arial" w:cs="Arial" w:eastAsia="Arial" w:hAnsi="Arial"/>
          <w:sz w:val="18"/>
          <w:szCs w:val="18"/>
          <w:color w:val="auto"/>
        </w:rPr>
        <w:t>Primero – an indirect,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3"/>
        </w:numPr>
        <w:rPr>
          <w:rFonts w:ascii="Arial" w:cs="Arial" w:eastAsia="Arial" w:hAnsi="Arial"/>
          <w:sz w:val="22"/>
          <w:szCs w:val="22"/>
          <w:color w:val="auto"/>
        </w:rPr>
      </w:pPr>
      <w:r>
        <w:rPr>
          <w:rFonts w:ascii="Arial" w:cs="Arial" w:eastAsia="Arial" w:hAnsi="Arial"/>
          <w:sz w:val="18"/>
          <w:szCs w:val="18"/>
          <w:color w:val="auto"/>
        </w:rPr>
        <w:t>Battle Creek – an affiliated company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3"/>
        </w:numPr>
        <w:rPr>
          <w:rFonts w:ascii="Arial" w:cs="Arial" w:eastAsia="Arial" w:hAnsi="Arial"/>
          <w:sz w:val="22"/>
          <w:szCs w:val="22"/>
          <w:color w:val="auto"/>
        </w:rPr>
      </w:pPr>
      <w:r>
        <w:rPr>
          <w:rFonts w:ascii="Arial" w:cs="Arial" w:eastAsia="Arial" w:hAnsi="Arial"/>
          <w:sz w:val="18"/>
          <w:szCs w:val="18"/>
          <w:color w:val="auto"/>
        </w:rPr>
        <w:t>Direct Auto – a wholly-owned subsidiary of NI Holdings; and</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3"/>
        </w:numPr>
        <w:rPr>
          <w:rFonts w:ascii="Arial" w:cs="Arial" w:eastAsia="Arial" w:hAnsi="Arial"/>
          <w:sz w:val="22"/>
          <w:szCs w:val="22"/>
          <w:color w:val="auto"/>
        </w:rPr>
      </w:pPr>
      <w:r>
        <w:rPr>
          <w:rFonts w:ascii="Arial" w:cs="Arial" w:eastAsia="Arial" w:hAnsi="Arial"/>
          <w:sz w:val="18"/>
          <w:szCs w:val="18"/>
          <w:color w:val="auto"/>
        </w:rPr>
        <w:t>Westminster – a wholly-owned subsidiary of NI Holdings.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Battle Creek is managed by Nodak Insurance, and Nodak Insurance reinsures 100% of the risk on all insurance policies issued by Battle Creek.</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is an inactive shell corporation.</w:t>
      </w:r>
    </w:p>
    <w:p>
      <w:pPr>
        <w:spacing w:after="0" w:line="19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On August 31, 2018, NI Holdings completed the acquisition of 100% of the common stock of Direct Auto Insurance Company (“Direct Auto”) from private shareholders and Direct Auto became a consolidated subsidiary of the Company. The results of Direct Auto are included as part of the Company’s non-standard auto business segment following the closing date.</w:t>
      </w:r>
    </w:p>
    <w:p>
      <w:pPr>
        <w:spacing w:after="0" w:line="170" w:lineRule="exact"/>
        <w:rPr>
          <w:sz w:val="20"/>
          <w:szCs w:val="20"/>
          <w:color w:val="auto"/>
        </w:rPr>
      </w:pPr>
    </w:p>
    <w:p>
      <w:pPr>
        <w:jc w:val="both"/>
        <w:ind w:right="640" w:firstLine="648"/>
        <w:spacing w:after="0" w:line="263" w:lineRule="auto"/>
        <w:rPr>
          <w:sz w:val="20"/>
          <w:szCs w:val="20"/>
          <w:color w:val="auto"/>
        </w:rPr>
      </w:pPr>
      <w:r>
        <w:rPr>
          <w:rFonts w:ascii="Arial" w:cs="Arial" w:eastAsia="Arial" w:hAnsi="Arial"/>
          <w:sz w:val="18"/>
          <w:szCs w:val="18"/>
          <w:color w:val="auto"/>
        </w:rPr>
        <w:t>On January 1, 2020, NI Holdings completed the acquisition of 100% of the common stock of Westminster from the private shareholder of Westminster and Westminster became a consolidated subsidiary of the Company. The results of Westminster are included as part of the Company’s commercial business segment following the closing date.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nonstandard auto insurance coverage in Arizona, Nevada, North Dakota, and South Dakota. Direct Auto offers nonstandard auto insurance coverage in Illinois. Westminster offers commercial multi-peril insurance in the Mid-Atlantic region of the United States.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insurance subsidiaries of NI Holdings are rated “A” by A.M. Best, which is the third highest out of a possible 15 ratings.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chart of the corporate structure follows: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40" w:type="dxa"/>
            <w:vAlign w:val="bottom"/>
            <w:tcBorders>
              <w:top w:val="single" w:sz="8" w:color="auto"/>
              <w:left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4"/>
          </w:tcPr>
          <w:p>
            <w:pPr>
              <w:jc w:val="center"/>
              <w:ind w:right="1120"/>
              <w:spacing w:after="0" w:line="201" w:lineRule="exact"/>
              <w:rPr>
                <w:sz w:val="20"/>
                <w:szCs w:val="20"/>
                <w:color w:val="auto"/>
              </w:rPr>
            </w:pPr>
            <w:r>
              <w:rPr>
                <w:rFonts w:ascii="Arial" w:cs="Arial" w:eastAsia="Arial" w:hAnsi="Arial"/>
                <w:sz w:val="18"/>
                <w:szCs w:val="18"/>
                <w:b w:val="1"/>
                <w:bCs w:val="1"/>
                <w:color w:val="auto"/>
              </w:rPr>
              <w:t>NI HOLDINGS, INC.</w:t>
            </w:r>
          </w:p>
        </w:tc>
        <w:tc>
          <w:tcPr>
            <w:tcW w:w="22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tcBorders>
              <w:lef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rPr>
              <w:t>ORGANIZATIONAL CHART</w:t>
            </w: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auto"/>
            </w:tcBorders>
          </w:tcPr>
          <w:p>
            <w:pPr>
              <w:spacing w:after="0"/>
              <w:rPr>
                <w:sz w:val="17"/>
                <w:szCs w:val="17"/>
                <w:color w:val="auto"/>
              </w:rPr>
            </w:pPr>
          </w:p>
        </w:tc>
        <w:tc>
          <w:tcPr>
            <w:tcW w:w="2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0" w:type="dxa"/>
            <w:vAlign w:val="bottom"/>
            <w:tcBorders>
              <w:left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3"/>
              </w:rPr>
              <w:t>Nodak Mutual Group, Inc.</w:t>
            </w: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40" w:type="dxa"/>
            <w:vAlign w:val="bottom"/>
            <w:tcBorders>
              <w:left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4"/>
              </w:rPr>
              <w:t>≥ 55%</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Borders>
              <w:bottom w:val="single" w:sz="8" w:color="auto"/>
              <w:right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2"/>
              </w:rPr>
              <w:t>ownership</w:t>
            </w:r>
          </w:p>
        </w:tc>
        <w:tc>
          <w:tcPr>
            <w:tcW w:w="1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0" w:type="dxa"/>
            <w:vAlign w:val="bottom"/>
            <w:tcBorders>
              <w:left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5"/>
              </w:rPr>
              <w:t>NI Holdings, Inc.</w:t>
            </w: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40" w:type="dxa"/>
            <w:vAlign w:val="bottom"/>
            <w:tcBorders>
              <w:lef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1"/>
              </w:rPr>
              <w:t>100%</w:t>
            </w: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Borders>
              <w:left w:val="single" w:sz="8" w:color="auto"/>
            </w:tcBorders>
            <w:gridSpan w:val="2"/>
            <w:vMerge w:val="continue"/>
          </w:tcPr>
          <w:p>
            <w:pPr>
              <w:spacing w:after="0"/>
              <w:rPr>
                <w:sz w:val="16"/>
                <w:szCs w:val="16"/>
                <w:color w:val="auto"/>
              </w:rPr>
            </w:pPr>
          </w:p>
        </w:tc>
        <w:tc>
          <w:tcPr>
            <w:tcW w:w="50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100%</w:t>
            </w:r>
          </w:p>
        </w:tc>
        <w:tc>
          <w:tcPr>
            <w:tcW w:w="4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80" w:type="dxa"/>
            <w:vAlign w:val="bottom"/>
            <w:tcBorders>
              <w:right w:val="single" w:sz="8" w:color="auto"/>
            </w:tcBorders>
            <w:gridSpan w:val="2"/>
          </w:tcPr>
          <w:p>
            <w:pPr>
              <w:jc w:val="center"/>
              <w:ind w:left="110"/>
              <w:spacing w:after="0" w:line="195" w:lineRule="exact"/>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50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2"/>
              </w:rPr>
              <w:t>ownership</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4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 w:type="dxa"/>
            <w:vAlign w:val="bottom"/>
            <w:tcBorders>
              <w:left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2"/>
              </w:rPr>
              <w:t>Direct Auto Insurance</w:t>
            </w:r>
          </w:p>
        </w:tc>
        <w:tc>
          <w:tcPr>
            <w:tcW w:w="240" w:type="dxa"/>
            <w:vAlign w:val="bottom"/>
            <w:tcBorders>
              <w:right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440" w:type="dxa"/>
            <w:vAlign w:val="bottom"/>
            <w:tcBorders>
              <w:top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000" w:type="dxa"/>
            <w:vAlign w:val="bottom"/>
            <w:tcBorders>
              <w:top w:val="single" w:sz="8" w:color="auto"/>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0"/>
              </w:rPr>
              <w:t>Westminster American Insurance</w:t>
            </w: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0"/>
              </w:rPr>
              <w:t>Company</w:t>
            </w:r>
          </w:p>
        </w:tc>
        <w:tc>
          <w:tcPr>
            <w:tcW w:w="240" w:type="dxa"/>
            <w:vAlign w:val="bottom"/>
            <w:tcBorders>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9"/>
              </w:rPr>
              <w:t>Nodak Insurance Company</w:t>
            </w:r>
          </w:p>
        </w:tc>
        <w:tc>
          <w:tcPr>
            <w:tcW w:w="220" w:type="dxa"/>
            <w:vAlign w:val="bottom"/>
            <w:tcBorders>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Company</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140" w:type="dxa"/>
            <w:vAlign w:val="bottom"/>
            <w:tcBorders>
              <w:left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140" w:type="dxa"/>
            <w:vAlign w:val="bottom"/>
            <w:tcBorders>
              <w:lef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1"/>
              </w:rPr>
              <w:t>100%</w:t>
            </w:r>
          </w:p>
        </w:tc>
        <w:tc>
          <w:tcPr>
            <w:tcW w:w="5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tcBorders>
              <w:righ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740" w:type="dxa"/>
            <w:vAlign w:val="bottom"/>
            <w:tcBorders>
              <w:left w:val="single" w:sz="8" w:color="auto"/>
            </w:tcBorders>
            <w:gridSpan w:val="2"/>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Affiliation</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88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 w:type="dxa"/>
            <w:vAlign w:val="bottom"/>
            <w:tcBorders>
              <w:left w:val="single" w:sz="8" w:color="auto"/>
              <w:right w:val="single" w:sz="8" w:color="auto"/>
            </w:tcBorders>
          </w:tcPr>
          <w:p>
            <w:pPr>
              <w:spacing w:after="0"/>
              <w:rPr>
                <w:sz w:val="16"/>
                <w:szCs w:val="16"/>
                <w:color w:val="auto"/>
              </w:rPr>
            </w:pPr>
          </w:p>
        </w:tc>
        <w:tc>
          <w:tcPr>
            <w:tcW w:w="250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2"/>
              </w:rPr>
              <w:t>Nodak Agency, Inc.</w:t>
            </w:r>
          </w:p>
        </w:tc>
        <w:tc>
          <w:tcPr>
            <w:tcW w:w="240" w:type="dxa"/>
            <w:vAlign w:val="bottom"/>
            <w:tcBorders>
              <w:right w:val="single" w:sz="8" w:color="auto"/>
            </w:tcBorders>
          </w:tcPr>
          <w:p>
            <w:pPr>
              <w:spacing w:after="0"/>
              <w:rPr>
                <w:sz w:val="16"/>
                <w:szCs w:val="16"/>
                <w:color w:val="auto"/>
              </w:rPr>
            </w:pPr>
          </w:p>
        </w:tc>
        <w:tc>
          <w:tcPr>
            <w:tcW w:w="2260" w:type="dxa"/>
            <w:vAlign w:val="bottom"/>
            <w:tcBorders>
              <w:top w:val="single" w:sz="8" w:color="auto"/>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American West Insurance</w:t>
            </w:r>
          </w:p>
        </w:tc>
        <w:tc>
          <w:tcPr>
            <w:tcW w:w="200" w:type="dxa"/>
            <w:vAlign w:val="bottom"/>
            <w:tcBorders>
              <w:right w:val="single" w:sz="8" w:color="auto"/>
            </w:tcBorders>
          </w:tcPr>
          <w:p>
            <w:pPr>
              <w:spacing w:after="0"/>
              <w:rPr>
                <w:sz w:val="16"/>
                <w:szCs w:val="16"/>
                <w:color w:val="auto"/>
              </w:rPr>
            </w:pPr>
          </w:p>
        </w:tc>
        <w:tc>
          <w:tcPr>
            <w:tcW w:w="2240" w:type="dxa"/>
            <w:vAlign w:val="bottom"/>
            <w:tcBorders>
              <w:top w:val="single" w:sz="8" w:color="auto"/>
              <w:right w:val="single" w:sz="8" w:color="auto"/>
            </w:tcBorders>
            <w:gridSpan w:val="2"/>
          </w:tcPr>
          <w:p>
            <w:pPr>
              <w:ind w:left="380"/>
              <w:spacing w:after="0" w:line="195" w:lineRule="exact"/>
              <w:rPr>
                <w:sz w:val="20"/>
                <w:szCs w:val="20"/>
                <w:color w:val="auto"/>
              </w:rPr>
            </w:pPr>
            <w:r>
              <w:rPr>
                <w:rFonts w:ascii="Arial" w:cs="Arial" w:eastAsia="Arial" w:hAnsi="Arial"/>
                <w:sz w:val="18"/>
                <w:szCs w:val="18"/>
                <w:color w:val="auto"/>
              </w:rPr>
              <w:t>Battle Creek Mutual</w:t>
            </w:r>
          </w:p>
        </w:tc>
        <w:tc>
          <w:tcPr>
            <w:tcW w:w="220" w:type="dxa"/>
            <w:vAlign w:val="bottom"/>
            <w:tcBorders>
              <w:right w:val="single" w:sz="8" w:color="auto"/>
            </w:tcBorders>
          </w:tcPr>
          <w:p>
            <w:pPr>
              <w:spacing w:after="0"/>
              <w:rPr>
                <w:sz w:val="16"/>
                <w:szCs w:val="16"/>
                <w:color w:val="auto"/>
              </w:rPr>
            </w:pPr>
          </w:p>
        </w:tc>
        <w:tc>
          <w:tcPr>
            <w:tcW w:w="3000" w:type="dxa"/>
            <w:vAlign w:val="bottom"/>
            <w:tcBorders>
              <w:top w:val="single" w:sz="8" w:color="auto"/>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2"/>
              </w:rPr>
              <w:t>Tri-State, Ltd</w:t>
            </w: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auto"/>
              <w:right w:val="single" w:sz="8" w:color="auto"/>
            </w:tcBorders>
          </w:tcPr>
          <w:p>
            <w:pPr>
              <w:spacing w:after="0"/>
              <w:rPr>
                <w:sz w:val="10"/>
                <w:szCs w:val="10"/>
                <w:color w:val="auto"/>
              </w:rPr>
            </w:pPr>
          </w:p>
        </w:tc>
        <w:tc>
          <w:tcPr>
            <w:tcW w:w="2500" w:type="dxa"/>
            <w:vAlign w:val="bottom"/>
            <w:tcBorders>
              <w:right w:val="single" w:sz="8" w:color="auto"/>
            </w:tcBorders>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2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8"/>
                <w:szCs w:val="18"/>
                <w:color w:val="auto"/>
              </w:rPr>
              <w:t>Insurance Company</w:t>
            </w:r>
          </w:p>
        </w:tc>
        <w:tc>
          <w:tcPr>
            <w:tcW w:w="220" w:type="dxa"/>
            <w:vAlign w:val="bottom"/>
            <w:tcBorders>
              <w:right w:val="single" w:sz="8" w:color="auto"/>
            </w:tcBorders>
          </w:tcPr>
          <w:p>
            <w:pPr>
              <w:spacing w:after="0"/>
              <w:rPr>
                <w:sz w:val="10"/>
                <w:szCs w:val="10"/>
                <w:color w:val="auto"/>
              </w:rPr>
            </w:pPr>
          </w:p>
        </w:tc>
        <w:tc>
          <w:tcPr>
            <w:tcW w:w="3000" w:type="dxa"/>
            <w:vAlign w:val="bottom"/>
            <w:tcBorders>
              <w:right w:val="single" w:sz="8" w:color="auto"/>
            </w:tcBorders>
            <w:gridSpan w:val="2"/>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 w:type="dxa"/>
            <w:vAlign w:val="bottom"/>
            <w:tcBorders>
              <w:left w:val="single" w:sz="8" w:color="auto"/>
              <w:right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260" w:type="dxa"/>
            <w:vAlign w:val="bottom"/>
            <w:tcBorders>
              <w:bottom w:val="single" w:sz="8" w:color="auto"/>
              <w:right w:val="single" w:sz="8" w:color="auto"/>
            </w:tcBorders>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240" w:type="dxa"/>
            <w:vAlign w:val="bottom"/>
            <w:tcBorders>
              <w:bottom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140" w:type="dxa"/>
            <w:vAlign w:val="bottom"/>
            <w:tcBorders>
              <w:left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tcBorders>
              <w:right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88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0" w:type="dxa"/>
            <w:vAlign w:val="bottom"/>
            <w:tcBorders>
              <w:left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000" w:type="dxa"/>
            <w:vAlign w:val="bottom"/>
            <w:tcBorders>
              <w:top w:val="single" w:sz="8" w:color="auto"/>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0"/>
              </w:rPr>
              <w:t>Primero Insurance Company</w:t>
            </w: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40" w:type="dxa"/>
            <w:vAlign w:val="bottom"/>
            <w:tcBorders>
              <w:left w:val="single" w:sz="8" w:color="auto"/>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The following tables provide selected amounts from the Company’s Unaudited Consolidated Statements of Operations and Unaudited Consolidated Balance Sheets. Additional information can be found later in this section.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8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342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 September 30,</w:t>
            </w:r>
          </w:p>
        </w:tc>
      </w:tr>
      <w:tr>
        <w:trPr>
          <w:trHeight w:val="209"/>
        </w:trPr>
        <w:tc>
          <w:tcPr>
            <w:tcW w:w="37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1120" w:type="dxa"/>
            <w:vAlign w:val="bottom"/>
            <w:shd w:val="clear" w:color="auto" w:fill="CCEEFF"/>
          </w:tcPr>
          <w:p>
            <w:pPr>
              <w:jc w:val="right"/>
              <w:ind w:right="95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244,053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208,880</w:t>
            </w:r>
          </w:p>
        </w:tc>
        <w:tc>
          <w:tcPr>
            <w:tcW w:w="12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premiums earned</w:t>
            </w:r>
          </w:p>
        </w:tc>
        <w:tc>
          <w:tcPr>
            <w:tcW w:w="1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73,342</w:t>
            </w: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67,116</w:t>
            </w:r>
          </w:p>
        </w:tc>
        <w:tc>
          <w:tcPr>
            <w:tcW w:w="2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214,120</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182,736</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(loss) before non-controlling interest</w:t>
            </w:r>
          </w:p>
        </w:tc>
        <w:tc>
          <w:tcPr>
            <w:tcW w:w="1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3,686</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(6,959)</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18,898</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9,352</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 2020</w:t>
            </w:r>
          </w:p>
        </w:tc>
        <w:tc>
          <w:tcPr>
            <w:tcW w:w="10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 w:type="dxa"/>
            <w:vAlign w:val="bottom"/>
            <w:tcBorders>
              <w:top w:val="single" w:sz="8" w:color="auto"/>
            </w:tcBorders>
            <w:shd w:val="clear" w:color="auto" w:fill="CCEEFF"/>
          </w:tcPr>
          <w:p>
            <w:pPr>
              <w:jc w:val="right"/>
              <w:ind w:right="41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6"/>
              </w:rPr>
              <w:t>630,036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508,159</w:t>
            </w:r>
          </w:p>
        </w:tc>
        <w:tc>
          <w:tcPr>
            <w:tcW w:w="120" w:type="dxa"/>
            <w:vAlign w:val="bottom"/>
            <w:shd w:val="clear" w:color="auto" w:fill="CCEEFF"/>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Shareholders’ equity</w:t>
            </w:r>
          </w:p>
        </w:tc>
        <w:tc>
          <w:tcPr>
            <w:tcW w:w="580" w:type="dxa"/>
            <w:vAlign w:val="bottom"/>
          </w:tcPr>
          <w:p>
            <w:pPr>
              <w:spacing w:after="0"/>
              <w:rPr>
                <w:sz w:val="20"/>
                <w:szCs w:val="20"/>
                <w:color w:val="auto"/>
              </w:rPr>
            </w:pP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325,513</w:t>
            </w:r>
          </w:p>
        </w:tc>
        <w:tc>
          <w:tcPr>
            <w:tcW w:w="1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309,803</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Marketplace Conditions and Trends</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global pandemic associated with the novel coronavirus COVID-19 continued to impact the Company’s results of operations during the quarter, although to a much lesser degree than in previous quarters. Continued decreased economic activity has limited revenue growth in our personal lines of business. This has been partially offset by reduced loss frequency in our private passenger and non-standard auto segments, though to a lesser degree during the third quarter compared to earlier quarters. Revenue growth from the commercial insurance segment has been exceptional due to Westminster’s higher A.M. Best rating and its niche market position.</w:t>
      </w:r>
    </w:p>
    <w:p>
      <w:pPr>
        <w:spacing w:after="0" w:line="16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actual long-term impact of the pandemic on the property and casualty industry continues to be highly uncertain and will not be fully known for some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monitor the marketplace both on a regional and line of business basis. The private passenger marketplace continues to soften which is creating a very competitive and challenging pricing environment. Rates for private passenger auto are competitive across the Upper Midwest. The non-standard auto market remains competitive with companies seeking to grow this line of business. Two large acquisitions took place in the non-standard auto segment during the third quarter, indicating that others in the marketplace are recognizing profitable opportunities associated with this segment.</w:t>
      </w:r>
    </w:p>
    <w:p>
      <w:pPr>
        <w:spacing w:after="0" w:line="14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Unlike our other insurance segments, crop insurance premiums written each year fluctuate primarily based on prevailing commodity prices for the type of crops insured, as the aggregate number of acres insured generally remains consistent from year to year. Because the premiums that are charged for crop insurance are established by the Risk Management Agency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farmers obtain crop insurance on their plantings each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derives its revenue primarily from net premiums earned, net investment income, and net capital gain (loss) on investments.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21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19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other than some of our auto lines and the non-standard auto policies, typically have a term of twelve months. For example, for an annual policy that is written on July 1, 2020, one-half of the premiums would be earned in 2020 and the other half would be earned in 2021.</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Due to the nature of the crop planting and harvesting cycle and the deadlines for filing and processing claims under the federal crop insurance program, insurance premiums for crop insurance are recognized and earned during the period of risk, which usually begins in spring and ends with harvest in the fall. In the case of prevented planting claims, the period of risk is shortened to the date a valid prevented planting claim is filed, as the Company believes the period of risk has ended.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capital gain (loss) on investments</w:t>
      </w:r>
    </w:p>
    <w:p>
      <w:pPr>
        <w:spacing w:after="0" w:line="19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NI Holdings invests its surplus and the funds supporting its insurance liabilities (including unearned premiums and unpaid losses and loss adjustment expenses) in cash, cash equivalents, equity securities, and fixed income securities. Investment income includes interest and dividends earned on invested assets, and is reported net of investment-related expenses. Net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w:t>
      </w:r>
    </w:p>
    <w:p>
      <w:pPr>
        <w:spacing w:after="0" w:line="1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Beginning in 2019, in accordance with a change in accounting principle, changes in unrealized gains and losses on the Company’s investments in equity securities are included in net income as part of net capital gains and losses on investments. These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gains and losses may be significant given the size of the equity securities holdings and the inherent volatility in equity securities prices. Prior to 2019, the changes in unrealized gains and losses pertaining to such investments were recorded in other comprehensive income. The changes in unrealized gains and losses on fixed income securities continue to be recorded in other comprehensive income, net of income taxes. The new accounting treatment has no effect on total shareholders’ equity.</w:t>
      </w:r>
    </w:p>
    <w:p>
      <w:pPr>
        <w:spacing w:after="0" w:line="173"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NI Holdings’ portfolio of investments is managed by Conning, Inc., Disciplined Growth Investors, CIBC Personal Wealth Management, and Morgan Stanley Wealth Management. These investment managers have discretion to buy and sell securities in accordance with the investment policy approved by our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21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NI Holdings’ expenses consist primarily of losses and loss adjustment expenses (“LAE”), amortization of deferred policy acquisition costs, other underwriting and general expenses, and income taxes.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Loss Adjustment Expenses</w:t>
      </w:r>
    </w:p>
    <w:p>
      <w:pPr>
        <w:spacing w:after="0" w:line="21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As noted above, it does not include state premium taxes that are based purely on the collection of policyholder premiums.</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NI Holdings evaluates its insurance operations in the way it believes will be most meaningful and representative of its business results. Some of these measurements are “non-GAAP financial measures” under Securities and Exchange Commission rules and regulations. GAAP is the acronym for “accounting principles generally accepted in the United States of America”. The non-GAAP financial measures that NI Holdings presents may not be compatible to similarly-named measures reported by other companies. The non-GAAP financial measures described in this section are used widely in the property and casualty insurance industry, and are the expense ratio, loss and LAE ratio, combined ratio, written premiums, ratio of net written premiums to statutory surplus, underwriting gain, and return on average equity.</w:t>
      </w:r>
    </w:p>
    <w:p>
      <w:pPr>
        <w:spacing w:after="0" w:line="16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21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Premiums written represent a measure of business volume most relevant on an annual basis for the Company’s business model. This measure includes the amount of premium purchased by policyholders as of the policy’s effective date, whereas premiums earned as presented in the Consolidated Statement of Operations matches the amount of premium to the period of risk for those insurance policies. The Company’s insurance policies are sold with a variety of effective periods, including annual, semi-annual, and monthly.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212"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has an adequate provision for adverse development of loss reserves within the Company’s current book of business and provides a capacity to write more business. Statutory surplus is determined using accounting principles prescribed or permitted by the insurance subsidiaries’ state of domicile and differs from GAAP equity.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19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NI Holdings uses net income (loss) to measure its profit and uses return on average equity to measure its effectiveness in utilizing equity to generate net income. In determining return on average equity for a given period, net income (loss) is divided by the average of the beginning and ending equity attributable to NI Holdings for that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Consolidated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21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(loss adjustment expenses, or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6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the unusual situation that legal action is involved. Case reserves are reviewed on a regular basis and are updated as new information becomes available.</w:t>
      </w:r>
    </w:p>
    <w:p>
      <w:pPr>
        <w:spacing w:after="0" w:line="14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 a catastrophe occurs, which in the Company’s case usually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losses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7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5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adjusters. These estimates have proven to be reasonably accurate indicators of the Company’s anticipated losses for this line of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varies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accrues its ultimate liability for unpaid losses and LAE by using the following actuarial methodologies:</w:t>
      </w:r>
    </w:p>
    <w:p>
      <w:pPr>
        <w:spacing w:after="0" w:line="194"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u w:val="single" w:color="auto"/>
          <w:color w:val="auto"/>
        </w:rPr>
        <w:t>Bornhuetter-Ferguson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Bornhuetter-Ferguson Method is a blended method that explicitly takes into account both actual loss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60"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u w:val="single" w:color="auto"/>
          <w:color w:val="auto"/>
        </w:rPr>
        <w:t>Paid and Case Incurred Loss Development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Paid and Case Incurred Loss Development Method utilizes ratios of cumulative</w:t>
      </w:r>
      <w:r>
        <w:rPr>
          <w:rFonts w:ascii="Arial" w:cs="Arial" w:eastAsia="Arial" w:hAnsi="Arial"/>
          <w:sz w:val="17"/>
          <w:szCs w:val="17"/>
          <w:b w:val="1"/>
          <w:bCs w:val="1"/>
          <w:color w:val="auto"/>
        </w:rPr>
        <w:t xml:space="preserve"> </w:t>
      </w:r>
      <w:r>
        <w:rPr>
          <w:rFonts w:ascii="Arial" w:cs="Arial" w:eastAsia="Arial" w:hAnsi="Arial"/>
          <w:sz w:val="17"/>
          <w:szCs w:val="17"/>
          <w:color w:val="auto"/>
        </w:rPr>
        <w:t>paid or case incurred losses or LAE at each age of development as a percent of the preceding development age. Selected ratios are then multiplied together to produce a set of loss development factors which when applied to the most current data value, by accident year, develop the estimated ultimate losses or LAE. Ultimate losses or LAE are then selected for each accident year from the various methods employed.</w:t>
      </w:r>
    </w:p>
    <w:p>
      <w:pPr>
        <w:spacing w:after="0" w:line="15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u w:val="single" w:color="auto"/>
          <w:color w:val="auto"/>
        </w:rPr>
        <w:t>Ratio of Paid ALAE to Paid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This method utilizes the ratio of paid allocated loss adjustment expense (“ALAE”) to paid losses</w:t>
      </w:r>
      <w:r>
        <w:rPr>
          <w:rFonts w:ascii="Arial" w:cs="Arial" w:eastAsia="Arial" w:hAnsi="Arial"/>
          <w:sz w:val="18"/>
          <w:szCs w:val="18"/>
          <w:b w:val="1"/>
          <w:bCs w:val="1"/>
          <w:color w:val="auto"/>
        </w:rPr>
        <w:t xml:space="preserve"> </w:t>
      </w:r>
      <w:r>
        <w:rPr>
          <w:rFonts w:ascii="Arial" w:cs="Arial" w:eastAsia="Arial" w:hAnsi="Arial"/>
          <w:sz w:val="18"/>
          <w:szCs w:val="18"/>
          <w:color w:val="auto"/>
        </w:rPr>
        <w:t>and is similar to the Paid and 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5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process of estimating loss reserves involves a high degree of judgment and is subject to a number of variables. These variables can be affected by both internal and external events, such as changes in claims handling procedures, inflation, legal trends, increases in the state-dictated minimum liability limits in the recent case of nonstandard auto insurance, and legislative changes, among others. The impact of many of these items on ultimate costs for claims and claim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6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w:t>
      </w:r>
    </w:p>
    <w:p>
      <w:pPr>
        <w:sectPr>
          <w:pgSz w:w="11900" w:h="16838" w:orient="portrait"/>
          <w:cols w:equalWidth="0" w:num="1">
            <w:col w:w="11220"/>
          </w:cols>
          <w:pgMar w:left="320" w:top="125" w:right="359" w:bottom="0" w:gutter="0" w:footer="0" w:header="0"/>
        </w:sectPr>
      </w:pP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factors that have or can have an impact on the Company’s case and IBNR reserves include but are not limited to those described below.</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liability law and public attitudes regarding damage awards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21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Economic inflation</w:t>
      </w:r>
    </w:p>
    <w:p>
      <w:pPr>
        <w:spacing w:after="0" w:line="21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9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Factors exist that can drive the cost to settle claims for reasons other than standard inflation. For example, demand surge caused by a very large catastrophe, as in the case of a hurricane,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 During 2018, the state of Nevada mandated the incorporation of higher minimum liabilities for nonstandard auto insurance policies written in the state. Similar mandates became effective in July 2020 in the state of Arizona. While it is certain that these actions increase the average claim cost experienced in the state, the actual amount is subject to judgement until further claim experience is obtained.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Actual settlement experience different from historical data trends</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Reporting Lag</w:t>
      </w:r>
    </w:p>
    <w:p>
      <w:pPr>
        <w:spacing w:after="0" w:line="198"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Actuarial Loss Reserves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liabilities for unpaid losses and LAE are summarized below:</w:t>
      </w:r>
    </w:p>
    <w:p>
      <w:pPr>
        <w:spacing w:after="0" w:line="181"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Case reserves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IBNR reserves</w:t>
            </w: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12,241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13,556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case and IBNR reserves for unpaid losses and LAE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97"/>
              </w:rPr>
              <w:t>September 30, 2020</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Case Reserves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IBNR Reserves</w:t>
            </w:r>
          </w:p>
        </w:tc>
        <w:tc>
          <w:tcPr>
            <w:tcW w:w="1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Total Reserves</w:t>
            </w:r>
          </w:p>
        </w:tc>
        <w:tc>
          <w:tcPr>
            <w:tcW w:w="12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Non-standard auto</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53,592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(9,066)</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44,526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Crop</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29,317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29,723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16,602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11,192</w:t>
            </w:r>
          </w:p>
        </w:tc>
      </w:tr>
      <w:tr>
        <w:trPr>
          <w:trHeight w:val="20"/>
        </w:trPr>
        <w:tc>
          <w:tcPr>
            <w:tcW w:w="6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134,803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13,556</w:t>
            </w:r>
          </w:p>
        </w:tc>
      </w:tr>
      <w:tr>
        <w:trPr>
          <w:trHeight w:val="20"/>
        </w:trPr>
        <w:tc>
          <w:tcPr>
            <w:tcW w:w="6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121,247</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7"/>
              </w:rPr>
              <w:t>December 31, 2019</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Case Reserves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IBNR Reserves</w:t>
            </w:r>
          </w:p>
        </w:tc>
        <w:tc>
          <w:tcPr>
            <w:tcW w:w="1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Total Reserves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1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Non-standard auto</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55,623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(11,645)</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43,978</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10,503</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Crop</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8,411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8,579</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All other</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9,222</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93,250</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4,045</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19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89,205</w:t>
            </w:r>
          </w:p>
        </w:tc>
        <w:tc>
          <w:tcPr>
            <w:tcW w:w="20" w:type="dxa"/>
            <w:vAlign w:val="bottom"/>
            <w:shd w:val="clear" w:color="auto" w:fill="CCEEFF"/>
          </w:tcPr>
          <w:p>
            <w:pPr>
              <w:spacing w:after="0"/>
              <w:rPr>
                <w:sz w:val="21"/>
                <w:szCs w:val="21"/>
                <w:color w:val="auto"/>
              </w:rPr>
            </w:pPr>
          </w:p>
        </w:tc>
      </w:tr>
      <w:tr>
        <w:trPr>
          <w:trHeight w:val="386"/>
        </w:trPr>
        <w:tc>
          <w:tcPr>
            <w:tcW w:w="416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jc w:val="right"/>
              <w:ind w:right="270"/>
              <w:spacing w:after="0"/>
              <w:rPr>
                <w:sz w:val="20"/>
                <w:szCs w:val="20"/>
                <w:color w:val="auto"/>
              </w:rPr>
            </w:pPr>
            <w:r>
              <w:rPr>
                <w:rFonts w:ascii="Arial" w:cs="Arial" w:eastAsia="Arial" w:hAnsi="Arial"/>
                <w:sz w:val="18"/>
                <w:szCs w:val="18"/>
                <w:color w:val="auto"/>
              </w:rPr>
              <w:t>50</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2"/>
        </w:trPr>
        <w:tc>
          <w:tcPr>
            <w:tcW w:w="4160" w:type="dxa"/>
            <w:vAlign w:val="bottom"/>
            <w:tcBorders>
              <w:bottom w:val="single" w:sz="8" w:color="EEEEEE"/>
            </w:tcBorders>
          </w:tcPr>
          <w:p>
            <w:pPr>
              <w:spacing w:after="0"/>
              <w:rPr>
                <w:sz w:val="17"/>
                <w:szCs w:val="17"/>
                <w:color w:val="auto"/>
              </w:rPr>
            </w:pPr>
          </w:p>
        </w:tc>
        <w:tc>
          <w:tcPr>
            <w:tcW w:w="19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34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32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3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of Major Assumptions Underlying the Liabilities for Unpaid Losses and Loss Adjustment Expenses</w:t>
      </w:r>
    </w:p>
    <w:p>
      <w:pPr>
        <w:spacing w:after="0" w:line="212"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Total Reserves</w:t>
      </w:r>
    </w:p>
    <w:p>
      <w:pPr>
        <w:spacing w:after="0" w:line="19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September 30, 2020, the impact of a 1% change in our estimate for unpaid losses and LAE, net of reinsurance recoverables, on our net income, after federal income taxes of 21%, would be approximately $958.</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Inflation</w:t>
      </w:r>
    </w:p>
    <w:p>
      <w:pPr>
        <w:spacing w:after="0" w:line="21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Inflation is not explicitly selected in the loss reserve analysis. However, historical inflation is embedded in the estimated loss development factors. The following table displays the impact on net income after federal income taxes of 21%, resulting from various changes from the inflation factor implicitly embedded in the estimated payment pattern as of December 31, 2019, which is deemed consistent with September 30, 2020, excluding the addition of the Westminster liability for unpaid losses and LAE.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20"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25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Change in Inflation</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Impact on After-Tax Earnings</w:t>
            </w:r>
          </w:p>
        </w:tc>
      </w:tr>
      <w:tr>
        <w:trPr>
          <w:trHeight w:val="210"/>
        </w:trPr>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(1,103)</w:t>
            </w: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Pr>
          <w:p>
            <w:pPr>
              <w:jc w:val="right"/>
              <w:ind w:right="490"/>
              <w:spacing w:after="0"/>
              <w:rPr>
                <w:sz w:val="20"/>
                <w:szCs w:val="20"/>
                <w:color w:val="auto"/>
              </w:rPr>
            </w:pPr>
            <w:r>
              <w:rPr>
                <w:rFonts w:ascii="Arial" w:cs="Arial" w:eastAsia="Arial" w:hAnsi="Arial"/>
                <w:sz w:val="18"/>
                <w:szCs w:val="18"/>
                <w:color w:val="auto"/>
              </w:rPr>
              <w:t>1,128</w:t>
            </w:r>
          </w:p>
        </w:tc>
      </w:tr>
      <w:tr>
        <w:trPr>
          <w:trHeight w:val="216"/>
        </w:trPr>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3,463</w:t>
            </w:r>
          </w:p>
        </w:tc>
      </w:tr>
      <w:tr>
        <w:trPr>
          <w:trHeight w:val="230"/>
        </w:trPr>
        <w:tc>
          <w:tcPr>
            <w:tcW w:w="25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tcPr>
          <w:p>
            <w:pPr>
              <w:jc w:val="right"/>
              <w:ind w:right="490"/>
              <w:spacing w:after="0"/>
              <w:rPr>
                <w:sz w:val="20"/>
                <w:szCs w:val="20"/>
                <w:color w:val="auto"/>
              </w:rPr>
            </w:pPr>
            <w:r>
              <w:rPr>
                <w:rFonts w:ascii="Arial" w:cs="Arial" w:eastAsia="Arial" w:hAnsi="Arial"/>
                <w:sz w:val="18"/>
                <w:szCs w:val="18"/>
                <w:color w:val="auto"/>
              </w:rPr>
              <w:t>5,910</w:t>
            </w:r>
          </w:p>
        </w:tc>
      </w:tr>
    </w:tbl>
    <w:p>
      <w:pPr>
        <w:spacing w:after="0" w:line="17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Case Reserves</w:t>
      </w:r>
    </w:p>
    <w:p>
      <w:pPr>
        <w:spacing w:after="0" w:line="21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federal income taxes of 21% that results from various changes to the level of case reserves as of December 31, 2019, which is deemed consistent with September 30, 2020, excluding the addition of the Westminster liability for unpaid losses and LAE. This variance in future IBNR emergence could occur in one year or over multiple years, depending when the change is recognized.</w:t>
      </w:r>
    </w:p>
    <w:p>
      <w:pPr>
        <w:spacing w:after="0" w:line="117"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25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9"/>
              </w:rPr>
              <w:t>Change in Case Reserves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Impact on After-Tax Earnings</w:t>
            </w:r>
          </w:p>
        </w:tc>
      </w:tr>
      <w:tr>
        <w:trPr>
          <w:trHeight w:val="210"/>
        </w:trPr>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7,127</w:t>
            </w: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93"/>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3,563</w:t>
            </w:r>
          </w:p>
        </w:tc>
      </w:tr>
      <w:tr>
        <w:trPr>
          <w:trHeight w:val="216"/>
        </w:trPr>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1,425</w:t>
            </w: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16"/>
        </w:trPr>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r>
      <w:tr>
        <w:trPr>
          <w:trHeight w:val="230"/>
        </w:trPr>
        <w:tc>
          <w:tcPr>
            <w:tcW w:w="2500" w:type="dxa"/>
            <w:vAlign w:val="bottom"/>
          </w:tcPr>
          <w:p>
            <w:pPr>
              <w:jc w:val="center"/>
              <w:spacing w:after="0"/>
              <w:rPr>
                <w:sz w:val="20"/>
                <w:szCs w:val="20"/>
                <w:color w:val="auto"/>
              </w:rPr>
            </w:pPr>
            <w:r>
              <w:rPr>
                <w:rFonts w:ascii="Arial" w:cs="Arial" w:eastAsia="Arial" w:hAnsi="Arial"/>
                <w:sz w:val="18"/>
                <w:szCs w:val="18"/>
                <w:color w:val="auto"/>
                <w:w w:val="90"/>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(7,127)</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fixed income securities, and on equity securities through December 31, 2018, net of applicable income taxes, are reflected directly in shareholders’ equity as a component of other comprehensive income (loss) and, accordingly, have no effect on net income (loss). Effective January 1, 2019, changes in unrealized investment gains or losses on equity securities will be recorded in net income (loss), rather than as a component of other comprehensive income (loss). Investment income is recognized when earned, and realized capital gains and losses on investments are recognized when investments are sold, or an other-than-temporary impairment is recognized.</w:t>
      </w:r>
    </w:p>
    <w:p>
      <w:pPr>
        <w:spacing w:after="0" w:line="15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NI Holdings evaluates securities for other-than-temporary impairment (“OTTI”) at least on a quarterly basis. For periods subsequent to December 31, 2018, this evaluation includes only fixed income securities. Prior to January 1, 2019, this evaluation included both fixed income and equity securities. NI Holdings assesses whether OTTI is present when the fair value of a security is less than its amortized cost. OTTI is considered to have occurred with respect to fixed income securities if (1) an entity intends to sell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nine months ended September 30, 2020, NI Holdings’ investment portfolio experienced an increase in net unrealized gains of $7,643.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Change</w:t>
            </w: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Gross unrealized gains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16,331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7,595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8,736</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unrealized losses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r>
      <w:tr>
        <w:trPr>
          <w:trHeight w:val="20"/>
        </w:trPr>
        <w:tc>
          <w:tcPr>
            <w:tcW w:w="6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540" w:type="dxa"/>
            <w:vAlign w:val="bottom"/>
          </w:tcPr>
          <w:p>
            <w:pPr>
              <w:ind w:left="360"/>
              <w:spacing w:after="0"/>
              <w:rPr>
                <w:sz w:val="20"/>
                <w:szCs w:val="20"/>
                <w:color w:val="auto"/>
              </w:rPr>
            </w:pPr>
            <w:r>
              <w:rPr>
                <w:rFonts w:ascii="Arial" w:cs="Arial" w:eastAsia="Arial" w:hAnsi="Arial"/>
                <w:sz w:val="18"/>
                <w:szCs w:val="18"/>
                <w:color w:val="auto"/>
              </w:rPr>
              <w:t>Net fixed income unrealized gains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15,525</w:t>
            </w:r>
          </w:p>
        </w:tc>
        <w:tc>
          <w:tcPr>
            <w:tcW w:w="10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7,241</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8,284</w:t>
            </w: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unrealized gains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24,431</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22,878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Gross unrealized losses</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(2,194)</w:t>
            </w:r>
          </w:p>
        </w:tc>
      </w:tr>
      <w:tr>
        <w:trPr>
          <w:trHeight w:val="20"/>
        </w:trPr>
        <w:tc>
          <w:tcPr>
            <w:tcW w:w="6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equity unrealized gains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21,255</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21,896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r>
      <w:tr>
        <w:trPr>
          <w:trHeight w:val="210"/>
        </w:trPr>
        <w:tc>
          <w:tcPr>
            <w:tcW w:w="6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3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7,643</w:t>
            </w:r>
          </w:p>
        </w:tc>
      </w:tr>
      <w:tr>
        <w:trPr>
          <w:trHeight w:val="20"/>
        </w:trPr>
        <w:tc>
          <w:tcPr>
            <w:tcW w:w="6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fixed income portion of the portfolio experienced an increase in net unrealized gains of $8,284 during the nine months ended September 30, 2020. The net increase is reflected directly in shareholders’ equity as a component of accumulated other comprehensive income.</w:t>
      </w:r>
    </w:p>
    <w:p>
      <w:pPr>
        <w:spacing w:after="0" w:line="11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Capital markets staged a strong rally during the third quarter of 2020, aided by significant fiscal and monetary support from world central banks to help the global economy. In the United States, the S&amp;P 500 index performed well, helping offset negative returns from earlier in the year. Despite rising slightly from the second quarter, U.S. 10-year Treasury rates remain extremely depressed given the negative impact on economic growth from the current public health crisis and announcements from the U.S. Federal Reserve on its intention to maintain a near-zero interest rate policy for the foreseeable future.</w:t>
      </w:r>
    </w:p>
    <w:p>
      <w:pPr>
        <w:spacing w:after="0" w:line="14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equity portion of the portfolio experienced significant decreases in unrealized gains and increases in unrealized losses during the three months ended March 31, 2020, which were attributed to the unfavorable conditions in the stock market brought about by the COVID-19 pandemic and a significant drop in oil prices. The stock market has mostly recovered over the second and third quarters, resulting in a much smaller decrease in net unrealized gains for the nine months ended September 30, 2020. The net decrease of $641 is included in net capital gains (losses) on investments on the Company’s Consolidated Statements of Operations for the nine months ended September 30, 2020.</w:t>
      </w:r>
    </w:p>
    <w:p>
      <w:pPr>
        <w:spacing w:after="0" w:line="16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NI Holdings has evaluated each security and taken into account the severity and duration of any impairment, the current rating on the security (if any), and the outlook for the issuer according to independent analysts. The Company’s fixed income portfolio is managed by Conning Asset Management, which specializes in managing insurance company investment portfolios and participates in this evaluation.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nine months ended September 30, 2020, NI Holdings did not recognize any other-than-temporary impairments of its investment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NI Holdings did not recognize any other-than-temporary impairments of its investment securities.</w:t>
      </w:r>
    </w:p>
    <w:p>
      <w:pPr>
        <w:spacing w:after="0" w:line="1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more information on the Company’s investments, see Note 6 to the Unaudited Consolidated Financial Statements, included elsewhere in this Form 10-Q.</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76" w:lineRule="exact"/>
        <w:rPr>
          <w:sz w:val="20"/>
          <w:szCs w:val="20"/>
          <w:color w:val="auto"/>
        </w:rPr>
      </w:pPr>
    </w:p>
    <w:p>
      <w:pPr>
        <w:ind w:left="2140" w:right="340" w:hanging="1511"/>
        <w:spacing w:after="0" w:line="277" w:lineRule="auto"/>
        <w:tabs>
          <w:tab w:leader="none" w:pos="2120" w:val="left"/>
        </w:tabs>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170" w:lineRule="exact"/>
        <w:rPr>
          <w:sz w:val="20"/>
          <w:szCs w:val="20"/>
          <w:color w:val="auto"/>
        </w:rPr>
      </w:pPr>
    </w:p>
    <w:p>
      <w:pPr>
        <w:ind w:left="2160" w:right="40" w:hanging="1511"/>
        <w:spacing w:after="0" w:line="275" w:lineRule="auto"/>
        <w:tabs>
          <w:tab w:leader="none" w:pos="214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76" w:lineRule="exact"/>
        <w:rPr>
          <w:sz w:val="20"/>
          <w:szCs w:val="20"/>
          <w:color w:val="auto"/>
        </w:rPr>
      </w:pPr>
    </w:p>
    <w:p>
      <w:pPr>
        <w:ind w:left="2140" w:right="340" w:hanging="1511"/>
        <w:spacing w:after="0" w:line="277" w:lineRule="auto"/>
        <w:tabs>
          <w:tab w:leader="none" w:pos="212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5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4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of the Company’s investments at September 30, 2020 or December 31, 2019.</w:t>
      </w:r>
    </w:p>
    <w:p>
      <w:pPr>
        <w:spacing w:after="0" w:line="17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5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43"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nine month period ended September 30, 2020 or the year ended December 31, 2019. The classification within the fair value hierarchy is then confirmed based on the final conclusions from the pricing review.</w:t>
      </w:r>
    </w:p>
    <w:p>
      <w:pPr>
        <w:spacing w:after="0" w:line="16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more information on the Company’s fair value measurements, see Note 7 to the Unaudited Consolidated Financial Statements, included elsewhere in this Form 10-Q.</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9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Certain direct policy acquisition costs consisting of commissions, state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As in the case of previous acquisitions, no deferred policy acquisition costs (“DAC”) were recorded in the acquisition of Westminster in accordance with purchase accounting guidance. Rather, a separate intangible asset representing the value of business acquired (“VOBA”) was valued at $4,750 and established at the closing date. This VOBA intangible asset will be amortized into expense as the acquired unearned premiums are reported into income, in the same way as DAC. Policy acquisition costs relating to new business written by Westminster were deferred following the closing date. The release of the VOBA asset and the establishment of new DAC generally offset each other over the twelve months following the acquisition of Westminster.</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 September 30, 2020 and December 31, 2019, DAC, the VOBA intangible asset, and the related liability for unearned premiums were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September 30, 2020</w:t>
            </w:r>
          </w:p>
        </w:tc>
        <w:tc>
          <w:tcPr>
            <w:tcW w:w="10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12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Value of business acquired intangible asset</w:t>
            </w:r>
          </w:p>
        </w:tc>
        <w:tc>
          <w:tcPr>
            <w:tcW w:w="160" w:type="dxa"/>
            <w:vAlign w:val="bottom"/>
          </w:tcPr>
          <w:p>
            <w:pPr>
              <w:spacing w:after="0"/>
              <w:rPr>
                <w:sz w:val="18"/>
                <w:szCs w:val="18"/>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Liability for unearned premiums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125,966</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89,276</w:t>
            </w:r>
          </w:p>
        </w:tc>
      </w:tr>
    </w:tbl>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method followed in computing DAC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DAC. If the estimation of net realizable value indicates that DAC are not recoverable, they would be written off or a premium deficiency reserve would be established.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7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NI Holdings had gross deferred income tax assets of $8,852 at September 30, 2020 and $6,294 at December 31, 2019,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Valuation allowances of $948 and $594 were maintained at September 30, 2020 and December 31, 2019, respectively. The increase is attributable to the addition of net operating loss carryforwards from Westminster, a portion of which are not expected to be used.</w:t>
      </w:r>
    </w:p>
    <w:p>
      <w:pPr>
        <w:spacing w:after="0" w:line="16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NI Holdings had gross deferred income tax liabilities of $15,305 at September 30, 2020 and $10,290 at December 31, 2019, arising primarily from DAC, net unrealized capital gains on investments, and intangible assets.</w:t>
      </w:r>
    </w:p>
    <w:p>
      <w:pPr>
        <w:spacing w:after="0" w:line="157"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4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September 30, 2020, NI Holdings had no material unrecognized income tax benefits or accrued interest and penalties. Federal tax years 2014 through 2018 are open for examination.</w:t>
      </w:r>
    </w:p>
    <w:p>
      <w:pPr>
        <w:sectPr>
          <w:pgSz w:w="11900" w:h="16838" w:orient="portrait"/>
          <w:cols w:equalWidth="0" w:num="1">
            <w:col w:w="11240"/>
          </w:cols>
          <w:pgMar w:left="320" w:top="125" w:right="3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w:t>
      </w:r>
    </w:p>
    <w:p>
      <w:pPr>
        <w:spacing w:after="0" w:line="17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Premiums in the multi-peril crop insurance business are primarily influenced by the number of acres and types of crops insured because the pricing is set by the RMA rather than individual insurance carriers. The expected experience of this business for the calendar year may also significantly impact the reported net earned premiums and losses due to the risk-sharing arrangement with the federal government. Multi-peril crop insurance premiums are generally written in the second quarter, and earned ratably over the period of risk, which extends into the fourth quarter. However, as was the case in 2020, if the Company experiences a higher than average number of prevented planting claims early in the season, additional earned premiums may be recognized in the second quarter due to the shortened risk period.</w:t>
      </w:r>
    </w:p>
    <w:p>
      <w:pPr>
        <w:spacing w:after="0" w:line="15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the second quarter, but earned over a shorter period of risk than multi-peril crop insurance.</w:t>
      </w:r>
    </w:p>
    <w:p>
      <w:pPr>
        <w:spacing w:after="0" w:line="15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Premiums in the personal lines of business (private passenger auto and home and farm) are generally written and earned throughout the year. Losses on this business are also incurred throughout the year, but usually are more frequent and/or severe during periods of weather-related activity in the second and third quarters.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Premiums in the commercial lines of business are generally written and earned throughout the year. Losses on this business are also incurred throughout the year, but generally are more frequent during the first and second quarters.</w:t>
      </w:r>
    </w:p>
    <w:p>
      <w:pPr>
        <w:spacing w:after="0" w:line="14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For more information on the Company’s results of operations by segment, see Note 22 to the Unaudited Consolidated Financial Statements, included elsewhere in this Form 10-Q.</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2020 and 2019</w:t>
      </w:r>
    </w:p>
    <w:p>
      <w:pPr>
        <w:spacing w:after="0" w:line="198"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The consolidated net income for NI Holdings was $3,686 for the three months ended September 30, 2020 compared to net loss of $6,959 for the three months ended September 30, 2019. The major components of NI Holdings’ operating revenues and net income for the two periods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73,342</w:t>
            </w:r>
          </w:p>
        </w:tc>
        <w:tc>
          <w:tcPr>
            <w:tcW w:w="120" w:type="dxa"/>
            <w:vAlign w:val="bottom"/>
          </w:tcPr>
          <w:p>
            <w:pPr>
              <w:spacing w:after="0"/>
              <w:rPr>
                <w:sz w:val="18"/>
                <w:szCs w:val="18"/>
                <w:color w:val="auto"/>
              </w:rPr>
            </w:pP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67,116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80,854</w:t>
            </w:r>
          </w:p>
        </w:tc>
        <w:tc>
          <w:tcPr>
            <w:tcW w:w="120" w:type="dxa"/>
            <w:vAlign w:val="bottom"/>
          </w:tcPr>
          <w:p>
            <w:pPr>
              <w:spacing w:after="0"/>
              <w:rPr>
                <w:sz w:val="18"/>
                <w:szCs w:val="18"/>
                <w:color w:val="auto"/>
              </w:rPr>
            </w:pP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70,248</w:t>
            </w:r>
          </w:p>
        </w:tc>
      </w:tr>
      <w:tr>
        <w:trPr>
          <w:trHeight w:val="209"/>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Components of net income (loss):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73,342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67,116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53,836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61,558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22,144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Underwriting loss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(2,638)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(11,733)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(8,601)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(6,959)</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Beginning in March 2020, the global pandemic associated with COVID-19 and related economic conditions began to impact the Company’s results. For the three months ended September 30, 2020, the Company’s underwriting results were impacted by reduced net premiums earned in our non-standard auto segment. The Company also experienced continued volatility in net unrealized investment gains and losses driven by the impact of changes in fair value on the Company’s equity investments, attributable to the recent disruption in global financial markets. For further discussion regarding the potential impacts of COVID-19 and related economic conditions of the Company, see “Part II – Item 1A – Risk Factors”.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NI Holdings’ net premiums earned for the three months ended September 30, 2020 increased $6,226, or 9.3%, compared to a year ago.</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0" w:type="dxa"/>
            <w:vAlign w:val="bottom"/>
            <w:gridSpan w:val="4"/>
          </w:tcPr>
          <w:p>
            <w:pPr>
              <w:jc w:val="right"/>
              <w:ind w:right="141"/>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8"/>
                <w:szCs w:val="18"/>
                <w:b w:val="1"/>
                <w:bCs w:val="1"/>
                <w:color w:val="auto"/>
                <w:w w:val="92"/>
              </w:rPr>
              <w:t>September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17,947</w:t>
            </w:r>
          </w:p>
        </w:tc>
        <w:tc>
          <w:tcPr>
            <w:tcW w:w="220" w:type="dxa"/>
            <w:vAlign w:val="bottom"/>
          </w:tcPr>
          <w:p>
            <w:pPr>
              <w:spacing w:after="0"/>
              <w:rPr>
                <w:sz w:val="18"/>
                <w:szCs w:val="18"/>
                <w:color w:val="auto"/>
              </w:rPr>
            </w:pP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17,316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13,839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14,044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18,548</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17,908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14,517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10,773</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net premiums earned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73,342</w:t>
            </w:r>
          </w:p>
        </w:tc>
        <w:tc>
          <w:tcPr>
            <w:tcW w:w="220" w:type="dxa"/>
            <w:vAlign w:val="bottom"/>
          </w:tcPr>
          <w:p>
            <w:pPr>
              <w:spacing w:after="0"/>
              <w:rPr>
                <w:sz w:val="18"/>
                <w:szCs w:val="18"/>
                <w:color w:val="auto"/>
              </w:rPr>
            </w:pP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67,116</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0" w:type="dxa"/>
            <w:vAlign w:val="bottom"/>
            <w:gridSpan w:val="4"/>
          </w:tcPr>
          <w:p>
            <w:pPr>
              <w:jc w:val="right"/>
              <w:ind w:right="141"/>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8"/>
                <w:szCs w:val="18"/>
                <w:b w:val="1"/>
                <w:bCs w:val="1"/>
                <w:color w:val="auto"/>
                <w:w w:val="92"/>
              </w:rPr>
              <w:t>September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Direct premium</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79,455</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70,481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premium</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Ceded premium</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(7,485)</w:t>
            </w:r>
          </w:p>
        </w:tc>
        <w:tc>
          <w:tcPr>
            <w:tcW w:w="9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(4,599)</w:t>
            </w:r>
          </w:p>
        </w:tc>
      </w:tr>
      <w:tr>
        <w:trPr>
          <w:trHeight w:val="249"/>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premiums earned</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73,342</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67,116</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75"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Direct premiums earned for the third quarter of 2020 increased $8,974, or 12.7%, from the third quarter of 2019. The addition of the Westminster commercial business contributed $11,291 in direct premiums earned during the three months ended September 30, 2020. Crop segment direct premiums earned decreased $3,754 compared to last year related to the acceleration of premiums earned in second quarter due to the high claim volume of prevented planting claims submitted for the current multi-peril crop season.</w:t>
      </w:r>
    </w:p>
    <w:p>
      <w:pPr>
        <w:spacing w:after="0" w:line="17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Assumed premiums earned increased $138, related to the assumed reinsurance business. Ceded premiums earned increased $2,886, due to ceding of the Westminster commercial business and increasing our overall reinsurance coverage limits. Premiums ceded to the federal government under the multi-peril crop program also increased year-over-year.</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personal lines of business (private passenger auto, home and farm) continued to grow in South Dakota and Nebraska, albeit at a slower pace due to COVID-19 concerns and increased competition.</w:t>
      </w:r>
    </w:p>
    <w:p>
      <w:pPr>
        <w:spacing w:after="0" w:line="14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non-standard auto net premiums earned decreased year-over-year due to the COVID-19 pandemic, which negatively impacted policy counts in this segment across all states. Direct premiums written in this segment increased slightly during the third quarter, both year-over-year and compared to second quarter. This increase reflects the positive impacts from rate actions in Nevada during 2019 and rate actions in Arizona during 2020, offset by the lower policy counts caused by the pandemic throughout 2020. At this time, we are unsure what impact the pandemic will have on policy counts for the remainder of 2020.</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212"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NI Holdings’ net losses and LAE for the three months ended September 30, 2020 decreased $7,722, or 12.6%, compared to a year ago, due primarily to improved loss experience in the private passenger auto and home and farm segments. The Company’s loss and LAE ratio decreased significantly.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0" w:type="dxa"/>
            <w:vAlign w:val="bottom"/>
            <w:gridSpan w:val="4"/>
          </w:tcPr>
          <w:p>
            <w:pPr>
              <w:jc w:val="right"/>
              <w:ind w:right="141"/>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8"/>
                <w:szCs w:val="18"/>
                <w:b w:val="1"/>
                <w:bCs w:val="1"/>
                <w:color w:val="auto"/>
                <w:w w:val="92"/>
              </w:rPr>
              <w:t>September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LAE: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13,570</w:t>
            </w:r>
          </w:p>
        </w:tc>
        <w:tc>
          <w:tcPr>
            <w:tcW w:w="220" w:type="dxa"/>
            <w:vAlign w:val="bottom"/>
          </w:tcPr>
          <w:p>
            <w:pPr>
              <w:spacing w:after="0"/>
              <w:rPr>
                <w:sz w:val="18"/>
                <w:szCs w:val="18"/>
                <w:color w:val="auto"/>
              </w:rPr>
            </w:pP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18,716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13,437</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18,598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13,142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5,577</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1,340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net losses and LAE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53,836</w:t>
            </w:r>
          </w:p>
        </w:tc>
        <w:tc>
          <w:tcPr>
            <w:tcW w:w="220" w:type="dxa"/>
            <w:vAlign w:val="bottom"/>
          </w:tcPr>
          <w:p>
            <w:pPr>
              <w:spacing w:after="0"/>
              <w:rPr>
                <w:sz w:val="18"/>
                <w:szCs w:val="18"/>
                <w:color w:val="auto"/>
              </w:rPr>
            </w:pP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61,558</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800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460" w:type="dxa"/>
            <w:vAlign w:val="bottom"/>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108.1%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460" w:type="dxa"/>
            <w:vAlign w:val="bottom"/>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103.9%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46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131.6%</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loss and LAE ratio</w:t>
            </w:r>
          </w:p>
        </w:tc>
        <w:tc>
          <w:tcPr>
            <w:tcW w:w="1460" w:type="dxa"/>
            <w:vAlign w:val="bottom"/>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Company’s overall loss and LAE experience improved 18.3 percentage points year-over-year. The private passenger auto, home and farm, and commercial segments improved significantly, while the non-standard auto, crop, and all other segments reported increases in their loss and LAE ratios.</w:t>
      </w:r>
    </w:p>
    <w:p>
      <w:pPr>
        <w:spacing w:after="0" w:line="11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Losses were favorable year-over-year in private passenger and home and farm, due to fewer weather-related losses during the current quarter. In commercial, while overall losses increased due to Westminster’s results being added to the segment, the year-over-year loss and LAE ratio was significantly improved.</w:t>
      </w:r>
    </w:p>
    <w:p>
      <w:pPr>
        <w:spacing w:after="0" w:line="15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2019 multi-peril crop insurance business ended the year with less than 50% of the corn in North Dakota harvested and we carried a significant number of open claims as of December 31, 2019. All of those claims have now been settled as of the end of September. This business experienced unfavorable loss development of $217, on a net basis, during the current quarter.</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issues arising from the 2019 multi-peril crop season have impacted the 2020 season. A higher than normal number of prevented planting claims were submitted due to fields not harvested from the prior year, resulting in a shortened risk period for these policies and an acceleration of multi-peril crop premiums earned during the second quarter. The net premiums earned and net losses reported for third quarter 2020, while less than third quarter 2019 due to this acceleration, reflect a higher expected loss and LAE ratio compared to a year ago.</w:t>
      </w:r>
    </w:p>
    <w:p>
      <w:pPr>
        <w:sectPr>
          <w:pgSz w:w="11900" w:h="16838" w:orient="portrait"/>
          <w:cols w:equalWidth="0" w:num="1">
            <w:col w:w="11240"/>
          </w:cols>
          <w:pgMar w:left="320" w:top="125" w:right="339"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During the three months ended September 30, 2020, reported losses and LAE included $1,736 of net favorable development on prior accident years, compared to $1,227 of net unfavorable development on prior accident years during the three months ended September 30, 2019.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 The net favorable development reported in the third quarter of 2020 is primarily related to the Direct Auto non-standard auto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21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$3,998, or 22.3%, during the three months ended September 30, 2020 compared to a year ago.</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(14,742)</w:t>
            </w: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(10,392)</w:t>
            </w:r>
          </w:p>
        </w:tc>
      </w:tr>
      <w:tr>
        <w:trPr>
          <w:trHeight w:val="21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underwriting and general expenses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15,061</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12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reported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22,144</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Underlying expenses were $5,451 higher in the three months ended September 30, 2020 compared to a year ago, driven primarily by the addition of Westminster’s $4,703 of underlying expenses, including $1,057 amortization of other intangibles. Consulting fees and stock compensation costs contributed to the increase.</w:t>
      </w:r>
    </w:p>
    <w:p>
      <w:pPr>
        <w:spacing w:after="0" w:line="157"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Expense deferrals were $4,350 higher in the three months ended September 30, 2020 compared to 2019, while amortization of those costs was $3,752 higher in 2020. The commercial business contributed $2,615 of new expense deferrals and $1,658 of amortization in the third quarter of 2020.</w:t>
      </w:r>
    </w:p>
    <w:p>
      <w:pPr>
        <w:spacing w:after="0" w:line="110"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expense ratio of 30.2% for the three months ended September 30, 2020 was 4.4 percentage points higher than the expense ratio in the third quarter of 2019 due primarily to the addition of Westminster and increased expense levels, while net premiums earned increased at a lesser rate in the current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98"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6"/>
              </w:rPr>
              <w:t>Three Months Ended September 30,</w:t>
            </w:r>
          </w:p>
        </w:tc>
      </w:tr>
      <w:tr>
        <w:trPr>
          <w:trHeight w:val="210"/>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(726)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(5,838)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(5,582)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underwriting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(2,638)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(11,733)</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4"/>
          </w:tcPr>
          <w:p>
            <w:pPr>
              <w:ind w:left="160"/>
              <w:spacing w:after="0"/>
              <w:rPr>
                <w:sz w:val="20"/>
                <w:szCs w:val="20"/>
                <w:color w:val="auto"/>
              </w:rPr>
            </w:pPr>
            <w:r>
              <w:rPr>
                <w:rFonts w:ascii="Arial" w:cs="Arial" w:eastAsia="Arial" w:hAnsi="Arial"/>
                <w:sz w:val="18"/>
                <w:szCs w:val="18"/>
                <w:b w:val="1"/>
                <w:bCs w:val="1"/>
                <w:color w:val="auto"/>
                <w:w w:val="99"/>
              </w:rPr>
              <w:t>Three Months Ended September 30,</w:t>
            </w:r>
          </w:p>
        </w:tc>
      </w:tr>
      <w:tr>
        <w:trPr>
          <w:trHeight w:val="209"/>
        </w:trPr>
        <w:tc>
          <w:tcPr>
            <w:tcW w:w="80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460" w:type="dxa"/>
            <w:vAlign w:val="bottom"/>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133.7%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460" w:type="dxa"/>
            <w:vAlign w:val="bottom"/>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131.2%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460" w:type="dxa"/>
            <w:vAlign w:val="bottom"/>
          </w:tcPr>
          <w:p>
            <w:pPr>
              <w:jc w:val="right"/>
              <w:spacing w:after="0"/>
              <w:rPr>
                <w:sz w:val="20"/>
                <w:szCs w:val="20"/>
                <w:color w:val="auto"/>
              </w:rPr>
            </w:pPr>
            <w:r>
              <w:rPr>
                <w:rFonts w:ascii="Arial" w:cs="Arial" w:eastAsia="Arial" w:hAnsi="Arial"/>
                <w:sz w:val="18"/>
                <w:szCs w:val="18"/>
                <w:color w:val="auto"/>
              </w:rPr>
              <w:t>91.6%</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159.7%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combined ratio</w:t>
            </w:r>
          </w:p>
        </w:tc>
        <w:tc>
          <w:tcPr>
            <w:tcW w:w="1460" w:type="dxa"/>
            <w:vAlign w:val="bottom"/>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117.5%</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underwriting profitability improved significantly year-over-year across all segments with the exception of crop and commercial.</w:t>
      </w:r>
    </w:p>
    <w:p>
      <w:pPr>
        <w:spacing w:after="0" w:line="223"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The combined ratio for the private passenger auto segment improved 29.7 percentage points year-over-year. Loss experience during third quarter 2019 was elevated due to weather-related losses, as well as significant bodily injury and underinsured liability losses. During third quarter 2020, claims frequency has mostly returned to normal levels after benefitting from a reduction in miles driven during the earlier months of the COVID-19 pandemic.</w:t>
      </w:r>
    </w:p>
    <w:p>
      <w:pPr>
        <w:spacing w:after="0" w:line="13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For the non-standard auto segment, the combined ratio has deteriorated modestly during third quarter 2020. Similar to private passenger auto, claims frequency for this segment is returning to more normal levels as miles driven are increasing to more normal levels.</w:t>
      </w:r>
    </w:p>
    <w:p>
      <w:pPr>
        <w:spacing w:after="0" w:line="11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combined ratio for the home and farm segment improved substantially as we experienced a lower amount of weather-related events in the third quarter. The favorable impact from weather-related losses combined with some modest rate adjustments helped continue the excellent results in 2020 for these lines of business.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the commercial segment, the results of Westminster are now combined with the commercial business of Nodak Insurance. The third quarter 2019 results reflected high loss experience for the Nodak book. During third quarter 2020, the addition of Westminster decreased the loss and LAE ratio to more profitable levels. Underwriting expenses during the third quarter for Westminster continue to be impacted by amortization of their VOBA intangible asset. Regulatory actions related to commercial insurance policies taken by certain states within Westminster’s operating territory earlier during 2020 have had minimal impact on our results thus far, although it is possible that additional steps taken by federal, state, and local governments may have adverse impacts on our future results.</w:t>
      </w:r>
    </w:p>
    <w:p>
      <w:pPr>
        <w:spacing w:after="0" w:line="17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the crop segment, the combined ratio is elevated due to the high percentage of unharvested corn that remained in the field from the 2019 season. As these fields were harvested, the losses were higher than anticipated, resulting in additional adverse development for this segment that continued into this quarter. The current year multi-peril crop loss ratio is also elevated due to the large number of prevented planting claims submitted this spring. The high combined ratio for multi-peril crop has been partially offset by improved loss experience for our crop hail business.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all other segment, the assumed domestic and international pools in which we participate had increased loss experience during the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losses were driven largely by severe hail storms in Canada, an active Atlantic hurricane season, and California wildfires.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21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NI Holdings had fee and other income of $524 for the three months ended September 30, 2020, compared to $527 for the three months ended September 30, 2019. Fee income attributable to the non-standard auto segment is a key component in measuring its profitability. Fee income on this business decreased to $336 for the three months ended September 30, 2020 from $363 for the three months ended September 30, 2019, as the amount of new inforce polices in Primero has dropped considerably. Primero also temporarily waived some of its policy maintenance fees as a response to the COVID-19 pandemic.</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21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Average cash and invested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Gross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Investment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Gross return on average cash and invested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Net return on average cash and invested assets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210"/>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457,238</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393,876</w:t>
            </w:r>
          </w:p>
        </w:tc>
        <w:tc>
          <w:tcPr>
            <w:tcW w:w="2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2,514</w:t>
            </w:r>
          </w:p>
        </w:tc>
        <w:tc>
          <w:tcPr>
            <w:tcW w:w="200" w:type="dxa"/>
            <w:vAlign w:val="bottom"/>
          </w:tcPr>
          <w:p>
            <w:pPr>
              <w:spacing w:after="0"/>
              <w:rPr>
                <w:sz w:val="24"/>
                <w:szCs w:val="24"/>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2,549</w:t>
            </w:r>
          </w:p>
        </w:tc>
      </w:tr>
      <w:tr>
        <w:trPr>
          <w:trHeight w:val="230"/>
        </w:trPr>
        <w:tc>
          <w:tcPr>
            <w:tcW w:w="320" w:type="dxa"/>
            <w:vAlign w:val="bottom"/>
          </w:tcPr>
          <w:p>
            <w:pPr>
              <w:spacing w:after="0"/>
              <w:rPr>
                <w:sz w:val="20"/>
                <w:szCs w:val="20"/>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r>
      <w:tr>
        <w:trPr>
          <w:trHeight w:val="210"/>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1,886</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2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320" w:type="dxa"/>
            <w:vAlign w:val="bottom"/>
          </w:tcPr>
          <w:p>
            <w:pPr>
              <w:spacing w:after="0"/>
              <w:rPr>
                <w:sz w:val="24"/>
                <w:szCs w:val="2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320" w:type="dxa"/>
            <w:vAlign w:val="bottom"/>
          </w:tcPr>
          <w:p>
            <w:pPr>
              <w:spacing w:after="0"/>
              <w:rPr>
                <w:sz w:val="20"/>
                <w:szCs w:val="20"/>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bl>
    <w:p>
      <w:pPr>
        <w:spacing w:after="0" w:line="188" w:lineRule="exact"/>
        <w:rPr>
          <w:sz w:val="20"/>
          <w:szCs w:val="20"/>
          <w:color w:val="auto"/>
        </w:rPr>
      </w:pPr>
    </w:p>
    <w:p>
      <w:pPr>
        <w:sectPr>
          <w:pgSz w:w="11900" w:h="16838" w:orient="portrait"/>
          <w:cols w:equalWidth="0" w:num="2">
            <w:col w:w="7280" w:space="720"/>
            <w:col w:w="3220"/>
          </w:cols>
          <w:pgMar w:left="320" w:top="125" w:right="359" w:bottom="1440" w:gutter="0" w:footer="0" w:header="0"/>
          <w:type w:val="continuous"/>
        </w:sectPr>
      </w:pPr>
    </w:p>
    <w:p>
      <w:pPr>
        <w:jc w:val="both"/>
        <w:ind w:right="460" w:firstLine="648"/>
        <w:spacing w:after="0" w:line="286" w:lineRule="auto"/>
        <w:rPr>
          <w:sz w:val="20"/>
          <w:szCs w:val="20"/>
          <w:color w:val="auto"/>
        </w:rPr>
      </w:pPr>
      <w:r>
        <w:rPr>
          <w:rFonts w:ascii="Arial" w:cs="Arial" w:eastAsia="Arial" w:hAnsi="Arial"/>
          <w:sz w:val="17"/>
          <w:szCs w:val="17"/>
          <w:color w:val="auto"/>
        </w:rPr>
        <w:t>Investment income, net of investment expense, decreased $97 for the three months ended September 30, 2020 compared to a year ago. This decrease is attributable to adjusted amortization of bond discounts on Westminster’s fixed income securities and additional investment expenses from Westminster. The weighted average gross yield on invested assets decreased to 2.2% in 2020 from 2.6% in 2019.</w:t>
      </w:r>
    </w:p>
    <w:p>
      <w:pPr>
        <w:spacing w:after="0" w:line="15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 of September 30, 2020, our overall book yield for our combined fixed income and equity portfolio was 2.6%, excluding Westminster’s standalone portfolio. The average duration of our fixed income securities was 3.7 years at September 30, 2020.</w:t>
      </w:r>
    </w:p>
    <w:p>
      <w:pPr>
        <w:sectPr>
          <w:pgSz w:w="11900" w:h="16838" w:orient="portrait"/>
          <w:cols w:equalWidth="0" w:num="1">
            <w:col w:w="11220"/>
          </w:cols>
          <w:pgMar w:left="320" w:top="125" w:right="359" w:bottom="1440" w:gutter="0" w:footer="0" w:header="0"/>
          <w:type w:val="continuous"/>
        </w:sectPr>
      </w:pP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on Investments</w:t>
      </w:r>
    </w:p>
    <w:p>
      <w:pPr>
        <w:spacing w:after="0" w:line="21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NI Holdings had realized capital gains on investment of $636 for the three months ended September 30, 2020, compared to realized capital gains of $1,006 a year ago.</w:t>
      </w:r>
    </w:p>
    <w:p>
      <w:pPr>
        <w:spacing w:after="0" w:line="15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Effective January 1, 2019, in accordance with a change in accounting principle, market fluctuations on our equity securities are reflected in the Company’s results of operations. NI Holdings reported a net gain of $4,466 attributed to the change in unrealized appreciation of its equity securities for the three months ended September 30, 2020, compared to a net loss of $384 for the three months ended September 30, 2019. Prior to January 1, 2019, such unrealized gains and losses were included in other comprehensive income. The significant gain in the current quarter was the result of a continued rebound from the extensive losses reported in first quarter due to the COVID-19 pandemic and the related economic implications on businesses and the stock market. We anticipate additional volatility throughout the remainder of the pandemic and economic recovery period.</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no other-than-temporary impairments in the three months ended September 30, 2020 and 2019.</w:t>
      </w:r>
    </w:p>
    <w:p>
      <w:pPr>
        <w:spacing w:after="0" w:line="21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Company’s fixed income securities and equity securities are classified as available for sale because it will, from time to time, make sales of securities that are not impaired, consistent with our investment goals and policies. At September 30, 2020, the Company had net unrealized gains on fixed income securities of $15,525 and net unrealized gains on equity securities of $21,255. At December 31, 2019, the Company had net unrealized gains on fixed income securities of $7,241 and net unrealized gains on equity securities of $21,896. The increase in the fair value of our fixed income securities was driven primarily by the U.S. Federal Reserve’s implementation of the unprecedented efforts it announced in March to support the economy, as well as its intention to maintain a near-zero interest rate policy for the foreseeable future.</w:t>
      </w:r>
    </w:p>
    <w:p>
      <w:pPr>
        <w:spacing w:after="0" w:line="16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NI Holdings has evaluated each security in a loss position and taken into account the severity and duration of the impairment, the current rating on the bond, and the outlook for the issuer according to independent analysts. NI Holdings will continue to monitor these securities throughout the remainder of the COVID-19 pandemic and economic recovery 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21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For the three months ended September 30, 2020, NI Holdings had pre-tax income of $4,874 compared to pre-tax loss of $8,601 for the three months ended September 30, 2019. The increase in pre-tax results was largely attributable to the significant improvement in loss experience and the pre-tax $4,850 fluctuation in the change in net unrealized gains in our equity portfolio between the third quarter of 2020 and 2019.</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NI Holdings recorded income tax expense of $1,188 for the three months ended September 30, 2020, compared to income tax benefit of $1,642 for the three months ended September 30, 2019. A portion of income tax expense relates to state income taxes primarily for the state of Illinois. Our effective tax rate for the third quarter of 2020 was 24.4% compared to an effective tax rate of 19.1% for the third quarter of 2019.</w:t>
      </w:r>
    </w:p>
    <w:p>
      <w:pPr>
        <w:spacing w:after="0" w:line="1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valuation allowance against certain deferred income tax assets increased to $948 as of September 30, 2020, compared to $594 as of December 31, 2019. The acquisition of Westminster included $354 of valuation allowance related to net operating loss carryforwards.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For the three months ended September 30, 2020, NI Holdings had net income before non-controlling interest of $3,686 compared to net loss before non-controlling interest of $6,959 for the three months ended September 30, 2019. This increase in net income was largely attributable to the significant improvement in loss experience and the fluctuation in the change in net unrealized gains in our equity portfolio between the third quarter of 2020 and 2019.</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21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For the three months ended September 30, 2020, NI Holdings had annualized return on average equity, after non-controlling interest, of 4.6% compared to annualized return on average equity, after non-controlling interest, of -9.6% for the three months ended September 30, 2019. Average equity is calculated as the average between beginning and ending equity excluding non-controlling interest for the period.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2020 and 2019</w:t>
      </w:r>
    </w:p>
    <w:p>
      <w:pPr>
        <w:spacing w:after="0" w:line="19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consolidated net income for NI Holdings was $18,898 for the nine months ended September 30, 2020 compared to net income of $9,352 for the nine months ended September 30, 2019. The major components of NI Holdings’ operating revenues and net income for the two periods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214,120</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182,736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5,875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5,504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capital (loss) gain on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222,707</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199,468</w:t>
            </w:r>
          </w:p>
        </w:tc>
      </w:tr>
      <w:tr>
        <w:trPr>
          <w:trHeight w:val="209"/>
        </w:trPr>
        <w:tc>
          <w:tcPr>
            <w:tcW w:w="8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182,736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136,622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135,985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Underwriting gain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(4,174)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5,875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5,504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capital (loss) gain on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12,558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18,898</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9,352</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global pandemic associated with the novel coronavirus COVID-19 continued to impact the Company’s results of operations during the nine months ended September 30, 2020. Decreased economic activity restricted top-line growth and volatile financial markets had a negative impact on the Company’s equity investments and overall investment returns. These top-line growth impacts were partially offset by reduced loss frequency in our private passenger and non-standard auto segments, due to decreased overall miles driven during the second quarter.</w:t>
      </w:r>
    </w:p>
    <w:p>
      <w:pPr>
        <w:spacing w:after="0" w:line="158"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actual long-term impact of the pandemic on the property and casualty industry continues to be highly uncertain and will not be fully known for some time. For further discussion regarding the potential impacts of COVID-19 and related economic conditions of the Company, see “Part II – Item 1A – Risk Factors”.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NI Holdings’ net premiums earned for the nine months ended September 30, 2020 increased $31,384, or 17.2%, compared to a year ago.</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6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52,632</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50,094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40,124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43,906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53,937</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51,950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33,450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27,528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26,967</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Total net premiums earned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214,120</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182,736</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Direct premium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224,300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192,233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premium</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Ceded premium</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(15,835)</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(14,730)</w:t>
            </w: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premiums earned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214,120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182,736</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61"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Direct premiums earned for the first nine months of 2020 increased $32,067, or 16.7%, from the same period of 2019. The addition of the Westminster commercial business contributed $28,606 in direct premiums earned during the nine months ended September 30, 2020. Private passenger auto and home and farm segments reported modest increases to direct premiums earned, while non-standard auto decreased due mainly to COVID-19 pandemic impacts.</w:t>
      </w:r>
    </w:p>
    <w:p>
      <w:pPr>
        <w:spacing w:after="0" w:line="17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Assumed premiums earned increased $422, primarily due to increasing our participation in the assumed domestic and international reinsurance pools in our all other segment. Ceded premiums earned increased $1,105, due to ceding of the Westminster commercial business and increasing our overall reinsurance coverage limits, and offset by gain-sharing amounts from the federal government for the multi-peril crop business.</w:t>
      </w:r>
    </w:p>
    <w:p>
      <w:pPr>
        <w:spacing w:after="0" w:line="1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personal lines of business (private passenger auto, home and farm) continued to grow in South Dakota and Nebraska. Our North Dakota business grew modestly.</w:t>
      </w:r>
    </w:p>
    <w:p>
      <w:pPr>
        <w:spacing w:after="0" w:line="14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non-standard auto premiums decreased year-over-year. Rate changes implemented to address unprofitable results and increased policy liability limits mandated by Nevada and Arizona led to a decrease in the number of vehicles insured. In addition, the COVID-19 pandemic has negatively impacted policy counts in this segment. During the third quarter, we have seen a modest increase in new business for the non-standard auto line of business compared to the second quarter.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21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NI Holdings’ net losses and LAE for the nine months ended September 30, 2020 increased $637, or 0.5%, compared to a year ago. The Company’s loss and LAE ratio decreased significantly due to improved loss experience in all segments except crop.</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6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LAE: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33,323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40,743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23,560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27,416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30,835</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40,067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30,699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21,882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14,529</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2,140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net losses and LAE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136,622</w:t>
            </w:r>
          </w:p>
        </w:tc>
        <w:tc>
          <w:tcPr>
            <w:tcW w:w="2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135,985</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ind w:left="180"/>
              <w:spacing w:after="0"/>
              <w:rPr>
                <w:sz w:val="20"/>
                <w:szCs w:val="20"/>
                <w:color w:val="auto"/>
              </w:rPr>
            </w:pPr>
            <w:r>
              <w:rPr>
                <w:rFonts w:ascii="Arial" w:cs="Arial" w:eastAsia="Arial" w:hAnsi="Arial"/>
                <w:sz w:val="18"/>
                <w:szCs w:val="18"/>
                <w:color w:val="auto"/>
              </w:rPr>
              <w:t>Private passenger auto</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63.3%</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81.3%</w:t>
            </w:r>
          </w:p>
        </w:tc>
      </w:tr>
      <w:tr>
        <w:trPr>
          <w:trHeight w:val="216"/>
        </w:trPr>
        <w:tc>
          <w:tcPr>
            <w:tcW w:w="8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58.7%</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w:t>
            </w:r>
          </w:p>
        </w:tc>
      </w:tr>
      <w:tr>
        <w:trPr>
          <w:trHeight w:val="216"/>
        </w:trPr>
        <w:tc>
          <w:tcPr>
            <w:tcW w:w="8960" w:type="dxa"/>
            <w:vAlign w:val="bottom"/>
            <w:gridSpan w:val="2"/>
          </w:tcPr>
          <w:p>
            <w:pPr>
              <w:ind w:left="180"/>
              <w:spacing w:after="0"/>
              <w:rPr>
                <w:sz w:val="20"/>
                <w:szCs w:val="20"/>
                <w:color w:val="auto"/>
              </w:rPr>
            </w:pPr>
            <w:r>
              <w:rPr>
                <w:rFonts w:ascii="Arial" w:cs="Arial" w:eastAsia="Arial" w:hAnsi="Arial"/>
                <w:sz w:val="18"/>
                <w:szCs w:val="18"/>
                <w:color w:val="auto"/>
              </w:rPr>
              <w:t>Home and farm</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57.2%</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r>
      <w:tr>
        <w:trPr>
          <w:trHeight w:val="216"/>
        </w:trPr>
        <w:tc>
          <w:tcPr>
            <w:tcW w:w="8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91.8%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w:t>
            </w:r>
          </w:p>
        </w:tc>
      </w:tr>
      <w:tr>
        <w:trPr>
          <w:trHeight w:val="216"/>
        </w:trPr>
        <w:tc>
          <w:tcPr>
            <w:tcW w:w="896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53.9%</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71.3%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52.4%</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960" w:type="dxa"/>
            <w:vAlign w:val="bottom"/>
            <w:gridSpan w:val="2"/>
          </w:tcPr>
          <w:p>
            <w:pPr>
              <w:ind w:left="360"/>
              <w:spacing w:after="0"/>
              <w:rPr>
                <w:sz w:val="20"/>
                <w:szCs w:val="20"/>
                <w:color w:val="auto"/>
              </w:rPr>
            </w:pPr>
            <w:r>
              <w:rPr>
                <w:rFonts w:ascii="Arial" w:cs="Arial" w:eastAsia="Arial" w:hAnsi="Arial"/>
                <w:sz w:val="18"/>
                <w:szCs w:val="18"/>
                <w:color w:val="auto"/>
              </w:rPr>
              <w:t>Total loss and LAE ratio</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63.8%</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74.4%</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Company’s overall loss and LAE experience improved 10.6 percentage points year-over-year, across most segments of the Company. Only the crop segment reported an increase in its loss and LAE ratio.</w:t>
      </w:r>
    </w:p>
    <w:p>
      <w:pPr>
        <w:spacing w:after="0" w:line="15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Losses were favorable year-over-year in private passenger and non-standard auto, due to less frequency of losses as insureds drove fewer miles, primarily during the second quarter of 2020. In private passenger auto and home and farm, losses and LAE decreased due to lower weather-related losses. Private passenger auto also experienced significant bodily injury and underinsured losses last year.</w:t>
      </w:r>
    </w:p>
    <w:p>
      <w:pPr>
        <w:spacing w:after="0" w:line="157"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For the commercial business, while overall losses increased due to Westminster’s results being added to the segment, the year-over-year loss and LAE ratio significantly improved.</w:t>
      </w:r>
    </w:p>
    <w:p>
      <w:pPr>
        <w:spacing w:after="0" w:line="15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2019 multi-peril crop insurance business ended the year with less than 50% of the corn in North Dakota harvested and we carried a significant number of open claims as of December 31, 2019. All of those claims have been settled during the first nine months of the year. This business produced unfavorable loss development of $3,831 on a net basis as these claims were adjusted and settled in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issues arising from the 2019 multi-peril crop season have impacted the 2020 season. A higher than normal number of prevented planting claims were submitted due to fields not harvested from the prior year, resulting in a shortened risk period for these policies and an acceleration of multi-peril crop premiums earned for the first nine months of 2020. The net losses reported through third quarter 2020 reflect a higher expected loss and LAE ratio compared to a year ago.</w:t>
      </w:r>
    </w:p>
    <w:p>
      <w:pPr>
        <w:spacing w:after="0" w:line="1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the nine months ended September 30, 2020, reported losses and LAE included $4,268 of net favorable development on prior accident years, compared to $6,443 of net favorable development on prior accident years during the nine months ended September 30, 2019.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$11,003, or 21.6%, during the nine months ended September 30, 2020 compared to a year ago.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53,863</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(47,763)</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(39,620)</w:t>
            </w:r>
          </w:p>
        </w:tc>
      </w:tr>
      <w:tr>
        <w:trPr>
          <w:trHeight w:val="20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underwriting and general expenses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22,651</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36,682</w:t>
            </w:r>
          </w:p>
        </w:tc>
        <w:tc>
          <w:tcPr>
            <w:tcW w:w="12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reported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50,925</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7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Underlying expenses were $16,551 higher in the nine months ended September 30, 2020 compared to a year ago. Westminster contributed $14,212 of underlying expenses to the current quarter, including $4,741 amortization of other intangibles. Underlying expenses were also elevated due to consulting fees, stock compensation costs, and costs related to the acquisition of Westminster.</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Expense deferrals were $8,143 higher in the nine months ended September 30, 2020 compared to 2019, while amortization of those costs was $2,595 higher in 2020. The commercial segment contributed $7,385 of new expense deferrals in 2020, and $3,137 of amortization expense.</w:t>
      </w:r>
    </w:p>
    <w:p>
      <w:pPr>
        <w:spacing w:after="0" w:line="11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expense ratio of 28.9% for the nine months ended September 30, 2020 was 1.0 percentage points higher than the expense ratio in 2019 due primarily to the higher level of expenses in Westminster.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21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(4,746)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(3,444)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underwriting gain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15,570</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(4,174)</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80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460" w:type="dxa"/>
            <w:vAlign w:val="bottom"/>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109.5%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460" w:type="dxa"/>
            <w:vAlign w:val="bottom"/>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106.6%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46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104.5%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Total combined ratio</w:t>
            </w:r>
          </w:p>
        </w:tc>
        <w:tc>
          <w:tcPr>
            <w:tcW w:w="1460" w:type="dxa"/>
            <w:vAlign w:val="bottom"/>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Overall underwriting results improved significantly year-over-year, as combined ratios improved in all segments except crop.</w:t>
      </w:r>
    </w:p>
    <w:p>
      <w:pPr>
        <w:spacing w:after="0" w:line="21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combined ratio for the private passenger auto segment improved 19.1 percentage points year-over-year. Elevated loss experience during third quarter 2019 due to weather-related losses and significant bodily injury and underinsured liability losses did not recur in 2020. During 2020, a reduction of miles driven due to the COVID-19 pandemic primarily during the second quarter resulted in decreased claims frequency. During third quarter 2020, claims frequency has mostly returned to normal levels.</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non-standard auto segment, the combined ratio improved slightly year-over-year. Similar to private passenger auto, claims frequency for this segment is returning to more normal levels as miles driven are increasing again.</w:t>
      </w:r>
    </w:p>
    <w:p>
      <w:pPr>
        <w:spacing w:after="0" w:line="14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combined ratio for the home and farm segment improved substantially as North Dakota has experienced a lower number of weather-related events in 2020. The favorable impact from fewer weather-related losses combined with modest rate adjustments has resulted in a profitable nine months of 2020.</w:t>
      </w:r>
    </w:p>
    <w:p>
      <w:pPr>
        <w:spacing w:after="0" w:line="170"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For the commercial segment, the results of Westminster are now combined with the commercial business of Nodak Insurance. The 2019 results reflected high loss experience for the Nodak book. During 2020, the addition of Westminster decreased the loss and LAE ratio to more profitable levels. Underwriting expenses for Westminster are adversely impacted by amortization of their VOBA intangible asset for 2020. Regulatory actions related to commercial insurance policies taken by certain states within Westminster’s operating territory earlier during 2020 have had minimal impact on our results thus far, although it is possible that additional steps taken by federal, state, and local governments may have adverse impacts to our future results.</w:t>
      </w:r>
    </w:p>
    <w:p>
      <w:pPr>
        <w:spacing w:after="0" w:line="1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crop segment, the combined ratio is elevated due to the high percentage of unharvested corn that remained in the field from the 2019 season. As these fields were harvested, the losses were higher than anticipated, resulting in adverse development for this segment. The current multi-peril crop loss ratio is also elevated due to the large number of prevented planting claims submitted this spring. The high combined ratio for multi-peril crop has been partially offset by favorable loss experience in our crop hail business.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21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NI Holdings had fee and other income of $1,332 for the nine months ended September 30, 2020, compared to $1,637 for the nine months ended September 30, 2019. Fee income attributable to the non-standard auto segment is a key component in measuring its profitability. Fee income on this business decreased to $993 for the nine months ended September 30, 2020 from $1,339 for the nine months ended September 30, 2019, as the number of inforce polices in Primero has dropped considerably. Primero also temporarily waived some of its policy maintenance fees in response to the COVID-19 pandemic.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9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6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437,845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388,023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6"/>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Investment expenses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16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bl>
    <w:p>
      <w:pPr>
        <w:spacing w:after="0" w:line="16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Investment income, net of investment expense, increased $371 for the nine months ended September 30, 2020 compared to a year ago. This increase is attributable to the increase in invested assets, due primarily to the acquisition of Westminster and increased year-to-date net cash from operating activities, partially offset by an increase in investment expenses primarily from Westminster. The weighted average gross yield on invested assets decreased to 2.4% in 2020 from 2.5% in 2019.</w:t>
      </w:r>
    </w:p>
    <w:p>
      <w:pPr>
        <w:spacing w:after="0" w:line="173"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As of September 30, 2020, our overall book yield for our combined fixed income and equity portfolio was 2.6%, excluding Westminster’s standalone portfolio. The average duration for our fixed income securities was 3.7 years at September 30, 2020.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on Investments</w:t>
      </w:r>
    </w:p>
    <w:p>
      <w:pPr>
        <w:spacing w:after="0" w:line="21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NI Holdings had realized capital gains on investment of $2,021 for the nine months ended September 30, 2020, compared to realized capital gains of $1,338 a year ago.</w:t>
      </w:r>
    </w:p>
    <w:p>
      <w:pPr>
        <w:spacing w:after="0" w:line="15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Effective January 1, 2019, in accordance with a change in accounting principle, market fluctuations on our equity securities are reflected in the Company’s results of operations. NI Holdings reported a net loss of $641 attributed to the change in unrealized appreciation of its equity securities for the nine months ended September 30, 2020, compared to a higher than expected net gain of $8,253 for the nine months ended September 30, 2019. Prior to January 1, 2019, such unrealized gains and losses were included in other comprehensive income. The loss for the current period was due to the COVID-19 pandemic and the related economic implications on businesses and the stock market. We anticipate additional volatility throughout the remainder of the pandemic and economic recovery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no other-than-temporary impairments in the nine months ended September 30, 2020 and 2019.</w:t>
      </w:r>
    </w:p>
    <w:p>
      <w:pPr>
        <w:spacing w:after="0" w:line="21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Company’s fixed income securities and equity securities are classified as available for sale because it will, from time to time, make sales of securities that are not impaired, consistent with our investment goals and policies. At September 30, 2020, the Company had net unrealized gains on fixed income securities of $15,525 and net unrealized gains on equity securities of $21,255. At December 31, 2019, the Company had net unrealized gains on fixed income securities of $7,241 and net unrealized gains on equity securities of $21,896. The increase in the fair value of our fixed income securities was driven primarily by the U.S. Federal Reserve’s implementation of the unprecedented efforts it announced in March to support the economy, as well as its intention to maintain a near-zero interest rate policy for the foreseeable future.</w:t>
      </w:r>
    </w:p>
    <w:p>
      <w:pPr>
        <w:spacing w:after="0" w:line="16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NI Holdings has evaluated each security in a loss position and taken into account the severity and duration of the impairment, the current rating on the bond, and the outlook for the issuer according to independent analysts. NI Holdings will continue to monitor these securities throughout the remainder of the COVID-19 pandemic and economic recovery 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212"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For the nine months ended September 30, 2020, NI Holdings had pre-tax income of $24,157 compared to pre-tax income of $12,558 for the nine months ended September 30, 2019. The increase in pre-tax results was largely attributable to improved loss experience in 2020, partially offset by the pre-tax $8,894 fluctuation in the change in net unrealized gains in our equity portfolio between the first nine months of 2020 and 2019.</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NI Holdings recorded income tax expense of $5,259 for the nine months ended September 30, 2020, compared to income tax expense of $3,206 for the nine months ended September 30, 2019. A portion of income tax expense relates to state income taxes primarily for the state of Illinois. Our effective tax rate for the first nine months of 2020 was 21.8% compared to an effective tax rate of 25.5% for the same period of 2019.</w:t>
      </w:r>
    </w:p>
    <w:p>
      <w:pPr>
        <w:spacing w:after="0" w:line="1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valuation allowance against certain deferred income tax assets increased to $948 as of September 30, 2020, compared to $594 as of December 31, 2019. The acquisition of Westminster included $354 of valuation allowance related to net operating loss carryforwards.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For the nine months ended September 30, 2020, NI Holdings had net income before non-controlling interest of $18,898 compared to net income before non-controlling interest of $9,352 for the nine months ended September 30, 2019. This increase in net income was primarily attributable to improved loss experience in 2020, partially offset by the fluctuation in the change in net unrealized gains in our equity portfolio between 2020 and 2019.</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21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the nine months ended September 30, 2020, NI Holdings had annualized return on average equity, after non-controlling interest, of 8.0% compared to annualized return on average equity, after non-controlling interest, of 4.4% for the nine months ended September 30, 2019. Average equity is calculated as the average between beginning and ending equity excluding non-controlling interest for the period.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650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500" w:type="dxa"/>
            <w:vAlign w:val="bottom"/>
          </w:tcPr>
          <w:p>
            <w:pPr>
              <w:ind w:left="660"/>
              <w:spacing w:after="0"/>
              <w:rPr>
                <w:sz w:val="20"/>
                <w:szCs w:val="20"/>
                <w:color w:val="auto"/>
              </w:rPr>
            </w:pPr>
            <w:r>
              <w:rPr>
                <w:rFonts w:ascii="Arial" w:cs="Arial" w:eastAsia="Arial" w:hAnsi="Arial"/>
                <w:sz w:val="18"/>
                <w:szCs w:val="18"/>
                <w:color w:val="auto"/>
              </w:rPr>
              <w:t>The major components of NI Holdings’ financial position are as follows: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5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2020</w:t>
            </w:r>
          </w:p>
        </w:tc>
        <w:tc>
          <w:tcPr>
            <w:tcW w:w="1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462,427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419,923</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84,868</w:t>
            </w:r>
          </w:p>
        </w:tc>
        <w:tc>
          <w:tcPr>
            <w:tcW w:w="16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36,691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23,885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9,519</w:t>
            </w:r>
          </w:p>
        </w:tc>
        <w:tc>
          <w:tcPr>
            <w:tcW w:w="16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14,230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Goodwill and other intangibles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18,637</w:t>
            </w:r>
          </w:p>
        </w:tc>
        <w:tc>
          <w:tcPr>
            <w:tcW w:w="16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630,036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508,159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Liabilities: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134,803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93,250</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125,966</w:t>
            </w:r>
          </w:p>
        </w:tc>
        <w:tc>
          <w:tcPr>
            <w:tcW w:w="16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89,276</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304,523</w:t>
            </w:r>
          </w:p>
        </w:tc>
        <w:tc>
          <w:tcPr>
            <w:tcW w:w="16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198,356</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Shareholders’ equity</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325,513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630,036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508,159</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At September 30, 2020, NI Holdings’ total assets increased by $121,877, or 24.0%, from December 31, 2019. Cash and investments increased due to increased fair market values of our fixed income investments and the acquired Westminster assets. Premiums and agents’ balances receivable increased due to recognition of the year’s multi-peril crop premiums, in addition to the acquired Westminster receivables. DAC increased due partly to the Westminster commercial business and growth in other segments. The receivable from the Federal Crop Insurance Corporation decreased due to a partial collection of past year amounts, partially offset by 2020 activity. Goodwill and other intangibles recognized in the Westminster acquisition was $20,506, less amortization during the first nine months of 2020. Other assets increased as a result of reinsurance recoverables from the Westminster commercial business.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At September 30, 2020, total liabilities increased by $106,167, or 53.5%, from December 31, 2019. Unpaid losses and loss adjustment expenses increased due to Westminster commercial liabilities, multi-peril crop losses, and seasonably higher losses for our other segments. Unearned premiums increased due to Westminster acquired amounts of $16,611 and the recognition of this year’s multi-peril crop premiums to be earned over the remainder of the year.</w:t>
      </w:r>
    </w:p>
    <w:p>
      <w:pPr>
        <w:spacing w:after="0" w:line="17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Total shareholders’ equity increased by $15,710, or 5.1%, during the nine months ended September 30, 2020. The increase in shareholders’ equity reflects a consolidated net income of $18,898 for the nine-month period, share repurchases of $11,363, and higher fair market values across our fixed income investment portfolio.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which we hoped to use for strategic acquisitions.</w:t>
      </w:r>
    </w:p>
    <w:p>
      <w:pPr>
        <w:spacing w:after="0" w:line="1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2018, we used $17,000 for the acquisition of Direct Auto. On January 1, 2020, we acquired Westminster for $40,000. We paid $20,000 at the time of closing. We will pay the remaining $20,000, subject to certain adjustments, in three equal installments on each of the first and second anniversaries of the closing, and on the first business day of the month preceding the third anniversary of the closing.</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currently anticipate that cash generated from our operations and available from our investment portfolio, along with the remaining initial public offering net proceeds, will be sufficient to fund our operations. The COVID-19 pandemic has resulted in volatility in the credit and financial markets, which has adversely affected our investment portfolio and could increase the cost of capital and/or our ability to access additional capital if the need arises.</w:t>
      </w:r>
    </w:p>
    <w:p>
      <w:pPr>
        <w:spacing w:after="0" w:line="160"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cash and cash equivalents for the nine months ended September 30, 2020 and 2019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(10,377)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(40,186)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(11,394)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(2,025)</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line="210" w:lineRule="exact"/>
              <w:rPr>
                <w:sz w:val="20"/>
                <w:szCs w:val="20"/>
                <w:color w:val="auto"/>
              </w:rPr>
            </w:pPr>
            <w:r>
              <w:rPr>
                <w:rFonts w:ascii="Arial" w:cs="Arial" w:eastAsia="Arial" w:hAnsi="Arial"/>
                <w:sz w:val="14"/>
                <w:szCs w:val="14"/>
                <w:color w:val="auto"/>
              </w:rPr>
              <w:t>(43,708</w:t>
            </w:r>
            <w:r>
              <w:rPr>
                <w:rFonts w:ascii="Arial" w:cs="Arial" w:eastAsia="Arial" w:hAnsi="Arial"/>
                <w:sz w:val="24"/>
                <w:szCs w:val="24"/>
                <w:color w:val="auto"/>
                <w:vertAlign w:val="subscript"/>
              </w:rPr>
              <w:t>)</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For the nine months ended September 30, 2020, net cash provided by operating activities totaled $30,944 compared to a use of $1,497 a year ago. The consolidated net income of $18,898 for the nine months ended September 30, 2020 compared to consolidated net income of $9,352 for the same period a year ago. The increase in cash flows from operating activities also reflected the impact of the difference in the change in the market value of equity securities (a non-cash component of net income) between 2020 and 2019, differences in the activity between the Company and the Federal Crop Insurance Corporation during 2020 and 2019, the addition of the Westminster commercial business, and lower levels of loss and loss adjustment expenses.</w:t>
      </w:r>
    </w:p>
    <w:p>
      <w:pPr>
        <w:spacing w:after="0" w:line="14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nine months ended September 30, 2020, net cash used by investing activities totaled $10,377 compared to $40,186 a year ago. In 2020, the initial cash installment payment for Westminster was $703 more than the cash and cash equivalents received in the acquisition. Both the current and prior year reflect the impact of investing excess cash generated from operations into longer term investments, partially offset by sales and maturities of fixed income securities.</w:t>
      </w:r>
    </w:p>
    <w:p>
      <w:pPr>
        <w:spacing w:after="0" w:line="160"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For the nine months ended September 30, 2020, net cash used by financing activities totaled $11,394 compared to $2,025 a year ago. The Company repurchased shares of its own common stock for $11,363 and $2,006 during 2020 and 2019, respectively.</w:t>
      </w:r>
    </w:p>
    <w:p>
      <w:pPr>
        <w:spacing w:after="0" w:line="13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a standalone entity, and outside of the net proceeds from the initial public offering, NI Holdings’ principal source of long-term liquidity will be dividend payments from its directly-owned subsidiaries.</w:t>
      </w:r>
    </w:p>
    <w:p>
      <w:pPr>
        <w:spacing w:after="0" w:line="15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amount available for payment of dividends from Nodak Insurance to us during 2020 without the prior approval of the North Dakota Insurance Department is approximately $18,984 based upon the policyholders’ surplus of Nodak Insurance at December 31, 2019.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The Nodak Insurance Board of Directors declared a $6,000 dividend during the nine months ended September 30, 2020, to be paid to NI Holdings in the fourth quarter of 2020. No dividends were declared or paid by Nodak Insurance during the year ended December 31, 2019.</w:t>
      </w:r>
    </w:p>
    <w:p>
      <w:pPr>
        <w:sectPr>
          <w:pgSz w:w="11900" w:h="16838" w:orient="portrait"/>
          <w:cols w:equalWidth="0" w:num="1">
            <w:col w:w="11240"/>
          </w:cols>
          <w:pgMar w:left="320" w:top="125" w:right="33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Direct Auto is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amount available for payment of dividends from Direct Auto to NI Holdings during 2020 without the prior approval of the Illinois Department of Insurance is $6,881 based upon the policyholders’ surplus of Direct Auto at December 31, 2019.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nine months ended September 30, 2020 or the year ended December 31, 2019.</w:t>
      </w:r>
    </w:p>
    <w:p>
      <w:pPr>
        <w:spacing w:after="0" w:line="15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2020 without the prior approval of the Maryland Insurance Administration is $636 based upon the statutory net investment income of Westminster for the year ended December 31, 2019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nine months ended September 30,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discussion of recent accounting pronouncements, see Note 5 to the Unaudited Consolidated Financial Statements, included elsewhere in this Form 10-Q.</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02"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Company’s assessment of market risk as of September 30, 2020 indicates there have been no material changes in the quantitative and qualitative disclosures from those in our Annual Report on Form 10-K for the year ended December 31, 2019 filed with the SEC.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1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Exchange Act Rules 240.13a-15(b) and 15d-15(a)) as of September 30, 2020. Based on that evaluation, the Chief Executive Officer and Chief Financial Officer have concluded that the Company’s current disclosure controls and procedures are effective.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21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September 30, 2020, to which this report relates that have materially affected, or are reasonably likely to materially affect the Company’s internal control over financial reporting.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0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1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For a discussion of the Company’s potential risk or uncertainties, please see “Part 1 – Item 1A – Risk Factors” and “Part II – Item 7 – Management’s Discussion and Analysis of Financial Condition and Results of Operations” in the Company’s 2019 Annual Report filed with the SEC, and “Part 1 – Item 2 – Management’s Discussion and Analysis of Financial Condition and Results of Operations” herein, in each case as updated by the Company’s periodic filings with the SEC. Other than as described below, there have been no material changes to the risk factors disclosed in Part I – Item 1A of the Company’s 2019 Annual Report.</w:t>
      </w:r>
    </w:p>
    <w:p>
      <w:pPr>
        <w:spacing w:after="0" w:line="17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The impact of COVID-19 and responses thereto, and related risks, could materially affect our results of operations, financial position, and/or liquidity.</w:t>
      </w:r>
    </w:p>
    <w:p>
      <w:pPr>
        <w:spacing w:after="0" w:line="13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Beginning in March 2020, the global pandemic related to novel coronavirus COVID-19 began to impact the global and U.S. economy. The extent of this pandemic continues to evolve, thus the extent of the direct and indirect impacts of COVID-19 are not yet known and may not emerge for some time. We have experienced a decrease in premiums in our non-standard auto segment due to the COVID-19 pandemic, which has negatively impacted policy counts in our auto segments across all states. We expect that premiums may decrease in these segments as individuals and businesses reduce travel and seek to limit expenses, including the cost of insurance.</w:t>
      </w:r>
    </w:p>
    <w:p>
      <w:pPr>
        <w:spacing w:after="0" w:line="174"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Federal, state, and local government actions to address and contain the impact of COVID-19 may adversely affect us. Regulatory restrictions or requirements could impact pricing, risk selection, and our rights and obligations with respect to our policies and insureds, including our ability to cancel policies or our right to collect premiums. At least one state regulator has issued an order requiring insurers to issue premium refunds, and regulators in other states could take similar actions. It is also possible that changes in economic conditions and steps taken by federal, state, and local governments in response to COVID-19 could require an increase in taxes at the federal, state, and local levels, which would adversely impact our results of operations.</w:t>
      </w:r>
    </w:p>
    <w:p>
      <w:pPr>
        <w:spacing w:after="0" w:line="1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disruption in the financial markets related to COVID-19 has contributed to net unrealized investment losses, due to the impact of changes in fair value on our equity investment portfolio. Our corporate fixed income portfolio may be adversely impacted by ratings downgrades, increased bankruptcies, and credit spread widening in distressed industries. In addition, many state and local governments may be operating under deficits or projected deficits. These deficits may be exacerbated by the costs of responding to COVID-19 and reduced tax revenues due to adverse economic conditions. The severity and duration of these deficits could have an adverse impact on the collectability and valuation of our municipal bond portfolio. Our investment portfolio also includes residential and commercial mortgage-backed securities, which could be adversely impacted by declines in real estate valuations and/or financial market disruption, including a heightened collection risk on the underlying mortgages. Further disruptions in global financial markets due to the continuing impact of COVID-19 could result in additional net realized and unrealized investment losses. In addition, declines in fixed income yields would result in decreases in net investment income from future investment activity, including re-investments.</w:t>
      </w:r>
    </w:p>
    <w:p>
      <w:pPr>
        <w:spacing w:after="0" w:line="13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expect that the impact of COVID-19 on general economic activity may continue to negatively impact our premium volumes. We have experienced this impact in the first nine months of 2020 and this impact may further persist for the remainder of 2020, but the degree of the impact will depend on the extent and duration of the economic contraction. As a result of the anticipated impact of the pandemic on our earned premiums, our underwriting expense ratio may increase in the near term.</w:t>
      </w:r>
    </w:p>
    <w:p>
      <w:pPr>
        <w:spacing w:after="0" w:line="17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It is possible that changes in economic conditions and steps taken by the federal government and the Federal Reserve in response to COVID-19 could lead to higher inflation than we had anticipated, which could in turn lead to an increase in our loss costs and the need to strengthen claims and claim adjustment expense reserves. These impacts of inflation on loss costs and claims and claim adjustment expense reserves could be more pronounced for those lines of business that require a relatively longer period of time to finalize and settle claims for a given accident year and, accordingly, are relatively more inflation sensitive. Inflation could also adversely impact our general and administrative expenses. Changes in interest rates caused by inflation affect the carrying value of our fixed maturity investments and returns on our fixed maturity and short-term investments. An increase in interest rates reduces the market value of existing fixed maturity investments, thereby negatively impacting our book value.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 Auto was acquired on August 31, 2018 with $17,000 of the net proceeds from the initial public offering.</w:t>
      </w:r>
    </w:p>
    <w:p>
      <w:pPr>
        <w:spacing w:after="0" w:line="21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Westminster was acquired on January 1, 2020 for a purchase price of $40,000, subject to certain adjustments. The Company paid $20,000 from the net proceeds from the initial public offering at time of closing. The Company will pay the remaining $20,000, subject to certain adjustments, in three equal installments on each of the first and second anniversaries of the closing, and on the first business day of the month preceding the third anniversary of the closing. The Company anticipates using the net proceeds from the initial public offering to satisfy these obligations.</w:t>
      </w:r>
    </w:p>
    <w:p>
      <w:pPr>
        <w:spacing w:after="0" w:line="144"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From time to time, the Company may also repurchase its own stock. These repurchases may be used to satisfy its obligations under the equity incentive plans or may be done for other reasons. To date, the Company has used the net proceeds from the initial public offering to fund these buyback programs.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 on January 17, 2017.</w:t>
      </w:r>
    </w:p>
    <w:p>
      <w:pPr>
        <w:spacing w:after="0" w:line="15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6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May 4, 2020, our Board of Directors approved an additional authorization for the repurchase of up to approximately $10,000 of the Company’s outstanding common stock. During the nine months ended September 30, 2020, we completed the repurchase of 402,687 shares of our common stock for $6,367 under this new authorization.</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total during the nine months ended September 30, 2020, we completed the repurchase of 804,743 shares of our common stock for $11,363. The repurchases made in the three months ended September 30, 2020 are described below.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Maximum Dollar Value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Shares Purchased</w:t>
            </w:r>
          </w:p>
        </w:tc>
        <w:tc>
          <w:tcPr>
            <w:tcW w:w="14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of Shares That May Yet</w:t>
            </w:r>
          </w:p>
        </w:tc>
      </w:tr>
      <w:tr>
        <w:trPr>
          <w:trHeight w:val="217"/>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Total Number of</w:t>
            </w:r>
          </w:p>
        </w:tc>
        <w:tc>
          <w:tcPr>
            <w:tcW w:w="1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Average Price</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Part of Publicly</w:t>
            </w:r>
          </w:p>
        </w:tc>
        <w:tc>
          <w:tcPr>
            <w:tcW w:w="14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Be Purchased Under the</w:t>
            </w:r>
          </w:p>
        </w:tc>
      </w:tr>
      <w:tr>
        <w:trPr>
          <w:trHeight w:val="219"/>
        </w:trPr>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Paid</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 Plans</w:t>
            </w:r>
          </w:p>
        </w:tc>
        <w:tc>
          <w:tcPr>
            <w:tcW w:w="140" w:type="dxa"/>
            <w:vAlign w:val="bottom"/>
          </w:tcPr>
          <w:p>
            <w:pPr>
              <w:spacing w:after="0"/>
              <w:rPr>
                <w:sz w:val="19"/>
                <w:szCs w:val="19"/>
                <w:color w:val="auto"/>
              </w:rPr>
            </w:pPr>
          </w:p>
        </w:tc>
        <w:tc>
          <w:tcPr>
            <w:tcW w:w="2100" w:type="dxa"/>
            <w:vAlign w:val="bottom"/>
            <w:gridSpan w:val="2"/>
          </w:tcPr>
          <w:p>
            <w:pPr>
              <w:jc w:val="center"/>
              <w:ind w:right="280"/>
              <w:spacing w:after="0" w:line="218"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(1)</w:t>
            </w:r>
          </w:p>
        </w:tc>
      </w:tr>
      <w:tr>
        <w:trPr>
          <w:trHeight w:val="267"/>
        </w:trPr>
        <w:tc>
          <w:tcPr>
            <w:tcW w:w="3500" w:type="dxa"/>
            <w:vAlign w:val="bottom"/>
          </w:tcPr>
          <w:p>
            <w:pPr>
              <w:ind w:left="1220"/>
              <w:spacing w:after="0"/>
              <w:rPr>
                <w:sz w:val="20"/>
                <w:szCs w:val="20"/>
                <w:color w:val="auto"/>
              </w:rPr>
            </w:pPr>
            <w:r>
              <w:rPr>
                <w:rFonts w:ascii="Arial" w:cs="Arial" w:eastAsia="Arial" w:hAnsi="Arial"/>
                <w:sz w:val="18"/>
                <w:szCs w:val="18"/>
                <w:color w:val="auto"/>
              </w:rPr>
              <w:t>Period in 2020</w:t>
            </w:r>
          </w:p>
        </w:tc>
        <w:tc>
          <w:tcPr>
            <w:tcW w:w="120" w:type="dxa"/>
            <w:vAlign w:val="bottom"/>
          </w:tcPr>
          <w:p>
            <w:pPr>
              <w:spacing w:after="0"/>
              <w:rPr>
                <w:sz w:val="23"/>
                <w:szCs w:val="23"/>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3"/>
                <w:szCs w:val="2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Per Share</w:t>
            </w:r>
          </w:p>
        </w:tc>
        <w:tc>
          <w:tcPr>
            <w:tcW w:w="2000" w:type="dxa"/>
            <w:vAlign w:val="bottom"/>
            <w:gridSpan w:val="2"/>
          </w:tcPr>
          <w:p>
            <w:pPr>
              <w:jc w:val="center"/>
              <w:ind w:right="220"/>
              <w:spacing w:after="0" w:line="267" w:lineRule="exact"/>
              <w:rPr>
                <w:sz w:val="20"/>
                <w:szCs w:val="20"/>
                <w:color w:val="auto"/>
              </w:rPr>
            </w:pPr>
            <w:r>
              <w:rPr>
                <w:rFonts w:ascii="Arial" w:cs="Arial" w:eastAsia="Arial" w:hAnsi="Arial"/>
                <w:sz w:val="18"/>
                <w:szCs w:val="18"/>
                <w:color w:val="auto"/>
                <w:w w:val="86"/>
              </w:rPr>
              <w:t xml:space="preserve">or Programs </w:t>
            </w:r>
            <w:r>
              <w:rPr>
                <w:rFonts w:ascii="Arial" w:cs="Arial" w:eastAsia="Arial" w:hAnsi="Arial"/>
                <w:sz w:val="29"/>
                <w:szCs w:val="29"/>
                <w:color w:val="auto"/>
                <w:w w:val="86"/>
                <w:vertAlign w:val="superscript"/>
              </w:rPr>
              <w:t>(1)</w:t>
            </w:r>
          </w:p>
        </w:tc>
        <w:tc>
          <w:tcPr>
            <w:tcW w:w="140" w:type="dxa"/>
            <w:vAlign w:val="bottom"/>
          </w:tcPr>
          <w:p>
            <w:pPr>
              <w:spacing w:after="0"/>
              <w:rPr>
                <w:sz w:val="23"/>
                <w:szCs w:val="23"/>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 thousands)</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1-31, 2020</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159,100</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2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159,100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2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August 1-31, 2020</w:t>
            </w:r>
          </w:p>
        </w:tc>
        <w:tc>
          <w:tcPr>
            <w:tcW w:w="1820" w:type="dxa"/>
            <w:vAlign w:val="bottom"/>
            <w:gridSpan w:val="3"/>
          </w:tcPr>
          <w:p>
            <w:pPr>
              <w:jc w:val="right"/>
              <w:ind w:right="240"/>
              <w:spacing w:after="0"/>
              <w:rPr>
                <w:sz w:val="20"/>
                <w:szCs w:val="20"/>
                <w:color w:val="auto"/>
              </w:rPr>
            </w:pPr>
            <w:r>
              <w:rPr>
                <w:rFonts w:ascii="Arial" w:cs="Arial" w:eastAsia="Arial" w:hAnsi="Arial"/>
                <w:sz w:val="18"/>
                <w:szCs w:val="18"/>
                <w:color w:val="auto"/>
              </w:rPr>
              <w:t>64,620</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16.73</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64,620</w:t>
            </w:r>
          </w:p>
        </w:tc>
        <w:tc>
          <w:tcPr>
            <w:tcW w:w="14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4,615</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September 1-30, 2020</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61,425</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61,425</w:t>
            </w: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3,633</w:t>
            </w: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350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285,145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16.06</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285,145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3,633</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right="180" w:hanging="447"/>
        <w:spacing w:after="0" w:line="277" w:lineRule="auto"/>
        <w:tabs>
          <w:tab w:leader="none" w:pos="800" w:val="left"/>
        </w:tabs>
        <w:numPr>
          <w:ilvl w:val="0"/>
          <w:numId w:val="34"/>
        </w:numPr>
        <w:rPr>
          <w:rFonts w:ascii="Arial" w:cs="Arial" w:eastAsia="Arial" w:hAnsi="Arial"/>
          <w:sz w:val="18"/>
          <w:szCs w:val="18"/>
          <w:color w:val="auto"/>
          <w:vertAlign w:val="superscript"/>
        </w:rPr>
      </w:pPr>
      <w:r>
        <w:rPr>
          <w:rFonts w:ascii="Arial" w:cs="Arial" w:eastAsia="Arial" w:hAnsi="Arial"/>
          <w:sz w:val="18"/>
          <w:szCs w:val="18"/>
          <w:color w:val="auto"/>
        </w:rPr>
        <w:t>Shares purchased pursuant to the May 4, 2020 publicly announced share repurchase authorization, which was for up to approximately $10,000 of the Company’s outstanding common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49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Item 6. - Exhibits</w:t>
            </w:r>
          </w:p>
        </w:tc>
        <w:tc>
          <w:tcPr>
            <w:tcW w:w="49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3"/>
        </w:trPr>
        <w:tc>
          <w:tcPr>
            <w:tcW w:w="15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3"/>
              </w:rPr>
              <w:t>Exhibit</w:t>
            </w:r>
          </w:p>
        </w:tc>
        <w:tc>
          <w:tcPr>
            <w:tcW w:w="49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5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4"/>
              </w:rPr>
              <w:t>Number</w:t>
            </w:r>
          </w:p>
        </w:tc>
        <w:tc>
          <w:tcPr>
            <w:tcW w:w="9660" w:type="dxa"/>
            <w:vAlign w:val="bottom"/>
            <w:gridSpan w:val="6"/>
          </w:tcPr>
          <w:p>
            <w:pPr>
              <w:ind w:left="43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8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780" w:type="dxa"/>
            <w:vAlign w:val="bottom"/>
          </w:tcPr>
          <w:p>
            <w:pPr>
              <w:spacing w:after="0"/>
              <w:rPr>
                <w:sz w:val="14"/>
                <w:szCs w:val="14"/>
                <w:color w:val="auto"/>
              </w:rPr>
            </w:pPr>
          </w:p>
        </w:tc>
        <w:tc>
          <w:tcPr>
            <w:tcW w:w="9660" w:type="dxa"/>
            <w:vAlign w:val="bottom"/>
            <w:tcBorders>
              <w:top w:val="single" w:sz="8" w:color="auto"/>
            </w:tcBorders>
            <w:gridSpan w:val="6"/>
          </w:tcPr>
          <w:p>
            <w:pPr>
              <w:spacing w:after="0" w:line="169" w:lineRule="exact"/>
              <w:rPr>
                <w:rFonts w:ascii="Arial" w:cs="Arial" w:eastAsia="Arial" w:hAnsi="Arial"/>
                <w:sz w:val="18"/>
                <w:szCs w:val="18"/>
                <w:color w:val="0000EE"/>
                <w:w w:val="91"/>
              </w:rPr>
            </w:pPr>
            <w:hyperlink w:anchor="page76">
              <w:r>
                <w:rPr>
                  <w:rFonts w:ascii="Arial" w:cs="Arial" w:eastAsia="Arial" w:hAnsi="Arial"/>
                  <w:sz w:val="18"/>
                  <w:szCs w:val="18"/>
                  <w:u w:val="single" w:color="auto"/>
                  <w:color w:val="0000EE"/>
                  <w:w w:val="91"/>
                </w:rPr>
                <w:t>Certification of Principal Executive Officer Pursuant to Rules 13a-14(a) and 15d-14(a) under the Securities Exchange Act</w:t>
              </w:r>
              <w:r>
                <w:rPr>
                  <w:rFonts w:ascii="Arial" w:cs="Arial" w:eastAsia="Arial" w:hAnsi="Arial"/>
                  <w:sz w:val="18"/>
                  <w:szCs w:val="18"/>
                  <w:color w:val="0000EE"/>
                  <w:w w:val="91"/>
                </w:rPr>
                <w:t xml:space="preserve"> of 1934, as</w:t>
              </w:r>
            </w:hyperlink>
          </w:p>
        </w:tc>
      </w:tr>
      <w:tr>
        <w:trPr>
          <w:trHeight w:val="196"/>
        </w:trPr>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Adopted Pursuant to Section 302 of the Sarbanes-Oxley Act of 2002.</w:t>
              </w:r>
            </w:hyperlink>
          </w:p>
        </w:tc>
        <w:tc>
          <w:tcPr>
            <w:tcW w:w="3840" w:type="dxa"/>
            <w:vAlign w:val="bottom"/>
            <w:gridSpan w:val="2"/>
          </w:tcPr>
          <w:p>
            <w:pPr>
              <w:spacing w:after="0"/>
              <w:rPr>
                <w:sz w:val="17"/>
                <w:szCs w:val="17"/>
                <w:color w:val="auto"/>
              </w:rPr>
            </w:pPr>
          </w:p>
        </w:tc>
        <w:tc>
          <w:tcPr>
            <w:tcW w:w="78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780" w:type="dxa"/>
            <w:vAlign w:val="bottom"/>
          </w:tcPr>
          <w:p>
            <w:pPr>
              <w:spacing w:after="0"/>
              <w:rPr>
                <w:sz w:val="24"/>
                <w:szCs w:val="24"/>
                <w:color w:val="auto"/>
              </w:rPr>
            </w:pPr>
          </w:p>
        </w:tc>
        <w:tc>
          <w:tcPr>
            <w:tcW w:w="9660" w:type="dxa"/>
            <w:vAlign w:val="bottom"/>
            <w:gridSpan w:val="6"/>
          </w:tcPr>
          <w:p>
            <w:pPr>
              <w:spacing w:after="0"/>
              <w:rPr>
                <w:rFonts w:ascii="Arial" w:cs="Arial" w:eastAsia="Arial" w:hAnsi="Arial"/>
                <w:sz w:val="18"/>
                <w:szCs w:val="18"/>
                <w:color w:val="0000EE"/>
                <w:w w:val="91"/>
              </w:rPr>
            </w:pPr>
            <w:hyperlink w:anchor="page77">
              <w:r>
                <w:rPr>
                  <w:rFonts w:ascii="Arial" w:cs="Arial" w:eastAsia="Arial" w:hAnsi="Arial"/>
                  <w:sz w:val="18"/>
                  <w:szCs w:val="18"/>
                  <w:u w:val="single" w:color="auto"/>
                  <w:color w:val="0000EE"/>
                  <w:w w:val="91"/>
                </w:rPr>
                <w:t>Certification of Principal Financial Officer Pursuant to Rules 13a-14(a) and 15d-14(a) under the Securities Exchange Act</w:t>
              </w:r>
              <w:r>
                <w:rPr>
                  <w:rFonts w:ascii="Arial" w:cs="Arial" w:eastAsia="Arial" w:hAnsi="Arial"/>
                  <w:sz w:val="18"/>
                  <w:szCs w:val="18"/>
                  <w:color w:val="0000EE"/>
                  <w:w w:val="91"/>
                </w:rPr>
                <w:t xml:space="preserve"> of 1934, as</w:t>
              </w:r>
            </w:hyperlink>
          </w:p>
        </w:tc>
      </w:tr>
      <w:tr>
        <w:trPr>
          <w:trHeight w:val="196"/>
        </w:trPr>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Adopted Pursuant to Section 302 of the Sarbanes-Oxley Act of 2002.</w:t>
              </w:r>
            </w:hyperlink>
          </w:p>
        </w:tc>
        <w:tc>
          <w:tcPr>
            <w:tcW w:w="3780" w:type="dxa"/>
            <w:vAlign w:val="bottom"/>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bl>
    <w:p>
      <w:pPr>
        <w:spacing w:after="0" w:line="188" w:lineRule="exact"/>
        <w:rPr>
          <w:sz w:val="20"/>
          <w:szCs w:val="20"/>
          <w:color w:val="auto"/>
        </w:rPr>
      </w:pPr>
    </w:p>
    <w:p>
      <w:pPr>
        <w:ind w:left="1580" w:right="160" w:hanging="1271"/>
        <w:spacing w:after="0" w:line="277" w:lineRule="auto"/>
        <w:tabs>
          <w:tab w:leader="none" w:pos="1580" w:val="left"/>
        </w:tabs>
        <w:numPr>
          <w:ilvl w:val="0"/>
          <w:numId w:val="35"/>
        </w:numPr>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Certification of Principal Executive Officer and Principal Financial Officer pursuant to 18 U.S.C. Section 1350, as adopted pursuant</w:t>
        </w:r>
      </w:hyperlink>
      <w:r>
        <w:rPr>
          <w:rFonts w:ascii="Arial" w:cs="Arial" w:eastAsia="Arial" w:hAnsi="Arial"/>
          <w:sz w:val="18"/>
          <w:szCs w:val="18"/>
          <w:u w:val="single" w:color="auto"/>
          <w:color w:val="0000EE"/>
        </w:rPr>
        <w:t xml:space="preserve"> </w:t>
      </w:r>
      <w:hyperlink w:anchor="page78">
        <w:r>
          <w:rPr>
            <w:rFonts w:ascii="Arial" w:cs="Arial" w:eastAsia="Arial" w:hAnsi="Arial"/>
            <w:sz w:val="18"/>
            <w:szCs w:val="18"/>
            <w:u w:val="single" w:color="auto"/>
            <w:color w:val="0000EE"/>
          </w:rPr>
          <w:t>to Section 906 of the Sarbanes-Oxley Act of 2002.</w:t>
        </w:r>
      </w:hyperlink>
    </w:p>
    <w:p>
      <w:pPr>
        <w:spacing w:after="0" w:line="130" w:lineRule="exact"/>
        <w:rPr>
          <w:rFonts w:ascii="Arial" w:cs="Arial" w:eastAsia="Arial" w:hAnsi="Arial"/>
          <w:sz w:val="18"/>
          <w:szCs w:val="18"/>
          <w:color w:val="auto"/>
        </w:rPr>
      </w:pPr>
    </w:p>
    <w:tbl>
      <w:tblPr>
        <w:tblLayout w:type="fixed"/>
        <w:tblInd w:w="60" w:type="dxa"/>
        <w:tblCellMar>
          <w:top w:w="0" w:type="dxa"/>
          <w:left w:w="0" w:type="dxa"/>
          <w:bottom w:w="0" w:type="dxa"/>
          <w:right w:w="0" w:type="dxa"/>
        </w:tblCellMar>
      </w:tblPr>
      <w:tr>
        <w:trPr>
          <w:trHeight w:val="216"/>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2"/>
              </w:rPr>
              <w:t>101.INS</w:t>
            </w:r>
          </w:p>
        </w:tc>
        <w:tc>
          <w:tcPr>
            <w:tcW w:w="9680" w:type="dxa"/>
            <w:vAlign w:val="bottom"/>
          </w:tcPr>
          <w:p>
            <w:pPr>
              <w:ind w:left="4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w:t>
            </w:r>
          </w:p>
        </w:tc>
      </w:tr>
      <w:tr>
        <w:trPr>
          <w:trHeight w:val="230"/>
        </w:trPr>
        <w:tc>
          <w:tcPr>
            <w:tcW w:w="1100" w:type="dxa"/>
            <w:vAlign w:val="bottom"/>
          </w:tcPr>
          <w:p>
            <w:pPr>
              <w:spacing w:after="0"/>
              <w:rPr>
                <w:sz w:val="20"/>
                <w:szCs w:val="20"/>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embedded within the Inline XBRL document.</w:t>
            </w:r>
          </w:p>
        </w:tc>
      </w:tr>
      <w:tr>
        <w:trPr>
          <w:trHeight w:val="391"/>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3"/>
              </w:rPr>
              <w:t>101.SCH</w:t>
            </w:r>
          </w:p>
        </w:tc>
        <w:tc>
          <w:tcPr>
            <w:tcW w:w="9680" w:type="dxa"/>
            <w:vAlign w:val="bottom"/>
          </w:tcPr>
          <w:p>
            <w:pPr>
              <w:ind w:left="420"/>
              <w:spacing w:after="0"/>
              <w:rPr>
                <w:sz w:val="20"/>
                <w:szCs w:val="20"/>
                <w:color w:val="auto"/>
              </w:rPr>
            </w:pPr>
            <w:r>
              <w:rPr>
                <w:rFonts w:ascii="Arial" w:cs="Arial" w:eastAsia="Arial" w:hAnsi="Arial"/>
                <w:sz w:val="18"/>
                <w:szCs w:val="18"/>
                <w:color w:val="auto"/>
              </w:rPr>
              <w:t>Inline XBRL Taxonomy Extension Schema Linkbase Document</w:t>
            </w:r>
          </w:p>
        </w:tc>
      </w:tr>
      <w:tr>
        <w:trPr>
          <w:trHeight w:val="392"/>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7"/>
              </w:rPr>
              <w:t>101.CAL</w:t>
            </w:r>
          </w:p>
        </w:tc>
        <w:tc>
          <w:tcPr>
            <w:tcW w:w="9680" w:type="dxa"/>
            <w:vAlign w:val="bottom"/>
          </w:tcPr>
          <w:p>
            <w:pPr>
              <w:ind w:left="4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0"/>
              </w:rPr>
              <w:t>101.DEF</w:t>
            </w:r>
          </w:p>
        </w:tc>
        <w:tc>
          <w:tcPr>
            <w:tcW w:w="9680" w:type="dxa"/>
            <w:vAlign w:val="bottom"/>
          </w:tcPr>
          <w:p>
            <w:pPr>
              <w:ind w:left="4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8"/>
              </w:rPr>
              <w:t>101.LAB</w:t>
            </w:r>
          </w:p>
        </w:tc>
        <w:tc>
          <w:tcPr>
            <w:tcW w:w="9680" w:type="dxa"/>
            <w:vAlign w:val="bottom"/>
          </w:tcPr>
          <w:p>
            <w:pPr>
              <w:ind w:left="4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101.PRE</w:t>
            </w:r>
          </w:p>
        </w:tc>
        <w:tc>
          <w:tcPr>
            <w:tcW w:w="9680" w:type="dxa"/>
            <w:vAlign w:val="bottom"/>
          </w:tcPr>
          <w:p>
            <w:pPr>
              <w:ind w:left="4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rFonts w:ascii="Arial" w:cs="Arial" w:eastAsia="Arial" w:hAnsi="Arial"/>
          <w:sz w:val="18"/>
          <w:szCs w:val="18"/>
          <w:color w:val="auto"/>
        </w:rPr>
      </w:pPr>
    </w:p>
    <w:p>
      <w:pPr>
        <w:ind w:left="5540" w:right="3140" w:hanging="5276"/>
        <w:spacing w:after="0" w:line="481" w:lineRule="auto"/>
        <w:tabs>
          <w:tab w:leader="none" w:pos="1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72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4, 2020.</w:t>
      </w:r>
    </w:p>
    <w:p>
      <w:pPr>
        <w:spacing w:after="0" w:line="200" w:lineRule="exact"/>
        <w:rPr>
          <w:sz w:val="20"/>
          <w:szCs w:val="20"/>
          <w:color w:val="auto"/>
        </w:rPr>
      </w:pPr>
    </w:p>
    <w:p>
      <w:pPr>
        <w:spacing w:after="0" w:line="26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0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Brian R. Doom</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340"/>
          </w:cols>
          <w:pgMar w:left="320" w:top="125" w:right="1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98"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2140" w:hanging="836"/>
        <w:spacing w:after="0" w:line="311" w:lineRule="auto"/>
        <w:tabs>
          <w:tab w:leader="none" w:pos="2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2140" w:right="40" w:hanging="836"/>
        <w:spacing w:after="0" w:line="286" w:lineRule="auto"/>
        <w:tabs>
          <w:tab w:leader="none" w:pos="21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2140" w:right="120" w:hanging="836"/>
        <w:spacing w:after="0" w:line="263" w:lineRule="auto"/>
        <w:tabs>
          <w:tab w:leader="none" w:pos="2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140" w:right="140" w:hanging="836"/>
        <w:spacing w:after="0" w:line="311" w:lineRule="auto"/>
        <w:tabs>
          <w:tab w:leader="none" w:pos="2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2140" w:right="380" w:hanging="836"/>
        <w:spacing w:after="0" w:line="263" w:lineRule="auto"/>
        <w:tabs>
          <w:tab w:leader="none" w:pos="2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140" w:right="760" w:hanging="836"/>
        <w:spacing w:after="0" w:line="277" w:lineRule="auto"/>
        <w:tabs>
          <w:tab w:leader="none" w:pos="2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2160"/>
              <w:spacing w:after="0"/>
              <w:rPr>
                <w:sz w:val="20"/>
                <w:szCs w:val="20"/>
                <w:color w:val="auto"/>
              </w:rPr>
            </w:pPr>
            <w:r>
              <w:rPr>
                <w:rFonts w:ascii="Arial" w:cs="Arial" w:eastAsia="Arial" w:hAnsi="Arial"/>
                <w:sz w:val="18"/>
                <w:szCs w:val="18"/>
                <w:color w:val="auto"/>
              </w:rPr>
              <w:t>November 4, 2020</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3900" w:type="dxa"/>
            <w:vAlign w:val="bottom"/>
          </w:tcPr>
          <w:p>
            <w:pPr>
              <w:spacing w:after="0"/>
              <w:rPr>
                <w:sz w:val="20"/>
                <w:szCs w:val="20"/>
                <w:color w:val="auto"/>
              </w:rPr>
            </w:pPr>
          </w:p>
        </w:tc>
      </w:tr>
      <w:tr>
        <w:trPr>
          <w:trHeight w:val="195"/>
        </w:trPr>
        <w:tc>
          <w:tcPr>
            <w:tcW w:w="450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39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3"/>
              </w:rPr>
              <w:t>President and Chief Executive Officer</w:t>
            </w:r>
          </w:p>
        </w:tc>
        <w:tc>
          <w:tcPr>
            <w:tcW w:w="390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3900" w:type="dxa"/>
            <w:vAlign w:val="bottom"/>
          </w:tcPr>
          <w:p>
            <w:pPr>
              <w:spacing w:after="0"/>
              <w:rPr>
                <w:sz w:val="20"/>
                <w:szCs w:val="20"/>
                <w:color w:val="auto"/>
              </w:rPr>
            </w:pPr>
          </w:p>
        </w:tc>
      </w:tr>
      <w:tr>
        <w:trPr>
          <w:trHeight w:val="405"/>
        </w:trPr>
        <w:tc>
          <w:tcPr>
            <w:tcW w:w="4500" w:type="dxa"/>
            <w:vAlign w:val="bottom"/>
          </w:tcPr>
          <w:p>
            <w:pPr>
              <w:spacing w:after="0"/>
              <w:rPr>
                <w:sz w:val="24"/>
                <w:szCs w:val="24"/>
                <w:color w:val="auto"/>
              </w:rPr>
            </w:pPr>
          </w:p>
        </w:tc>
        <w:tc>
          <w:tcPr>
            <w:tcW w:w="2820" w:type="dxa"/>
            <w:vAlign w:val="bottom"/>
          </w:tcPr>
          <w:p>
            <w:pPr>
              <w:ind w:left="1040"/>
              <w:spacing w:after="0"/>
              <w:rPr>
                <w:sz w:val="20"/>
                <w:szCs w:val="20"/>
                <w:color w:val="auto"/>
              </w:rPr>
            </w:pPr>
            <w:r>
              <w:rPr>
                <w:rFonts w:ascii="Arial" w:cs="Arial" w:eastAsia="Arial" w:hAnsi="Arial"/>
                <w:sz w:val="18"/>
                <w:szCs w:val="18"/>
                <w:color w:val="auto"/>
              </w:rPr>
              <w:t>74</w:t>
            </w:r>
          </w:p>
        </w:tc>
        <w:tc>
          <w:tcPr>
            <w:tcW w:w="3900" w:type="dxa"/>
            <w:vAlign w:val="bottom"/>
          </w:tcPr>
          <w:p>
            <w:pPr>
              <w:spacing w:after="0"/>
              <w:rPr>
                <w:sz w:val="24"/>
                <w:szCs w:val="24"/>
                <w:color w:val="auto"/>
              </w:rPr>
            </w:pPr>
          </w:p>
        </w:tc>
      </w:tr>
      <w:tr>
        <w:trPr>
          <w:trHeight w:val="202"/>
        </w:trPr>
        <w:tc>
          <w:tcPr>
            <w:tcW w:w="4500" w:type="dxa"/>
            <w:vAlign w:val="bottom"/>
            <w:tcBorders>
              <w:bottom w:val="single" w:sz="8" w:color="EEEEEE"/>
            </w:tcBorders>
          </w:tcPr>
          <w:p>
            <w:pPr>
              <w:spacing w:after="0"/>
              <w:rPr>
                <w:sz w:val="17"/>
                <w:szCs w:val="17"/>
                <w:color w:val="auto"/>
              </w:rPr>
            </w:pPr>
          </w:p>
        </w:tc>
        <w:tc>
          <w:tcPr>
            <w:tcW w:w="2820" w:type="dxa"/>
            <w:vAlign w:val="bottom"/>
            <w:tcBorders>
              <w:bottom w:val="single" w:sz="8" w:color="EEEEEE"/>
            </w:tcBorders>
          </w:tcPr>
          <w:p>
            <w:pPr>
              <w:spacing w:after="0"/>
              <w:rPr>
                <w:sz w:val="17"/>
                <w:szCs w:val="17"/>
                <w:color w:val="auto"/>
              </w:rPr>
            </w:pPr>
          </w:p>
        </w:tc>
        <w:tc>
          <w:tcPr>
            <w:tcW w:w="390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Brian R. Doom, certify that:</w:t>
      </w:r>
    </w:p>
    <w:p>
      <w:pPr>
        <w:spacing w:after="0" w:line="198"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2140" w:hanging="836"/>
        <w:spacing w:after="0" w:line="311" w:lineRule="auto"/>
        <w:tabs>
          <w:tab w:leader="none" w:pos="2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2140" w:right="40" w:hanging="836"/>
        <w:spacing w:after="0" w:line="286" w:lineRule="auto"/>
        <w:tabs>
          <w:tab w:leader="none" w:pos="21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2140" w:right="120" w:hanging="836"/>
        <w:spacing w:after="0" w:line="263" w:lineRule="auto"/>
        <w:tabs>
          <w:tab w:leader="none" w:pos="2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140" w:right="140" w:hanging="836"/>
        <w:spacing w:after="0" w:line="311" w:lineRule="auto"/>
        <w:tabs>
          <w:tab w:leader="none" w:pos="2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2140" w:right="380" w:hanging="836"/>
        <w:spacing w:after="0" w:line="263" w:lineRule="auto"/>
        <w:tabs>
          <w:tab w:leader="none" w:pos="2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140" w:right="760" w:hanging="836"/>
        <w:spacing w:after="0" w:line="277" w:lineRule="auto"/>
        <w:tabs>
          <w:tab w:leader="none" w:pos="2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2160"/>
              <w:spacing w:after="0"/>
              <w:rPr>
                <w:sz w:val="20"/>
                <w:szCs w:val="20"/>
                <w:color w:val="auto"/>
              </w:rPr>
            </w:pPr>
            <w:r>
              <w:rPr>
                <w:rFonts w:ascii="Arial" w:cs="Arial" w:eastAsia="Arial" w:hAnsi="Arial"/>
                <w:sz w:val="18"/>
                <w:szCs w:val="18"/>
                <w:color w:val="auto"/>
              </w:rPr>
              <w:t>November 4, 2020</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3900" w:type="dxa"/>
            <w:vAlign w:val="bottom"/>
          </w:tcPr>
          <w:p>
            <w:pPr>
              <w:spacing w:after="0"/>
              <w:rPr>
                <w:sz w:val="20"/>
                <w:szCs w:val="20"/>
                <w:color w:val="auto"/>
              </w:rPr>
            </w:pPr>
          </w:p>
        </w:tc>
      </w:tr>
      <w:tr>
        <w:trPr>
          <w:trHeight w:val="195"/>
        </w:trPr>
        <w:tc>
          <w:tcPr>
            <w:tcW w:w="450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Brian R. Doom</w:t>
            </w:r>
          </w:p>
        </w:tc>
        <w:tc>
          <w:tcPr>
            <w:tcW w:w="39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90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3900" w:type="dxa"/>
            <w:vAlign w:val="bottom"/>
          </w:tcPr>
          <w:p>
            <w:pPr>
              <w:spacing w:after="0"/>
              <w:rPr>
                <w:sz w:val="20"/>
                <w:szCs w:val="20"/>
                <w:color w:val="auto"/>
              </w:rPr>
            </w:pPr>
          </w:p>
        </w:tc>
      </w:tr>
      <w:tr>
        <w:trPr>
          <w:trHeight w:val="405"/>
        </w:trPr>
        <w:tc>
          <w:tcPr>
            <w:tcW w:w="4500" w:type="dxa"/>
            <w:vAlign w:val="bottom"/>
          </w:tcPr>
          <w:p>
            <w:pPr>
              <w:spacing w:after="0"/>
              <w:rPr>
                <w:sz w:val="24"/>
                <w:szCs w:val="24"/>
                <w:color w:val="auto"/>
              </w:rPr>
            </w:pPr>
          </w:p>
        </w:tc>
        <w:tc>
          <w:tcPr>
            <w:tcW w:w="2820" w:type="dxa"/>
            <w:vAlign w:val="bottom"/>
          </w:tcPr>
          <w:p>
            <w:pPr>
              <w:ind w:left="1040"/>
              <w:spacing w:after="0"/>
              <w:rPr>
                <w:sz w:val="20"/>
                <w:szCs w:val="20"/>
                <w:color w:val="auto"/>
              </w:rPr>
            </w:pPr>
            <w:r>
              <w:rPr>
                <w:rFonts w:ascii="Arial" w:cs="Arial" w:eastAsia="Arial" w:hAnsi="Arial"/>
                <w:sz w:val="18"/>
                <w:szCs w:val="18"/>
                <w:color w:val="auto"/>
              </w:rPr>
              <w:t>75</w:t>
            </w:r>
          </w:p>
        </w:tc>
        <w:tc>
          <w:tcPr>
            <w:tcW w:w="3900" w:type="dxa"/>
            <w:vAlign w:val="bottom"/>
          </w:tcPr>
          <w:p>
            <w:pPr>
              <w:spacing w:after="0"/>
              <w:rPr>
                <w:sz w:val="24"/>
                <w:szCs w:val="24"/>
                <w:color w:val="auto"/>
              </w:rPr>
            </w:pPr>
          </w:p>
        </w:tc>
      </w:tr>
      <w:tr>
        <w:trPr>
          <w:trHeight w:val="202"/>
        </w:trPr>
        <w:tc>
          <w:tcPr>
            <w:tcW w:w="4500" w:type="dxa"/>
            <w:vAlign w:val="bottom"/>
            <w:tcBorders>
              <w:bottom w:val="single" w:sz="8" w:color="EEEEEE"/>
            </w:tcBorders>
          </w:tcPr>
          <w:p>
            <w:pPr>
              <w:spacing w:after="0"/>
              <w:rPr>
                <w:sz w:val="17"/>
                <w:szCs w:val="17"/>
                <w:color w:val="auto"/>
              </w:rPr>
            </w:pPr>
          </w:p>
        </w:tc>
        <w:tc>
          <w:tcPr>
            <w:tcW w:w="2820" w:type="dxa"/>
            <w:vAlign w:val="bottom"/>
            <w:tcBorders>
              <w:bottom w:val="single" w:sz="8" w:color="EEEEEE"/>
            </w:tcBorders>
          </w:tcPr>
          <w:p>
            <w:pPr>
              <w:spacing w:after="0"/>
              <w:rPr>
                <w:sz w:val="17"/>
                <w:szCs w:val="17"/>
                <w:color w:val="auto"/>
              </w:rPr>
            </w:pPr>
          </w:p>
        </w:tc>
        <w:tc>
          <w:tcPr>
            <w:tcW w:w="390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September 30, 2020,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60" w:lineRule="exact"/>
        <w:rPr>
          <w:sz w:val="20"/>
          <w:szCs w:val="20"/>
          <w:color w:val="auto"/>
        </w:rPr>
      </w:pPr>
    </w:p>
    <w:p>
      <w:pPr>
        <w:ind w:left="1020" w:hanging="36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364"/>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November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November 4,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4942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4942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R. Doom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126365</wp:posOffset>
            </wp:positionV>
            <wp:extent cx="713232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2">
        <w:col w:w="4340" w:space="720"/>
        <w:col w:w="618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2"/>
    </w:lvl>
  </w:abstractNum>
  <w:abstractNum w:abstractNumId="8">
    <w:nsid w:val="75A2A8D4"/>
    <w:multiLevelType w:val="hybridMultilevel"/>
    <w:lvl w:ilvl="0">
      <w:lvlJc w:val="left"/>
      <w:lvlText w:val="%1."/>
      <w:numFmt w:val="decimal"/>
      <w:start w:val="3"/>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1."/>
      <w:numFmt w:val="decimal"/>
      <w:start w:val="5"/>
    </w:lvl>
  </w:abstractNum>
  <w:abstractNum w:abstractNumId="11">
    <w:nsid w:val="4353D0CD"/>
    <w:multiLevelType w:val="hybridMultilevel"/>
    <w:lvl w:ilvl="0">
      <w:lvlJc w:val="left"/>
      <w:lvlText w:val="%1."/>
      <w:numFmt w:val="decimal"/>
      <w:start w:val="6"/>
    </w:lvl>
  </w:abstractNum>
  <w:abstractNum w:abstractNumId="12">
    <w:nsid w:val="B03E0C6"/>
    <w:multiLevelType w:val="hybridMultilevel"/>
    <w:lvl w:ilvl="0">
      <w:lvlJc w:val="left"/>
      <w:lvlText w:val="%1."/>
      <w:numFmt w:val="decimal"/>
      <w:start w:val="8"/>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1."/>
      <w:numFmt w:val="decimal"/>
      <w:start w:val="10"/>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2"/>
    </w:lvl>
  </w:abstractNum>
  <w:abstractNum w:abstractNumId="17">
    <w:nsid w:val="836C40E"/>
    <w:multiLevelType w:val="hybridMultilevel"/>
    <w:lvl w:ilvl="0">
      <w:lvlJc w:val="left"/>
      <w:lvlText w:val="%1."/>
      <w:numFmt w:val="decimal"/>
      <w:start w:val="13"/>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4"/>
    </w:lvl>
  </w:abstractNum>
  <w:abstractNum w:abstractNumId="20">
    <w:nsid w:val="8138641"/>
    <w:multiLevelType w:val="hybridMultilevel"/>
    <w:lvl w:ilvl="0">
      <w:lvlJc w:val="left"/>
      <w:lvlText w:val="%1."/>
      <w:numFmt w:val="decimal"/>
      <w:start w:val="15"/>
    </w:lvl>
  </w:abstractNum>
  <w:abstractNum w:abstractNumId="21">
    <w:nsid w:val="1E7FF521"/>
    <w:multiLevelType w:val="hybridMultilevel"/>
    <w:lvl w:ilvl="0">
      <w:lvlJc w:val="left"/>
      <w:lvlText w:val="%1."/>
      <w:numFmt w:val="decimal"/>
      <w:start w:val="16"/>
    </w:lvl>
  </w:abstractNum>
  <w:abstractNum w:abstractNumId="22">
    <w:nsid w:val="7C3DBD3D"/>
    <w:multiLevelType w:val="hybridMultilevel"/>
    <w:lvl w:ilvl="0">
      <w:lvlJc w:val="left"/>
      <w:lvlText w:val="%1."/>
      <w:numFmt w:val="decimal"/>
      <w:start w:val="17"/>
    </w:lvl>
  </w:abstractNum>
  <w:abstractNum w:abstractNumId="23">
    <w:nsid w:val="737B8DDC"/>
    <w:multiLevelType w:val="hybridMultilevel"/>
    <w:lvl w:ilvl="0">
      <w:lvlJc w:val="left"/>
      <w:lvlText w:val="%1."/>
      <w:numFmt w:val="decimal"/>
      <w:start w:val="18"/>
    </w:lvl>
  </w:abstractNum>
  <w:abstractNum w:abstractNumId="24">
    <w:nsid w:val="6CEAF087"/>
    <w:multiLevelType w:val="hybridMultilevel"/>
    <w:lvl w:ilvl="0">
      <w:lvlJc w:val="left"/>
      <w:lvlText w:val="%1."/>
      <w:numFmt w:val="decimal"/>
      <w:start w:val="19"/>
    </w:lvl>
  </w:abstractNum>
  <w:abstractNum w:abstractNumId="25">
    <w:nsid w:val="22221A70"/>
    <w:multiLevelType w:val="hybridMultilevel"/>
    <w:lvl w:ilvl="0">
      <w:lvlJc w:val="left"/>
      <w:lvlText w:val="%1."/>
      <w:numFmt w:val="decimal"/>
      <w:start w:val="20"/>
    </w:lvl>
  </w:abstractNum>
  <w:abstractNum w:abstractNumId="26">
    <w:nsid w:val="4516DDE9"/>
    <w:multiLevelType w:val="hybridMultilevel"/>
    <w:lvl w:ilvl="0">
      <w:lvlJc w:val="left"/>
      <w:lvlText w:val="%1."/>
      <w:numFmt w:val="decimal"/>
      <w:start w:val="21"/>
    </w:lvl>
  </w:abstractNum>
  <w:abstractNum w:abstractNumId="27">
    <w:nsid w:val="3006C83E"/>
    <w:multiLevelType w:val="hybridMultilevel"/>
    <w:lvl w:ilvl="0">
      <w:lvlJc w:val="left"/>
      <w:lvlText w:val="%1."/>
      <w:numFmt w:val="decimal"/>
      <w:start w:val="22"/>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23"/>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32"/>
    </w:lvl>
  </w:abstractNum>
  <w:abstractNum w:abstractNumId="35">
    <w:nsid w:val="7724C67E"/>
    <w:multiLevelType w:val="hybridMultilevel"/>
    <w:lvl w:ilvl="0">
      <w:lvlJc w:val="left"/>
      <w:lvlText w:val="%1"/>
      <w:numFmt w:val="decimal"/>
      <w:start w:val="104"/>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2020-11-04T15:27:34Z</dcterms:created>
  <dcterms:modified xsi:type="dcterms:W3CDTF">2020-11-04T15:27:34Z</dcterms:modified>
</cp:coreProperties>
</file>