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Aasmundstad Eric 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1101 FIRST AVENUE NORTH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NI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NODK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FARGO</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ND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58102</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5,015</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00"/>
              <w:spacing w:after="0" w:line="320" w:lineRule="exact"/>
              <w:rPr>
                <w:sz w:val="20"/>
                <w:szCs w:val="20"/>
                <w:color w:val="auto"/>
              </w:rPr>
            </w:pPr>
            <w:r>
              <w:rPr>
                <w:rFonts w:ascii="Times New Roman" w:cs="Times New Roman" w:eastAsia="Times New Roman" w:hAnsi="Times New Roman"/>
                <w:sz w:val="34"/>
                <w:szCs w:val="34"/>
                <w:color w:val="0000FF"/>
                <w:vertAlign w:val="subscript"/>
              </w:rPr>
              <w:t>41,153</w:t>
            </w:r>
            <w:r>
              <w:rPr>
                <w:rFonts w:ascii="Times New Roman" w:cs="Times New Roman" w:eastAsia="Times New Roman" w:hAnsi="Times New Roman"/>
                <w:sz w:val="11"/>
                <w:szCs w:val="11"/>
                <w:color w:val="008000"/>
              </w:rPr>
              <w:t>(2)(3)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38" w:orient="portrait"/>
          <w:cols w:equalWidth="0" w:num="1">
            <w:col w:w="11080"/>
          </w:cols>
          <w:pgMar w:left="460" w:top="219" w:right="359" w:bottom="1440" w:gutter="0" w:footer="0" w:header="0"/>
          <w:type w:val="continuous"/>
        </w:sectPr>
      </w:pP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represented by restricted stock units with time-based vesting and will be deferred until after separation from service.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restricted stock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include 17,639 restricted stock units that will be deferred until after separation from service.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List: 24.1 Power of Attorney</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Kevin Elfstrand,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38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60" w:space="1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1"/>
          <w:szCs w:val="21"/>
          <w:b w:val="1"/>
          <w:bCs w:val="1"/>
          <w:color w:val="auto"/>
        </w:rPr>
        <w:t>Exhibit 24.1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16</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1" w:lineRule="exact"/>
        <w:rPr>
          <w:sz w:val="20"/>
          <w:szCs w:val="20"/>
          <w:color w:val="auto"/>
        </w:rPr>
      </w:pPr>
    </w:p>
    <w:p>
      <w:pPr>
        <w:ind w:right="20" w:firstLine="640"/>
        <w:spacing w:after="0" w:line="276" w:lineRule="auto"/>
        <w:rPr>
          <w:sz w:val="20"/>
          <w:szCs w:val="20"/>
          <w:color w:val="auto"/>
        </w:rPr>
      </w:pPr>
      <w:r>
        <w:rPr>
          <w:rFonts w:ascii="Times New Roman" w:cs="Times New Roman" w:eastAsia="Times New Roman" w:hAnsi="Times New Roman"/>
          <w:sz w:val="18"/>
          <w:szCs w:val="18"/>
          <w:color w:val="auto"/>
        </w:rPr>
        <w:t>Know all by these presents that the undersigned hereby constitutes and appoints each of Cindy L. Launer, Matthew J. Maki, and Kevin Elfstrand, signing singly, the undersigned’s true and lawful attorney-in-fact to:</w:t>
      </w:r>
    </w:p>
    <w:p>
      <w:pPr>
        <w:spacing w:after="0" w:line="164" w:lineRule="exact"/>
        <w:rPr>
          <w:sz w:val="20"/>
          <w:szCs w:val="20"/>
          <w:color w:val="auto"/>
        </w:rPr>
      </w:pPr>
    </w:p>
    <w:p>
      <w:pPr>
        <w:ind w:left="960" w:right="240" w:hanging="314"/>
        <w:spacing w:after="0" w:line="25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(the “Exchange Act”) or any rule or regulation of the SEC;</w:t>
      </w:r>
    </w:p>
    <w:p>
      <w:pPr>
        <w:spacing w:after="0" w:line="182" w:lineRule="exact"/>
        <w:rPr>
          <w:rFonts w:ascii="Times New Roman" w:cs="Times New Roman" w:eastAsia="Times New Roman" w:hAnsi="Times New Roman"/>
          <w:sz w:val="18"/>
          <w:szCs w:val="18"/>
          <w:color w:val="auto"/>
        </w:rPr>
      </w:pPr>
    </w:p>
    <w:p>
      <w:pPr>
        <w:ind w:left="960" w:right="220" w:hanging="314"/>
        <w:spacing w:after="0" w:line="25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an officer and/or director of NI Holdings, Inc.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spacing w:after="0" w:line="182" w:lineRule="exact"/>
        <w:rPr>
          <w:rFonts w:ascii="Times New Roman" w:cs="Times New Roman" w:eastAsia="Times New Roman" w:hAnsi="Times New Roman"/>
          <w:sz w:val="18"/>
          <w:szCs w:val="18"/>
          <w:color w:val="auto"/>
        </w:rPr>
      </w:pPr>
    </w:p>
    <w:p>
      <w:pPr>
        <w:ind w:left="960" w:right="100" w:hanging="314"/>
        <w:spacing w:after="0" w:line="27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an officer of the Company, any Form 144 required to be filed by the undersigned under the Securities Act of 1933, as amended (the “Securities Act”), and Rule 144 promulgated thereunder;</w:t>
      </w:r>
    </w:p>
    <w:p>
      <w:pPr>
        <w:spacing w:after="0" w:line="163" w:lineRule="exact"/>
        <w:rPr>
          <w:rFonts w:ascii="Times New Roman" w:cs="Times New Roman" w:eastAsia="Times New Roman" w:hAnsi="Times New Roman"/>
          <w:sz w:val="18"/>
          <w:szCs w:val="18"/>
          <w:color w:val="auto"/>
        </w:rPr>
      </w:pPr>
    </w:p>
    <w:p>
      <w:pPr>
        <w:ind w:left="960" w:right="60" w:hanging="314"/>
        <w:spacing w:after="0" w:line="306" w:lineRule="auto"/>
        <w:tabs>
          <w:tab w:leader="none" w:pos="9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which may be necessary or desirable to complete and execute any such Form 3, 4, or 5, or other form or report, and timely file such form or report with the SEC and any stock exchange or similar authority; and</w:t>
      </w:r>
    </w:p>
    <w:p>
      <w:pPr>
        <w:spacing w:after="0" w:line="141" w:lineRule="exact"/>
        <w:rPr>
          <w:rFonts w:ascii="Times New Roman" w:cs="Times New Roman" w:eastAsia="Times New Roman" w:hAnsi="Times New Roman"/>
          <w:sz w:val="17"/>
          <w:szCs w:val="17"/>
          <w:color w:val="auto"/>
        </w:rPr>
      </w:pPr>
    </w:p>
    <w:p>
      <w:pPr>
        <w:ind w:left="960" w:right="100" w:hanging="314"/>
        <w:spacing w:after="0" w:line="25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3" w:lineRule="exact"/>
        <w:rPr>
          <w:sz w:val="20"/>
          <w:szCs w:val="20"/>
          <w:color w:val="auto"/>
        </w:rPr>
      </w:pPr>
    </w:p>
    <w:p>
      <w:pPr>
        <w:ind w:right="120" w:firstLine="640"/>
        <w:spacing w:after="0" w:line="270"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are not assuming, nor is the Company assuming, any of the undersigned’s responsibilities to comply with Section 16 of the Exchange Act.</w:t>
      </w:r>
    </w:p>
    <w:p>
      <w:pPr>
        <w:spacing w:after="0" w:line="173" w:lineRule="exact"/>
        <w:rPr>
          <w:sz w:val="20"/>
          <w:szCs w:val="20"/>
          <w:color w:val="auto"/>
        </w:rPr>
      </w:pPr>
    </w:p>
    <w:p>
      <w:pPr>
        <w:ind w:right="200" w:firstLine="640"/>
        <w:spacing w:after="0" w:line="261"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412115</wp:posOffset>
            </wp:positionV>
            <wp:extent cx="696404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108"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1"/>
          <w:szCs w:val="21"/>
          <w:color w:val="auto"/>
        </w:rPr>
        <w:t> </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this 4th day of May, 2026.</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Eric K. Aasmundstad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79209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K. Aasmundstad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438785</wp:posOffset>
            </wp:positionV>
            <wp:extent cx="696404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sectPr>
      <w:pgSz w:w="11900" w:h="16838" w:orient="portrait"/>
      <w:cols w:equalWidth="0" w:num="1">
        <w:col w:w="9999"/>
      </w:cols>
      <w:pgMar w:left="460" w:top="2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700267" TargetMode="External"/><Relationship Id="rId14" Type="http://schemas.openxmlformats.org/officeDocument/2006/relationships/hyperlink" Target="http://www.sec.gov/cgi-bin/browse-edgar?action=getcompany&amp;CIK=00016812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2026-05-21T15:07:02Z</dcterms:created>
  <dcterms:modified xsi:type="dcterms:W3CDTF">2026-05-21T15:07:02Z</dcterms:modified>
</cp:coreProperties>
</file>