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right="1740"/>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the quarterly period ended March 31, 2022</w:t>
      </w:r>
    </w:p>
    <w:p>
      <w:pPr>
        <w:spacing w:after="0" w:line="8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_____</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81-2683619</w:t>
            </w:r>
          </w:p>
        </w:tc>
        <w:tc>
          <w:tcPr>
            <w:tcW w:w="6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77"/>
        </w:trPr>
        <w:tc>
          <w:tcPr>
            <w:tcW w:w="1360" w:type="dxa"/>
            <w:vAlign w:val="bottom"/>
          </w:tcPr>
          <w:p>
            <w:pPr>
              <w:spacing w:after="0"/>
              <w:rPr>
                <w:sz w:val="24"/>
                <w:szCs w:val="24"/>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Fargo, North Dakota</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58102</w:t>
            </w:r>
          </w:p>
        </w:tc>
        <w:tc>
          <w:tcPr>
            <w:tcW w:w="680" w:type="dxa"/>
            <w:vAlign w:val="bottom"/>
          </w:tcPr>
          <w:p>
            <w:pPr>
              <w:spacing w:after="0"/>
              <w:rPr>
                <w:sz w:val="20"/>
                <w:szCs w:val="20"/>
                <w:color w:val="auto"/>
              </w:rPr>
            </w:pPr>
          </w:p>
        </w:tc>
      </w:tr>
      <w:tr>
        <w:trPr>
          <w:trHeight w:val="256"/>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32"/>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(701) 298-4200</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540" w:type="dxa"/>
            <w:vAlign w:val="bottom"/>
            <w:gridSpan w:val="6"/>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513"/>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3"/>
        </w:trPr>
        <w:tc>
          <w:tcPr>
            <w:tcW w:w="136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Former name, former address, and former fiscal year, if changed since last report</w:t>
            </w:r>
          </w:p>
        </w:tc>
      </w:tr>
      <w:tr>
        <w:trPr>
          <w:trHeight w:val="284"/>
        </w:trPr>
        <w:tc>
          <w:tcPr>
            <w:tcW w:w="1360" w:type="dxa"/>
            <w:vAlign w:val="bottom"/>
          </w:tcPr>
          <w:p>
            <w:pPr>
              <w:spacing w:after="0"/>
              <w:rPr>
                <w:sz w:val="24"/>
                <w:szCs w:val="24"/>
                <w:color w:val="auto"/>
              </w:rPr>
            </w:pPr>
          </w:p>
        </w:tc>
        <w:tc>
          <w:tcPr>
            <w:tcW w:w="988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tc>
      </w:tr>
      <w:tr>
        <w:trPr>
          <w:trHeight w:val="229"/>
        </w:trPr>
        <w:tc>
          <w:tcPr>
            <w:tcW w:w="1360" w:type="dxa"/>
            <w:vAlign w:val="bottom"/>
          </w:tcPr>
          <w:p>
            <w:pPr>
              <w:spacing w:after="0"/>
              <w:rPr>
                <w:sz w:val="19"/>
                <w:szCs w:val="19"/>
                <w:color w:val="auto"/>
              </w:rPr>
            </w:pPr>
          </w:p>
        </w:tc>
        <w:tc>
          <w:tcPr>
            <w:tcW w:w="322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3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311"/>
        </w:trPr>
        <w:tc>
          <w:tcPr>
            <w:tcW w:w="45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1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NODK</w:t>
            </w:r>
          </w:p>
        </w:tc>
        <w:tc>
          <w:tcPr>
            <w:tcW w:w="520" w:type="dxa"/>
            <w:vAlign w:val="bottom"/>
          </w:tcPr>
          <w:p>
            <w:pPr>
              <w:spacing w:after="0"/>
              <w:rPr>
                <w:sz w:val="24"/>
                <w:szCs w:val="24"/>
                <w:color w:val="auto"/>
              </w:rPr>
            </w:pPr>
          </w:p>
        </w:tc>
        <w:tc>
          <w:tcPr>
            <w:tcW w:w="4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03"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84" w:lineRule="exact"/>
        <w:rPr>
          <w:sz w:val="24"/>
          <w:szCs w:val="24"/>
          <w:color w:val="auto"/>
        </w:rPr>
      </w:pPr>
    </w:p>
    <w:p>
      <w:pPr>
        <w:jc w:val="both"/>
        <w:ind w:right="60"/>
        <w:spacing w:after="0" w:line="229" w:lineRule="exact"/>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97"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April 30, 2022 was 21,235,174.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10"/>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r>
      <w:tr>
        <w:trPr>
          <w:trHeight w:val="675"/>
        </w:trPr>
        <w:tc>
          <w:tcPr>
            <w:tcW w:w="2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7880" w:type="dxa"/>
            <w:vAlign w:val="bottom"/>
            <w:gridSpan w:val="1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08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74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Balance Sheet – March 31, 2022 (Unaudited) and December 31, 2021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 Three Months Ended March 31,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(Loss) (Unaudited) – Three Months Ended March 31,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(Unaudited) – Three Months Ended March 31,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 Three Months Ended March 31, 2022 and 2021​</w:t>
            </w:r>
          </w:p>
        </w:tc>
        <w:tc>
          <w:tcPr>
            <w:tcW w:w="2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Unaudited Consolidated Financial Statements</w:t>
            </w:r>
          </w:p>
        </w:tc>
        <w:tc>
          <w:tcPr>
            <w:tcW w:w="3420" w:type="dxa"/>
            <w:vAlign w:val="bottom"/>
            <w:tcBorders>
              <w:top w:val="single" w:sz="8" w:color="0000EE"/>
            </w:tcBorders>
            <w:gridSpan w:val="6"/>
          </w:tcPr>
          <w:p>
            <w:pPr>
              <w:spacing w:after="0"/>
              <w:rPr>
                <w:sz w:val="17"/>
                <w:szCs w:val="17"/>
                <w:color w:val="auto"/>
              </w:rPr>
            </w:pPr>
          </w:p>
        </w:tc>
        <w:tc>
          <w:tcPr>
            <w:tcW w:w="182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304"/>
        </w:trPr>
        <w:tc>
          <w:tcPr>
            <w:tcW w:w="90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6"/>
        </w:trPr>
        <w:tc>
          <w:tcPr>
            <w:tcW w:w="900" w:type="dxa"/>
            <w:vAlign w:val="bottom"/>
          </w:tcPr>
          <w:p>
            <w:pPr>
              <w:spacing w:after="0"/>
              <w:rPr>
                <w:sz w:val="17"/>
                <w:szCs w:val="17"/>
                <w:color w:val="auto"/>
              </w:rPr>
            </w:pPr>
          </w:p>
        </w:tc>
        <w:tc>
          <w:tcPr>
            <w:tcW w:w="71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282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494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108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 - 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1A. - Risk Factors​</w:t>
            </w:r>
          </w:p>
        </w:tc>
        <w:tc>
          <w:tcPr>
            <w:tcW w:w="792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99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900" w:type="dxa"/>
            <w:vAlign w:val="bottom"/>
          </w:tcPr>
          <w:p>
            <w:pPr>
              <w:spacing w:after="0"/>
              <w:rPr>
                <w:sz w:val="17"/>
                <w:szCs w:val="17"/>
                <w:color w:val="auto"/>
              </w:rPr>
            </w:pPr>
          </w:p>
        </w:tc>
        <w:tc>
          <w:tcPr>
            <w:tcW w:w="50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490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00" w:type="dxa"/>
            <w:vAlign w:val="bottom"/>
          </w:tcPr>
          <w:p>
            <w:pPr>
              <w:spacing w:after="0"/>
              <w:rPr>
                <w:sz w:val="17"/>
                <w:szCs w:val="17"/>
                <w:color w:val="auto"/>
              </w:rPr>
            </w:pPr>
          </w:p>
        </w:tc>
        <w:tc>
          <w:tcPr>
            <w:tcW w:w="29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696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00" w:type="dxa"/>
            <w:vAlign w:val="bottom"/>
          </w:tcPr>
          <w:p>
            <w:pPr>
              <w:spacing w:after="0"/>
              <w:rPr>
                <w:sz w:val="17"/>
                <w:szCs w:val="17"/>
                <w:color w:val="auto"/>
              </w:rPr>
            </w:pPr>
          </w:p>
        </w:tc>
        <w:tc>
          <w:tcPr>
            <w:tcW w:w="24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748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00" w:type="dxa"/>
            <w:vAlign w:val="bottom"/>
          </w:tcPr>
          <w:p>
            <w:pPr>
              <w:spacing w:after="0"/>
              <w:rPr>
                <w:sz w:val="17"/>
                <w:szCs w:val="17"/>
                <w:color w:val="auto"/>
              </w:rPr>
            </w:pPr>
          </w:p>
        </w:tc>
        <w:tc>
          <w:tcPr>
            <w:tcW w:w="19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 - Exhibits​</w:t>
            </w:r>
          </w:p>
        </w:tc>
        <w:tc>
          <w:tcPr>
            <w:tcW w:w="794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900" w:type="dxa"/>
            <w:vAlign w:val="bottom"/>
          </w:tcPr>
          <w:p>
            <w:pPr>
              <w:spacing w:after="0"/>
              <w:rPr>
                <w:sz w:val="17"/>
                <w:szCs w:val="17"/>
                <w:color w:val="auto"/>
              </w:rPr>
            </w:pPr>
          </w:p>
        </w:tc>
        <w:tc>
          <w:tcPr>
            <w:tcW w:w="12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660" w:type="dxa"/>
            <w:vAlign w:val="bottom"/>
            <w:gridSpan w:val="1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60" w:lineRule="auto"/>
        <w:tabs>
          <w:tab w:leader="none" w:pos="6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and for periods discussed prior to completion of the conversion refer to Nodak Mutual Insurance Company and all of its subsidiaries and Battle Creek Mutual Insurance Company;  </w:t>
      </w:r>
    </w:p>
    <w:p>
      <w:pPr>
        <w:spacing w:after="0" w:line="164"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Mutual Group” refers to Nodak Mutual Group, Inc., which is the majority shareholder of NI Holdings;  </w:t>
      </w:r>
    </w:p>
    <w:p>
      <w:pPr>
        <w:spacing w:after="0" w:line="211" w:lineRule="exact"/>
        <w:rPr>
          <w:rFonts w:ascii="Times New Roman" w:cs="Times New Roman" w:eastAsia="Times New Roman" w:hAnsi="Times New Roman"/>
          <w:sz w:val="22"/>
          <w:szCs w:val="22"/>
          <w:color w:val="auto"/>
        </w:rPr>
      </w:pPr>
    </w:p>
    <w:p>
      <w:pPr>
        <w:ind w:left="660" w:right="20" w:hanging="328"/>
        <w:spacing w:after="0" w:line="239"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  </w:t>
      </w:r>
    </w:p>
    <w:p>
      <w:pPr>
        <w:spacing w:after="0" w:line="19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  </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Insurance” refers to Nodak Insurance Company or Nodak Mutual Insurance Company interchangeably;  </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  </w:t>
      </w:r>
    </w:p>
    <w:p>
      <w:pPr>
        <w:spacing w:after="0" w:line="211" w:lineRule="exact"/>
        <w:rPr>
          <w:rFonts w:ascii="Times New Roman" w:cs="Times New Roman" w:eastAsia="Times New Roman" w:hAnsi="Times New Roman"/>
          <w:sz w:val="22"/>
          <w:szCs w:val="22"/>
          <w:color w:val="auto"/>
        </w:rPr>
      </w:pPr>
    </w:p>
    <w:p>
      <w:pPr>
        <w:ind w:left="660" w:right="180" w:hanging="328"/>
        <w:spacing w:after="0" w:line="243"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  </w:t>
      </w:r>
    </w:p>
    <w:p>
      <w:pPr>
        <w:spacing w:after="0" w:line="195" w:lineRule="exact"/>
        <w:rPr>
          <w:rFonts w:ascii="Times New Roman" w:cs="Times New Roman" w:eastAsia="Times New Roman" w:hAnsi="Times New Roman"/>
          <w:sz w:val="22"/>
          <w:szCs w:val="22"/>
          <w:color w:val="auto"/>
        </w:rPr>
      </w:pPr>
    </w:p>
    <w:p>
      <w:pPr>
        <w:ind w:left="660" w:right="340" w:hanging="328"/>
        <w:spacing w:after="0" w:line="239"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 Auto” refers to Direct Auto Insurance Company. On August 31, 2018, NI Holdings completed the acquisition of 100% of the common stock of Direct Auto from the private shareholders of Direct Auto. Direct Auto became a consolidated subsidiary of NI Holdings on this date. Direct Auto is a property and casualty insurance company specializing in non-standard automobile insurance in the state of Illinois;  </w:t>
      </w:r>
    </w:p>
    <w:p>
      <w:pPr>
        <w:spacing w:after="0" w:line="19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“American West” refers to American West Insurance Company. American West is a wholly-owned subsidiary of Nodak Insurance;  </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“Primero” refers to Primero Insurance Company. Primero is an indirect, wholly-owned subsidiary of Nodak Insurance;  </w:t>
      </w:r>
    </w:p>
    <w:p>
      <w:pPr>
        <w:spacing w:after="0" w:line="197" w:lineRule="exact"/>
        <w:rPr>
          <w:rFonts w:ascii="Times New Roman" w:cs="Times New Roman" w:eastAsia="Times New Roman" w:hAnsi="Times New Roman"/>
          <w:sz w:val="22"/>
          <w:szCs w:val="22"/>
          <w:color w:val="auto"/>
        </w:rPr>
      </w:pPr>
    </w:p>
    <w:p>
      <w:pPr>
        <w:jc w:val="both"/>
        <w:ind w:left="660" w:right="220" w:hanging="328"/>
        <w:spacing w:after="0" w:line="258" w:lineRule="auto"/>
        <w:tabs>
          <w:tab w:leader="none" w:pos="6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“Westminster” refers to Westminster American Insurance Company. On January 1, 2020, NI Holdings completed the acquisition of 100% of the common stock of Westminster from the private shareholder of Westminster, and Westminster became a consolidated subsidiary of NI Holdings. Westminster is a property and casualty insurance company specializing in commercial multi-peril insurance in the Mid-Atlantic states; and  </w:t>
      </w:r>
    </w:p>
    <w:p>
      <w:pPr>
        <w:spacing w:after="0" w:line="178"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Agency” refers to Nodak Agency, Inc. Nodak Agency is a wholly-owned subsidiary of Nodak Insurance.  </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74"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anticipated operating and financial performance, business plans, and prospects;  </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strategic reviews, capital allocation objectives, dividends, and share repurchases;  </w:t>
      </w:r>
    </w:p>
    <w:p>
      <w:pPr>
        <w:spacing w:after="0" w:line="197" w:lineRule="exact"/>
        <w:rPr>
          <w:rFonts w:ascii="Times New Roman" w:cs="Times New Roman" w:eastAsia="Times New Roman" w:hAnsi="Times New Roman"/>
          <w:sz w:val="22"/>
          <w:szCs w:val="22"/>
          <w:color w:val="auto"/>
        </w:rPr>
      </w:pPr>
    </w:p>
    <w:p>
      <w:pPr>
        <w:ind w:left="980" w:right="24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  </w:t>
      </w:r>
    </w:p>
    <w:p>
      <w:pPr>
        <w:spacing w:after="0" w:line="213" w:lineRule="exact"/>
        <w:rPr>
          <w:rFonts w:ascii="Times New Roman" w:cs="Times New Roman" w:eastAsia="Times New Roman" w:hAnsi="Times New Roman"/>
          <w:sz w:val="22"/>
          <w:szCs w:val="22"/>
          <w:color w:val="auto"/>
        </w:rPr>
      </w:pPr>
    </w:p>
    <w:p>
      <w:pPr>
        <w:ind w:left="980" w:right="94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impact of COVID-19 or a future pandemic and related economic conditions, including the potential impact on the Company's investments;  </w:t>
      </w:r>
    </w:p>
    <w:p>
      <w:pPr>
        <w:spacing w:after="0" w:line="213" w:lineRule="exact"/>
        <w:rPr>
          <w:rFonts w:ascii="Times New Roman" w:cs="Times New Roman" w:eastAsia="Times New Roman" w:hAnsi="Times New Roman"/>
          <w:sz w:val="22"/>
          <w:szCs w:val="22"/>
          <w:color w:val="auto"/>
        </w:rPr>
      </w:pPr>
    </w:p>
    <w:p>
      <w:pPr>
        <w:ind w:left="980" w:right="10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agent network;  </w:t>
      </w:r>
    </w:p>
    <w:p>
      <w:pPr>
        <w:spacing w:after="0" w:line="18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cyclical changes in the insurance industry, competition, and innovation and emerging technologies;  </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expectations for impact of or changes to existing or new government regulations or laws;  </w:t>
      </w:r>
    </w:p>
    <w:p>
      <w:pPr>
        <w:spacing w:after="0" w:line="211" w:lineRule="exact"/>
        <w:rPr>
          <w:rFonts w:ascii="Times New Roman" w:cs="Times New Roman" w:eastAsia="Times New Roman" w:hAnsi="Times New Roman"/>
          <w:sz w:val="22"/>
          <w:szCs w:val="22"/>
          <w:color w:val="auto"/>
        </w:rPr>
      </w:pPr>
    </w:p>
    <w:p>
      <w:pPr>
        <w:ind w:left="980" w:right="6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  </w:t>
      </w:r>
    </w:p>
    <w:p>
      <w:pPr>
        <w:spacing w:after="0" w:line="199" w:lineRule="exact"/>
        <w:rPr>
          <w:rFonts w:ascii="Times New Roman" w:cs="Times New Roman" w:eastAsia="Times New Roman" w:hAnsi="Times New Roman"/>
          <w:sz w:val="22"/>
          <w:szCs w:val="22"/>
          <w:color w:val="auto"/>
        </w:rPr>
      </w:pPr>
    </w:p>
    <w:p>
      <w:pPr>
        <w:ind w:left="980" w:right="32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developments in general economic conditions, domestic and global financial markets, interest rate, unemployment, or inflation, that could affect the performance of our insurance operations and/or investment portfolio; and  </w:t>
      </w:r>
    </w:p>
    <w:p>
      <w:pPr>
        <w:spacing w:after="0" w:line="19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  </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and in the Part I, Item 1A., “Risk Factors” section in our Annual Report on Form 10-K for the year ended December 31, 2021 (“2021 Annual Report”). The occurrence of any of the risks identified in the Part I, Item 1A, “Risk Factors” section of the 2021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6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280" w:type="dxa"/>
            <w:vAlign w:val="bottom"/>
            <w:tcBorders>
              <w:top w:val="single" w:sz="8" w:color="0000EE"/>
            </w:tcBorders>
          </w:tcPr>
          <w:p>
            <w:pPr>
              <w:spacing w:after="0"/>
              <w:rPr>
                <w:sz w:val="24"/>
                <w:szCs w:val="24"/>
                <w:color w:val="auto"/>
              </w:rPr>
            </w:pPr>
          </w:p>
        </w:tc>
        <w:tc>
          <w:tcPr>
            <w:tcW w:w="610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70,623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353,083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364,651</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74,678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77,690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483,708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514,969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54,880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51,452</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24,947</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recoverable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9,869</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651,782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139,662</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130,275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127,789</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Payable to Federal Crop Insurance Corporation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Westminster consideration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291,845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304,369</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23,000,000 shares; and outstanding: 2022 – 21,255,640 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2021 – 21,219,808 shares​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73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without par value, authorized 5,000,000 shares;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shares; issued or outstanding​</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96,517</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98,166</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269,142</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267,207</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2022 – 1,625,935 shares, 2021 – 1,661,767 shares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(25,825)</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(26,452)</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332,278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347,413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651,782</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6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7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72"/>
        </w:trPr>
        <w:tc>
          <w:tcPr>
            <w:tcW w:w="12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69,587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63,135</w:t>
            </w: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5,811</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70,799</w:t>
            </w:r>
          </w:p>
        </w:tc>
      </w:tr>
      <w:tr>
        <w:trPr>
          <w:trHeight w:val="210"/>
        </w:trPr>
        <w:tc>
          <w:tcPr>
            <w:tcW w:w="128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36,889</w:t>
            </w: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13,587</w:t>
            </w: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7,651</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58,127</w:t>
            </w:r>
          </w:p>
        </w:tc>
      </w:tr>
      <w:tr>
        <w:trPr>
          <w:trHeight w:val="209"/>
        </w:trPr>
        <w:tc>
          <w:tcPr>
            <w:tcW w:w="128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12,672</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9,782</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8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9,669</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6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4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0.45</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data:</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used in basic per common share calculations</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21,372,753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21,462,641</w:t>
            </w: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Plus: Dilutive securities</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239,161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236,358</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diluted per common share calculations</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21,611,914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21,698,999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w:t>
            </w:r>
          </w:p>
        </w:tc>
        <w:tc>
          <w:tcPr>
            <w:tcW w:w="120" w:type="dxa"/>
            <w:vAlign w:val="bottom"/>
          </w:tcPr>
          <w:p>
            <w:pPr>
              <w:spacing w:after="0"/>
              <w:rPr>
                <w:sz w:val="24"/>
                <w:szCs w:val="24"/>
                <w:color w:val="auto"/>
              </w:rPr>
            </w:pPr>
          </w:p>
        </w:tc>
        <w:tc>
          <w:tcPr>
            <w:tcW w:w="3420" w:type="dxa"/>
            <w:vAlign w:val="bottom"/>
            <w:gridSpan w:val="9"/>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2021</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26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22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Holdings,</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w:t>
            </w:r>
          </w:p>
        </w:tc>
        <w:tc>
          <w:tcPr>
            <w:tcW w:w="1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Holding losses on investments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(20,197)</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(20,894)</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(6,763)</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 loss</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net income</w:t>
            </w:r>
          </w:p>
        </w:tc>
        <w:tc>
          <w:tcPr>
            <w:tcW w:w="1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(20,240)</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(20,937)</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(6,864)</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 related to items of other</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4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(15,639)</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(16,178)</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(5,423)</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(13,730)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4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26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8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Net of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8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1"/>
        </w:trPr>
        <w:tc>
          <w:tcPr>
            <w:tcW w:w="1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267,207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5,237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4,209</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347,413</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net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(16,178)</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1"/>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 shares</w:t>
            </w: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End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96,517</w:t>
            </w:r>
          </w:p>
        </w:tc>
        <w:tc>
          <w:tcPr>
            <w:tcW w:w="22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269,142</w:t>
            </w:r>
          </w:p>
        </w:tc>
        <w:tc>
          <w:tcPr>
            <w:tcW w:w="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(10,402)</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(25,825)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3,800</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332,278</w:t>
            </w:r>
          </w:p>
        </w:tc>
        <w:tc>
          <w:tcPr>
            <w:tcW w:w="0" w:type="dxa"/>
            <w:vAlign w:val="bottom"/>
          </w:tcPr>
          <w:p>
            <w:pPr>
              <w:spacing w:after="0"/>
              <w:rPr>
                <w:sz w:val="1"/>
                <w:szCs w:val="1"/>
                <w:color w:val="auto"/>
              </w:rPr>
            </w:pPr>
          </w:p>
        </w:tc>
      </w:tr>
      <w:tr>
        <w:trPr>
          <w:trHeight w:val="194"/>
        </w:trPr>
        <w:tc>
          <w:tcPr>
            <w:tcW w:w="14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Period</w:t>
            </w: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9"/>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Income, Net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8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1"/>
        </w:trPr>
        <w:tc>
          <w:tcPr>
            <w:tcW w:w="1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258,741</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12,840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348,872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net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1"/>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 shares</w:t>
            </w: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End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96,511</w:t>
            </w:r>
          </w:p>
        </w:tc>
        <w:tc>
          <w:tcPr>
            <w:tcW w:w="22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268,444</w:t>
            </w:r>
          </w:p>
        </w:tc>
        <w:tc>
          <w:tcPr>
            <w:tcW w:w="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7,417</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(23,012)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4,427</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352,590</w:t>
            </w:r>
          </w:p>
        </w:tc>
        <w:tc>
          <w:tcPr>
            <w:tcW w:w="0" w:type="dxa"/>
            <w:vAlign w:val="bottom"/>
          </w:tcPr>
          <w:p>
            <w:pPr>
              <w:spacing w:after="0"/>
              <w:rPr>
                <w:sz w:val="1"/>
                <w:szCs w:val="1"/>
                <w:color w:val="auto"/>
              </w:rPr>
            </w:pPr>
          </w:p>
        </w:tc>
      </w:tr>
      <w:tr>
        <w:trPr>
          <w:trHeight w:val="194"/>
        </w:trPr>
        <w:tc>
          <w:tcPr>
            <w:tcW w:w="14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Period</w:t>
            </w: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6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(16,948)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 recoverable / payables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Unearned premiums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ind w:left="7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(24,761)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(61,536)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other investments and other</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(12,302)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(51,439)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on Westminster consideration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restricted stock awards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(16,681)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and state income taxes paid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0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672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include the financial position and results of NI Holdings and seven other entities: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Insurance Company</w:t>
      </w:r>
    </w:p>
    <w:p>
      <w:pPr>
        <w:spacing w:after="0" w:line="200"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Agency,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American West Insurance Company</w:t>
      </w:r>
    </w:p>
    <w:p>
      <w:pPr>
        <w:spacing w:after="0" w:line="21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American West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Primero Insurance Company</w:t>
      </w:r>
    </w:p>
    <w:p>
      <w:pPr>
        <w:spacing w:after="0" w:line="20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Battle Creek Mutual Insurance Company</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personal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Consolidated Balance Sheets and its net income or loss is excluded from net income attributed to NI Holdings in our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Auto Insurance Company</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Westminster American Insurance Company</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seventeen states and the District of Columbia. Westminster underwrites commercial multi-peril insurance in the states of Delaware, Georgia, Maryland, New Jersey, North Carolina, Pennsylvania, South Carolina, Virginia, West Virginia, and the District of Columbia. Westminster was acquired by NI Holdings on January 1, 2020 via a stock purchase agreement.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18" w:lineRule="exact"/>
        <w:rPr>
          <w:sz w:val="20"/>
          <w:szCs w:val="20"/>
          <w:color w:val="auto"/>
        </w:rPr>
      </w:pPr>
    </w:p>
    <w:p>
      <w:pPr>
        <w:ind w:right="7060" w:firstLine="8"/>
        <w:spacing w:after="0" w:line="479" w:lineRule="auto"/>
        <w:tabs>
          <w:tab w:leader="none" w:pos="64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 Basis of Presentation</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for interim financial information and with the instructions to Form 10-Q and Article 10 of Regulation S-X and are unaudited.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2021 Annual Report.</w:t>
      </w:r>
    </w:p>
    <w:p>
      <w:pPr>
        <w:spacing w:after="0" w:line="17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2021, has been derived from the Audited Consolidated Financial Statements at that date but does not include all of the information and footnotes required by GAAP for complete financial statements.</w:t>
      </w:r>
    </w:p>
    <w:p>
      <w:pPr>
        <w:spacing w:after="0" w:line="1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preparation of the interim Consolidated Financial Statements in conformity with GAAP requires management to make estimates and assumptions that affect the reported amounts of assets and liabilities and disclosure of contingent assets and liabilities at the date of the interim Consolidated Financial Statements and the reported amounts of revenues, claims, and expenses during the reporting period. Actual results could differ from those estimates. Operating results for the interim period ended March 31, 2022 are not necessarily indicative of the results that may be expected for the year ended December 31, 2022.</w:t>
      </w:r>
    </w:p>
    <w:p>
      <w:pPr>
        <w:spacing w:after="0" w:line="1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2021 Annual Report describes the accounting policies and estimates that are critical to the understanding of our results of operations, financial condition, and liquidity. The accounting policies and estimation processes described in the 2021 Annual Report were consistently applied to the Unaudited Consolidated Financial Statements as of and for the three months ended March 31, 2022 and 2021.</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an emerging growth company (“EGC”), we have elected to use the extended transition period for complying with any new or revised financial accounting standards from the Financial Accounting Standards Board (“FASB”) pursuant to Section 13(a) of the Exchange Act. The following discussion includes effective dates for both public business entities and EGCs, as well as whether specific guidance may be adopted early.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leases guidance at the beginning of the earliest period presented in the financial statements, or at the adoption date and recognize a cumulative-effect adjustment to the opening balance of retained earnings in the period of adoption. The new guidance was effective for annual and interim reporting periods beginning after December 15, 2018 for public business entities. For private companies and EGCs, this guidance is effective for annual reporting periods beginning after December 15, 2021 and interim periods within fiscal years beginning after December 15, 2022. We will adopt this guidance in the fourth quarter of the year ended December 31, 2022, as we will lose our EGC status beginning December 31, 2022. We do not expect the adoption of this new guidance to have a significant impact on our financial position, results of operations, or cash flows. Upon adoption, the Company will recognize a right of use asset and operating lease liability on its Consolidated Balance Sheet. The cumulative adjustment to retained earnings is not expected to be significant.</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June 2016, the FASB issued a new standard that requires timelier recording of credit losses on loans and other financial instruments held by financial institutions and other organizations. The guidance requires the measurement of all expected credit losses for financial assets held at the reporting date based on historical experience, current conditions, and reasonable and supportable forecasts. The guidance also requires financial institutions and other organizations to use forward-looking information to better form their credit loss estimates. Many of the loss estimation techniques applied prior to adoption of this standard are still permitted, although the inputs to those techniques have changed to reflect the full amount of expected credit losses. Organizations are to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was effective for fiscal years, and interim periods within those fiscal years, beginning after December 15, 2019 for filers with the Securities and Exchange Commission (“SEC”) excluding smaller reporting companies, and EGCs that did not relinquish private company relief. For all other entities, this guidance will be effective for annual reporting periods beginning after December 15, 2022 and interim periods within those fiscal years. We will adopt this guidance in the fourth quarter of the year ended December 31, 2022, as we will lose our EGC status beginning December 31, 2022. Based on our evaluation, adoption of this new standard will not have a significant impact on our financial position, results of operations, and cash flows.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amended guidance to simplify the accounting for income taxes. The amended guidance was effective for fiscal years beginning after December 15, 2020, including interim periods within those fiscal years, for public business entities. For private companies and EGCs, the amended guidance will be effective for fiscal years beginning after December 15, 2021, and interim periods within fiscal years beginning after December 15, 2022. We will adopt this guidance in the fourth quarter of the year ended December 31, 2022, as we will lose our EGC status beginning December 31, 2022. Based on our evaluation, adoption of this new standard will not have a significant impact on our financial position, results of operations, and cash flows.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estimated fair value of fixed income securities as of March 31, 2022 and December 31,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6"/>
                <w:szCs w:val="16"/>
                <w:color w:val="auto"/>
              </w:rPr>
            </w:pPr>
          </w:p>
        </w:tc>
        <w:tc>
          <w:tcPr>
            <w:tcW w:w="12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12,869</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66,430</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144,327</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43,780</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33,674</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48,045</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3,958</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367,310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353,083</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790"/>
        </w:trPr>
        <w:tc>
          <w:tcPr>
            <w:tcW w:w="4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6"/>
                <w:szCs w:val="16"/>
                <w:color w:val="auto"/>
              </w:rPr>
            </w:pPr>
          </w:p>
        </w:tc>
        <w:tc>
          <w:tcPr>
            <w:tcW w:w="12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13,118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13,498</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87,294</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144,476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147,621</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26,156</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33,532</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52,422</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357,942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364,651</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80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89,417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73,920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125,499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367,310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353,083</w:t>
            </w: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80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112,110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357,942</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364,651</w:t>
            </w:r>
          </w:p>
        </w:tc>
      </w:tr>
      <w:tr>
        <w:trPr>
          <w:trHeight w:val="20"/>
        </w:trPr>
        <w:tc>
          <w:tcPr>
            <w:tcW w:w="8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$7,527 at March 31, 2022 and $7,977 at December 31, 2021, were deposited with various state regulatory agencies as required by law. The Company has not pledged any assets to secure any obligations.</w:t>
      </w:r>
    </w:p>
    <w:p>
      <w:pPr>
        <w:sectPr>
          <w:pgSz w:w="11900" w:h="16838" w:orient="portrait"/>
          <w:cols w:equalWidth="0" w:num="1">
            <w:col w:w="11240"/>
          </w:cols>
          <w:pgMar w:left="320" w:top="119" w:right="339" w:bottom="623"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62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18"/>
                <w:szCs w:val="18"/>
                <w:color w:val="auto"/>
              </w:rPr>
            </w:pPr>
          </w:p>
        </w:tc>
        <w:tc>
          <w:tcPr>
            <w:tcW w:w="22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8"/>
                <w:szCs w:val="18"/>
                <w:color w:val="auto"/>
              </w:rPr>
            </w:pP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4,969</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43,281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(2,648)</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76,700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(4,673)</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16,766</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93,466</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(6,486)</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33,527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(2,279)</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25,160</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(1,721)</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26,004</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(1,760)</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40,922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43,288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3,712</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257,166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(15,710)</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72"/>
        </w:trPr>
        <w:tc>
          <w:tcPr>
            <w:tcW w:w="3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18"/>
                <w:szCs w:val="18"/>
                <w:color w:val="auto"/>
              </w:rPr>
            </w:pPr>
          </w:p>
        </w:tc>
        <w:tc>
          <w:tcPr>
            <w:tcW w:w="22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8"/>
                <w:szCs w:val="18"/>
                <w:color w:val="auto"/>
              </w:rPr>
            </w:pP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0"/>
                <w:szCs w:val="20"/>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3,125</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19,769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46,816</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48,711</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17,407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11,287</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28,797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frequently review our investment portfolio for declines in fair value. Our process for identifying declines in the fair value of investments that are other-than-temporary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credit loss component of the impairment is reflected in net income (loss) as a realized loss on investment if the Company does not intend to sell the security, and the remaining portion of the other-than-temporary loss is recognized in other comprehensive income (loss), net of income taxes. If the Company intends to sell the security, or determines that it is more likely than not that it will be required to sell the security prior to recovering its cost or amortized cost basis less any current-period credit losses, the full amount of the other-than-temporary loss is recognized in net income (loss). The Company did not record any other-than-temporary impairments during the three-month period ending March 31, 2022 or the year ended December 31, 2021.</w:t>
      </w:r>
    </w:p>
    <w:p>
      <w:pPr>
        <w:spacing w:after="0" w:line="1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conjunction with our third-party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9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realized losses, excluding other-than-temporary impairment losses: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realized losses, excluding other-than-temporary impairment losses</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realized gains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center"/>
              <w:ind w:left="3170"/>
              <w:spacing w:after="0"/>
              <w:rPr>
                <w:sz w:val="20"/>
                <w:szCs w:val="20"/>
                <w:color w:val="auto"/>
              </w:rPr>
            </w:pPr>
            <w:r>
              <w:rPr>
                <w:rFonts w:ascii="Times New Roman" w:cs="Times New Roman" w:eastAsia="Times New Roman" w:hAnsi="Times New Roman"/>
                <w:sz w:val="18"/>
                <w:szCs w:val="18"/>
                <w:color w:val="auto"/>
                <w:w w:val="99"/>
              </w:rPr>
              <w:t>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EEEEEE"/>
            </w:tcBorders>
          </w:tcPr>
          <w:p>
            <w:pPr>
              <w:spacing w:after="0"/>
              <w:rPr>
                <w:sz w:val="17"/>
                <w:szCs w:val="17"/>
                <w:color w:val="auto"/>
              </w:rPr>
            </w:pPr>
          </w:p>
        </w:tc>
        <w:tc>
          <w:tcPr>
            <w:tcW w:w="672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54"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i w:val="1"/>
          <w:iCs w:val="1"/>
          <w:color w:val="auto"/>
        </w:rPr>
        <w:t>Level I:</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225" w:lineRule="exact"/>
        <w:rPr>
          <w:sz w:val="20"/>
          <w:szCs w:val="20"/>
          <w:color w:val="auto"/>
        </w:rPr>
      </w:pPr>
    </w:p>
    <w:p>
      <w:pPr>
        <w:ind w:left="1360" w:hanging="747"/>
        <w:spacing w:after="0" w:line="258" w:lineRule="auto"/>
        <w:tabs>
          <w:tab w:leader="none" w:pos="1340" w:val="left"/>
        </w:tabs>
        <w:rPr>
          <w:sz w:val="20"/>
          <w:szCs w:val="20"/>
          <w:color w:val="auto"/>
        </w:rPr>
      </w:pPr>
      <w:r>
        <w:rPr>
          <w:rFonts w:ascii="Times New Roman" w:cs="Times New Roman" w:eastAsia="Times New Roman" w:hAnsi="Times New Roman"/>
          <w:sz w:val="18"/>
          <w:szCs w:val="18"/>
          <w:i w:val="1"/>
          <w:iCs w:val="1"/>
          <w:color w:val="auto"/>
        </w:rPr>
        <w:t>Level 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83" w:lineRule="exact"/>
        <w:rPr>
          <w:sz w:val="20"/>
          <w:szCs w:val="20"/>
          <w:color w:val="auto"/>
        </w:rPr>
      </w:pPr>
    </w:p>
    <w:p>
      <w:pPr>
        <w:ind w:left="1360" w:right="760" w:hanging="777"/>
        <w:spacing w:after="0" w:line="284" w:lineRule="auto"/>
        <w:rPr>
          <w:sz w:val="20"/>
          <w:szCs w:val="20"/>
          <w:color w:val="auto"/>
        </w:rPr>
      </w:pPr>
      <w:r>
        <w:rPr>
          <w:rFonts w:ascii="Times New Roman" w:cs="Times New Roman" w:eastAsia="Times New Roman" w:hAnsi="Times New Roman"/>
          <w:sz w:val="18"/>
          <w:szCs w:val="18"/>
          <w:i w:val="1"/>
          <w:iCs w:val="1"/>
          <w:color w:val="auto"/>
        </w:rPr>
        <w:t>Level III</w:t>
      </w:r>
      <w:r>
        <w:rPr>
          <w:rFonts w:ascii="Times New Roman" w:cs="Times New Roman" w:eastAsia="Times New Roman" w:hAnsi="Times New Roman"/>
          <w:sz w:val="18"/>
          <w:szCs w:val="18"/>
          <w:color w:val="auto"/>
        </w:rPr>
        <w:t>: 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with little or no market activity).</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independent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independent pricing service did not use broker quotes in determining any fair values of the Company’s investments at March 31, 2022 or December 31, 2021.</w:t>
      </w:r>
    </w:p>
    <w:p>
      <w:pPr>
        <w:spacing w:after="0" w:line="1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we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III investment.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fair value estimates of the Company’s investments provided by the independent pricing service at each period-end were utilized, among other resources, in reaching a conclusion as to the fair value of its investments.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Investors Service, Inc. or Standard &amp; Poor’s Financial Services LLC.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three-month period ended March 31, 2022, or the year ended December 31, 2021. The classification within the fair value hierarchy is then confirmed based on the final conclusions from the pricing review.</w:t>
      </w:r>
    </w:p>
    <w:p>
      <w:pPr>
        <w:spacing w:after="0" w:line="17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March 31, 2022 or December 31, 2021.</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at fair value on a recurring basis by the level within the fair value hierarchy in which fair value measurements fall: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353,083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72,576</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74,678</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39,347</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467,108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114,025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353,083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r>
      <w:tr>
        <w:trPr>
          <w:trHeight w:val="372"/>
        </w:trPr>
        <w:tc>
          <w:tcPr>
            <w:tcW w:w="45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45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9"/>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180" w:type="dxa"/>
            <w:vAlign w:val="bottom"/>
            <w:gridSpan w:val="9"/>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8"/>
                <w:szCs w:val="18"/>
                <w:color w:val="auto"/>
              </w:rPr>
            </w:pPr>
          </w:p>
        </w:tc>
      </w:tr>
      <w:tr>
        <w:trPr>
          <w:trHeight w:val="209"/>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147,621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75,143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77,690</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45,741</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488,082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123,431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364,651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March 31, 2022 or December 31, 2021.</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cedes and assumes certain premiums and losses to and from various companies and associations under a variety of reinsurance agreements. The Company seeks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 Reinsurance contracts do not relieve the Company from its obligation to policyholders.</w:t>
      </w:r>
    </w:p>
    <w:p>
      <w:pPr>
        <w:spacing w:after="0" w:line="16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March 31, 2022, the Company retained the first $15,000 of weather-related losses from catastrophic events and had reinsurance under various reinsurance agreements up to $125,000 in excess of its $15,000 retained risk.</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retained the first $10,000 of weather-related losses from catastrophic events and had reinsurance under various reinsurance agreements up to $117,000 in excess of its $10,000 retained risk. The Company experienced one catastrophe event during second quarter of 2021 in excess of the retention level.</w:t>
      </w:r>
    </w:p>
    <w:p>
      <w:pPr>
        <w:spacing w:after="0" w:line="14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is as follows: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r>
      <w:tr>
        <w:trPr>
          <w:trHeight w:val="210"/>
        </w:trPr>
        <w:tc>
          <w:tcPr>
            <w:tcW w:w="7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10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(5,660)</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(5,673)</w:t>
            </w:r>
          </w:p>
        </w:tc>
      </w:tr>
      <w:tr>
        <w:trPr>
          <w:trHeight w:val="209"/>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premiums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71,734</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92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1920" w:type="dxa"/>
            <w:vAlign w:val="bottom"/>
            <w:tcBorders>
              <w:top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premiums</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66,756</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9"/>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6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40,129</w:t>
            </w: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March 31, 2022 or December 31, 2021, no ceded commissions would need to be returned to the reinsurers. Reinsurance contracts are typically effective from January 1 through December 31 each year.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16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24,947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23,968</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16,194</w:t>
            </w:r>
          </w:p>
        </w:tc>
      </w:tr>
      <w:tr>
        <w:trPr>
          <w:trHeight w:val="234"/>
        </w:trPr>
        <w:tc>
          <w:tcPr>
            <w:tcW w:w="32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(13,587)</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26,575</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46" w:lineRule="exact"/>
        <w:rPr>
          <w:sz w:val="20"/>
          <w:szCs w:val="20"/>
          <w:color w:val="auto"/>
        </w:rPr>
      </w:pPr>
    </w:p>
    <w:p>
      <w:pPr>
        <w:sectPr>
          <w:pgSz w:w="11900" w:h="16838" w:orient="portrait"/>
          <w:cols w:equalWidth="0" w:num="2">
            <w:col w:w="7280" w:space="720"/>
            <w:col w:w="3240"/>
          </w:cols>
          <w:pgMar w:left="320" w:top="119"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w:t>
      </w:r>
    </w:p>
    <w:p>
      <w:pPr>
        <w:spacing w:after="0" w:line="194"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27305</wp:posOffset>
            </wp:positionV>
            <wp:extent cx="19888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14605</wp:posOffset>
            </wp:positionV>
            <wp:extent cx="198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right="3040"/>
        <w:spacing w:after="0" w:line="258"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Net balance at beginning of period</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139,662</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105,750</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8,710</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118,462</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97,040</w:t>
            </w:r>
          </w:p>
        </w:tc>
        <w:tc>
          <w:tcPr>
            <w:tcW w:w="2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2,523</w:t>
            </w:r>
          </w:p>
        </w:tc>
      </w:tr>
      <w:tr>
        <w:trPr>
          <w:trHeight w:val="21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incurred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paid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44,259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31,677</w:t>
            </w:r>
          </w:p>
        </w:tc>
      </w:tr>
      <w:tr>
        <w:trPr>
          <w:trHeight w:val="210"/>
        </w:trPr>
        <w:tc>
          <w:tcPr>
            <w:tcW w:w="80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right="3040"/>
        <w:spacing w:after="0" w:line="271"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111,522</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19,362</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9,270</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114,332</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102,252</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280" w:space="720"/>
            <w:col w:w="3240"/>
          </w:cols>
          <w:pgMar w:left="320" w:top="119" w:right="339" w:bottom="1440" w:gutter="0" w:footer="0" w:header="0"/>
          <w:type w:val="continuous"/>
        </w:sect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Company’s reported incurred losses and loss adjustment expenses included $1,987 of net favorable development on prior accident years, primarily attributable to Battle Creek. During the three months ended March 31, 2021, the Company’s incurred reported losses and loss adjustment expenses included $2,523 of net unfavorable development on prior accident years, primarily attributable to Nodak Insurance, Westminster, and Direct Auto.</w:t>
      </w:r>
    </w:p>
    <w:p>
      <w:pPr>
        <w:spacing w:after="0" w:line="16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Increases and decreases are generally the result of ongoing analysis of loss development trends. As additional information becomes known regarding individual claims, original estimates are increased or decreased accordingly.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0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24"/>
                <w:szCs w:val="24"/>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indefinite</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10-40 years</w:t>
            </w:r>
          </w:p>
        </w:tc>
      </w:tr>
      <w:tr>
        <w:trPr>
          <w:trHeight w:val="216"/>
        </w:trPr>
        <w:tc>
          <w:tcPr>
            <w:tcW w:w="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160" w:type="dxa"/>
            <w:vAlign w:val="bottom"/>
            <w:shd w:val="clear" w:color="auto" w:fill="CCEEFF"/>
          </w:tcPr>
          <w:p>
            <w:pPr>
              <w:spacing w:after="0"/>
              <w:rPr>
                <w:sz w:val="18"/>
                <w:szCs w:val="18"/>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16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 years</w:t>
            </w: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20,963</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21,227</w:t>
            </w:r>
          </w:p>
        </w:tc>
        <w:tc>
          <w:tcPr>
            <w:tcW w:w="22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(11,157)</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(11,358)</w:t>
            </w:r>
          </w:p>
        </w:tc>
        <w:tc>
          <w:tcPr>
            <w:tcW w:w="2240" w:type="dxa"/>
            <w:vAlign w:val="bottom"/>
            <w:shd w:val="clear" w:color="auto" w:fill="CCEEFF"/>
          </w:tcPr>
          <w:p>
            <w:pPr>
              <w:spacing w:after="0"/>
              <w:rPr>
                <w:sz w:val="18"/>
                <w:szCs w:val="18"/>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9,869</w:t>
            </w:r>
          </w:p>
        </w:tc>
        <w:tc>
          <w:tcPr>
            <w:tcW w:w="22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$168 and $170 for the three months ended March 31, 2022 and 2021,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1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goodwill by segment:</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Non-standard auto from acquisition of Primero</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from acquisition of Westminster</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tcPr>
          <w:p>
            <w:pPr>
              <w:spacing w:after="0"/>
              <w:rPr>
                <w:sz w:val="18"/>
                <w:szCs w:val="18"/>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other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3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2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5,862</w:t>
            </w:r>
          </w:p>
        </w:tc>
        <w:tc>
          <w:tcPr>
            <w:tcW w:w="20" w:type="dxa"/>
            <w:vAlign w:val="bottom"/>
            <w:shd w:val="clear" w:color="auto" w:fill="CCEEFF"/>
          </w:tcPr>
          <w:p>
            <w:pPr>
              <w:spacing w:after="0"/>
              <w:rPr>
                <w:sz w:val="18"/>
                <w:szCs w:val="18"/>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0"/>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gridSpan w:val="2"/>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8,220</w:t>
            </w:r>
          </w:p>
        </w:tc>
        <w:tc>
          <w:tcPr>
            <w:tcW w:w="20" w:type="dxa"/>
            <w:vAlign w:val="bottom"/>
            <w:shd w:val="clear" w:color="auto" w:fill="CCEEFF"/>
          </w:tcPr>
          <w:p>
            <w:pPr>
              <w:spacing w:after="0"/>
              <w:rPr>
                <w:sz w:val="21"/>
                <w:szCs w:val="21"/>
                <w:color w:val="auto"/>
              </w:rPr>
            </w:pPr>
          </w:p>
        </w:tc>
      </w:tr>
      <w:tr>
        <w:trPr>
          <w:trHeight w:val="372"/>
        </w:trPr>
        <w:tc>
          <w:tcPr>
            <w:tcW w:w="398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49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2"/>
        </w:trPr>
        <w:tc>
          <w:tcPr>
            <w:tcW w:w="3980" w:type="dxa"/>
            <w:vAlign w:val="bottom"/>
            <w:tcBorders>
              <w:bottom w:val="single" w:sz="8" w:color="EEEEEE"/>
            </w:tcBorders>
          </w:tcPr>
          <w:p>
            <w:pPr>
              <w:spacing w:after="0"/>
              <w:rPr>
                <w:sz w:val="17"/>
                <w:szCs w:val="17"/>
                <w:color w:val="auto"/>
              </w:rPr>
            </w:pPr>
          </w:p>
        </w:tc>
        <w:tc>
          <w:tcPr>
            <w:tcW w:w="2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48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8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29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3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488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2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6,700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5,955</w:t>
            </w:r>
          </w:p>
        </w:tc>
      </w:tr>
      <w:tr>
        <w:trPr>
          <w:trHeight w:val="20"/>
        </w:trPr>
        <w:tc>
          <w:tcPr>
            <w:tcW w:w="12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7,448</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insurance license</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1,900</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r>
      <w:tr>
        <w:trPr>
          <w:trHeight w:val="20"/>
        </w:trPr>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gridSpan w:val="2"/>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9,348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$118 and $118 for the three months ended March 31, 2022 and 2021, respectively.</w:t>
      </w:r>
    </w:p>
    <w:p>
      <w:pPr>
        <w:spacing w:after="0" w:line="19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Other intangible assets that have finite lives, including trade names and distribution networks, are amortized over their useful lives. As of March 31, 2022, the estimated amortization of other intangible assets with finite lives for the next five years and thereafter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ending December 31, 2022</w:t>
            </w:r>
          </w:p>
        </w:tc>
        <w:tc>
          <w:tcPr>
            <w:tcW w:w="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40" w:type="dxa"/>
            <w:vAlign w:val="bottom"/>
          </w:tcPr>
          <w:p>
            <w:pPr>
              <w:spacing w:after="0"/>
              <w:rPr>
                <w:sz w:val="18"/>
                <w:szCs w:val="18"/>
                <w:color w:val="auto"/>
              </w:rPr>
            </w:pPr>
          </w:p>
        </w:tc>
      </w:tr>
      <w:tr>
        <w:trPr>
          <w:trHeight w:val="249"/>
        </w:trPr>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intangible assets with finite lives</w:t>
            </w: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764"/>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1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 For the three months ended March 31, 2022 and the year ended December 31, 2021, the pooling share percentages by insurance company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Pool</w:t>
            </w:r>
          </w:p>
        </w:tc>
        <w:tc>
          <w:tcPr>
            <w:tcW w:w="1660" w:type="dxa"/>
            <w:vAlign w:val="bottom"/>
          </w:tcPr>
          <w:p>
            <w:pPr>
              <w:spacing w:after="0"/>
              <w:rPr>
                <w:sz w:val="18"/>
                <w:szCs w:val="18"/>
                <w:color w:val="auto"/>
              </w:rPr>
            </w:pPr>
          </w:p>
        </w:tc>
      </w:tr>
      <w:tr>
        <w:trPr>
          <w:trHeight w:val="238"/>
        </w:trPr>
        <w:tc>
          <w:tcPr>
            <w:tcW w:w="16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10"/>
        </w:trPr>
        <w:tc>
          <w:tcPr>
            <w:tcW w:w="16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28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4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4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Mutual Insurance Company</w:t>
            </w:r>
          </w:p>
        </w:tc>
        <w:tc>
          <w:tcPr>
            <w:tcW w:w="4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4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28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60" w:type="dxa"/>
            <w:vAlign w:val="bottom"/>
          </w:tcPr>
          <w:p>
            <w:pPr>
              <w:spacing w:after="0"/>
              <w:rPr>
                <w:sz w:val="18"/>
                <w:szCs w:val="18"/>
                <w:color w:val="auto"/>
              </w:rPr>
            </w:pPr>
          </w:p>
        </w:tc>
      </w:tr>
      <w:tr>
        <w:trPr>
          <w:trHeight w:val="20"/>
        </w:trPr>
        <w:tc>
          <w:tcPr>
            <w:tcW w:w="1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49"/>
        </w:trPr>
        <w:tc>
          <w:tcPr>
            <w:tcW w:w="1680" w:type="dxa"/>
            <w:vAlign w:val="bottom"/>
          </w:tcPr>
          <w:p>
            <w:pPr>
              <w:spacing w:after="0"/>
              <w:rPr>
                <w:sz w:val="21"/>
                <w:szCs w:val="21"/>
                <w:color w:val="auto"/>
              </w:rPr>
            </w:pP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tcPr>
          <w:p>
            <w:pPr>
              <w:spacing w:after="0"/>
              <w:rPr>
                <w:sz w:val="21"/>
                <w:szCs w:val="21"/>
                <w:color w:val="auto"/>
              </w:rPr>
            </w:pPr>
          </w:p>
        </w:tc>
      </w:tr>
      <w:tr>
        <w:trPr>
          <w:trHeight w:val="372"/>
        </w:trPr>
        <w:tc>
          <w:tcPr>
            <w:tcW w:w="168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8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1680" w:type="dxa"/>
            <w:vAlign w:val="bottom"/>
            <w:tcBorders>
              <w:bottom w:val="single" w:sz="8" w:color="EEEEEE"/>
            </w:tcBorders>
          </w:tcPr>
          <w:p>
            <w:pPr>
              <w:spacing w:after="0"/>
              <w:rPr>
                <w:sz w:val="17"/>
                <w:szCs w:val="17"/>
                <w:color w:val="auto"/>
              </w:rPr>
            </w:pPr>
          </w:p>
        </w:tc>
        <w:tc>
          <w:tcPr>
            <w:tcW w:w="3500" w:type="dxa"/>
            <w:vAlign w:val="bottom"/>
            <w:tcBorders>
              <w:bottom w:val="single" w:sz="8" w:color="EEEEEE"/>
            </w:tcBorders>
          </w:tcPr>
          <w:p>
            <w:pPr>
              <w:spacing w:after="0"/>
              <w:rPr>
                <w:sz w:val="17"/>
                <w:szCs w:val="17"/>
                <w:color w:val="auto"/>
              </w:rPr>
            </w:pPr>
          </w:p>
        </w:tc>
        <w:tc>
          <w:tcPr>
            <w:tcW w:w="2820" w:type="dxa"/>
            <w:vAlign w:val="bottom"/>
            <w:tcBorders>
              <w:bottom w:val="single" w:sz="8" w:color="EEEEEE"/>
            </w:tcBorders>
          </w:tcPr>
          <w:p>
            <w:pPr>
              <w:spacing w:after="0"/>
              <w:rPr>
                <w:sz w:val="17"/>
                <w:szCs w:val="17"/>
                <w:color w:val="auto"/>
              </w:rPr>
            </w:pPr>
          </w:p>
        </w:tc>
        <w:tc>
          <w:tcPr>
            <w:tcW w:w="14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1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policies. Royalties paid to the NDFB were $339 and $337 during the three months ended March 31, 2022 and 2021, respectively. Royalty amounts payable of $128 and $125 were accrued as a liability to the NDFB at March 31, 2022 and December 31,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2021 exceeded the amount of statutory capital and surplus necessary to satisfy regulatory requirements, including the RBC requirements, by a significant margin.</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2022 without the prior approval of the North Dakota Insurance Department is $21,493 based upon the surplus of Nodak Insurance at December 31, 2021.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three months ended March 31, 2022 or the year ended December 31, 2021.</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Direct Auto was re-domesticated from Illinois to North Dakota during 2021, and is now subject to the same dividend restrictions as Nodak Insurance. The amount available for payment of dividends from Direct Auto to NI Holdings during 2022 without the prior approval of the North Dakota Insurance Department is $3,796 based upon the surplus of Direct Auto at December 31, 2021. No dividends were declared or paid by Direct Auto during the three months ended March 31, 2022 or the year ended December 31, 2021.</w:t>
      </w:r>
    </w:p>
    <w:p>
      <w:pPr>
        <w:spacing w:after="0" w:line="153"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Westminster was re-domesticated from Maryland to North Dakota during 2021, and is now subject to the same dividend restrictions as Nodak Insurance. The amount available for payment of dividends from Westminster to NI Holdings during 2022 without the prior approval of the North Dakota Insurance Department is $2,471 based upon the surplus of Westminster at December 31, 2021. No dividends were declared or paid by Westminster during the three months ended March 31, 2022 or the year ended December 31, 2021.</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Mutual Insurance Company</w:t>
      </w:r>
    </w:p>
    <w:p>
      <w:pPr>
        <w:spacing w:after="0" w:line="216"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following tables illustrates the impact of including Battle Creek in our Consolidated Balance Sheets and Statements of Operations prior to intercompany eliminations: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10,610</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57"/>
        </w:trPr>
        <w:tc>
          <w:tcPr>
            <w:tcW w:w="75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10,173</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50"/>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31,288</w:t>
            </w:r>
          </w:p>
        </w:tc>
      </w:tr>
      <w:tr>
        <w:trPr>
          <w:trHeight w:val="197"/>
        </w:trPr>
        <w:tc>
          <w:tcPr>
            <w:tcW w:w="75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2,544</w:t>
            </w:r>
          </w:p>
        </w:tc>
      </w:tr>
      <w:tr>
        <w:trPr>
          <w:trHeight w:val="257"/>
        </w:trPr>
        <w:tc>
          <w:tcPr>
            <w:tcW w:w="75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56"/>
        </w:trPr>
        <w:tc>
          <w:tcPr>
            <w:tcW w:w="75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5,580</w:t>
            </w:r>
          </w:p>
        </w:tc>
      </w:tr>
      <w:tr>
        <w:trPr>
          <w:trHeight w:val="257"/>
        </w:trPr>
        <w:tc>
          <w:tcPr>
            <w:tcW w:w="75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9"/>
                <w:szCs w:val="29"/>
                <w:color w:val="auto"/>
                <w:vertAlign w:val="superscript"/>
              </w:rPr>
              <w:t>(2)</w:t>
            </w: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12,754</w:t>
            </w:r>
          </w:p>
        </w:tc>
      </w:tr>
      <w:tr>
        <w:trPr>
          <w:trHeight w:val="216"/>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27,079</w:t>
            </w:r>
          </w:p>
        </w:tc>
      </w:tr>
      <w:tr>
        <w:trPr>
          <w:trHeight w:val="210"/>
        </w:trPr>
        <w:tc>
          <w:tcPr>
            <w:tcW w:w="7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8"/>
                <w:szCs w:val="18"/>
                <w:color w:val="auto"/>
              </w:rPr>
            </w:pPr>
          </w:p>
        </w:tc>
      </w:tr>
      <w:tr>
        <w:trPr>
          <w:trHeight w:val="210"/>
        </w:trPr>
        <w:tc>
          <w:tcPr>
            <w:tcW w:w="7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31,288</w:t>
            </w: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fully eliminated in consolidation.</w:t>
      </w:r>
    </w:p>
    <w:p>
      <w:pPr>
        <w:spacing w:after="0" w:line="2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partially eliminated in consolidation.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30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120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expenses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10"/>
        </w:trPr>
        <w:tc>
          <w:tcPr>
            <w:tcW w:w="56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1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w:t>
            </w: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r>
      <w:tr>
        <w:trPr>
          <w:trHeight w:val="209"/>
        </w:trPr>
        <w:tc>
          <w:tcPr>
            <w:tcW w:w="56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6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0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Westminster also sponsors a separate 401(k) plan. The Company reported expenses related to the 401(k) plans totaling $190 and $269 during the three months ended March 31, 2022 and 2021, respectively.</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Nodak Insurance also contributes an additional elective amount of employee compensation as a profit-sharing contribution for eligible employees that is invested in a portfolio of investments directed by the Company. The reported expenses related to this profit-sharing contribution were $148 and $172 during the three months ended March 31,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$104 and $418 during the three months ended March 31, 2022 and 2021, respectively.</w:t>
      </w:r>
    </w:p>
    <w:p>
      <w:pPr>
        <w:spacing w:after="0" w:line="1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(“IPO”) in March 2017, the Company established an Employee Stock Ownership Plan (the “ESOP”). The ESOP is intended to be an employee stock ownership plan within the meaning of Internal Revenue Code Section 4975(e)(7) and invests solely in common stock of the Company.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establishment of the plan,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7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 American West and Battle Creek have no employees.</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initial public offering.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of $109 and $109 during the three months ended March 31, 2022 and 2021, respectively, related to the ESOP.</w:t>
      </w:r>
    </w:p>
    <w:p>
      <w:pPr>
        <w:spacing w:after="0" w:line="14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Through March 31, 2022 and December 31, 2021, the Company had released and allocated 121,575 ESOP shares to participants, with a remainder of 118,425 ESOP shares in suspense at March 31, 2022 and December 31, 2021. Using the Company’s quarter-end market price of $16.96 per share, the fair value of the unearned ESOP shares was $2,008 at March 31, 2022.</w:t>
      </w:r>
    </w:p>
    <w:p>
      <w:pPr>
        <w:spacing w:after="0" w:line="11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Nodak Insurance has a $5,000 line of credit with Wells Fargo Bank, N.A. The terms of the line of credit include a floating interest rate with a floor rate of 3.25%. There were no outstanding amounts during the three months ended March 31, 2022, or the year ended December 31, 2021. This line of credit is scheduled to expire on May 31, 2023.</w:t>
      </w:r>
    </w:p>
    <w:p>
      <w:pPr>
        <w:spacing w:after="0" w:line="11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we had no unrecognized tax benefits, no accrued interest and penalties, and no significant uncertain tax positions. No interest and penalties were recognized during the three-month periods ended March 31, 2022 or 2021.</w:t>
      </w:r>
    </w:p>
    <w:p>
      <w:pPr>
        <w:spacing w:after="0" w:line="14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Company, other than Battle Creek and Westminster, had no income tax related carryforwards for net operating losses, alternative minimum tax credits, or capital losses.</w:t>
      </w:r>
    </w:p>
    <w:p>
      <w:pPr>
        <w:spacing w:after="0" w:line="1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Battle Creek, which files its income tax returns on a stand-alone basis, had net operating loss carryforwards of $3,215 at December 31, 2021. These net operating loss carryforwards began expiring in 2021 and will continue through 2032 due to limitations on their use.</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Westminster had a $2,122 net operating loss carryforward at December 31, 2021. This net operating loss carryforward expires in 2023 due to limitations on its use.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federal income tax years 2018 through 2020 remain open for examination.</w:t>
      </w:r>
    </w:p>
    <w:p>
      <w:pPr>
        <w:spacing w:after="0" w:line="16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Primero leases a facility in Spearfish, South Dakota under a non-cancellable operating lease expiring in 2023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 There were expenses of $68 and $61 related to these leases during the three months ended March 31, 2022 and 2021,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have minimum future commitments under non-cancellable leases for the next five years and thereafter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Estimated Future</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660" w:type="dxa"/>
            <w:vAlign w:val="bottom"/>
          </w:tcPr>
          <w:p>
            <w:pPr>
              <w:spacing w:after="0"/>
              <w:rPr>
                <w:sz w:val="18"/>
                <w:szCs w:val="18"/>
                <w:color w:val="auto"/>
              </w:rPr>
            </w:pPr>
          </w:p>
        </w:tc>
      </w:tr>
      <w:tr>
        <w:trPr>
          <w:trHeight w:val="238"/>
        </w:trPr>
        <w:tc>
          <w:tcPr>
            <w:tcW w:w="1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660" w:type="dxa"/>
            <w:vAlign w:val="bottom"/>
          </w:tcPr>
          <w:p>
            <w:pPr>
              <w:spacing w:after="0"/>
              <w:rPr>
                <w:sz w:val="20"/>
                <w:szCs w:val="20"/>
                <w:color w:val="auto"/>
              </w:rPr>
            </w:pPr>
          </w:p>
        </w:tc>
      </w:tr>
      <w:tr>
        <w:trPr>
          <w:trHeight w:val="210"/>
        </w:trPr>
        <w:tc>
          <w:tcPr>
            <w:tcW w:w="168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Nine months ending December 31, 2022</w:t>
            </w:r>
          </w:p>
        </w:tc>
        <w:tc>
          <w:tcPr>
            <w:tcW w:w="204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66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0"/>
        </w:trPr>
        <w:tc>
          <w:tcPr>
            <w:tcW w:w="1680" w:type="dxa"/>
            <w:vAlign w:val="bottom"/>
          </w:tcPr>
          <w:p>
            <w:pPr>
              <w:spacing w:after="0"/>
              <w:rPr>
                <w:sz w:val="21"/>
                <w:szCs w:val="21"/>
                <w:color w:val="auto"/>
              </w:rPr>
            </w:pPr>
          </w:p>
        </w:tc>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minimum future commitments</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1,127</w:t>
            </w:r>
          </w:p>
        </w:tc>
        <w:tc>
          <w:tcPr>
            <w:tcW w:w="1660" w:type="dxa"/>
            <w:vAlign w:val="bottom"/>
          </w:tcPr>
          <w:p>
            <w:pPr>
              <w:spacing w:after="0"/>
              <w:rPr>
                <w:sz w:val="21"/>
                <w:szCs w:val="21"/>
                <w:color w:val="auto"/>
              </w:rPr>
            </w:pPr>
          </w:p>
        </w:tc>
      </w:tr>
      <w:tr>
        <w:trPr>
          <w:trHeight w:val="372"/>
        </w:trPr>
        <w:tc>
          <w:tcPr>
            <w:tcW w:w="1680" w:type="dxa"/>
            <w:vAlign w:val="bottom"/>
          </w:tcPr>
          <w:p>
            <w:pPr>
              <w:spacing w:after="0"/>
              <w:rPr>
                <w:sz w:val="24"/>
                <w:szCs w:val="24"/>
                <w:color w:val="auto"/>
              </w:rPr>
            </w:pPr>
          </w:p>
        </w:tc>
        <w:tc>
          <w:tcPr>
            <w:tcW w:w="348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1390"/>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1680" w:type="dxa"/>
            <w:vAlign w:val="bottom"/>
            <w:tcBorders>
              <w:bottom w:val="single" w:sz="8" w:color="EEEEEE"/>
            </w:tcBorders>
          </w:tcPr>
          <w:p>
            <w:pPr>
              <w:spacing w:after="0"/>
              <w:rPr>
                <w:sz w:val="17"/>
                <w:szCs w:val="17"/>
                <w:color w:val="auto"/>
              </w:rPr>
            </w:pPr>
          </w:p>
        </w:tc>
        <w:tc>
          <w:tcPr>
            <w:tcW w:w="3480" w:type="dxa"/>
            <w:vAlign w:val="bottom"/>
            <w:tcBorders>
              <w:bottom w:val="single" w:sz="8" w:color="EEEEEE"/>
            </w:tcBorders>
          </w:tcPr>
          <w:p>
            <w:pPr>
              <w:spacing w:after="0"/>
              <w:rPr>
                <w:sz w:val="17"/>
                <w:szCs w:val="17"/>
                <w:color w:val="auto"/>
              </w:rPr>
            </w:pPr>
          </w:p>
        </w:tc>
        <w:tc>
          <w:tcPr>
            <w:tcW w:w="204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3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40"/>
          </w:cols>
          <w:pgMar w:left="320" w:top="119" w:right="339" w:bottom="1440" w:gutter="0" w:footer="0" w:header="0"/>
        </w:sectPr>
      </w:pPr>
    </w:p>
    <w:p>
      <w:pPr>
        <w:spacing w:after="0" w:line="104"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2540"/>
        <w:spacing w:after="0" w:line="271" w:lineRule="auto"/>
        <w:rPr>
          <w:sz w:val="20"/>
          <w:szCs w:val="20"/>
          <w:color w:val="auto"/>
        </w:rPr>
      </w:pPr>
      <w:r>
        <w:rPr>
          <w:rFonts w:ascii="Times New Roman" w:cs="Times New Roman" w:eastAsia="Times New Roman" w:hAnsi="Times New Roman"/>
          <w:sz w:val="18"/>
          <w:szCs w:val="18"/>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27305</wp:posOffset>
            </wp:positionV>
            <wp:extent cx="19888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 w:lineRule="exact"/>
        <w:rPr>
          <w:sz w:val="20"/>
          <w:szCs w:val="20"/>
          <w:color w:val="auto"/>
        </w:rPr>
      </w:pPr>
    </w:p>
    <w:p>
      <w:pPr>
        <w:ind w:left="22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14605</wp:posOffset>
            </wp:positionV>
            <wp:extent cx="198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1960" w:val="left"/>
        </w:tabs>
        <w:rPr>
          <w:sz w:val="20"/>
          <w:szCs w:val="20"/>
          <w:color w:val="auto"/>
        </w:rPr>
      </w:pPr>
      <w:r>
        <w:rPr>
          <w:rFonts w:ascii="Times New Roman" w:cs="Times New Roman" w:eastAsia="Times New Roman" w:hAnsi="Times New Roman"/>
          <w:sz w:val="18"/>
          <w:szCs w:val="18"/>
          <w:color w:val="auto"/>
        </w:rPr>
        <w:t>21,219,808</w:t>
      </w:r>
      <w:r>
        <w:rPr>
          <w:sz w:val="20"/>
          <w:szCs w:val="20"/>
          <w:color w:val="auto"/>
        </w:rPr>
        <w:tab/>
      </w:r>
      <w:r>
        <w:rPr>
          <w:rFonts w:ascii="Times New Roman" w:cs="Times New Roman" w:eastAsia="Times New Roman" w:hAnsi="Times New Roman"/>
          <w:sz w:val="18"/>
          <w:szCs w:val="18"/>
          <w:color w:val="auto"/>
        </w:rPr>
        <w:t>21,318,638</w:t>
      </w:r>
    </w:p>
    <w:p>
      <w:pPr>
        <w:spacing w:after="0" w:line="23" w:lineRule="exact"/>
        <w:rPr>
          <w:sz w:val="20"/>
          <w:szCs w:val="20"/>
          <w:color w:val="auto"/>
        </w:rPr>
      </w:pPr>
    </w:p>
    <w:p>
      <w:pPr>
        <w:jc w:val="both"/>
        <w:ind w:left="580"/>
        <w:spacing w:after="0"/>
        <w:tabs>
          <w:tab w:leader="none" w:pos="2220" w:val="left"/>
        </w:tabs>
        <w:rPr>
          <w:sz w:val="20"/>
          <w:szCs w:val="20"/>
          <w:color w:val="auto"/>
        </w:rPr>
      </w:pPr>
      <w:r>
        <w:rPr>
          <w:rFonts w:ascii="Times New Roman" w:cs="Times New Roman" w:eastAsia="Times New Roman" w:hAnsi="Times New Roman"/>
          <w:sz w:val="18"/>
          <w:szCs w:val="18"/>
          <w:color w:val="auto"/>
        </w:rPr>
        <w:t>(54,872)</w:t>
      </w:r>
      <w:r>
        <w:rPr>
          <w:sz w:val="20"/>
          <w:szCs w:val="20"/>
          <w:color w:val="auto"/>
        </w:rPr>
        <w:tab/>
      </w:r>
      <w:r>
        <w:rPr>
          <w:rFonts w:ascii="Times New Roman" w:cs="Times New Roman" w:eastAsia="Times New Roman" w:hAnsi="Times New Roman"/>
          <w:sz w:val="18"/>
          <w:szCs w:val="18"/>
          <w:color w:val="auto"/>
        </w:rPr>
        <w:t>(32,326)</w:t>
      </w:r>
    </w:p>
    <w:p>
      <w:pPr>
        <w:spacing w:after="0" w:line="9" w:lineRule="exact"/>
        <w:rPr>
          <w:sz w:val="20"/>
          <w:szCs w:val="20"/>
          <w:color w:val="auto"/>
        </w:rPr>
      </w:pPr>
    </w:p>
    <w:p>
      <w:pPr>
        <w:ind w:left="640"/>
        <w:spacing w:after="0"/>
        <w:tabs>
          <w:tab w:leader="none" w:pos="2280" w:val="left"/>
        </w:tabs>
        <w:rPr>
          <w:sz w:val="20"/>
          <w:szCs w:val="20"/>
          <w:color w:val="auto"/>
        </w:rPr>
      </w:pPr>
      <w:r>
        <w:rPr>
          <w:rFonts w:ascii="Times New Roman" w:cs="Times New Roman" w:eastAsia="Times New Roman" w:hAnsi="Times New Roman"/>
          <w:sz w:val="18"/>
          <w:szCs w:val="18"/>
          <w:color w:val="auto"/>
        </w:rPr>
        <w:t>90,704</w:t>
      </w:r>
      <w:r>
        <w:rPr>
          <w:sz w:val="20"/>
          <w:szCs w:val="20"/>
          <w:color w:val="auto"/>
        </w:rPr>
        <w:tab/>
      </w:r>
      <w:r>
        <w:rPr>
          <w:rFonts w:ascii="Times New Roman" w:cs="Times New Roman" w:eastAsia="Times New Roman" w:hAnsi="Times New Roman"/>
          <w:sz w:val="18"/>
          <w:szCs w:val="18"/>
          <w:color w:val="auto"/>
        </w:rPr>
        <w:t>86,460</w:t>
      </w:r>
    </w:p>
    <w:p>
      <w:pPr>
        <w:spacing w:after="0" w:line="9" w:lineRule="exact"/>
        <w:rPr>
          <w:sz w:val="20"/>
          <w:szCs w:val="20"/>
          <w:color w:val="auto"/>
        </w:rPr>
      </w:pPr>
    </w:p>
    <w:p>
      <w:pPr>
        <w:ind w:left="320"/>
        <w:spacing w:after="0"/>
        <w:tabs>
          <w:tab w:leader="none" w:pos="1960" w:val="left"/>
        </w:tabs>
        <w:rPr>
          <w:sz w:val="20"/>
          <w:szCs w:val="20"/>
          <w:color w:val="auto"/>
        </w:rPr>
      </w:pPr>
      <w:r>
        <w:rPr>
          <w:rFonts w:ascii="Times New Roman" w:cs="Times New Roman" w:eastAsia="Times New Roman" w:hAnsi="Times New Roman"/>
          <w:sz w:val="18"/>
          <w:szCs w:val="18"/>
          <w:color w:val="auto"/>
        </w:rPr>
        <w:t>21,255,640</w:t>
      </w:r>
      <w:r>
        <w:rPr>
          <w:sz w:val="20"/>
          <w:szCs w:val="20"/>
          <w:color w:val="auto"/>
        </w:rPr>
        <w:tab/>
      </w:r>
      <w:r>
        <w:rPr>
          <w:rFonts w:ascii="Times New Roman" w:cs="Times New Roman" w:eastAsia="Times New Roman" w:hAnsi="Times New Roman"/>
          <w:sz w:val="18"/>
          <w:szCs w:val="18"/>
          <w:color w:val="auto"/>
        </w:rPr>
        <w:t>21,372,772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14605</wp:posOffset>
            </wp:positionV>
            <wp:extent cx="19888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88820" cy="2603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620" w:space="720"/>
            <w:col w:w="2900"/>
          </w:cols>
          <w:pgMar w:left="320" w:top="119" w:right="339" w:bottom="1440" w:gutter="0" w:footer="0" w:header="0"/>
          <w:type w:val="continuous"/>
        </w:sectPr>
      </w:pPr>
    </w:p>
    <w:p>
      <w:pPr>
        <w:spacing w:after="0" w:line="1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May 4, 2020, our Board of Directors approved an additional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completed the repurchase of 144,110 shares of our common stock for $2,762 to close out this authorization.</w:t>
      </w:r>
    </w:p>
    <w:p>
      <w:pPr>
        <w:spacing w:after="0" w:line="166"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On August 11, 2021, our Board of Directors approved an additional authorization for the repurchase of up to approximately $5,000 of the Company’s outstanding common stock. During the year ended December 31, 2021, we completed the repurchase of 81,095 shares of our common stock for $1,554 under this authorization. During the three months ended March 31, 2022, we completed the repurchase 54,872 shares of our common stock for $997.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16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5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19" w:right="339" w:bottom="1440"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RSUs earned during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earned during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March 31,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impact of RSU activity to the Company’s financial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40" w:type="dxa"/>
            <w:vAlign w:val="bottom"/>
          </w:tcPr>
          <w:p>
            <w:pPr>
              <w:spacing w:after="0"/>
              <w:rPr>
                <w:sz w:val="20"/>
                <w:szCs w:val="20"/>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115,780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18.76</w:t>
            </w:r>
          </w:p>
        </w:tc>
      </w:tr>
      <w:tr>
        <w:trPr>
          <w:trHeight w:val="234"/>
        </w:trPr>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(66,100)</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w:t>
            </w: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r>
      <w:tr>
        <w:trPr>
          <w:trHeight w:val="407"/>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r>
      <w:tr>
        <w:trPr>
          <w:trHeight w:val="234"/>
        </w:trPr>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(37,020)</w:t>
            </w:r>
          </w:p>
        </w:tc>
        <w:tc>
          <w:tcPr>
            <w:tcW w:w="1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16.67</w:t>
            </w:r>
          </w:p>
        </w:tc>
      </w:tr>
      <w:tr>
        <w:trPr>
          <w:trHeight w:val="209"/>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112,360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17.37</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71" w:lineRule="exact"/>
        <w:rPr>
          <w:sz w:val="20"/>
          <w:szCs w:val="20"/>
          <w:color w:val="auto"/>
        </w:rPr>
      </w:pPr>
    </w:p>
    <w:p>
      <w:pPr>
        <w:sectPr>
          <w:pgSz w:w="11900" w:h="16838" w:orient="portrait"/>
          <w:cols w:equalWidth="0" w:num="2">
            <w:col w:w="7180" w:space="720"/>
            <w:col w:w="33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At March 31, 2022, there was $1,187 of unrecognized compensation cost related to outstanding RSUs. That cost is expected to be recognized over a weighted-average period of 2.59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7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based on the grant date fair value over the performance period of the awards. Estimated forfeitures are included in the determination of compensation costs. The current cost estimate assumes that the cumulative growth targets will be achieved or exceeded.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2"/>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52"/>
        </w:trPr>
        <w:tc>
          <w:tcPr>
            <w:tcW w:w="128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40" w:type="dxa"/>
            <w:vAlign w:val="bottom"/>
          </w:tcPr>
          <w:p>
            <w:pPr>
              <w:spacing w:after="0"/>
              <w:rPr>
                <w:sz w:val="21"/>
                <w:szCs w:val="21"/>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174,600</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PSUs granted during 2021 (at target)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64,600</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r>
      <w:tr>
        <w:trPr>
          <w:trHeight w:val="216"/>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PSUs earned during 2021</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(70,363)</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57"/>
        </w:trPr>
        <w:tc>
          <w:tcPr>
            <w:tcW w:w="79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24,300</w:t>
            </w:r>
          </w:p>
        </w:tc>
        <w:tc>
          <w:tcPr>
            <w:tcW w:w="140" w:type="dxa"/>
            <w:vAlign w:val="bottom"/>
          </w:tcPr>
          <w:p>
            <w:pPr>
              <w:spacing w:after="0"/>
              <w:rPr>
                <w:sz w:val="22"/>
                <w:szCs w:val="22"/>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09"/>
        </w:trPr>
        <w:tc>
          <w:tcPr>
            <w:tcW w:w="79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Units outstanding at December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190,600</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r>
      <w:tr>
        <w:trPr>
          <w:trHeight w:val="210"/>
        </w:trPr>
        <w:tc>
          <w:tcPr>
            <w:tcW w:w="128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PSUs granted during 2022 (at target)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PSUs earned during 2022</w:t>
      </w:r>
    </w:p>
    <w:p>
      <w:pPr>
        <w:ind w:left="180"/>
        <w:spacing w:after="0" w:line="201" w:lineRule="auto"/>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Forfeitures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at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60" w:type="dxa"/>
            <w:vAlign w:val="bottom"/>
            <w:gridSpan w:val="2"/>
          </w:tcPr>
          <w:p>
            <w:pPr>
              <w:jc w:val="right"/>
              <w:ind w:right="820"/>
              <w:spacing w:after="0" w:line="198" w:lineRule="exact"/>
              <w:rPr>
                <w:sz w:val="20"/>
                <w:szCs w:val="20"/>
                <w:color w:val="auto"/>
              </w:rPr>
            </w:pPr>
            <w:r>
              <w:rPr>
                <w:rFonts w:ascii="Times New Roman" w:cs="Times New Roman" w:eastAsia="Times New Roman" w:hAnsi="Times New Roman"/>
                <w:sz w:val="18"/>
                <w:szCs w:val="18"/>
                <w:color w:val="auto"/>
              </w:rPr>
              <w:t>61,800</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18.10</w:t>
            </w:r>
          </w:p>
        </w:tc>
      </w:tr>
      <w:tr>
        <w:trPr>
          <w:trHeight w:val="234"/>
        </w:trPr>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(86,684)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8"/>
        </w:trPr>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31,200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34"/>
        </w:trPr>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(6,916)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-607695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-307975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340"/>
          </w:cols>
          <w:pgMar w:left="320" w:top="108" w:right="339" w:bottom="1440" w:gutter="0" w:footer="0" w:header="0"/>
          <w:type w:val="continuous"/>
        </w:sectPr>
      </w:pPr>
    </w:p>
    <w:p>
      <w:pPr>
        <w:spacing w:after="0" w:line="11" w:lineRule="exact"/>
        <w:rPr>
          <w:sz w:val="20"/>
          <w:szCs w:val="20"/>
          <w:color w:val="auto"/>
        </w:rPr>
      </w:pPr>
    </w:p>
    <w:p>
      <w:pPr>
        <w:ind w:right="2620" w:firstLine="45"/>
        <w:spacing w:after="0" w:line="391" w:lineRule="auto"/>
        <w:tabs>
          <w:tab w:leader="none" w:pos="257"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change in PSUs issued based upon the attainment of performance goals established by the Company. The following table shows the impact of PSU activity to the Company’s financial results:</w:t>
      </w: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PSU grants above represent initial target awards and do not reflect potential increases or decreases resulting from financial performance objectives to be determined at the end of the performance period. At the end of the performance period, the Company will reflect a performance adjustment, which may be either an increase or decrease from the initial target awards. The actual number of shares to be issued at the end of the performance period will range from 0% to 150% of the initial target awards.</w:t>
      </w:r>
    </w:p>
    <w:p>
      <w:pPr>
        <w:spacing w:after="0" w:line="16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At March 31, 2022, there was $1,918 of unrecognized compensation cost related to outstanding PSUs. That cost is expected to be recognized over a weighted-average period of 2.28 years.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five primary reportable operating segments, which consist of private passenger auto insurance, non-standard auto insurance, home and farm insurance, crop insurance, and commercial insurance. A sixth segment captures all other insurance coverages we sell, including our assumed reinsurance lines of business. We operate only in the United States, and no single customer or agent provides 10 percent or more of our revenues. The following tables provide available information of these segments for the three-month periods ended March 31, 2022 and 2021.</w:t>
      </w:r>
    </w:p>
    <w:p>
      <w:pPr>
        <w:spacing w:after="0" w:line="1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Consolidated Statement of Operations or Consolidated Balance Sheet line items to our operating segments. Those line items include investment income, net investment gains (losses), other income excluding non-standard auto insurance fees, and income taxes within the Consolidated Statement of Operations. For the Consolidated Balance Sheet, those items include cash and investments, property and equipment, other assets, accrued expenses, income taxes recoverable or payable, and shareholders’ equity.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4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80" w:type="dxa"/>
            <w:vAlign w:val="bottom"/>
            <w:gridSpan w:val="1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2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73,399</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40" w:type="dxa"/>
            <w:vAlign w:val="bottom"/>
          </w:tcPr>
          <w:p>
            <w:pPr>
              <w:spacing w:after="0"/>
              <w:rPr>
                <w:sz w:val="18"/>
                <w:szCs w:val="18"/>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14,526</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7,192</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(103 )</w:t>
            </w:r>
          </w:p>
        </w:tc>
        <w:tc>
          <w:tcPr>
            <w:tcW w:w="5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15,063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(5,046)</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2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38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losses and loss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14,711</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(166 )</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29,458</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Underwriting and general</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24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(552 )</w:t>
            </w:r>
          </w:p>
        </w:tc>
        <w:tc>
          <w:tcPr>
            <w:tcW w:w="5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5,336</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23,404</w:t>
            </w:r>
          </w:p>
        </w:tc>
        <w:tc>
          <w:tcPr>
            <w:tcW w:w="0" w:type="dxa"/>
            <w:vAlign w:val="bottom"/>
          </w:tcPr>
          <w:p>
            <w:pPr>
              <w:spacing w:after="0"/>
              <w:rPr>
                <w:sz w:val="1"/>
                <w:szCs w:val="1"/>
                <w:color w:val="auto"/>
              </w:rPr>
            </w:pPr>
          </w:p>
        </w:tc>
      </w:tr>
      <w:tr>
        <w:trPr>
          <w:trHeight w:val="221"/>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4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gain (loss)</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(1,737)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5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losses​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attributable to</w:t>
      </w:r>
    </w:p>
    <w:p>
      <w:pPr>
        <w:ind w:left="360"/>
        <w:spacing w:after="0" w:line="213" w:lineRule="auto"/>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18"/>
          <w:szCs w:val="18"/>
          <w:color w:val="auto"/>
        </w:rPr>
        <w:t>1,653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(5,528)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2,607</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568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488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8315" cy="8890"/>
                    </a:xfrm>
                    <a:prstGeom prst="rect">
                      <a:avLst/>
                    </a:prstGeom>
                    <a:noFill/>
                  </pic:spPr>
                </pic:pic>
              </a:graphicData>
            </a:graphic>
          </wp:anchor>
        </w:drawing>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130</w:t>
      </w:r>
    </w:p>
    <w:p>
      <w:pPr>
        <w:spacing w:after="0" w:line="198" w:lineRule="exact"/>
        <w:rPr>
          <w:sz w:val="20"/>
          <w:szCs w:val="20"/>
          <w:color w:val="auto"/>
        </w:rPr>
      </w:pPr>
    </w:p>
    <w:p>
      <w:pPr>
        <w:ind w:left="360" w:hanging="357"/>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1,909</w:t>
      </w:r>
    </w:p>
    <w:p>
      <w:pPr>
        <w:spacing w:after="0" w:line="27" w:lineRule="exact"/>
        <w:rPr>
          <w:sz w:val="20"/>
          <w:szCs w:val="20"/>
          <w:color w:val="auto"/>
        </w:rPr>
      </w:pPr>
    </w:p>
    <w:p>
      <w:pPr>
        <w:sectPr>
          <w:pgSz w:w="11900" w:h="16838" w:orient="portrait"/>
          <w:cols w:equalWidth="0" w:num="2">
            <w:col w:w="9680" w:space="720"/>
            <w:col w:w="84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78.5%</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4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4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2022:</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Premiums and agents’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receivable</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19,627</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12,098</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8,991</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13,442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54,880</w:t>
            </w:r>
          </w:p>
        </w:tc>
      </w:tr>
      <w:tr>
        <w:trPr>
          <w:trHeight w:val="198"/>
        </w:trPr>
        <w:tc>
          <w:tcPr>
            <w:tcW w:w="2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Deferred policy acquisition  </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5,076</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7,126</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7,246</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6,392</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26,272</w:t>
            </w: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3,559</w:t>
            </w: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14,184</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19,362</w:t>
            </w:r>
          </w:p>
        </w:tc>
      </w:tr>
      <w:tr>
        <w:trPr>
          <w:trHeight w:val="198"/>
        </w:trPr>
        <w:tc>
          <w:tcPr>
            <w:tcW w:w="2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Goodwill and other</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2,798</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14,806</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17,604</w:t>
            </w:r>
          </w:p>
        </w:tc>
      </w:tr>
      <w:tr>
        <w:trPr>
          <w:trHeight w:val="216"/>
        </w:trPr>
        <w:tc>
          <w:tcPr>
            <w:tcW w:w="2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2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expenses</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26,340</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41,948</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17,130</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421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38,640</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9,215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133,694</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29,573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20,933</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42,307</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34,181</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130,275</w:t>
            </w:r>
          </w:p>
        </w:tc>
      </w:tr>
      <w:tr>
        <w:trPr>
          <w:trHeight w:val="198"/>
        </w:trPr>
        <w:tc>
          <w:tcPr>
            <w:tcW w:w="2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Payable to Federal Crop</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Corporation</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7,059</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7,059</w:t>
            </w:r>
          </w:p>
        </w:tc>
      </w:tr>
    </w:tbl>
    <w:p>
      <w:pPr>
        <w:spacing w:after="0" w:line="157"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80" w:type="dxa"/>
            <w:vAlign w:val="bottom"/>
            <w:gridSpan w:val="1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Non-Standard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20" w:type="dxa"/>
            <w:vAlign w:val="bottom"/>
          </w:tcPr>
          <w:p>
            <w:pPr>
              <w:spacing w:after="0"/>
              <w:rPr>
                <w:sz w:val="20"/>
                <w:szCs w:val="20"/>
                <w:color w:val="auto"/>
              </w:rPr>
            </w:pPr>
          </w:p>
        </w:tc>
        <w:tc>
          <w:tcPr>
            <w:tcW w:w="11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68,743</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40" w:type="dxa"/>
            <w:vAlign w:val="bottom"/>
          </w:tcPr>
          <w:p>
            <w:pPr>
              <w:spacing w:after="0"/>
              <w:rPr>
                <w:sz w:val="18"/>
                <w:szCs w:val="18"/>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12,338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12,559</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7,888</w:t>
            </w:r>
          </w:p>
        </w:tc>
        <w:tc>
          <w:tcPr>
            <w:tcW w:w="22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572</w:t>
            </w:r>
          </w:p>
        </w:tc>
        <w:tc>
          <w:tcPr>
            <w:tcW w:w="5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37,578</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2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38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losses and loss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expenses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12,254</w:t>
            </w:r>
          </w:p>
        </w:tc>
        <w:tc>
          <w:tcPr>
            <w:tcW w:w="24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7,632</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w:t>
            </w: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5,244</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(514)</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Underwriting and general</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4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2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536</w:t>
            </w:r>
          </w:p>
        </w:tc>
        <w:tc>
          <w:tcPr>
            <w:tcW w:w="5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4,615</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8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0" w:type="dxa"/>
            <w:vAlign w:val="bottom"/>
          </w:tcPr>
          <w:p>
            <w:pPr>
              <w:spacing w:after="0"/>
              <w:rPr>
                <w:sz w:val="1"/>
                <w:szCs w:val="1"/>
                <w:color w:val="auto"/>
              </w:rPr>
            </w:pPr>
          </w:p>
        </w:tc>
      </w:tr>
      <w:tr>
        <w:trPr>
          <w:trHeight w:val="221"/>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4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gain (loss)</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4,211</w:t>
            </w:r>
          </w:p>
        </w:tc>
        <w:tc>
          <w:tcPr>
            <w:tcW w:w="2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(1,050)</w:t>
            </w:r>
          </w:p>
        </w:tc>
        <w:tc>
          <w:tcPr>
            <w:tcW w:w="5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income attributable to</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attributable to</w:t>
      </w:r>
    </w:p>
    <w:p>
      <w:pPr>
        <w:ind w:left="360"/>
        <w:spacing w:after="0" w:line="213" w:lineRule="auto"/>
        <w:rPr>
          <w:sz w:val="20"/>
          <w:szCs w:val="20"/>
          <w:color w:val="auto"/>
        </w:rPr>
      </w:pPr>
      <w:r>
        <w:rPr>
          <w:rFonts w:ascii="Times New Roman" w:cs="Times New Roman" w:eastAsia="Times New Roman" w:hAnsi="Times New Roman"/>
          <w:sz w:val="18"/>
          <w:szCs w:val="18"/>
          <w:color w:val="auto"/>
        </w:rPr>
        <w:t>NI Holdings, Inc.</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18"/>
          <w:szCs w:val="18"/>
          <w:color w:val="auto"/>
        </w:rPr>
        <w:t>1,536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5,811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12,672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2,890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9,782</w:t>
      </w:r>
    </w:p>
    <w:p>
      <w:pPr>
        <w:spacing w:after="0" w:line="20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113</w:t>
      </w:r>
    </w:p>
    <w:p>
      <w:pPr>
        <w:spacing w:after="0" w:line="198" w:lineRule="exact"/>
        <w:rPr>
          <w:sz w:val="20"/>
          <w:szCs w:val="20"/>
          <w:color w:val="auto"/>
        </w:rPr>
      </w:pPr>
    </w:p>
    <w:p>
      <w:pPr>
        <w:ind w:left="348" w:hanging="348"/>
        <w:spacing w:after="0"/>
        <w:tabs>
          <w:tab w:leader="none" w:pos="3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9,669</w:t>
      </w:r>
    </w:p>
    <w:p>
      <w:pPr>
        <w:spacing w:after="0" w:line="27" w:lineRule="exact"/>
        <w:rPr>
          <w:sz w:val="20"/>
          <w:szCs w:val="20"/>
          <w:color w:val="auto"/>
        </w:rPr>
      </w:pPr>
    </w:p>
    <w:p>
      <w:pPr>
        <w:sectPr>
          <w:pgSz w:w="11900" w:h="16838" w:orient="portrait"/>
          <w:cols w:equalWidth="0" w:num="2">
            <w:col w:w="9692" w:space="720"/>
            <w:col w:w="828"/>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4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4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4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Balances at March 31, 2021:</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Premiums and agents’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balances receivable</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19,028</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8,568</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9,102</w:t>
            </w:r>
          </w:p>
        </w:tc>
        <w:tc>
          <w:tcPr>
            <w:tcW w:w="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11,964</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49,325</w:t>
            </w:r>
          </w:p>
        </w:tc>
      </w:tr>
      <w:tr>
        <w:trPr>
          <w:trHeight w:val="198"/>
        </w:trPr>
        <w:tc>
          <w:tcPr>
            <w:tcW w:w="2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Deferred policy acquisition  </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5,934</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6,099</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8,170</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5,883</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26,575</w:t>
            </w: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5,741</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9,270</w:t>
            </w:r>
          </w:p>
        </w:tc>
      </w:tr>
      <w:tr>
        <w:trPr>
          <w:trHeight w:val="198"/>
        </w:trPr>
        <w:tc>
          <w:tcPr>
            <w:tcW w:w="2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Receivable from Federal</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Crop Insurance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Corporation</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5,182</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5,182</w:t>
            </w: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Goodwill and other</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15,228</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18,076</w:t>
            </w:r>
          </w:p>
        </w:tc>
      </w:tr>
      <w:tr>
        <w:trPr>
          <w:trHeight w:val="216"/>
        </w:trPr>
        <w:tc>
          <w:tcPr>
            <w:tcW w:w="2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expenses</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22,503</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40,289</w:t>
            </w: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12,657</w:t>
            </w: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25,447</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111,522</w:t>
            </w: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28,912</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19,218</w:t>
            </w:r>
          </w:p>
        </w:tc>
        <w:tc>
          <w:tcPr>
            <w:tcW w:w="4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40,706</w:t>
            </w:r>
          </w:p>
        </w:tc>
        <w:tc>
          <w:tcPr>
            <w:tcW w:w="5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31,639</w:t>
            </w:r>
          </w:p>
        </w:tc>
        <w:tc>
          <w:tcPr>
            <w:tcW w:w="4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123,458</w:t>
            </w:r>
          </w:p>
        </w:tc>
      </w:tr>
    </w:tbl>
    <w:p>
      <w:pPr>
        <w:spacing w:after="0" w:line="13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on Form 10-Q. You should also review Part I, Item 1A “Risk Factors” included in the Company’s 2021 Annual Report for a discussion of important factors, including COVID-19 or a future pandemic, and changing climate conditions, that could cause actual results to differ materially from the results described, or implied by, the forward-looking statements contained herein.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are in thousands.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consolidated net income for the Company was $2,039 for the three months ended March 31, 2022, compared to net income of $9,782 for the three months ended March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the Company’s operating revenues and net income were as follows: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8000" w:type="dxa"/>
            <w:vAlign w:val="bottom"/>
          </w:tcPr>
          <w:p>
            <w:pPr>
              <w:spacing w:after="0"/>
              <w:rPr>
                <w:sz w:val="24"/>
                <w:szCs w:val="24"/>
                <w:color w:val="auto"/>
              </w:rPr>
            </w:pPr>
          </w:p>
        </w:tc>
        <w:tc>
          <w:tcPr>
            <w:tcW w:w="32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69,587</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63,135</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1,536</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shd w:val="clear" w:color="auto" w:fill="CCEEFF"/>
          </w:tcPr>
          <w:p>
            <w:pPr>
              <w:spacing w:after="0"/>
              <w:rPr>
                <w:sz w:val="18"/>
                <w:szCs w:val="18"/>
                <w:color w:val="auto"/>
              </w:rPr>
            </w:pPr>
          </w:p>
        </w:tc>
      </w:tr>
      <w:tr>
        <w:trPr>
          <w:trHeight w:val="209"/>
        </w:trPr>
        <w:tc>
          <w:tcPr>
            <w:tcW w:w="80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70,799</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69,587</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63,135</w:t>
            </w: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36,889</w:t>
            </w:r>
          </w:p>
        </w:tc>
        <w:tc>
          <w:tcPr>
            <w:tcW w:w="2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Underwriting gain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1,536</w:t>
            </w: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Pr>
          <w:p>
            <w:pPr>
              <w:spacing w:after="0"/>
              <w:rPr>
                <w:sz w:val="18"/>
                <w:szCs w:val="18"/>
                <w:color w:val="auto"/>
              </w:rPr>
            </w:pPr>
          </w:p>
        </w:tc>
      </w:tr>
      <w:tr>
        <w:trPr>
          <w:trHeight w:val="20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9,782</w:t>
            </w:r>
          </w:p>
        </w:tc>
        <w:tc>
          <w:tcPr>
            <w:tcW w:w="20" w:type="dxa"/>
            <w:vAlign w:val="bottom"/>
            <w:shd w:val="clear" w:color="auto" w:fill="CCEEFF"/>
          </w:tcPr>
          <w:p>
            <w:pPr>
              <w:spacing w:after="0"/>
              <w:rPr>
                <w:sz w:val="21"/>
                <w:szCs w:val="21"/>
                <w:color w:val="auto"/>
              </w:rPr>
            </w:pPr>
          </w:p>
        </w:tc>
      </w:tr>
      <w:tr>
        <w:trPr>
          <w:trHeight w:val="386"/>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Net Premiums Earned</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05"/>
        </w:trPr>
        <w:tc>
          <w:tcPr>
            <w:tcW w:w="8000" w:type="dxa"/>
            <w:vAlign w:val="bottom"/>
          </w:tcPr>
          <w:p>
            <w:pPr>
              <w:spacing w:after="0"/>
              <w:rPr>
                <w:sz w:val="24"/>
                <w:szCs w:val="24"/>
                <w:color w:val="auto"/>
              </w:rPr>
            </w:pPr>
          </w:p>
        </w:tc>
        <w:tc>
          <w:tcPr>
            <w:tcW w:w="324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premium</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73,399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68,743</w:t>
            </w:r>
          </w:p>
        </w:tc>
        <w:tc>
          <w:tcPr>
            <w:tcW w:w="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 premium</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Ceded premium</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(7,056)</w:t>
            </w:r>
          </w:p>
        </w:tc>
        <w:tc>
          <w:tcPr>
            <w:tcW w:w="2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37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800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net premiums earned for the three months ended March 31, 2022 increased $6,452, or 10.2%, compared to the three months ended March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passenger auto</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Non-standard auto</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 and farm</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69,587</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63,135</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comments regarding net premiums earned by business segment:</w:t>
      </w:r>
    </w:p>
    <w:p>
      <w:pPr>
        <w:spacing w:after="0" w:line="2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Private passenger auto — </w:t>
      </w:r>
      <w:r>
        <w:rPr>
          <w:rFonts w:ascii="Times New Roman" w:cs="Times New Roman" w:eastAsia="Times New Roman" w:hAnsi="Times New Roman"/>
          <w:sz w:val="18"/>
          <w:szCs w:val="18"/>
          <w:color w:val="auto"/>
        </w:rPr>
        <w:t>Net premiums earned for the first quarter of 2022 increased $1,244, or 7.1%, from the first quarter of 2021, driven by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business growth and recent rate increases in South Dakota and Nebraska.</w:t>
      </w:r>
    </w:p>
    <w:p>
      <w:pPr>
        <w:spacing w:after="0" w:line="14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Non-standard auto — </w:t>
      </w:r>
      <w:r>
        <w:rPr>
          <w:rFonts w:ascii="Times New Roman" w:cs="Times New Roman" w:eastAsia="Times New Roman" w:hAnsi="Times New Roman"/>
          <w:sz w:val="18"/>
          <w:szCs w:val="18"/>
          <w:color w:val="auto"/>
        </w:rPr>
        <w:t>Net premiums earned for the first quarter of 2022 increased $1,120, or 8.4%, from the first quarter of 2021. The segment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to benefit from the improved economic environment in the Chicago market where our non-standard auto business is concentrated.</w:t>
      </w:r>
    </w:p>
    <w:p>
      <w:pPr>
        <w:spacing w:after="0" w:line="12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Home and farm — </w:t>
      </w:r>
      <w:r>
        <w:rPr>
          <w:rFonts w:ascii="Times New Roman" w:cs="Times New Roman" w:eastAsia="Times New Roman" w:hAnsi="Times New Roman"/>
          <w:sz w:val="18"/>
          <w:szCs w:val="18"/>
          <w:color w:val="auto"/>
        </w:rPr>
        <w:t>Net premiums earned for the first quarter of 2022 increased $1,758, or 10.1%, from the first quarter of 2021, driven by continued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exposure growth in South Dakota and Nebraska.</w:t>
      </w:r>
    </w:p>
    <w:p>
      <w:pPr>
        <w:spacing w:after="0" w:line="14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Crop — </w:t>
      </w:r>
      <w:r>
        <w:rPr>
          <w:rFonts w:ascii="Times New Roman" w:cs="Times New Roman" w:eastAsia="Times New Roman" w:hAnsi="Times New Roman"/>
          <w:sz w:val="18"/>
          <w:szCs w:val="18"/>
          <w:color w:val="auto"/>
        </w:rPr>
        <w:t>Net premiums earned by the Company for the first quarter of any year are the result of minor prior crop year premium adjustments which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 annually during first quarter. Multi-peril crop and crop hail insurance premiums are generally written in the second quarter and earned ratably over the remainder of the calendar year.</w:t>
      </w:r>
    </w:p>
    <w:p>
      <w:pPr>
        <w:spacing w:after="0" w:line="15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Commercial — </w:t>
      </w:r>
      <w:r>
        <w:rPr>
          <w:rFonts w:ascii="Times New Roman" w:cs="Times New Roman" w:eastAsia="Times New Roman" w:hAnsi="Times New Roman"/>
          <w:sz w:val="18"/>
          <w:szCs w:val="18"/>
          <w:color w:val="auto"/>
        </w:rPr>
        <w:t>Net premiums earned for the first quarter of 2022 increased $1,850, or 15.0%, from the first quarter of 2021. The increase was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exposure growth as well as continued increases in both rate and new business production.</w:t>
      </w:r>
    </w:p>
    <w:p>
      <w:pPr>
        <w:spacing w:after="0" w:line="12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 other — </w:t>
      </w:r>
      <w:r>
        <w:rPr>
          <w:rFonts w:ascii="Times New Roman" w:cs="Times New Roman" w:eastAsia="Times New Roman" w:hAnsi="Times New Roman"/>
          <w:sz w:val="18"/>
          <w:szCs w:val="18"/>
          <w:color w:val="auto"/>
        </w:rPr>
        <w:t>Net premiums earned for the first quarter of 2022 increased $540, or 21.3%, from the first quarter of 2021. Net premiums earned increased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result of our increased participation during 2021 in an assumed domestic and international reinsurance pool of business. As of January 1, 2022, the Company made the decision to non-renew its participation in these pools. However, these results are communicated one to three months following the end of the reporting period. Accordingly, these results are generally reflected in the Company’s financial statements on a quarter lag basis.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40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45,495</w:t>
            </w:r>
          </w:p>
        </w:tc>
        <w:tc>
          <w:tcPr>
            <w:tcW w:w="120" w:type="dxa"/>
            <w:vAlign w:val="bottom"/>
          </w:tcPr>
          <w:p>
            <w:pPr>
              <w:spacing w:after="0"/>
              <w:rPr>
                <w:sz w:val="24"/>
                <w:szCs w:val="24"/>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37,578</w:t>
            </w:r>
          </w:p>
        </w:tc>
      </w:tr>
      <w:tr>
        <w:trPr>
          <w:trHeight w:val="216"/>
        </w:trPr>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r>
      <w:tr>
        <w:trPr>
          <w:trHeight w:val="234"/>
        </w:trPr>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280" w:space="720"/>
            <w:col w:w="3240"/>
          </w:cols>
          <w:pgMar w:left="320" w:top="119" w:right="339" w:bottom="1440" w:gutter="0" w:footer="0" w:header="0"/>
        </w:sect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net losses and loss adjustment expenses for the three months ended March 31, 2022 increased $3,240, or 8.8%, compared to the three months ended March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passenger auto</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Non-standard auto</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 and farm</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40,129</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36,889</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passenger auto</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8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Non-standard auto</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8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and farm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loss and loss adjustment expense ratio</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the net losses and loss adjustment expenses, and the net loss and loss adjustment expense ratios, by business segment:</w:t>
      </w:r>
    </w:p>
    <w:p>
      <w:pPr>
        <w:spacing w:after="0" w:line="13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Private passenger auto — </w:t>
      </w:r>
      <w:r>
        <w:rPr>
          <w:rFonts w:ascii="Times New Roman" w:cs="Times New Roman" w:eastAsia="Times New Roman" w:hAnsi="Times New Roman"/>
          <w:sz w:val="18"/>
          <w:szCs w:val="18"/>
          <w:color w:val="auto"/>
        </w:rPr>
        <w:t>The net loss and loss adjustment expense ratio increased 8.5 percentage points in the three-month period ended March 31,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The increase was driven by elevated loss frequency as a result of increased severe winter weather activity and an increase in the number of uninsured/underinsured motorist liability claims compared to the prior year quarter. Loss experience for the quarter was also adversely impacted by elevated severity due to inflationary factors. We are in the process of taking necessary rate actions as a result of the increased loss activity.</w:t>
      </w:r>
    </w:p>
    <w:p>
      <w:pPr>
        <w:spacing w:after="0" w:line="16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Non-standard auto — </w:t>
      </w:r>
      <w:r>
        <w:rPr>
          <w:rFonts w:ascii="Times New Roman" w:cs="Times New Roman" w:eastAsia="Times New Roman" w:hAnsi="Times New Roman"/>
          <w:sz w:val="18"/>
          <w:szCs w:val="18"/>
          <w:color w:val="auto"/>
        </w:rPr>
        <w:t>The net loss and loss adjustment expense ratio increased 22.9 percentage points in the three-month period ended March 31,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The increase was driven by elevated loss severity as a result of inflationary factors as well as elevated loss frequency primarily due to increased miles driven in our Chicago and Las Vegas markets. We are in the process of taking necessary rate and underwriting actions as a result of the increased loss activity.</w:t>
      </w:r>
    </w:p>
    <w:p>
      <w:pPr>
        <w:spacing w:after="0" w:line="16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Home and farm — </w:t>
      </w:r>
      <w:r>
        <w:rPr>
          <w:rFonts w:ascii="Times New Roman" w:cs="Times New Roman" w:eastAsia="Times New Roman" w:hAnsi="Times New Roman"/>
          <w:sz w:val="18"/>
          <w:szCs w:val="18"/>
          <w:color w:val="auto"/>
        </w:rPr>
        <w:t>The net loss and loss adjustment expense ratio improved 8.1 percentage points in the three-month period ended March 31,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This segment is typically more profitable during first and fourth quarters as a result of lower levels of severe weather activity.</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Crop — </w:t>
      </w:r>
      <w:r>
        <w:rPr>
          <w:rFonts w:ascii="Times New Roman" w:cs="Times New Roman" w:eastAsia="Times New Roman" w:hAnsi="Times New Roman"/>
          <w:sz w:val="18"/>
          <w:szCs w:val="18"/>
          <w:color w:val="auto"/>
        </w:rPr>
        <w:t>The net losses and loss adjustment expenses during the first quarter of any year are reflective of minor prior crop year adjustments which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 annually during first quarter.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9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Commercial — </w:t>
      </w:r>
      <w:r>
        <w:rPr>
          <w:rFonts w:ascii="Times New Roman" w:cs="Times New Roman" w:eastAsia="Times New Roman" w:hAnsi="Times New Roman"/>
          <w:sz w:val="18"/>
          <w:szCs w:val="18"/>
          <w:color w:val="auto"/>
        </w:rPr>
        <w:t>The net loss and loss adjustment expense ratio improved 13.7 points in the three-month period ended March 31, 2022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2021. This improvement was primarily due to decreased fire loss frequency in the Westminster book of business in 2022.</w:t>
      </w:r>
    </w:p>
    <w:p>
      <w:pPr>
        <w:spacing w:after="0" w:line="14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All other — </w:t>
      </w:r>
      <w:r>
        <w:rPr>
          <w:rFonts w:ascii="Times New Roman" w:cs="Times New Roman" w:eastAsia="Times New Roman" w:hAnsi="Times New Roman"/>
          <w:sz w:val="18"/>
          <w:szCs w:val="18"/>
          <w:color w:val="auto"/>
        </w:rPr>
        <w:t>The net loss and loss adjustment expense ratio improved 41.2 percentage points in the three-month period ended March 31, 2022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2021. This improvement was the result of favorable prior year development in our assumed domestic and international reinsurance pool of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w:t>
      </w:r>
    </w:p>
    <w:p>
      <w:pPr>
        <w:spacing w:after="0" w:line="20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Amortization of deferred policy acquisition costs increased $2,036, or 15.0%, in the three months ended March 31, 2022 compared to the same period in 2021. This increase was primarily due to strong year-over-year growth in our commercial and non-standard auto segments which generally pay higher agent commissions than our other lines, as well as growth in our other segments.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Underwriting and General Expenses</w:t>
      </w:r>
    </w:p>
    <w:p>
      <w:pPr>
        <w:spacing w:after="0" w:line="21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underwriting and general expenses increased $130, or 1.7%, in the three months ended March 31, 2022 compared to the same period in 2021. This increase primarily reflected the impact of strategic initiatives and higher business volumes.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Gain (Loss) and Combined Ratio</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00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passenger auto</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Non-standard auto</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 and farm</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underwriting gain</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5,008</w:t>
            </w:r>
          </w:p>
        </w:tc>
      </w:tr>
      <w:tr>
        <w:trPr>
          <w:trHeight w:val="20"/>
        </w:trPr>
        <w:tc>
          <w:tcPr>
            <w:tcW w:w="8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passenger auto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8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Non-standard auto</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and farm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8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7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108.2%</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Combined ratio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underwriting gain increased $1,047, or 20.9%, for the three-month period ended March 31, 2022 compared to the same period in 2021.</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combined ratio improved 0.8 percentage points in the three-month period ended March 31, 2022 compared to the same periods in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and Other Income</w:t>
      </w: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had fee and other income of $428 for the three months ended March 31, 2022, compared to $317 for the three months ended March 31, 2021. Fee income attributable to the non-standard auto segment is a key component in measuring its profitability. Fee income on this business increased slightly to $388 for the three months ended March 31, 2022 from $332 for the three months ended March 31, 2021.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average cash and invested assets, net investment income, and return on average cash and invested assets for the reported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$117 for the three months ended March 31, 2022 compared to the three months ended March 31, 2021. This increase was primarily driven by an increase in average invested assets, partially offset by the continued impact of lower reinvestment rates in the fixed income securities portfolio.</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net return on average cash and invested assets increased year-over-year, driven by a combination of factors. The dividend yield in our equity portfolio increased as a result of a higher allocation to high dividend securities, partially offset by a persistent low reinvestment rate environment and ongoing maturities of existing holdings with higher embedded yields.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Gains (Losses)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000" w:type="dxa"/>
            <w:vAlign w:val="bottom"/>
          </w:tcPr>
          <w:p>
            <w:pPr>
              <w:spacing w:after="0"/>
              <w:rPr>
                <w:sz w:val="24"/>
                <w:szCs w:val="24"/>
                <w:color w:val="auto"/>
              </w:rPr>
            </w:pPr>
          </w:p>
        </w:tc>
        <w:tc>
          <w:tcPr>
            <w:tcW w:w="324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other-than-temporary impairment losses</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5,811</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had net realized gains of $938 for the three months ended March 31, 2022, compared to gains of $3,902 for the three months ended March 31, 2021. The Company reported no other-than-temporary losses during any of the periods presented.</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experienced a decrease in net unrealized gains on equity securities of $6,466 during the three months ended March 31, 2022 driven by the impact of changes in fair value attributable to unfavorable equity markets. The Company experienced an increase in net unrealized gains on equity securities of $1,909 during the three months ended March 31, 2021 driven by the impact of changes in fair value attributable to favorable equity markets. In addition to the impact of the overall equity markets, the Company’s sales activity (and resulting gains and losses) will impact the level and direction of the change in the net unrealized gain or loss of its equity securities portfolio. During the three months ended March 31, 2022, the Company had net realized gains on its equity securities of $895, compared to net realized gains of $3,801 during the three months ended March 31, 2021.</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fixed income securities are classified as available for sale because it will, from time to time, make sales of securities that are not impaired, consistent with our investment goals and policies. The fixed income portion of the portfolio experienced net unrealized losses of $20,937 during the three months ended March 31, 2022, compared to net unrealized losses of $7,157 during the three months ended March 31, 2021. The change was primarily the result of an increase in U.S. interest rates, with 5-year and 10-year U.S. Treasury yields increasing during the quarter by 120 basis points and 83 basis points, respectively. The change in the fair value of fixed income securities is not reflected in net income; rather it is reflected as a separate component (net of income taxes) of other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 had pre-tax income of $2,607 compared to pre-tax income of $12,672 for the three months ended March 31, 2021. The decrease in pre-tax income was largely attributable to the change in net investment gains/losses attributable to the impact of equity markets on the Company’s equity securities portfolio, partially offset by an improvement in underwriting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recorded income tax expense of $568 for the three months ended March 31, 2022, compared to income tax expense of $2,890 for the three months ended March 31, 2021. Our effective tax rate for the first quarter of 2022 was 21.8% compared to an effective tax rate of 22.8% for the first quarter of 2021. A portion of the effective tax rate is attributable to Illinois state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 had net income before non-controlling interest of $2,039 compared to net income of $9,782 for the three months ended March 31, 2021. The decrease was largely attributable the change in net investment gains/losses attributable to the impact of equity markets on the Company’s equity securities portfolio, partially offset by an improvement in underwriting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 on Average Equity</w:t>
      </w:r>
    </w:p>
    <w:p>
      <w:pPr>
        <w:spacing w:after="0" w:line="21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the Company had annualized return on average equity, after non-controlling interest, of 2.3% compared to annualized return on average equity, after non-controlling interest, of 11.2% for the three months ended March 31, 2021.</w:t>
      </w:r>
    </w:p>
    <w:p>
      <w:pPr>
        <w:spacing w:after="0" w:line="135" w:lineRule="exact"/>
        <w:rPr>
          <w:sz w:val="20"/>
          <w:szCs w:val="20"/>
          <w:color w:val="auto"/>
        </w:rPr>
      </w:pPr>
    </w:p>
    <w:p>
      <w:pPr>
        <w:ind w:right="1780"/>
        <w:spacing w:after="0" w:line="461" w:lineRule="auto"/>
        <w:rPr>
          <w:sz w:val="20"/>
          <w:szCs w:val="20"/>
          <w:color w:val="auto"/>
        </w:rPr>
      </w:pPr>
      <w:r>
        <w:rPr>
          <w:rFonts w:ascii="Times New Roman" w:cs="Times New Roman" w:eastAsia="Times New Roman" w:hAnsi="Times New Roman"/>
          <w:sz w:val="18"/>
          <w:szCs w:val="18"/>
          <w:color w:val="auto"/>
        </w:rPr>
        <w:t xml:space="preserve">Average equity is calculated as the average between beginning and ending equity excluding non-controlling interest for the period. </w:t>
      </w:r>
      <w:r>
        <w:rPr>
          <w:rFonts w:ascii="Times New Roman" w:cs="Times New Roman" w:eastAsia="Times New Roman" w:hAnsi="Times New Roman"/>
          <w:sz w:val="18"/>
          <w:szCs w:val="18"/>
          <w:b w:val="1"/>
          <w:bCs w:val="1"/>
          <w:color w:val="auto"/>
        </w:rPr>
        <w:t>Critical Accounting Policies</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The Company is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2021 Annual Report. There have been no changes in our critical accounting policies from December 31,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IPO, which we planned to use for strategic acquisitions.</w:t>
      </w:r>
    </w:p>
    <w:p>
      <w:pPr>
        <w:spacing w:after="0" w:line="1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2018, we used $17,000 for the acquisition of Direct Auto.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The Company anticipates using the net proceeds from the IPO to satisfy the remaining obligation in December 2022.</w:t>
      </w:r>
    </w:p>
    <w:p>
      <w:pPr>
        <w:spacing w:after="0" w:line="1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currently anticipate that cash generated from our operations and available from our investment portfolio, along with the remaining IPO net proceeds, will be sufficient to fund our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philosophy is to provide sufficient cash flows from operations to meet its obligations in order to minimize the forced sales of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portion of its investment portfolio in relatively short-term and highly liquid assets to ensure the availability of funds.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for the three months ended March 31, 2022 and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(12,302)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(51,439)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(7,749)</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(16,681)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(48,394)</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2022, net cash provided by operating activities totaled $3,849 compared to $10,794 a year ago. This decrease was primarily driven by higher levels of loss and loss adjustment payments, partially offset by a decrease in payments for accrued expenses and other liabilities.</w:t>
      </w:r>
    </w:p>
    <w:p>
      <w:pPr>
        <w:spacing w:after="0" w:line="12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net cash used by investing activities totaled $12,302 compared to $51,439 a year ago. This decrease was attributable to the Company investing excess cash in the first quarter of 2021.</w:t>
      </w:r>
    </w:p>
    <w:p>
      <w:pPr>
        <w:spacing w:after="0" w:line="14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by financing activities totaled $8,228 compared to $7,749 a year ago. This increase was primarily attributable to the Company repurchasing shares of its own common stock for $997 during the first quarter of 2022, compared to $596 during 2021.</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standalone entity, and outside of the net proceeds from the IPO, the Company’s principal source of long-term liquidity will be dividend payments from its directly-owned subsidiaries.</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us during 2022 without the prior approval of the North Dakota Insurance Department is approximately $21,493 based upon the surplus of Nodak Insurance at December 31, 2021.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three months ended March 31, 2022 or the year ended December 31, 2021.</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us during 2022 without the prior approval of the North Dakota Insurance Department is approximately $3,796 based upon the surplus of Direct Auto at December 31, 2021. No dividends were declared or paid by Direct Auto during the three months ended March 31, 2022 or the year ended December 31, 2021.</w:t>
      </w:r>
    </w:p>
    <w:p>
      <w:pPr>
        <w:spacing w:after="0" w:line="16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is now subject to the same dividend restrictions as Nodak Insurance. The amount available for payment of dividends from Westminster to us during 2022 without the prior approval of the North Dakota Insurance Department is approximately $2,471 based upon the surplus of Westminster at December 31, 2021. No dividends were declared or paid by Westminster during the three months ended March 31, 2022 or the year ended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Part I, Item 1, Note 2 “Basis of Presentation and Accounting Policies — Recent Accounting Pronouncements” in this Quarterly Report on Form 10-Q.</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0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Company’s assessment of market risk as of March 31, 2022 indicates there have been no material changes in the quantitative and qualitative disclosures from those in Part II, Item 7A “Quantitative and Qualitative Disclosures About Market Risk” in our 2021 Annual Report filed with the SEC.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Exchange Act Rules 240.13a-15(b) and 15d-15(b)) as of March 31, 2022. Based on that evaluation, the Chief Executive Officer and Chief Financial Officer have concluded that the Company’s current disclosure controls and procedures are effective.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In addition, when we acquire new businesses, we incorporate our controls and procedures into the acquired business as part of our integration activities. Since 2018, we have invested significant resources to comprehensively document and analyze our system of internal control over financial reporting. We have identified areas requiring improvement, and continue to make selected improvements to processes and controls to address issues identified through this review. These improvements may include such activities as implementing new, more efficient systems, automating manual processes, formalizing policies and procedures, increasing monitoring controls, and updating existing systems. We plan to continue this initiative as well as prepare for the first audit of our internal control over financial reporting, as required by Section 404 of the Sarbanes-Oxley Act of 2002 for the annual period ending December 31, 2022, which may result in changes to our internal control over financial reporting.</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quarter ended March 31, 2022, to which this report relates that have materially affected, or are reasonably likely to materially affect the Company’s internal control over financial reporting.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16" w:lineRule="exact"/>
        <w:rPr>
          <w:sz w:val="20"/>
          <w:szCs w:val="20"/>
          <w:color w:val="auto"/>
        </w:rPr>
      </w:pPr>
    </w:p>
    <w:p>
      <w:pPr>
        <w:jc w:val="center"/>
        <w:spacing w:after="0" w:line="485"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Part I, Item 1A “Risk Factors” in our 2021 Annual Report.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amounts, are in thousands.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 Griffin Financial Group, LLC acted as our placement agent in connection with the IPO.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Auto was acquired on August 31, 2018 with $17,000 of the net proceeds from the IPO.</w:t>
      </w:r>
    </w:p>
    <w:p>
      <w:pPr>
        <w:spacing w:after="0" w:line="21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The Company anticipates using the net proceeds from the IPO to satisfy the remaining obligation in December 2022.</w:t>
      </w:r>
    </w:p>
    <w:p>
      <w:pPr>
        <w:spacing w:after="0" w:line="16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also repurchase its own stock. These repurchases may be used to satisfy its obligations under the equity incentive plans or may be done for other reasons. To date, the Company has used the net proceeds from the IPO to fund these buyback programs.</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January 17, 2017.</w:t>
      </w:r>
    </w:p>
    <w:p>
      <w:pPr>
        <w:spacing w:after="0" w:line="14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11, 2021, our Board of Directors approved an additional authorization for the repurchase of up to approximately $5,000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common stock. During the six months ended December 31, 2021, we completed the repurchase of 81,095 shares of our common stock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$1,554 under this authorization. During the three months ended March 31, 2022, we completed the repurchase of 54,872 shares of our common stock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 under this authorization.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Maximum Dollar Value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of Shares That May Yet</w:t>
            </w:r>
          </w:p>
        </w:tc>
      </w:tr>
      <w:tr>
        <w:trPr>
          <w:trHeight w:val="221"/>
        </w:trPr>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6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Average Price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Be Purchased Under the</w:t>
            </w: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w:t>
            </w: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Paid</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(1)</w:t>
            </w:r>
          </w:p>
        </w:tc>
      </w:tr>
      <w:tr>
        <w:trPr>
          <w:trHeight w:val="270"/>
        </w:trPr>
        <w:tc>
          <w:tcPr>
            <w:tcW w:w="3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Period in 2022</w:t>
            </w:r>
          </w:p>
        </w:tc>
        <w:tc>
          <w:tcPr>
            <w:tcW w:w="120" w:type="dxa"/>
            <w:vAlign w:val="bottom"/>
          </w:tcPr>
          <w:p>
            <w:pPr>
              <w:spacing w:after="0"/>
              <w:rPr>
                <w:sz w:val="23"/>
                <w:szCs w:val="23"/>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c>
          <w:tcPr>
            <w:tcW w:w="160" w:type="dxa"/>
            <w:vAlign w:val="bottom"/>
          </w:tcPr>
          <w:p>
            <w:pPr>
              <w:spacing w:after="0"/>
              <w:rPr>
                <w:sz w:val="23"/>
                <w:szCs w:val="23"/>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Per Share</w:t>
            </w:r>
          </w:p>
        </w:tc>
        <w:tc>
          <w:tcPr>
            <w:tcW w:w="188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5"/>
              </w:rPr>
              <w:t xml:space="preserve">or Programs </w:t>
            </w:r>
            <w:r>
              <w:rPr>
                <w:rFonts w:ascii="Times New Roman" w:cs="Times New Roman" w:eastAsia="Times New Roman" w:hAnsi="Times New Roman"/>
                <w:sz w:val="29"/>
                <w:szCs w:val="29"/>
                <w:color w:val="auto"/>
                <w:w w:val="95"/>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1-31, 2022</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22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February 1-28, 2022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18.06</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1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2022</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840" w:right="420" w:hanging="508"/>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pursuant to the August 11, 2021 publicly announced share repurchase authorization of up to approximately $5,000 of the Company’s outstanding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3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3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9"/>
        </w:trPr>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740" w:type="dxa"/>
            <w:vAlign w:val="bottom"/>
          </w:tcPr>
          <w:p>
            <w:pPr>
              <w:spacing w:after="0"/>
              <w:rPr>
                <w:sz w:val="20"/>
                <w:szCs w:val="20"/>
                <w:color w:val="auto"/>
              </w:rPr>
            </w:pPr>
          </w:p>
        </w:tc>
        <w:tc>
          <w:tcPr>
            <w:tcW w:w="56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40" w:type="dxa"/>
            <w:vAlign w:val="bottom"/>
            <w:tcBorders>
              <w:top w:val="single" w:sz="8" w:color="auto"/>
            </w:tcBorders>
          </w:tcPr>
          <w:p>
            <w:pPr>
              <w:ind w:left="3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14"/>
                <w:szCs w:val="14"/>
                <w:color w:val="auto"/>
              </w:rPr>
            </w:pPr>
          </w:p>
        </w:tc>
        <w:tc>
          <w:tcPr>
            <w:tcW w:w="9420" w:type="dxa"/>
            <w:vAlign w:val="bottom"/>
            <w:tcBorders>
              <w:top w:val="single" w:sz="8" w:color="auto"/>
            </w:tcBorders>
            <w:gridSpan w:val="7"/>
          </w:tcPr>
          <w:p>
            <w:pPr>
              <w:spacing w:after="0" w:line="169"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Employment Agreement between the Company and Seth C. Daggett (1)</w:t>
              </w:r>
            </w:hyperlink>
          </w:p>
        </w:tc>
      </w:tr>
      <w:tr>
        <w:trPr>
          <w:trHeight w:val="412"/>
        </w:trPr>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10.2*#</w:t>
            </w:r>
          </w:p>
        </w:tc>
        <w:tc>
          <w:tcPr>
            <w:tcW w:w="780" w:type="dxa"/>
            <w:vAlign w:val="bottom"/>
          </w:tcPr>
          <w:p>
            <w:pPr>
              <w:spacing w:after="0"/>
              <w:rPr>
                <w:sz w:val="24"/>
                <w:szCs w:val="24"/>
                <w:color w:val="auto"/>
              </w:rPr>
            </w:pPr>
          </w:p>
        </w:tc>
        <w:tc>
          <w:tcPr>
            <w:tcW w:w="37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2022 NI Holdings, Inc. Short-Term Incentive Bonus</w:t>
            </w:r>
          </w:p>
        </w:tc>
        <w:tc>
          <w:tcPr>
            <w:tcW w:w="1420" w:type="dxa"/>
            <w:vAlign w:val="bottom"/>
            <w:tcBorders>
              <w:top w:val="single" w:sz="8" w:color="0000EE"/>
            </w:tcBorders>
          </w:tcPr>
          <w:p>
            <w:pPr>
              <w:spacing w:after="0"/>
              <w:rPr>
                <w:sz w:val="24"/>
                <w:szCs w:val="24"/>
                <w:color w:val="auto"/>
              </w:rPr>
            </w:pPr>
          </w:p>
        </w:tc>
        <w:tc>
          <w:tcPr>
            <w:tcW w:w="4260" w:type="dxa"/>
            <w:vAlign w:val="bottom"/>
            <w:gridSpan w:val="5"/>
          </w:tcPr>
          <w:p>
            <w:pPr>
              <w:spacing w:after="0"/>
              <w:rPr>
                <w:sz w:val="24"/>
                <w:szCs w:val="24"/>
                <w:color w:val="auto"/>
              </w:rPr>
            </w:pPr>
          </w:p>
        </w:tc>
      </w:tr>
      <w:tr>
        <w:trPr>
          <w:trHeight w:val="412"/>
        </w:trPr>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10.3</w:t>
            </w:r>
          </w:p>
        </w:tc>
        <w:tc>
          <w:tcPr>
            <w:tcW w:w="780" w:type="dxa"/>
            <w:vAlign w:val="bottom"/>
          </w:tcPr>
          <w:p>
            <w:pPr>
              <w:spacing w:after="0"/>
              <w:rPr>
                <w:sz w:val="24"/>
                <w:szCs w:val="24"/>
                <w:color w:val="auto"/>
              </w:rPr>
            </w:pPr>
          </w:p>
        </w:tc>
        <w:tc>
          <w:tcPr>
            <w:tcW w:w="9420" w:type="dxa"/>
            <w:vAlign w:val="bottom"/>
            <w:gridSpan w:val="7"/>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Time-Based Restricted Stock Unit Agreement for Executives (2)</w:t>
              </w:r>
            </w:hyperlink>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5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9420" w:type="dxa"/>
            <w:vAlign w:val="bottom"/>
            <w:gridSpan w:val="7"/>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NI Holdings, Inc. Growth in Book Value Per Share Performance Share Unit Agreement (2)</w:t>
              </w:r>
            </w:hyperlink>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516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78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w:t>
            </w:r>
          </w:p>
        </w:tc>
      </w:tr>
      <w:tr>
        <w:trPr>
          <w:trHeight w:val="196"/>
        </w:trPr>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5160" w:type="dxa"/>
            <w:vAlign w:val="bottom"/>
            <w:gridSpan w:val="2"/>
            <w:shd w:val="clear" w:color="auto" w:fill="0000EE"/>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780" w:type="dxa"/>
            <w:vAlign w:val="bottom"/>
          </w:tcPr>
          <w:p>
            <w:pPr>
              <w:spacing w:after="0"/>
              <w:rPr>
                <w:sz w:val="24"/>
                <w:szCs w:val="24"/>
                <w:color w:val="auto"/>
              </w:rPr>
            </w:pPr>
          </w:p>
        </w:tc>
        <w:tc>
          <w:tcPr>
            <w:tcW w:w="9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w:t>
            </w:r>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800" w:right="580" w:hanging="1482"/>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800" w:hanging="1482"/>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ind w:left="1800" w:right="180" w:hanging="982"/>
        <w:spacing w:after="0" w:line="261" w:lineRule="auto"/>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10.1 to the Company’s Form 8-K (File No. 001-37973) filed with the SEC on March 18, 2022, and incorporated herein by reference.</w:t>
      </w:r>
    </w:p>
    <w:p>
      <w:pPr>
        <w:ind w:left="1800" w:right="360" w:hanging="982"/>
        <w:spacing w:after="0" w:line="250" w:lineRule="auto"/>
        <w:tabs>
          <w:tab w:leader="none" w:pos="18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Company’s Form 10-K (File No. 001-37973) filed with the SEC on March 9, 2022, and incorporated herein by reference.</w:t>
      </w:r>
    </w:p>
    <w:p>
      <w:pPr>
        <w:spacing w:after="0" w:line="1" w:lineRule="exact"/>
        <w:rPr>
          <w:sz w:val="20"/>
          <w:szCs w:val="20"/>
          <w:color w:val="auto"/>
        </w:rPr>
      </w:pPr>
    </w:p>
    <w:p>
      <w:pPr>
        <w:ind w:left="1800" w:hanging="982"/>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1800" w:hanging="937"/>
        <w:spacing w:after="0"/>
        <w:tabs>
          <w:tab w:leader="none" w:pos="18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6, 2022.</w:t>
      </w:r>
    </w:p>
    <w:p>
      <w:pPr>
        <w:spacing w:after="0" w:line="200" w:lineRule="exact"/>
        <w:rPr>
          <w:sz w:val="20"/>
          <w:szCs w:val="20"/>
          <w:color w:val="auto"/>
        </w:rPr>
      </w:pPr>
    </w:p>
    <w:p>
      <w:pPr>
        <w:spacing w:after="0" w:line="25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0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6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700"/>
          </w:cols>
          <w:pgMar w:left="320" w:top="119" w:right="8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SHORT-TERM INCENTIVE BONUS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JANUARY 1, 2022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300" w:type="dxa"/>
            <w:vAlign w:val="bottom"/>
            <w:tcBorders>
              <w:top w:val="single" w:sz="8" w:color="auto"/>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COMPONENTS</w:t>
            </w:r>
          </w:p>
        </w:tc>
      </w:tr>
      <w:tr>
        <w:trPr>
          <w:trHeight w:val="232"/>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Plan Objectives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Reward performance.</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Encourage teamwork.</w:t>
            </w:r>
          </w:p>
        </w:tc>
      </w:tr>
      <w:tr>
        <w:trPr>
          <w:trHeight w:val="234"/>
        </w:trPr>
        <w:tc>
          <w:tcPr>
            <w:tcW w:w="406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Focus employees on success factors.</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32"/>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Participants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Employees with employment date on or before January 1 and employed on December 31 of</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the plan year.</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Agents at Associate, Partner or Senior Partner level.</w:t>
            </w:r>
          </w:p>
        </w:tc>
      </w:tr>
      <w:tr>
        <w:trPr>
          <w:trHeight w:val="234"/>
        </w:trPr>
        <w:tc>
          <w:tcPr>
            <w:tcW w:w="4060" w:type="dxa"/>
            <w:vAlign w:val="bottom"/>
            <w:tcBorders>
              <w:left w:val="single" w:sz="8" w:color="auto"/>
              <w:right w:val="single" w:sz="8" w:color="auto"/>
            </w:tcBorders>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Employees on probation status are excluded.</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50"/>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Performance Period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Results from January 1 – December 31.</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50"/>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Payout Frequency</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Annually – on or prior to April 15.</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50"/>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Performance Tracking</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Quarterly reports published on company employee portal.</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50"/>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Establishment of Goals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Recommendation by CEO to compensation committee.</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50"/>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Verification of Goals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Reports provided to Compensation Committee.</w:t>
            </w:r>
          </w:p>
        </w:tc>
      </w:tr>
      <w:tr>
        <w:trPr>
          <w:trHeight w:val="216"/>
        </w:trPr>
        <w:tc>
          <w:tcPr>
            <w:tcW w:w="406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gridSpan w:val="2"/>
          </w:tcPr>
          <w:p>
            <w:pPr>
              <w:spacing w:after="0"/>
              <w:rPr>
                <w:sz w:val="18"/>
                <w:szCs w:val="18"/>
                <w:color w:val="auto"/>
              </w:rPr>
            </w:pPr>
          </w:p>
        </w:tc>
      </w:tr>
      <w:tr>
        <w:trPr>
          <w:trHeight w:val="232"/>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Payout Calculation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of three goals: (See schedule)</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Combined Ratio</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90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2.  Direct Written Premium Growth</w:t>
            </w:r>
          </w:p>
        </w:tc>
      </w:tr>
      <w:tr>
        <w:trPr>
          <w:trHeight w:val="234"/>
        </w:trPr>
        <w:tc>
          <w:tcPr>
            <w:tcW w:w="406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Return on Equity*</w:t>
            </w:r>
          </w:p>
        </w:tc>
      </w:tr>
      <w:tr>
        <w:trPr>
          <w:trHeight w:val="414"/>
        </w:trPr>
        <w:tc>
          <w:tcPr>
            <w:tcW w:w="4060" w:type="dxa"/>
            <w:vAlign w:val="bottom"/>
            <w:tcBorders>
              <w:left w:val="single" w:sz="8" w:color="auto"/>
              <w:right w:val="single" w:sz="8" w:color="auto"/>
            </w:tcBorders>
          </w:tcPr>
          <w:p>
            <w:pPr>
              <w:spacing w:after="0"/>
              <w:rPr>
                <w:sz w:val="24"/>
                <w:szCs w:val="24"/>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Target, Threshold, and Stretch goals established annually and approved by compensation</w:t>
            </w:r>
          </w:p>
        </w:tc>
      </w:tr>
      <w:tr>
        <w:trPr>
          <w:trHeight w:val="234"/>
        </w:trPr>
        <w:tc>
          <w:tcPr>
            <w:tcW w:w="406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committee.</w:t>
            </w:r>
          </w:p>
        </w:tc>
      </w:tr>
      <w:tr>
        <w:trPr>
          <w:trHeight w:val="257"/>
        </w:trPr>
        <w:tc>
          <w:tcPr>
            <w:tcW w:w="4060" w:type="dxa"/>
            <w:vAlign w:val="bottom"/>
            <w:tcBorders>
              <w:left w:val="single" w:sz="8" w:color="auto"/>
              <w:right w:val="single" w:sz="8" w:color="auto"/>
            </w:tcBorders>
          </w:tcPr>
          <w:p>
            <w:pPr>
              <w:spacing w:after="0"/>
              <w:rPr>
                <w:sz w:val="22"/>
                <w:szCs w:val="2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Eligible Employees</w:t>
            </w:r>
          </w:p>
        </w:tc>
      </w:tr>
      <w:tr>
        <w:trPr>
          <w:trHeight w:val="414"/>
        </w:trPr>
        <w:tc>
          <w:tcPr>
            <w:tcW w:w="4060" w:type="dxa"/>
            <w:vAlign w:val="bottom"/>
            <w:tcBorders>
              <w:left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Employees, hired on or before January 1, are eligible to receive stated amount for</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goal achieved multiplied by their earned salary for the calendar year (does not</w:t>
            </w:r>
          </w:p>
        </w:tc>
      </w:tr>
      <w:tr>
        <w:trPr>
          <w:trHeight w:val="234"/>
        </w:trPr>
        <w:tc>
          <w:tcPr>
            <w:tcW w:w="406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include bonuses or any other compensation).</w:t>
            </w:r>
          </w:p>
        </w:tc>
      </w:tr>
      <w:tr>
        <w:trPr>
          <w:trHeight w:val="414"/>
        </w:trPr>
        <w:tc>
          <w:tcPr>
            <w:tcW w:w="4060" w:type="dxa"/>
            <w:vAlign w:val="bottom"/>
            <w:tcBorders>
              <w:left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Employees hired after January 1 and prior to July 1 of the plan year are eligible to</w:t>
            </w:r>
          </w:p>
        </w:tc>
      </w:tr>
      <w:tr>
        <w:trPr>
          <w:trHeight w:val="216"/>
        </w:trPr>
        <w:tc>
          <w:tcPr>
            <w:tcW w:w="40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receive 50% of bonus achieved multiplied by the earned salary for the calendar year</w:t>
            </w:r>
          </w:p>
        </w:tc>
      </w:tr>
      <w:tr>
        <w:trPr>
          <w:trHeight w:val="234"/>
        </w:trPr>
        <w:tc>
          <w:tcPr>
            <w:tcW w:w="4060" w:type="dxa"/>
            <w:vAlign w:val="bottom"/>
            <w:tcBorders>
              <w:left w:val="single" w:sz="8" w:color="auto"/>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(does not include bonuses or any other compensation).</w:t>
            </w:r>
          </w:p>
        </w:tc>
      </w:tr>
      <w:tr>
        <w:trPr>
          <w:trHeight w:val="432"/>
        </w:trPr>
        <w:tc>
          <w:tcPr>
            <w:tcW w:w="4060" w:type="dxa"/>
            <w:vAlign w:val="bottom"/>
            <w:tcBorders>
              <w:left w:val="single" w:sz="8" w:color="auto"/>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Employees hired after July 1 are not eligible until the following year.</w:t>
            </w:r>
          </w:p>
        </w:tc>
      </w:tr>
      <w:tr>
        <w:trPr>
          <w:trHeight w:val="432"/>
        </w:trPr>
        <w:tc>
          <w:tcPr>
            <w:tcW w:w="4060" w:type="dxa"/>
            <w:vAlign w:val="bottom"/>
            <w:tcBorders>
              <w:left w:val="single" w:sz="8" w:color="auto"/>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90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*Based upon the enterprise wide R.O.E.</w:t>
            </w:r>
          </w:p>
        </w:tc>
      </w:tr>
      <w:tr>
        <w:trPr>
          <w:trHeight w:val="250"/>
        </w:trPr>
        <w:tc>
          <w:tcPr>
            <w:tcW w:w="4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Board retains discretion on payment of Plan.</w:t>
            </w:r>
          </w:p>
        </w:tc>
      </w:tr>
      <w:tr>
        <w:trPr>
          <w:trHeight w:val="581"/>
        </w:trPr>
        <w:tc>
          <w:tcPr>
            <w:tcW w:w="40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63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198"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1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93" w:lineRule="exact"/>
        <w:rPr>
          <w:rFonts w:ascii="Times New Roman" w:cs="Times New Roman" w:eastAsia="Times New Roman" w:hAnsi="Times New Roman"/>
          <w:sz w:val="17"/>
          <w:szCs w:val="17"/>
          <w:color w:val="auto"/>
        </w:rPr>
      </w:pPr>
    </w:p>
    <w:p>
      <w:pPr>
        <w:ind w:left="2140" w:hanging="836"/>
        <w:spacing w:after="0" w:line="266" w:lineRule="auto"/>
        <w:tabs>
          <w:tab w:leader="none" w:pos="2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2140" w:right="40" w:hanging="836"/>
        <w:spacing w:after="0" w:line="266" w:lineRule="auto"/>
        <w:tabs>
          <w:tab w:leader="none" w:pos="2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2140" w:right="120" w:hanging="836"/>
        <w:spacing w:after="0" w:line="266" w:lineRule="auto"/>
        <w:tabs>
          <w:tab w:leader="none" w:pos="2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2140" w:right="140" w:hanging="836"/>
        <w:spacing w:after="0" w:line="266" w:lineRule="auto"/>
        <w:tabs>
          <w:tab w:leader="none" w:pos="2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2140" w:right="380" w:hanging="836"/>
        <w:spacing w:after="0" w:line="266" w:lineRule="auto"/>
        <w:tabs>
          <w:tab w:leader="none" w:pos="2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2140" w:right="760" w:hanging="836"/>
        <w:spacing w:after="0" w:line="282" w:lineRule="auto"/>
        <w:tabs>
          <w:tab w:leader="none" w:pos="2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May 6, 2022</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r>
      <w:tr>
        <w:trPr>
          <w:trHeight w:val="211"/>
        </w:trPr>
        <w:tc>
          <w:tcPr>
            <w:tcW w:w="24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J. Alexander</w:t>
            </w:r>
          </w:p>
        </w:tc>
      </w:tr>
    </w:tbl>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FFFFF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198"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11"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93" w:lineRule="exact"/>
        <w:rPr>
          <w:rFonts w:ascii="Times New Roman" w:cs="Times New Roman" w:eastAsia="Times New Roman" w:hAnsi="Times New Roman"/>
          <w:sz w:val="17"/>
          <w:szCs w:val="17"/>
          <w:color w:val="auto"/>
        </w:rPr>
      </w:pPr>
    </w:p>
    <w:p>
      <w:pPr>
        <w:ind w:left="2140" w:hanging="836"/>
        <w:spacing w:after="0" w:line="266"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2140" w:right="40" w:hanging="836"/>
        <w:spacing w:after="0" w:line="266"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2140" w:right="120" w:hanging="836"/>
        <w:spacing w:after="0" w:line="266"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2140" w:right="140" w:hanging="836"/>
        <w:spacing w:after="0" w:line="266"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2140" w:right="380" w:hanging="836"/>
        <w:spacing w:after="0" w:line="266"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2140" w:right="760" w:hanging="836"/>
        <w:spacing w:after="0" w:line="282" w:lineRule="auto"/>
        <w:tabs>
          <w:tab w:leader="none" w:pos="2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May 6, 2022</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r>
      <w:tr>
        <w:trPr>
          <w:trHeight w:val="211"/>
        </w:trPr>
        <w:tc>
          <w:tcPr>
            <w:tcW w:w="24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Seth C. Daggett</w:t>
            </w:r>
          </w:p>
        </w:tc>
      </w:tr>
    </w:tbl>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FFFFF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March 31, 2022,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53" w:lineRule="exact"/>
        <w:rPr>
          <w:sz w:val="20"/>
          <w:szCs w:val="20"/>
          <w:color w:val="auto"/>
        </w:rPr>
      </w:pPr>
    </w:p>
    <w:p>
      <w:pPr>
        <w:ind w:left="1160" w:hanging="504"/>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160" w:right="420" w:hanging="504"/>
        <w:spacing w:after="0" w:line="282" w:lineRule="auto"/>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35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May 6, 2022</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2061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32061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FFFFF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116205</wp:posOffset>
            </wp:positionV>
            <wp:extent cx="715772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sectPr>
      <w:pgSz w:w="11900" w:h="16838" w:orient="portrait"/>
      <w:cols w:equalWidth="0" w:num="2">
        <w:col w:w="3800" w:space="720"/>
        <w:col w:w="67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1"/>
    </w:lvl>
  </w:abstractNum>
  <w:abstractNum w:abstractNumId="11">
    <w:nsid w:val="62BBD95A"/>
    <w:multiLevelType w:val="hybridMultilevel"/>
    <w:lvl w:ilvl="0">
      <w:lvlJc w:val="left"/>
      <w:lvlText w:val="%1."/>
      <w:numFmt w:val="decimal"/>
      <w:start w:val="12"/>
    </w:lvl>
  </w:abstractNum>
  <w:abstractNum w:abstractNumId="12">
    <w:nsid w:val="436C6125"/>
    <w:multiLevelType w:val="hybridMultilevel"/>
    <w:lvl w:ilvl="0">
      <w:lvlJc w:val="left"/>
      <w:lvlText w:val="%1."/>
      <w:numFmt w:val="decimal"/>
      <w:start w:val="13"/>
    </w:lvl>
  </w:abstractNum>
  <w:abstractNum w:abstractNumId="13">
    <w:nsid w:val="628C895D"/>
    <w:multiLevelType w:val="hybridMultilevel"/>
    <w:lvl w:ilvl="0">
      <w:lvlJc w:val="left"/>
      <w:lvlText w:val="%1."/>
      <w:numFmt w:val="decimal"/>
      <w:start w:val="14"/>
    </w:lvl>
  </w:abstractNum>
  <w:abstractNum w:abstractNumId="14">
    <w:nsid w:val="333AB105"/>
    <w:multiLevelType w:val="hybridMultilevel"/>
    <w:lvl w:ilvl="0">
      <w:lvlJc w:val="left"/>
      <w:lvlText w:val="%1."/>
      <w:numFmt w:val="decimal"/>
      <w:start w:val="15"/>
    </w:lvl>
  </w:abstractNum>
  <w:abstractNum w:abstractNumId="15">
    <w:nsid w:val="721DA317"/>
    <w:multiLevelType w:val="hybridMultilevel"/>
    <w:lvl w:ilvl="0">
      <w:lvlJc w:val="left"/>
      <w:lvlText w:val="%1."/>
      <w:numFmt w:val="decimal"/>
      <w:start w:val="16"/>
    </w:lvl>
  </w:abstractNum>
  <w:abstractNum w:abstractNumId="16">
    <w:nsid w:val="2443A858"/>
    <w:multiLevelType w:val="hybridMultilevel"/>
    <w:lvl w:ilvl="0">
      <w:lvlJc w:val="left"/>
      <w:lvlText w:val="%1."/>
      <w:numFmt w:val="decimal"/>
      <w:start w:val="17"/>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8"/>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2"/>
    </w:lvl>
  </w:abstractNum>
  <w:abstractNum w:abstractNumId="23">
    <w:nsid w:val="B03E0C6"/>
    <w:multiLevelType w:val="hybridMultilevel"/>
    <w:lvl w:ilvl="0">
      <w:lvlJc w:val="left"/>
      <w:lvlText w:val="%1"/>
      <w:numFmt w:val="decimal"/>
      <w:start w:val="104"/>
    </w:lvl>
    <w:lvl w:ilvl="1">
      <w:lvlJc w:val="left"/>
      <w:lvlText w:val="(%2)"/>
      <w:numFmt w:val="decimal"/>
      <w:start w:val="1"/>
    </w:lvl>
  </w:abstractNum>
  <w:abstractNum w:abstractNumId="24">
    <w:nsid w:val="189A769B"/>
    <w:multiLevelType w:val="hybridMultilevel"/>
    <w:lvl w:ilvl="0">
      <w:lvlJc w:val="left"/>
      <w:lvlText w:val="*"/>
      <w:numFmt w:val="bullet"/>
      <w:start w:val="1"/>
    </w:lvl>
    <w:lvl w:ilvl="1">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86" Type="http://schemas.openxmlformats.org/officeDocument/2006/relationships/hyperlink" Target="https://www.sec.gov/Archives/edgar/data/1681206/000117494722000386/ex10-1.htm" TargetMode="External"/><Relationship Id="rId87" Type="http://schemas.openxmlformats.org/officeDocument/2006/relationships/hyperlink" Target="https://www.sec.gov/Archives/edgar/data/0001681206/000117494722000353/nodk10kex10-14.htm" TargetMode="External"/><Relationship Id="rId88" Type="http://schemas.openxmlformats.org/officeDocument/2006/relationships/hyperlink" Target="https://www.sec.gov/Archives/edgar/data/0001681206/000117494722000353/nodk10k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2022-05-07T00:38:50Z</dcterms:created>
  <dcterms:modified xsi:type="dcterms:W3CDTF">2022-05-07T00:38:50Z</dcterms:modified>
</cp:coreProperties>
</file>