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4"/>
          <w:szCs w:val="24"/>
          <w:color w:val="auto"/>
        </w:rPr>
      </w:pPr>
    </w:p>
    <w:p>
      <w:pPr>
        <w:ind w:right="1740" w:firstLine="8"/>
        <w:spacing w:after="0" w:line="282"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67" w:lineRule="exact"/>
        <w:rPr>
          <w:sz w:val="24"/>
          <w:szCs w:val="24"/>
          <w:color w:val="auto"/>
        </w:rPr>
      </w:pPr>
    </w:p>
    <w:p>
      <w:pPr>
        <w:ind w:right="1740" w:firstLine="8"/>
        <w:spacing w:after="0" w:line="282" w:lineRule="auto"/>
        <w:tabs>
          <w:tab w:leader="none" w:pos="34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 to _____</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rPr>
              <w:t>NORTH DAKOTA</w:t>
            </w: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gridSpan w:val="2"/>
          </w:tcPr>
          <w:p>
            <w:pPr>
              <w:jc w:val="right"/>
              <w:ind w:right="1490"/>
              <w:spacing w:after="0"/>
              <w:rPr>
                <w:sz w:val="20"/>
                <w:szCs w:val="20"/>
                <w:color w:val="auto"/>
              </w:rPr>
            </w:pPr>
            <w:r>
              <w:rPr>
                <w:rFonts w:ascii="Arial" w:cs="Arial" w:eastAsia="Arial" w:hAnsi="Arial"/>
                <w:sz w:val="18"/>
                <w:szCs w:val="18"/>
                <w:b w:val="1"/>
                <w:bCs w:val="1"/>
                <w:color w:val="auto"/>
              </w:rPr>
              <w:t>81-2683619</w:t>
            </w:r>
          </w:p>
        </w:tc>
        <w:tc>
          <w:tcPr>
            <w:tcW w:w="6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0"/>
              </w:rPr>
              <w:t>(State or other jurisdiction of</w:t>
            </w: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1360" w:type="dxa"/>
            <w:vAlign w:val="bottom"/>
          </w:tcPr>
          <w:p>
            <w:pPr>
              <w:spacing w:after="0"/>
              <w:rPr>
                <w:sz w:val="20"/>
                <w:szCs w:val="20"/>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1"/>
              </w:rPr>
              <w:t>incorporation or organization)</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3"/>
              </w:rPr>
              <w:t>Identification No.)</w:t>
            </w:r>
          </w:p>
        </w:tc>
      </w:tr>
      <w:tr>
        <w:trPr>
          <w:trHeight w:val="481"/>
        </w:trPr>
        <w:tc>
          <w:tcPr>
            <w:tcW w:w="1360" w:type="dxa"/>
            <w:vAlign w:val="bottom"/>
          </w:tcPr>
          <w:p>
            <w:pPr>
              <w:spacing w:after="0"/>
              <w:rPr>
                <w:sz w:val="24"/>
                <w:szCs w:val="24"/>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0"/>
              </w:rPr>
              <w:t>1101 First Avenue North</w:t>
            </w: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2"/>
              </w:rPr>
              <w:t>Fargo, North Dakota</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60" w:type="dxa"/>
            <w:vAlign w:val="bottom"/>
            <w:gridSpan w:val="2"/>
          </w:tcPr>
          <w:p>
            <w:pPr>
              <w:jc w:val="right"/>
              <w:ind w:right="1690"/>
              <w:spacing w:after="0"/>
              <w:rPr>
                <w:sz w:val="20"/>
                <w:szCs w:val="20"/>
                <w:color w:val="auto"/>
              </w:rPr>
            </w:pPr>
            <w:r>
              <w:rPr>
                <w:rFonts w:ascii="Arial" w:cs="Arial" w:eastAsia="Arial" w:hAnsi="Arial"/>
                <w:sz w:val="18"/>
                <w:szCs w:val="18"/>
                <w:b w:val="1"/>
                <w:bCs w:val="1"/>
                <w:color w:val="auto"/>
              </w:rPr>
              <w:t>58102</w:t>
            </w:r>
          </w:p>
        </w:tc>
        <w:tc>
          <w:tcPr>
            <w:tcW w:w="680" w:type="dxa"/>
            <w:vAlign w:val="bottom"/>
          </w:tcPr>
          <w:p>
            <w:pPr>
              <w:spacing w:after="0"/>
              <w:rPr>
                <w:sz w:val="20"/>
                <w:szCs w:val="20"/>
                <w:color w:val="auto"/>
              </w:rPr>
            </w:pPr>
          </w:p>
        </w:tc>
      </w:tr>
      <w:tr>
        <w:trPr>
          <w:trHeight w:val="256"/>
        </w:trPr>
        <w:tc>
          <w:tcPr>
            <w:tcW w:w="45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2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94"/>
              </w:rPr>
              <w:t>(Zip Code)</w:t>
            </w:r>
          </w:p>
        </w:tc>
      </w:tr>
      <w:tr>
        <w:trPr>
          <w:trHeight w:val="446"/>
        </w:trPr>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(701) 298-4200</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7"/>
        </w:trPr>
        <w:tc>
          <w:tcPr>
            <w:tcW w:w="1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54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513"/>
        </w:trPr>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Not applicable</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6"/>
        </w:trPr>
        <w:tc>
          <w:tcPr>
            <w:tcW w:w="1360" w:type="dxa"/>
            <w:vAlign w:val="bottom"/>
            <w:tcBorders>
              <w:bottom w:val="single" w:sz="8" w:color="auto"/>
            </w:tcBorders>
          </w:tcPr>
          <w:p>
            <w:pPr>
              <w:spacing w:after="0"/>
              <w:rPr>
                <w:sz w:val="22"/>
                <w:szCs w:val="22"/>
                <w:color w:val="auto"/>
              </w:rPr>
            </w:pPr>
          </w:p>
        </w:tc>
        <w:tc>
          <w:tcPr>
            <w:tcW w:w="9880" w:type="dxa"/>
            <w:vAlign w:val="bottom"/>
            <w:tcBorders>
              <w:bottom w:val="single" w:sz="8" w:color="auto"/>
            </w:tcBorders>
            <w:gridSpan w:val="7"/>
          </w:tcPr>
          <w:p>
            <w:pPr>
              <w:jc w:val="center"/>
              <w:ind w:right="1360"/>
              <w:spacing w:after="0"/>
              <w:rPr>
                <w:sz w:val="20"/>
                <w:szCs w:val="20"/>
                <w:color w:val="auto"/>
              </w:rPr>
            </w:pPr>
            <w:r>
              <w:rPr>
                <w:rFonts w:ascii="Arial" w:cs="Arial" w:eastAsia="Arial" w:hAnsi="Arial"/>
                <w:sz w:val="18"/>
                <w:szCs w:val="18"/>
                <w:b w:val="1"/>
                <w:bCs w:val="1"/>
                <w:color w:val="auto"/>
                <w:w w:val="89"/>
              </w:rPr>
              <w:t>Former name, former address, and former fiscal year, if changed since last report</w:t>
            </w:r>
          </w:p>
        </w:tc>
      </w:tr>
      <w:tr>
        <w:trPr>
          <w:trHeight w:val="277"/>
        </w:trPr>
        <w:tc>
          <w:tcPr>
            <w:tcW w:w="1360" w:type="dxa"/>
            <w:vAlign w:val="bottom"/>
          </w:tcPr>
          <w:p>
            <w:pPr>
              <w:spacing w:after="0"/>
              <w:rPr>
                <w:sz w:val="24"/>
                <w:szCs w:val="24"/>
                <w:color w:val="auto"/>
              </w:rPr>
            </w:pPr>
          </w:p>
        </w:tc>
        <w:tc>
          <w:tcPr>
            <w:tcW w:w="9880" w:type="dxa"/>
            <w:vAlign w:val="bottom"/>
            <w:gridSpan w:val="7"/>
          </w:tcPr>
          <w:p>
            <w:pPr>
              <w:jc w:val="center"/>
              <w:ind w:right="1360"/>
              <w:spacing w:after="0"/>
              <w:rPr>
                <w:sz w:val="20"/>
                <w:szCs w:val="20"/>
                <w:color w:val="auto"/>
              </w:rPr>
            </w:pPr>
            <w:r>
              <w:rPr>
                <w:rFonts w:ascii="Arial" w:cs="Arial" w:eastAsia="Arial" w:hAnsi="Arial"/>
                <w:sz w:val="18"/>
                <w:szCs w:val="18"/>
                <w:b w:val="1"/>
                <w:bCs w:val="1"/>
                <w:color w:val="auto"/>
                <w:w w:val="88"/>
              </w:rPr>
              <w:t>Securities registered pursuant to Section 12(b) of the Securities Exchange Act of 1934:</w:t>
            </w:r>
          </w:p>
        </w:tc>
      </w:tr>
      <w:tr>
        <w:trPr>
          <w:trHeight w:val="243"/>
        </w:trPr>
        <w:tc>
          <w:tcPr>
            <w:tcW w:w="1360" w:type="dxa"/>
            <w:vAlign w:val="bottom"/>
          </w:tcPr>
          <w:p>
            <w:pPr>
              <w:spacing w:after="0"/>
              <w:rPr>
                <w:sz w:val="21"/>
                <w:szCs w:val="21"/>
                <w:color w:val="auto"/>
              </w:rPr>
            </w:pPr>
          </w:p>
        </w:tc>
        <w:tc>
          <w:tcPr>
            <w:tcW w:w="3220" w:type="dxa"/>
            <w:vAlign w:val="bottom"/>
            <w:gridSpan w:val="2"/>
          </w:tcPr>
          <w:p>
            <w:pPr>
              <w:jc w:val="center"/>
              <w:ind w:right="1790"/>
              <w:spacing w:after="0"/>
              <w:rPr>
                <w:sz w:val="20"/>
                <w:szCs w:val="20"/>
                <w:color w:val="auto"/>
              </w:rPr>
            </w:pPr>
            <w:r>
              <w:rPr>
                <w:rFonts w:ascii="Arial" w:cs="Arial" w:eastAsia="Arial" w:hAnsi="Arial"/>
                <w:sz w:val="18"/>
                <w:szCs w:val="18"/>
                <w:b w:val="1"/>
                <w:bCs w:val="1"/>
                <w:color w:val="auto"/>
                <w:w w:val="86"/>
              </w:rPr>
              <w:t>Title of each class</w:t>
            </w:r>
          </w:p>
        </w:tc>
        <w:tc>
          <w:tcPr>
            <w:tcW w:w="21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9"/>
              </w:rPr>
              <w:t>Trading Symbol(s)</w:t>
            </w:r>
          </w:p>
        </w:tc>
        <w:tc>
          <w:tcPr>
            <w:tcW w:w="45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4580" w:type="dxa"/>
            <w:vAlign w:val="bottom"/>
            <w:gridSpan w:val="3"/>
          </w:tcPr>
          <w:p>
            <w:pPr>
              <w:jc w:val="center"/>
              <w:ind w:right="430"/>
              <w:spacing w:after="0"/>
              <w:rPr>
                <w:sz w:val="20"/>
                <w:szCs w:val="20"/>
                <w:color w:val="auto"/>
              </w:rPr>
            </w:pPr>
            <w:r>
              <w:rPr>
                <w:rFonts w:ascii="Arial" w:cs="Arial" w:eastAsia="Arial" w:hAnsi="Arial"/>
                <w:sz w:val="18"/>
                <w:szCs w:val="18"/>
                <w:color w:val="auto"/>
                <w:w w:val="89"/>
              </w:rPr>
              <w:t>Common Stock, $0.01 par value per share</w:t>
            </w:r>
          </w:p>
        </w:tc>
        <w:tc>
          <w:tcPr>
            <w:tcW w:w="212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NODK</w:t>
            </w:r>
          </w:p>
        </w:tc>
        <w:tc>
          <w:tcPr>
            <w:tcW w:w="520" w:type="dxa"/>
            <w:vAlign w:val="bottom"/>
          </w:tcPr>
          <w:p>
            <w:pPr>
              <w:spacing w:after="0"/>
              <w:rPr>
                <w:sz w:val="24"/>
                <w:szCs w:val="24"/>
                <w:color w:val="auto"/>
              </w:rPr>
            </w:pPr>
          </w:p>
        </w:tc>
        <w:tc>
          <w:tcPr>
            <w:tcW w:w="402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Nasdaq Capital Market</w:t>
            </w:r>
          </w:p>
        </w:tc>
      </w:tr>
    </w:tbl>
    <w:p>
      <w:pPr>
        <w:spacing w:after="0" w:line="107"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89" w:lineRule="exact"/>
        <w:rPr>
          <w:sz w:val="24"/>
          <w:szCs w:val="24"/>
          <w:color w:val="auto"/>
        </w:rPr>
      </w:pPr>
    </w:p>
    <w:p>
      <w:pPr>
        <w:ind w:right="36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pacing w:after="0" w:line="30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5"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Registrant’s common stock outstanding on July 31, 2022 was 21,179,053.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00" w:type="dxa"/>
            <w:vAlign w:val="bottom"/>
            <w:gridSpan w:val="10"/>
          </w:tcPr>
          <w:p>
            <w:pPr>
              <w:ind w:left="80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r>
      <w:tr>
        <w:trPr>
          <w:trHeight w:val="675"/>
        </w:trPr>
        <w:tc>
          <w:tcPr>
            <w:tcW w:w="29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FORWARD-LOOKING STATEMENTS</w:t>
              </w:r>
            </w:hyperlink>
          </w:p>
        </w:tc>
        <w:tc>
          <w:tcPr>
            <w:tcW w:w="7820" w:type="dxa"/>
            <w:vAlign w:val="bottom"/>
            <w:gridSpan w:val="1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0760" w:type="dxa"/>
            <w:vAlign w:val="bottom"/>
            <w:gridSpan w:val="2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9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21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 - Financial Statements</w:t>
              </w:r>
            </w:hyperlink>
          </w:p>
        </w:tc>
        <w:tc>
          <w:tcPr>
            <w:tcW w:w="768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10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 – June 30, 2022 (Unaudited) and December 31, 2021</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3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Operations (Unaudited) – Three Months and Six Months Ended June 30, 2022 and 2021</w:t>
              </w:r>
            </w:hyperlink>
          </w:p>
        </w:tc>
        <w:tc>
          <w:tcPr>
            <w:tcW w:w="76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Comprehensive Income (Loss) (Unaudited) – Three Months and Six Months Ended June 30,</w:t>
              </w:r>
            </w:hyperlink>
          </w:p>
        </w:tc>
        <w:tc>
          <w:tcPr>
            <w:tcW w:w="4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2022 and 2021</w:t>
              </w:r>
            </w:hyperlink>
          </w:p>
        </w:tc>
        <w:tc>
          <w:tcPr>
            <w:tcW w:w="7880" w:type="dxa"/>
            <w:vAlign w:val="bottom"/>
            <w:gridSpan w:val="1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00" w:type="dxa"/>
            <w:vAlign w:val="bottom"/>
            <w:gridSpan w:val="21"/>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Consolidated Statements of Changes in Shareholders’ Equity (Unaudited) – Three Months and Six Months Ended June 30,</w:t>
              </w:r>
            </w:hyperlink>
          </w:p>
        </w:tc>
        <w:tc>
          <w:tcPr>
            <w:tcW w:w="4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2022 and 2021</w:t>
              </w:r>
            </w:hyperlink>
          </w:p>
        </w:tc>
        <w:tc>
          <w:tcPr>
            <w:tcW w:w="7580" w:type="dxa"/>
            <w:vAlign w:val="bottom"/>
            <w:tcBorders>
              <w:top w:val="single" w:sz="8" w:color="0000EE"/>
            </w:tcBorders>
            <w:gridSpan w:val="15"/>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0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Statements of Cash Flows (Unaudited) – Six Months Ended June 30, 2022 and 2021</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Notes to Unaudited Consolidated Financial Statements</w:t>
              </w:r>
            </w:hyperlink>
          </w:p>
        </w:tc>
        <w:tc>
          <w:tcPr>
            <w:tcW w:w="3100" w:type="dxa"/>
            <w:vAlign w:val="bottom"/>
            <w:tcBorders>
              <w:top w:val="single" w:sz="8" w:color="0000EE"/>
            </w:tcBorders>
            <w:gridSpan w:val="5"/>
          </w:tcPr>
          <w:p>
            <w:pPr>
              <w:spacing w:after="0"/>
              <w:rPr>
                <w:sz w:val="17"/>
                <w:szCs w:val="17"/>
                <w:color w:val="auto"/>
              </w:rPr>
            </w:pPr>
          </w:p>
        </w:tc>
        <w:tc>
          <w:tcPr>
            <w:tcW w:w="208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304"/>
        </w:trPr>
        <w:tc>
          <w:tcPr>
            <w:tcW w:w="900" w:type="dxa"/>
            <w:vAlign w:val="bottom"/>
          </w:tcPr>
          <w:p>
            <w:pPr>
              <w:spacing w:after="0"/>
              <w:rPr>
                <w:sz w:val="24"/>
                <w:szCs w:val="24"/>
                <w:color w:val="auto"/>
              </w:rPr>
            </w:pPr>
          </w:p>
        </w:tc>
        <w:tc>
          <w:tcPr>
            <w:tcW w:w="9860" w:type="dxa"/>
            <w:vAlign w:val="bottom"/>
            <w:gridSpan w:val="2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2. - 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96"/>
        </w:trPr>
        <w:tc>
          <w:tcPr>
            <w:tcW w:w="90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Item 3. - Quantitative and Qualitative Disclosures about Market Risk</w:t>
              </w:r>
            </w:hyperlink>
          </w:p>
        </w:tc>
        <w:tc>
          <w:tcPr>
            <w:tcW w:w="2120" w:type="dxa"/>
            <w:vAlign w:val="bottom"/>
            <w:tcBorders>
              <w:top w:val="single" w:sz="8" w:color="0000EE"/>
            </w:tcBorders>
            <w:gridSpan w:val="3"/>
          </w:tcPr>
          <w:p>
            <w:pPr>
              <w:spacing w:after="0"/>
              <w:rPr>
                <w:sz w:val="17"/>
                <w:szCs w:val="17"/>
                <w:color w:val="auto"/>
              </w:rPr>
            </w:pPr>
          </w:p>
        </w:tc>
        <w:tc>
          <w:tcPr>
            <w:tcW w:w="276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900" w:type="dxa"/>
            <w:vAlign w:val="bottom"/>
          </w:tcPr>
          <w:p>
            <w:pPr>
              <w:spacing w:after="0"/>
              <w:rPr>
                <w:sz w:val="17"/>
                <w:szCs w:val="17"/>
                <w:color w:val="auto"/>
              </w:rPr>
            </w:pPr>
          </w:p>
        </w:tc>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Item 4. - Controls and Procedures</w:t>
              </w:r>
            </w:hyperlink>
          </w:p>
        </w:tc>
        <w:tc>
          <w:tcPr>
            <w:tcW w:w="742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304"/>
        </w:trPr>
        <w:tc>
          <w:tcPr>
            <w:tcW w:w="10760" w:type="dxa"/>
            <w:vAlign w:val="bottom"/>
            <w:gridSpan w:val="23"/>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 - 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9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9860" w:type="dxa"/>
            <w:vAlign w:val="bottom"/>
            <w:gridSpan w:val="2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 - 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96"/>
        </w:trPr>
        <w:tc>
          <w:tcPr>
            <w:tcW w:w="900" w:type="dxa"/>
            <w:vAlign w:val="bottom"/>
          </w:tcPr>
          <w:p>
            <w:pPr>
              <w:spacing w:after="0"/>
              <w:rPr>
                <w:sz w:val="17"/>
                <w:szCs w:val="17"/>
                <w:color w:val="auto"/>
              </w:rPr>
            </w:pPr>
          </w:p>
        </w:tc>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1A. - Risk Factors</w:t>
              </w:r>
            </w:hyperlink>
          </w:p>
        </w:tc>
        <w:tc>
          <w:tcPr>
            <w:tcW w:w="7860" w:type="dxa"/>
            <w:vAlign w:val="bottom"/>
            <w:gridSpan w:val="1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0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Item 2. - Unregistered Sales of Equity Securities and Use of Proceeds</w:t>
              </w:r>
            </w:hyperlink>
          </w:p>
        </w:tc>
        <w:tc>
          <w:tcPr>
            <w:tcW w:w="484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900" w:type="dxa"/>
            <w:vAlign w:val="bottom"/>
          </w:tcPr>
          <w:p>
            <w:pPr>
              <w:spacing w:after="0"/>
              <w:rPr>
                <w:sz w:val="17"/>
                <w:szCs w:val="17"/>
                <w:color w:val="auto"/>
              </w:rPr>
            </w:pPr>
          </w:p>
        </w:tc>
        <w:tc>
          <w:tcPr>
            <w:tcW w:w="29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3. - Defaults upon Senior Securities</w:t>
              </w:r>
            </w:hyperlink>
          </w:p>
        </w:tc>
        <w:tc>
          <w:tcPr>
            <w:tcW w:w="6900" w:type="dxa"/>
            <w:vAlign w:val="bottom"/>
            <w:gridSpan w:val="1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900" w:type="dxa"/>
            <w:vAlign w:val="bottom"/>
          </w:tcPr>
          <w:p>
            <w:pPr>
              <w:spacing w:after="0"/>
              <w:rPr>
                <w:sz w:val="17"/>
                <w:szCs w:val="17"/>
                <w:color w:val="auto"/>
              </w:rPr>
            </w:pPr>
          </w:p>
        </w:tc>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Item 4. - Mine Safety Disclosures</w:t>
              </w:r>
            </w:hyperlink>
          </w:p>
        </w:tc>
        <w:tc>
          <w:tcPr>
            <w:tcW w:w="742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900" w:type="dxa"/>
            <w:vAlign w:val="bottom"/>
          </w:tcPr>
          <w:p>
            <w:pPr>
              <w:spacing w:after="0"/>
              <w:rPr>
                <w:sz w:val="17"/>
                <w:szCs w:val="17"/>
                <w:color w:val="auto"/>
              </w:rPr>
            </w:pPr>
          </w:p>
        </w:tc>
        <w:tc>
          <w:tcPr>
            <w:tcW w:w="9860" w:type="dxa"/>
            <w:vAlign w:val="bottom"/>
            <w:gridSpan w:val="2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Item 5. - Other Information</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900" w:type="dxa"/>
            <w:vAlign w:val="bottom"/>
          </w:tcPr>
          <w:p>
            <w:pPr>
              <w:spacing w:after="0"/>
              <w:rPr>
                <w:sz w:val="17"/>
                <w:szCs w:val="17"/>
                <w:color w:val="auto"/>
              </w:rPr>
            </w:pPr>
          </w:p>
        </w:tc>
        <w:tc>
          <w:tcPr>
            <w:tcW w:w="1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Item 6. - Exhibits</w:t>
              </w:r>
            </w:hyperlink>
          </w:p>
        </w:tc>
        <w:tc>
          <w:tcPr>
            <w:tcW w:w="7880" w:type="dxa"/>
            <w:vAlign w:val="bottom"/>
            <w:gridSpan w:val="1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900" w:type="dxa"/>
            <w:vAlign w:val="bottom"/>
          </w:tcPr>
          <w:p>
            <w:pPr>
              <w:spacing w:after="0"/>
              <w:rPr>
                <w:sz w:val="17"/>
                <w:szCs w:val="17"/>
                <w:color w:val="auto"/>
              </w:rPr>
            </w:pPr>
          </w:p>
        </w:tc>
        <w:tc>
          <w:tcPr>
            <w:tcW w:w="12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8600" w:type="dxa"/>
            <w:vAlign w:val="bottom"/>
            <w:gridSpan w:val="1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CERTAIN IMPORTANT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as used in this quarterly report on Form 10-Q:</w:t>
      </w:r>
    </w:p>
    <w:p>
      <w:pPr>
        <w:spacing w:after="0" w:line="239" w:lineRule="exact"/>
        <w:rPr>
          <w:sz w:val="20"/>
          <w:szCs w:val="20"/>
          <w:color w:val="auto"/>
        </w:rPr>
      </w:pPr>
    </w:p>
    <w:p>
      <w:pPr>
        <w:ind w:left="660" w:hanging="328"/>
        <w:spacing w:after="0" w:line="284"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“NI Holdings”, “the Company”, “we”, “us”, and “our” refer to NI Holdings, Inc., together with Nodak Insurance Company and its subsidiaries and its affiliate (Battle Creek Mutual Insurance Company), Direct Auto Insurance Company (acquired August 31, 2018), and Westminster American Insurance Company (acquired January 1, 2020), for periods discussed after completion of the conversion, and for periods discussed prior to completion of the conversion refer to Nodak Mutual Insurance Company and all of its subsidiaries and Battle Creek Mutual Insurance Company;</w:t>
      </w:r>
    </w:p>
    <w:p>
      <w:pPr>
        <w:spacing w:after="0" w:line="145"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Mutual Group” refers to Nodak Mutual Group, Inc., which is the majority shareholder of NI Holdings;</w:t>
      </w:r>
    </w:p>
    <w:p>
      <w:pPr>
        <w:spacing w:after="0" w:line="215" w:lineRule="exact"/>
        <w:rPr>
          <w:rFonts w:ascii="Arial" w:cs="Arial" w:eastAsia="Arial" w:hAnsi="Arial"/>
          <w:sz w:val="22"/>
          <w:szCs w:val="22"/>
          <w:color w:val="auto"/>
        </w:rPr>
      </w:pPr>
    </w:p>
    <w:p>
      <w:pPr>
        <w:jc w:val="both"/>
        <w:ind w:left="660" w:right="360" w:hanging="328"/>
        <w:spacing w:after="0" w:line="23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21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“Nodak Mutual” refers to Nodak Mutual Insurance Company, the predecessor company to Nodak Insurance Company prior to the conversion;</w:t>
      </w:r>
    </w:p>
    <w:p>
      <w:pPr>
        <w:spacing w:after="0" w:line="190"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Insurance” refers to Nodak Insurance Company or Nodak Mutual Insurance Company interchangeably;</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“members” refers to the policyholders of Nodak Insurance, who are the named insureds under insurance policies issued by Nodak Insurance;</w:t>
      </w:r>
    </w:p>
    <w:p>
      <w:pPr>
        <w:spacing w:after="0" w:line="227" w:lineRule="exact"/>
        <w:rPr>
          <w:rFonts w:ascii="Arial" w:cs="Arial" w:eastAsia="Arial" w:hAnsi="Arial"/>
          <w:sz w:val="19"/>
          <w:szCs w:val="19"/>
          <w:color w:val="auto"/>
        </w:rPr>
      </w:pPr>
    </w:p>
    <w:p>
      <w:pPr>
        <w:ind w:left="660" w:right="180" w:hanging="328"/>
        <w:spacing w:after="0" w:line="24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“Battle Creek” refers to Battle Creek Mutual Insurance Company. Battle Creek became affiliated with Nodak Insurance in 2011, and Nodak Insurance provides underwriting, claims management, policy administration, and other administrative services to Battle Creek. Battle Creek is controlled by Nodak Insurance via a surplus note. The terms of the surplus note allow Nodak Insurance to appoint two-thirds of the Battle Creek Board of Directors;</w:t>
      </w:r>
    </w:p>
    <w:p>
      <w:pPr>
        <w:spacing w:after="0" w:line="202" w:lineRule="exact"/>
        <w:rPr>
          <w:rFonts w:ascii="Arial" w:cs="Arial" w:eastAsia="Arial" w:hAnsi="Arial"/>
          <w:sz w:val="22"/>
          <w:szCs w:val="22"/>
          <w:color w:val="auto"/>
        </w:rPr>
      </w:pPr>
    </w:p>
    <w:p>
      <w:pPr>
        <w:ind w:left="660" w:right="80" w:hanging="328"/>
        <w:spacing w:after="0" w:line="256" w:lineRule="auto"/>
        <w:tabs>
          <w:tab w:leader="none" w:pos="660" w:val="left"/>
        </w:tabs>
        <w:numPr>
          <w:ilvl w:val="0"/>
          <w:numId w:val="3"/>
        </w:numPr>
        <w:rPr>
          <w:rFonts w:ascii="Arial" w:cs="Arial" w:eastAsia="Arial" w:hAnsi="Arial"/>
          <w:sz w:val="21"/>
          <w:szCs w:val="21"/>
          <w:color w:val="auto"/>
        </w:rPr>
      </w:pPr>
      <w:r>
        <w:rPr>
          <w:rFonts w:ascii="Arial" w:cs="Arial" w:eastAsia="Arial" w:hAnsi="Arial"/>
          <w:sz w:val="17"/>
          <w:szCs w:val="17"/>
          <w:color w:val="auto"/>
        </w:rPr>
        <w:t>“Direct Auto” refers to Direct Auto Insurance Company. On August 31, 2018, NI Holdings completed the acquisition of 100% of the common stock of Direct Auto from the private shareholders of Direct Auto, and Direct Auto became a consolidated subsidiary of NI Holdings. Direct Auto is a property and casualty insurance company specializing in non-standard automobile insurance in the state of Illinois;</w:t>
      </w:r>
    </w:p>
    <w:p>
      <w:pPr>
        <w:spacing w:after="0" w:line="180" w:lineRule="exact"/>
        <w:rPr>
          <w:rFonts w:ascii="Arial" w:cs="Arial" w:eastAsia="Arial" w:hAnsi="Arial"/>
          <w:sz w:val="21"/>
          <w:szCs w:val="21"/>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“American West” refers to American West Insurance Company. American West is a wholly-owned subsidiary of Nodak Insurance;</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“Primero” refers to Primero Insurance Company. Primero is an indirect, wholly-owned subsidiary of Nodak Insurance;</w:t>
      </w:r>
    </w:p>
    <w:p>
      <w:pPr>
        <w:spacing w:after="0" w:line="201" w:lineRule="exact"/>
        <w:rPr>
          <w:rFonts w:ascii="Arial" w:cs="Arial" w:eastAsia="Arial" w:hAnsi="Arial"/>
          <w:sz w:val="22"/>
          <w:szCs w:val="22"/>
          <w:color w:val="auto"/>
        </w:rPr>
      </w:pPr>
    </w:p>
    <w:p>
      <w:pPr>
        <w:jc w:val="both"/>
        <w:ind w:left="660" w:right="220" w:hanging="328"/>
        <w:spacing w:after="0" w:line="285"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“Westminster” refers to Westminster American Insurance Company. On January 1, 2020, NI Holdings completed the acquisition of 100% of the common stock of Westminster from the private shareholder of Westminster, and Westminster became a consolidated subsidiary of NI Holdings. Westminster is a property and casualty insurance company specializing in commercial multi-peril insurance in the Mid-Atlantic states; and</w:t>
      </w:r>
    </w:p>
    <w:p>
      <w:pPr>
        <w:spacing w:after="0" w:line="158"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Agency” refers to Nodak Agency, Inc. Nodak Agency is a wholly-owned subsidiary of Nodak Insurance.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the Company’s statements about:</w:t>
      </w:r>
    </w:p>
    <w:p>
      <w:pPr>
        <w:spacing w:after="0" w:line="17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anticipated operating and financial performance, business plans, and prospects;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strategic reviews, capital allocation objectives, dividends, and share repurchases;</w:t>
      </w:r>
    </w:p>
    <w:p>
      <w:pPr>
        <w:spacing w:after="0" w:line="201" w:lineRule="exact"/>
        <w:rPr>
          <w:rFonts w:ascii="Arial" w:cs="Arial" w:eastAsia="Arial" w:hAnsi="Arial"/>
          <w:sz w:val="22"/>
          <w:szCs w:val="22"/>
          <w:color w:val="auto"/>
        </w:rPr>
      </w:pPr>
    </w:p>
    <w:p>
      <w:pPr>
        <w:ind w:left="980" w:right="240" w:hanging="324"/>
        <w:spacing w:after="0" w:line="232"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plans for and prospects of acquisitions, dispositions, and other business development activities, and our ability to successfully capitalize on these opportunities;</w:t>
      </w:r>
    </w:p>
    <w:p>
      <w:pPr>
        <w:spacing w:after="0" w:line="216" w:lineRule="exact"/>
        <w:rPr>
          <w:rFonts w:ascii="Arial" w:cs="Arial" w:eastAsia="Arial" w:hAnsi="Arial"/>
          <w:sz w:val="22"/>
          <w:szCs w:val="22"/>
          <w:color w:val="auto"/>
        </w:rPr>
      </w:pPr>
    </w:p>
    <w:p>
      <w:pPr>
        <w:ind w:left="980" w:right="940" w:hanging="324"/>
        <w:spacing w:after="0" w:line="232"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impact of COVID-19 or a future pandemic and related economic conditions, including the potential impact on the Company's investments;</w:t>
      </w:r>
    </w:p>
    <w:p>
      <w:pPr>
        <w:spacing w:after="0" w:line="216" w:lineRule="exact"/>
        <w:rPr>
          <w:rFonts w:ascii="Arial" w:cs="Arial" w:eastAsia="Arial" w:hAnsi="Arial"/>
          <w:sz w:val="22"/>
          <w:szCs w:val="22"/>
          <w:color w:val="auto"/>
        </w:rPr>
      </w:pPr>
    </w:p>
    <w:p>
      <w:pPr>
        <w:ind w:left="980" w:right="100" w:hanging="324"/>
        <w:spacing w:after="0" w:line="232"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enter new markets successfully and capitalize on growth opportunities either through acquisitions or the expansion of our agent network;</w:t>
      </w:r>
    </w:p>
    <w:p>
      <w:pPr>
        <w:spacing w:after="0" w:line="180"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cyclical changes in the insurance industry, competition, and innovation and emerging technologies;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expectations for impact of or changes to existing or new government regulations or laws;</w:t>
      </w:r>
    </w:p>
    <w:p>
      <w:pPr>
        <w:spacing w:after="0" w:line="215" w:lineRule="exact"/>
        <w:rPr>
          <w:rFonts w:ascii="Arial" w:cs="Arial" w:eastAsia="Arial" w:hAnsi="Arial"/>
          <w:sz w:val="22"/>
          <w:szCs w:val="22"/>
          <w:color w:val="auto"/>
        </w:rPr>
      </w:pPr>
    </w:p>
    <w:p>
      <w:pPr>
        <w:ind w:left="980" w:right="60" w:hanging="324"/>
        <w:spacing w:after="0" w:line="232"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anticipate and respond to macroeconomic, geopolitical, health and industry trends, pandemics, acts of war, and other large-scale crises;</w:t>
      </w:r>
    </w:p>
    <w:p>
      <w:pPr>
        <w:spacing w:after="0" w:line="203" w:lineRule="exact"/>
        <w:rPr>
          <w:rFonts w:ascii="Arial" w:cs="Arial" w:eastAsia="Arial" w:hAnsi="Arial"/>
          <w:sz w:val="22"/>
          <w:szCs w:val="22"/>
          <w:color w:val="auto"/>
        </w:rPr>
      </w:pPr>
    </w:p>
    <w:p>
      <w:pPr>
        <w:ind w:left="980" w:right="320" w:hanging="324"/>
        <w:spacing w:after="0" w:line="232"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developments in general economic conditions, domestic and global financial markets, interest rate, unemployment, or inflation, that could affect the performance of our insurance operations and/or investment portfolio; and</w:t>
      </w:r>
    </w:p>
    <w:p>
      <w:pPr>
        <w:spacing w:after="0" w:line="194"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effectively manage future growth, including additional necessary capital, systems, and personnel.</w:t>
      </w:r>
    </w:p>
    <w:p>
      <w:pPr>
        <w:spacing w:after="0" w:line="18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Part II, Item 1A, “Risk Factors” of this Quarterly Report on Form 10-Q and in the Part I, Item 1A, “Risk Factors” section in our Annual Report on Form 10-K for the year ended December 31, 2021 (“2021 Annual Report”). The occurrence of any of the risks identified in the Part II, Item 1A, “Risk Factors” of this Quarterly Report on Form 10-Q or Part I, Item 1A, “Risk Factors” section of the 2021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spacing w:after="0" w:line="169"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Therefore, you are cautioned not to unduly rely on forward-looking statements, which speak only as of the date of this Form 10-Q.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3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80" w:type="dxa"/>
            <w:vAlign w:val="bottom"/>
            <w:tcBorders>
              <w:top w:val="single" w:sz="8" w:color="0000EE"/>
            </w:tcBorders>
          </w:tcPr>
          <w:p>
            <w:pPr>
              <w:spacing w:after="0"/>
              <w:rPr>
                <w:sz w:val="24"/>
                <w:szCs w:val="24"/>
                <w:color w:val="auto"/>
              </w:rPr>
            </w:pPr>
          </w:p>
        </w:tc>
        <w:tc>
          <w:tcPr>
            <w:tcW w:w="6080" w:type="dxa"/>
            <w:vAlign w:val="bottom"/>
          </w:tcPr>
          <w:p>
            <w:pPr>
              <w:ind w:left="2760"/>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Item 1. - Financial Statements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 except par 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2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June 30, 2022</w:t>
            </w:r>
          </w:p>
        </w:tc>
        <w:tc>
          <w:tcPr>
            <w:tcW w:w="160" w:type="dxa"/>
            <w:vAlign w:val="bottom"/>
          </w:tcPr>
          <w:p>
            <w:pPr>
              <w:spacing w:after="0"/>
              <w:rPr>
                <w:sz w:val="24"/>
                <w:szCs w:val="24"/>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 2021</w:t>
            </w:r>
          </w:p>
        </w:tc>
      </w:tr>
      <w:tr>
        <w:trPr>
          <w:trHeight w:val="210"/>
        </w:trPr>
        <w:tc>
          <w:tcPr>
            <w:tcW w:w="12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63,032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70,623</w:t>
            </w:r>
          </w:p>
        </w:tc>
        <w:tc>
          <w:tcPr>
            <w:tcW w:w="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Fixed income securities, at fair value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336,099</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364,651</w:t>
            </w:r>
          </w:p>
        </w:tc>
        <w:tc>
          <w:tcPr>
            <w:tcW w:w="2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Equity securities, at fair value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63,422</w:t>
            </w: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77,690</w:t>
            </w:r>
          </w:p>
        </w:tc>
        <w:tc>
          <w:tcPr>
            <w:tcW w:w="20" w:type="dxa"/>
            <w:vAlign w:val="bottom"/>
          </w:tcPr>
          <w:p>
            <w:pPr>
              <w:spacing w:after="0"/>
              <w:rPr>
                <w:sz w:val="18"/>
                <w:szCs w:val="18"/>
                <w:color w:val="auto"/>
              </w:rPr>
            </w:pPr>
          </w:p>
        </w:tc>
      </w:tr>
      <w:tr>
        <w:trPr>
          <w:trHeight w:val="216"/>
        </w:trPr>
        <w:tc>
          <w:tcPr>
            <w:tcW w:w="7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09"/>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Total cash and 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464,558</w:t>
            </w: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514,969</w:t>
            </w:r>
          </w:p>
        </w:tc>
        <w:tc>
          <w:tcPr>
            <w:tcW w:w="2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108,336</w:t>
            </w: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51,452</w:t>
            </w:r>
          </w:p>
        </w:tc>
        <w:tc>
          <w:tcPr>
            <w:tcW w:w="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30,917</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24,947</w:t>
            </w:r>
          </w:p>
        </w:tc>
        <w:tc>
          <w:tcPr>
            <w:tcW w:w="2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Reinsurance premiums receivable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2,227</w:t>
            </w: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Reinsurance recoverables on losses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17,041</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21,200</w:t>
            </w:r>
          </w:p>
        </w:tc>
        <w:tc>
          <w:tcPr>
            <w:tcW w:w="2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Income tax recoverable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8,475</w:t>
            </w: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investment income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2,551</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w:t>
            </w:r>
          </w:p>
        </w:tc>
        <w:tc>
          <w:tcPr>
            <w:tcW w:w="2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9,837</w:t>
            </w: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9,869</w:t>
            </w:r>
          </w:p>
        </w:tc>
        <w:tc>
          <w:tcPr>
            <w:tcW w:w="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9,025</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Goodwill and other intangibles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17,486</w:t>
            </w: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17,722</w:t>
            </w:r>
          </w:p>
        </w:tc>
        <w:tc>
          <w:tcPr>
            <w:tcW w:w="20" w:type="dxa"/>
            <w:vAlign w:val="bottom"/>
          </w:tcPr>
          <w:p>
            <w:pPr>
              <w:spacing w:after="0"/>
              <w:rPr>
                <w:sz w:val="18"/>
                <w:szCs w:val="18"/>
                <w:color w:val="auto"/>
              </w:rPr>
            </w:pPr>
          </w:p>
        </w:tc>
      </w:tr>
      <w:tr>
        <w:trPr>
          <w:trHeight w:val="216"/>
        </w:trPr>
        <w:tc>
          <w:tcPr>
            <w:tcW w:w="7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09"/>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681,589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651,782</w:t>
            </w:r>
          </w:p>
        </w:tc>
        <w:tc>
          <w:tcPr>
            <w:tcW w:w="2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182,876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139,662</w:t>
            </w:r>
          </w:p>
        </w:tc>
        <w:tc>
          <w:tcPr>
            <w:tcW w:w="2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Unearned premiums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173,725</w:t>
            </w: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127,789</w:t>
            </w:r>
          </w:p>
        </w:tc>
        <w:tc>
          <w:tcPr>
            <w:tcW w:w="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Reinsurance premiums payable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3,140</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2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5,506</w:t>
            </w:r>
          </w:p>
        </w:tc>
        <w:tc>
          <w:tcPr>
            <w:tcW w:w="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Payable to Federal Crop Insurance Corporation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7,102</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4,962</w:t>
            </w:r>
          </w:p>
        </w:tc>
        <w:tc>
          <w:tcPr>
            <w:tcW w:w="2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Westminster consideration payable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6,454</w:t>
            </w: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13,020</w:t>
            </w:r>
          </w:p>
        </w:tc>
        <w:tc>
          <w:tcPr>
            <w:tcW w:w="20" w:type="dxa"/>
            <w:vAlign w:val="bottom"/>
          </w:tcPr>
          <w:p>
            <w:pPr>
              <w:spacing w:after="0"/>
              <w:rPr>
                <w:sz w:val="18"/>
                <w:szCs w:val="18"/>
                <w:color w:val="auto"/>
              </w:rPr>
            </w:pPr>
          </w:p>
        </w:tc>
      </w:tr>
      <w:tr>
        <w:trPr>
          <w:trHeight w:val="216"/>
        </w:trPr>
        <w:tc>
          <w:tcPr>
            <w:tcW w:w="7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13,104</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10"/>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408,978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73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$0.01 par value, authorized: 25,000,000 shares; issued: 23,000,000 shares;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7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2022 – 21,209,856 shares, 2021 – 21,219,808 shares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20" w:type="dxa"/>
            <w:vAlign w:val="bottom"/>
            <w:shd w:val="clear" w:color="auto" w:fill="CCEEFF"/>
          </w:tcPr>
          <w:p>
            <w:pPr>
              <w:spacing w:after="0"/>
              <w:rPr>
                <w:sz w:val="20"/>
                <w:szCs w:val="20"/>
                <w:color w:val="auto"/>
              </w:rPr>
            </w:pPr>
          </w:p>
        </w:tc>
      </w:tr>
      <w:tr>
        <w:trPr>
          <w:trHeight w:val="216"/>
        </w:trPr>
        <w:tc>
          <w:tcPr>
            <w:tcW w:w="7360" w:type="dxa"/>
            <w:vAlign w:val="bottom"/>
            <w:gridSpan w:val="2"/>
          </w:tcPr>
          <w:p>
            <w:pPr>
              <w:ind w:left="180"/>
              <w:spacing w:after="0"/>
              <w:rPr>
                <w:sz w:val="20"/>
                <w:szCs w:val="20"/>
                <w:color w:val="auto"/>
              </w:rPr>
            </w:pPr>
            <w:r>
              <w:rPr>
                <w:rFonts w:ascii="Arial" w:cs="Arial" w:eastAsia="Arial" w:hAnsi="Arial"/>
                <w:sz w:val="18"/>
                <w:szCs w:val="18"/>
                <w:color w:val="auto"/>
                <w:w w:val="92"/>
              </w:rPr>
              <w:t>Preferred stock, without par value, authorized 5,000,000 shares; no shares issued or outstanding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96,827</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98,166</w:t>
            </w:r>
          </w:p>
        </w:tc>
        <w:tc>
          <w:tcPr>
            <w:tcW w:w="2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Unearned employee stock ownership plan shares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(1,184)</w:t>
            </w:r>
          </w:p>
        </w:tc>
        <w:tc>
          <w:tcPr>
            <w:tcW w:w="1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(1,184)</w:t>
            </w:r>
          </w:p>
        </w:tc>
        <w:tc>
          <w:tcPr>
            <w:tcW w:w="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223,217</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267,207</w:t>
            </w:r>
          </w:p>
        </w:tc>
        <w:tc>
          <w:tcPr>
            <w:tcW w:w="2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 (loss), net of income taxes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(22,482)</w:t>
            </w: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5,237</w:t>
            </w:r>
          </w:p>
        </w:tc>
        <w:tc>
          <w:tcPr>
            <w:tcW w:w="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at cost, 2022 – 1,671,719 shares, 2021 – 1,661,767 shares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(26,569)</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(26,452)</w:t>
            </w:r>
          </w:p>
        </w:tc>
        <w:tc>
          <w:tcPr>
            <w:tcW w:w="2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7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272,611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347,413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681,589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651,782</w:t>
            </w:r>
          </w:p>
        </w:tc>
        <w:tc>
          <w:tcPr>
            <w:tcW w:w="20" w:type="dxa"/>
            <w:vAlign w:val="bottom"/>
            <w:shd w:val="clear" w:color="auto" w:fill="CCEEFF"/>
          </w:tcPr>
          <w:p>
            <w:pPr>
              <w:spacing w:after="0"/>
              <w:rPr>
                <w:sz w:val="22"/>
                <w:szCs w:val="22"/>
                <w:color w:val="auto"/>
              </w:rPr>
            </w:pPr>
          </w:p>
        </w:tc>
      </w:tr>
      <w:tr>
        <w:trPr>
          <w:trHeight w:val="385"/>
        </w:trPr>
        <w:tc>
          <w:tcPr>
            <w:tcW w:w="73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405"/>
        </w:trPr>
        <w:tc>
          <w:tcPr>
            <w:tcW w:w="7360" w:type="dxa"/>
            <w:vAlign w:val="bottom"/>
            <w:gridSpan w:val="2"/>
          </w:tcPr>
          <w:p>
            <w:pPr>
              <w:ind w:left="55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280" w:type="dxa"/>
            <w:vAlign w:val="bottom"/>
            <w:tcBorders>
              <w:bottom w:val="single" w:sz="8" w:color="EEEEEE"/>
            </w:tcBorders>
          </w:tcPr>
          <w:p>
            <w:pPr>
              <w:spacing w:after="0"/>
              <w:rPr>
                <w:sz w:val="17"/>
                <w:szCs w:val="17"/>
                <w:color w:val="auto"/>
              </w:rPr>
            </w:pPr>
          </w:p>
        </w:tc>
        <w:tc>
          <w:tcPr>
            <w:tcW w:w="60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3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7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3"/>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Operations (Unaudited)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 except per share data)</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8"/>
              </w:rPr>
              <w:t>Three Months Ended</w:t>
            </w:r>
          </w:p>
        </w:tc>
        <w:tc>
          <w:tcPr>
            <w:tcW w:w="140" w:type="dxa"/>
            <w:vAlign w:val="bottom"/>
          </w:tcPr>
          <w:p>
            <w:pPr>
              <w:spacing w:after="0"/>
              <w:rPr>
                <w:sz w:val="24"/>
                <w:szCs w:val="24"/>
                <w:color w:val="auto"/>
              </w:rPr>
            </w:pPr>
          </w:p>
        </w:tc>
        <w:tc>
          <w:tcPr>
            <w:tcW w:w="20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0"/>
                <w:szCs w:val="20"/>
                <w:color w:val="auto"/>
              </w:rPr>
            </w:pPr>
          </w:p>
        </w:tc>
        <w:tc>
          <w:tcPr>
            <w:tcW w:w="20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84,496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76,281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154,083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1,710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investment gains (losses)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(16,664)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75,790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83,212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141,930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Losses and loss adjustment expenses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62,918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148,724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policy acquisition costs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19,886</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31,867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underwriting and general expenses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17,783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134,841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86,507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198,374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144,634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(59,051)</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(3,295 )</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(56,444 )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(12,415)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(561 )</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(11,847 )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(46,636)</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(2,734 )</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(44,597 )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(90 )</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Net income (loss) attributable to NI Holdings, Inc.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(45,910)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(2,644 )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(44,001 )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(0.12 )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(2.06 )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8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(0.12 )</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(2.06 )</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54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data:</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Weighted average common shares outstanding used in basic per common share</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calculations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21,379,803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21,464,840</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21,376,298</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21,463,747</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Plus: Dilutive securities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tcPr>
          <w:p>
            <w:pPr>
              <w:ind w:left="180"/>
              <w:spacing w:after="0"/>
              <w:rPr>
                <w:sz w:val="20"/>
                <w:szCs w:val="20"/>
                <w:color w:val="auto"/>
              </w:rPr>
            </w:pPr>
            <w:r>
              <w:rPr>
                <w:rFonts w:ascii="Arial" w:cs="Arial" w:eastAsia="Arial" w:hAnsi="Arial"/>
                <w:sz w:val="18"/>
                <w:szCs w:val="18"/>
                <w:color w:val="auto"/>
                <w:w w:val="99"/>
              </w:rPr>
              <w:t>Weighted average common shares used in diluted per common share calculations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21,379,803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21,464,840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21,376,298</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21,688,059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3"/>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gridSpan w:val="9"/>
          </w:tcPr>
          <w:p>
            <w:pPr>
              <w:spacing w:after="0"/>
              <w:rPr>
                <w:sz w:val="20"/>
                <w:szCs w:val="20"/>
                <w:color w:val="auto"/>
              </w:rPr>
            </w:pPr>
            <w:r>
              <w:rPr>
                <w:rFonts w:ascii="Arial" w:cs="Arial" w:eastAsia="Arial" w:hAnsi="Arial"/>
                <w:sz w:val="18"/>
                <w:szCs w:val="18"/>
                <w:b w:val="1"/>
                <w:bCs w:val="1"/>
                <w:color w:val="auto"/>
                <w:w w:val="90"/>
              </w:rPr>
              <w:t>Consolidated Statements of Comprehensive Income (Loss) (Unaudited)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60" w:type="dxa"/>
            <w:vAlign w:val="bottom"/>
            <w:gridSpan w:val="10"/>
          </w:tcPr>
          <w:p>
            <w:pPr>
              <w:jc w:val="right"/>
              <w:ind w:right="1080"/>
              <w:spacing w:after="0"/>
              <w:rPr>
                <w:sz w:val="20"/>
                <w:szCs w:val="20"/>
                <w:color w:val="auto"/>
              </w:rPr>
            </w:pPr>
            <w:r>
              <w:rPr>
                <w:rFonts w:ascii="Arial" w:cs="Arial" w:eastAsia="Arial" w:hAnsi="Arial"/>
                <w:sz w:val="18"/>
                <w:szCs w:val="18"/>
                <w:b w:val="1"/>
                <w:bCs w:val="1"/>
                <w:color w:val="auto"/>
              </w:rPr>
              <w:t>Three Months Ended June 30, 2022</w:t>
            </w:r>
          </w:p>
        </w:tc>
        <w:tc>
          <w:tcPr>
            <w:tcW w:w="220" w:type="dxa"/>
            <w:vAlign w:val="bottom"/>
          </w:tcPr>
          <w:p>
            <w:pPr>
              <w:spacing w:after="0"/>
              <w:rPr>
                <w:sz w:val="24"/>
                <w:szCs w:val="24"/>
                <w:color w:val="auto"/>
              </w:rPr>
            </w:pPr>
          </w:p>
        </w:tc>
        <w:tc>
          <w:tcPr>
            <w:tcW w:w="386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89"/>
              </w:rPr>
              <w:t>Six Months Ended June 30, 2022</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5"/>
              </w:rPr>
              <w:t>Attributable</w:t>
            </w:r>
          </w:p>
        </w:tc>
        <w:tc>
          <w:tcPr>
            <w:tcW w:w="10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 Non-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5"/>
              </w:rPr>
              <w:t>Attributable</w:t>
            </w:r>
          </w:p>
        </w:tc>
        <w:tc>
          <w:tcPr>
            <w:tcW w:w="10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to Non-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9"/>
              </w:rPr>
              <w:t>to NI</w:t>
            </w:r>
          </w:p>
        </w:tc>
        <w:tc>
          <w:tcPr>
            <w:tcW w:w="10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Controlling</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9"/>
              </w:rPr>
              <w:t>to NI</w:t>
            </w:r>
          </w:p>
        </w:tc>
        <w:tc>
          <w:tcPr>
            <w:tcW w:w="10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Controlling</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Holdings, Inc.</w:t>
            </w:r>
          </w:p>
        </w:tc>
        <w:tc>
          <w:tcPr>
            <w:tcW w:w="10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Total</w:t>
            </w: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Holdings, Inc.</w:t>
            </w:r>
          </w:p>
        </w:tc>
        <w:tc>
          <w:tcPr>
            <w:tcW w:w="10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6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(45,910)</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(46,636)</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(44,001)</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w:t>
            </w: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before income taxes:</w:t>
            </w:r>
          </w:p>
        </w:tc>
        <w:tc>
          <w:tcPr>
            <w:tcW w:w="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Holding gains (losses) on</w:t>
            </w: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360"/>
              <w:spacing w:after="0"/>
              <w:rPr>
                <w:sz w:val="20"/>
                <w:szCs w:val="20"/>
                <w:color w:val="auto"/>
              </w:rPr>
            </w:pPr>
            <w:r>
              <w:rPr>
                <w:rFonts w:ascii="Arial" w:cs="Arial" w:eastAsia="Arial" w:hAnsi="Arial"/>
                <w:sz w:val="18"/>
                <w:szCs w:val="18"/>
                <w:color w:val="auto"/>
              </w:rPr>
              <w:t>investments</w:t>
            </w:r>
          </w:p>
        </w:tc>
        <w:tc>
          <w:tcPr>
            <w:tcW w:w="60" w:type="dxa"/>
            <w:vAlign w:val="bottom"/>
          </w:tcPr>
          <w:p>
            <w:pPr>
              <w:spacing w:after="0"/>
              <w:rPr>
                <w:sz w:val="20"/>
                <w:szCs w:val="20"/>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(15,738 )</w:t>
            </w: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(16,388)</w:t>
            </w: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(35,935)</w:t>
            </w: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(1,347)</w:t>
            </w:r>
          </w:p>
        </w:tc>
        <w:tc>
          <w:tcPr>
            <w:tcW w:w="2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(37,282)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40" w:type="dxa"/>
            <w:vAlign w:val="bottom"/>
            <w:tcBorders>
              <w:right w:val="single" w:sz="8" w:color="CCEEFF"/>
            </w:tcBorders>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Reclassification adjustment for</w:t>
            </w: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realized gain included in</w:t>
            </w:r>
          </w:p>
        </w:tc>
        <w:tc>
          <w:tcPr>
            <w:tcW w:w="60" w:type="dxa"/>
            <w:vAlign w:val="bottom"/>
            <w:shd w:val="clear" w:color="auto" w:fill="CCEEFF"/>
          </w:tcPr>
          <w:p>
            <w:pPr>
              <w:spacing w:after="0"/>
              <w:rPr>
                <w:sz w:val="18"/>
                <w:szCs w:val="18"/>
                <w:color w:val="auto"/>
              </w:rPr>
            </w:pPr>
          </w:p>
        </w:tc>
        <w:tc>
          <w:tcPr>
            <w:tcW w:w="152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60" w:type="dxa"/>
            <w:vAlign w:val="bottom"/>
            <w:shd w:val="clear" w:color="auto" w:fill="CCEEFF"/>
          </w:tcPr>
          <w:p>
            <w:pPr>
              <w:spacing w:after="0"/>
              <w:rPr>
                <w:sz w:val="18"/>
                <w:szCs w:val="18"/>
                <w:color w:val="auto"/>
              </w:rPr>
            </w:pPr>
          </w:p>
        </w:tc>
        <w:tc>
          <w:tcPr>
            <w:tcW w:w="15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40" w:type="dxa"/>
            <w:vAlign w:val="bottom"/>
            <w:tcBorders>
              <w:top w:val="single" w:sz="8" w:color="CCEEFF"/>
            </w:tcBorders>
            <w:gridSpan w:val="2"/>
          </w:tcPr>
          <w:p>
            <w:pPr>
              <w:ind w:left="360"/>
              <w:spacing w:after="0" w:line="195" w:lineRule="exact"/>
              <w:rPr>
                <w:sz w:val="20"/>
                <w:szCs w:val="20"/>
                <w:color w:val="auto"/>
              </w:rPr>
            </w:pPr>
            <w:r>
              <w:rPr>
                <w:rFonts w:ascii="Arial" w:cs="Arial" w:eastAsia="Arial" w:hAnsi="Arial"/>
                <w:sz w:val="18"/>
                <w:szCs w:val="18"/>
                <w:color w:val="auto"/>
                <w:w w:val="95"/>
              </w:rPr>
              <w:t>Other comprehensive income</w:t>
            </w:r>
          </w:p>
        </w:tc>
        <w:tc>
          <w:tcPr>
            <w:tcW w:w="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ind w:left="540"/>
              <w:spacing w:after="0"/>
              <w:rPr>
                <w:sz w:val="20"/>
                <w:szCs w:val="20"/>
                <w:color w:val="auto"/>
              </w:rPr>
            </w:pPr>
            <w:r>
              <w:rPr>
                <w:rFonts w:ascii="Arial" w:cs="Arial" w:eastAsia="Arial" w:hAnsi="Arial"/>
                <w:sz w:val="18"/>
                <w:szCs w:val="18"/>
                <w:color w:val="auto"/>
              </w:rPr>
              <w:t>(loss), before income</w:t>
            </w: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540"/>
              <w:spacing w:after="0"/>
              <w:rPr>
                <w:sz w:val="20"/>
                <w:szCs w:val="20"/>
                <w:color w:val="auto"/>
              </w:rPr>
            </w:pPr>
            <w:r>
              <w:rPr>
                <w:rFonts w:ascii="Arial" w:cs="Arial" w:eastAsia="Arial" w:hAnsi="Arial"/>
                <w:sz w:val="18"/>
                <w:szCs w:val="18"/>
                <w:color w:val="auto"/>
              </w:rPr>
              <w:t>taxes</w:t>
            </w:r>
          </w:p>
        </w:tc>
        <w:tc>
          <w:tcPr>
            <w:tcW w:w="60" w:type="dxa"/>
            <w:vAlign w:val="bottom"/>
          </w:tcPr>
          <w:p>
            <w:pPr>
              <w:spacing w:after="0"/>
              <w:rPr>
                <w:sz w:val="20"/>
                <w:szCs w:val="20"/>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(15,633 )</w:t>
            </w: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(16,283)</w:t>
            </w: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(35,873)</w:t>
            </w: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(1,347)</w:t>
            </w:r>
          </w:p>
        </w:tc>
        <w:tc>
          <w:tcPr>
            <w:tcW w:w="2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(37,220)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tax benefit (expense)</w:t>
            </w: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related to items of other</w:t>
            </w:r>
          </w:p>
        </w:tc>
        <w:tc>
          <w:tcPr>
            <w:tcW w:w="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3,553</w:t>
            </w:r>
          </w:p>
        </w:tc>
        <w:tc>
          <w:tcPr>
            <w:tcW w:w="320" w:type="dxa"/>
            <w:vAlign w:val="bottom"/>
            <w:vMerge w:val="restart"/>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vMerge w:val="restart"/>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320" w:type="dxa"/>
            <w:vAlign w:val="bottom"/>
            <w:vMerge w:val="restart"/>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8,154</w:t>
            </w:r>
          </w:p>
        </w:tc>
        <w:tc>
          <w:tcPr>
            <w:tcW w:w="1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8,460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3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40" w:type="dxa"/>
            <w:vAlign w:val="bottom"/>
            <w:gridSpan w:val="2"/>
          </w:tcPr>
          <w:p>
            <w:pPr>
              <w:ind w:left="360"/>
              <w:spacing w:after="0" w:line="195" w:lineRule="exact"/>
              <w:rPr>
                <w:sz w:val="20"/>
                <w:szCs w:val="20"/>
                <w:color w:val="auto"/>
              </w:rPr>
            </w:pPr>
            <w:r>
              <w:rPr>
                <w:rFonts w:ascii="Arial" w:cs="Arial" w:eastAsia="Arial" w:hAnsi="Arial"/>
                <w:sz w:val="18"/>
                <w:szCs w:val="18"/>
                <w:color w:val="auto"/>
                <w:w w:val="95"/>
              </w:rPr>
              <w:t>Other comprehensive income</w:t>
            </w:r>
          </w:p>
        </w:tc>
        <w:tc>
          <w:tcPr>
            <w:tcW w:w="60" w:type="dxa"/>
            <w:vAlign w:val="bottom"/>
          </w:tcPr>
          <w:p>
            <w:pPr>
              <w:spacing w:after="0"/>
              <w:rPr>
                <w:sz w:val="16"/>
                <w:szCs w:val="16"/>
                <w:color w:val="auto"/>
              </w:rPr>
            </w:pPr>
          </w:p>
        </w:tc>
        <w:tc>
          <w:tcPr>
            <w:tcW w:w="15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(12,080 )</w:t>
            </w:r>
          </w:p>
        </w:tc>
        <w:tc>
          <w:tcPr>
            <w:tcW w:w="100" w:type="dxa"/>
            <w:vAlign w:val="bottom"/>
          </w:tcPr>
          <w:p>
            <w:pPr>
              <w:spacing w:after="0"/>
              <w:rPr>
                <w:sz w:val="16"/>
                <w:szCs w:val="16"/>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(12,582)</w:t>
            </w:r>
          </w:p>
        </w:tc>
        <w:tc>
          <w:tcPr>
            <w:tcW w:w="220" w:type="dxa"/>
            <w:vAlign w:val="bottom"/>
          </w:tcPr>
          <w:p>
            <w:pPr>
              <w:spacing w:after="0"/>
              <w:rPr>
                <w:sz w:val="16"/>
                <w:szCs w:val="16"/>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(27,719)</w:t>
            </w:r>
          </w:p>
        </w:tc>
        <w:tc>
          <w:tcPr>
            <w:tcW w:w="100" w:type="dxa"/>
            <w:vAlign w:val="bottom"/>
          </w:tcPr>
          <w:p>
            <w:pPr>
              <w:spacing w:after="0"/>
              <w:rPr>
                <w:sz w:val="16"/>
                <w:szCs w:val="16"/>
                <w:color w:val="auto"/>
              </w:rPr>
            </w:pPr>
          </w:p>
        </w:tc>
        <w:tc>
          <w:tcPr>
            <w:tcW w:w="13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(1,041)</w:t>
            </w:r>
          </w:p>
        </w:tc>
        <w:tc>
          <w:tcPr>
            <w:tcW w:w="220" w:type="dxa"/>
            <w:vAlign w:val="bottom"/>
          </w:tcPr>
          <w:p>
            <w:pPr>
              <w:spacing w:after="0"/>
              <w:rPr>
                <w:sz w:val="16"/>
                <w:szCs w:val="16"/>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(28,760)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40" w:type="dxa"/>
            <w:vAlign w:val="bottom"/>
            <w:gridSpan w:val="2"/>
          </w:tcPr>
          <w:p>
            <w:pPr>
              <w:ind w:left="540"/>
              <w:spacing w:after="0"/>
              <w:rPr>
                <w:sz w:val="20"/>
                <w:szCs w:val="20"/>
                <w:color w:val="auto"/>
              </w:rPr>
            </w:pPr>
            <w:r>
              <w:rPr>
                <w:rFonts w:ascii="Arial" w:cs="Arial" w:eastAsia="Arial" w:hAnsi="Arial"/>
                <w:sz w:val="18"/>
                <w:szCs w:val="18"/>
                <w:color w:val="auto"/>
                <w:w w:val="98"/>
              </w:rPr>
              <w:t>(loss), net of income taxes</w:t>
            </w:r>
          </w:p>
        </w:tc>
        <w:tc>
          <w:tcPr>
            <w:tcW w:w="6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(57,990)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(1,228)</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(59,218)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(71,720)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(1,637)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(73,357)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60" w:type="dxa"/>
            <w:vAlign w:val="bottom"/>
            <w:gridSpan w:val="10"/>
          </w:tcPr>
          <w:p>
            <w:pPr>
              <w:jc w:val="right"/>
              <w:ind w:right="1080"/>
              <w:spacing w:after="0"/>
              <w:rPr>
                <w:sz w:val="20"/>
                <w:szCs w:val="20"/>
                <w:color w:val="auto"/>
              </w:rPr>
            </w:pPr>
            <w:r>
              <w:rPr>
                <w:rFonts w:ascii="Arial" w:cs="Arial" w:eastAsia="Arial" w:hAnsi="Arial"/>
                <w:sz w:val="18"/>
                <w:szCs w:val="18"/>
                <w:b w:val="1"/>
                <w:bCs w:val="1"/>
                <w:color w:val="auto"/>
              </w:rPr>
              <w:t>Three Months Ended June 30, 2021</w:t>
            </w:r>
          </w:p>
        </w:tc>
        <w:tc>
          <w:tcPr>
            <w:tcW w:w="220" w:type="dxa"/>
            <w:vAlign w:val="bottom"/>
          </w:tcPr>
          <w:p>
            <w:pPr>
              <w:spacing w:after="0"/>
              <w:rPr>
                <w:sz w:val="24"/>
                <w:szCs w:val="24"/>
                <w:color w:val="auto"/>
              </w:rPr>
            </w:pPr>
          </w:p>
        </w:tc>
        <w:tc>
          <w:tcPr>
            <w:tcW w:w="386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89"/>
              </w:rPr>
              <w:t>Six Months Ended June 30, 2021</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5"/>
              </w:rPr>
              <w:t>Attributable</w:t>
            </w:r>
          </w:p>
        </w:tc>
        <w:tc>
          <w:tcPr>
            <w:tcW w:w="10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 Non-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5"/>
              </w:rPr>
              <w:t>Attributable</w:t>
            </w:r>
          </w:p>
        </w:tc>
        <w:tc>
          <w:tcPr>
            <w:tcW w:w="10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to Non-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9"/>
              </w:rPr>
              <w:t>to NI</w:t>
            </w:r>
          </w:p>
        </w:tc>
        <w:tc>
          <w:tcPr>
            <w:tcW w:w="10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Controlling</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9"/>
              </w:rPr>
              <w:t>to NI</w:t>
            </w:r>
          </w:p>
        </w:tc>
        <w:tc>
          <w:tcPr>
            <w:tcW w:w="10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Controlling</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Holdings, Inc.</w:t>
            </w:r>
          </w:p>
        </w:tc>
        <w:tc>
          <w:tcPr>
            <w:tcW w:w="10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Total</w:t>
            </w: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Holdings, Inc.</w:t>
            </w:r>
          </w:p>
        </w:tc>
        <w:tc>
          <w:tcPr>
            <w:tcW w:w="10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6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(2,644)</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w:t>
            </w: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before income taxes:</w:t>
            </w:r>
          </w:p>
        </w:tc>
        <w:tc>
          <w:tcPr>
            <w:tcW w:w="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Holding gains (losses) on</w:t>
            </w: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360"/>
              <w:spacing w:after="0"/>
              <w:rPr>
                <w:sz w:val="20"/>
                <w:szCs w:val="20"/>
                <w:color w:val="auto"/>
              </w:rPr>
            </w:pPr>
            <w:r>
              <w:rPr>
                <w:rFonts w:ascii="Arial" w:cs="Arial" w:eastAsia="Arial" w:hAnsi="Arial"/>
                <w:sz w:val="18"/>
                <w:szCs w:val="18"/>
                <w:color w:val="auto"/>
              </w:rPr>
              <w:t>investments</w:t>
            </w:r>
          </w:p>
        </w:tc>
        <w:tc>
          <w:tcPr>
            <w:tcW w:w="60" w:type="dxa"/>
            <w:vAlign w:val="bottom"/>
          </w:tcPr>
          <w:p>
            <w:pPr>
              <w:spacing w:after="0"/>
              <w:rPr>
                <w:sz w:val="20"/>
                <w:szCs w:val="20"/>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3,160</w:t>
            </w: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40" w:type="dxa"/>
            <w:vAlign w:val="bottom"/>
            <w:tcBorders>
              <w:right w:val="single" w:sz="8" w:color="CCEEFF"/>
            </w:tcBorders>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Reclassification adjustment for</w:t>
            </w: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realized gain included in</w:t>
            </w:r>
          </w:p>
        </w:tc>
        <w:tc>
          <w:tcPr>
            <w:tcW w:w="60" w:type="dxa"/>
            <w:vAlign w:val="bottom"/>
            <w:shd w:val="clear" w:color="auto" w:fill="CCEEFF"/>
          </w:tcPr>
          <w:p>
            <w:pPr>
              <w:spacing w:after="0"/>
              <w:rPr>
                <w:sz w:val="18"/>
                <w:szCs w:val="18"/>
                <w:color w:val="auto"/>
              </w:rPr>
            </w:pPr>
          </w:p>
        </w:tc>
        <w:tc>
          <w:tcPr>
            <w:tcW w:w="152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60" w:type="dxa"/>
            <w:vAlign w:val="bottom"/>
            <w:shd w:val="clear" w:color="auto" w:fill="CCEEFF"/>
          </w:tcPr>
          <w:p>
            <w:pPr>
              <w:spacing w:after="0"/>
              <w:rPr>
                <w:sz w:val="18"/>
                <w:szCs w:val="18"/>
                <w:color w:val="auto"/>
              </w:rPr>
            </w:pPr>
          </w:p>
        </w:tc>
        <w:tc>
          <w:tcPr>
            <w:tcW w:w="15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40" w:type="dxa"/>
            <w:vAlign w:val="bottom"/>
            <w:tcBorders>
              <w:top w:val="single" w:sz="8" w:color="CCEEFF"/>
            </w:tcBorders>
            <w:gridSpan w:val="2"/>
          </w:tcPr>
          <w:p>
            <w:pPr>
              <w:ind w:left="360"/>
              <w:spacing w:after="0" w:line="195" w:lineRule="exact"/>
              <w:rPr>
                <w:sz w:val="20"/>
                <w:szCs w:val="20"/>
                <w:color w:val="auto"/>
              </w:rPr>
            </w:pPr>
            <w:r>
              <w:rPr>
                <w:rFonts w:ascii="Arial" w:cs="Arial" w:eastAsia="Arial" w:hAnsi="Arial"/>
                <w:sz w:val="18"/>
                <w:szCs w:val="18"/>
                <w:color w:val="auto"/>
                <w:w w:val="95"/>
              </w:rPr>
              <w:t>Other comprehensive income</w:t>
            </w:r>
          </w:p>
        </w:tc>
        <w:tc>
          <w:tcPr>
            <w:tcW w:w="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ind w:left="540"/>
              <w:spacing w:after="0"/>
              <w:rPr>
                <w:sz w:val="20"/>
                <w:szCs w:val="20"/>
                <w:color w:val="auto"/>
              </w:rPr>
            </w:pPr>
            <w:r>
              <w:rPr>
                <w:rFonts w:ascii="Arial" w:cs="Arial" w:eastAsia="Arial" w:hAnsi="Arial"/>
                <w:sz w:val="18"/>
                <w:szCs w:val="18"/>
                <w:color w:val="auto"/>
              </w:rPr>
              <w:t>(loss), before income</w:t>
            </w: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540"/>
              <w:spacing w:after="0"/>
              <w:rPr>
                <w:sz w:val="20"/>
                <w:szCs w:val="20"/>
                <w:color w:val="auto"/>
              </w:rPr>
            </w:pPr>
            <w:r>
              <w:rPr>
                <w:rFonts w:ascii="Arial" w:cs="Arial" w:eastAsia="Arial" w:hAnsi="Arial"/>
                <w:sz w:val="18"/>
                <w:szCs w:val="18"/>
                <w:color w:val="auto"/>
              </w:rPr>
              <w:t>taxes</w:t>
            </w:r>
          </w:p>
        </w:tc>
        <w:tc>
          <w:tcPr>
            <w:tcW w:w="60" w:type="dxa"/>
            <w:vAlign w:val="bottom"/>
          </w:tcPr>
          <w:p>
            <w:pPr>
              <w:spacing w:after="0"/>
              <w:rPr>
                <w:sz w:val="20"/>
                <w:szCs w:val="20"/>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2,835</w:t>
            </w: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(4,157)</w:t>
            </w: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tax benefit (expense)</w:t>
            </w: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related to items of other</w:t>
            </w:r>
          </w:p>
        </w:tc>
        <w:tc>
          <w:tcPr>
            <w:tcW w:w="60" w:type="dxa"/>
            <w:vAlign w:val="bottom"/>
            <w:shd w:val="clear" w:color="auto" w:fill="CCEEFF"/>
          </w:tcPr>
          <w:p>
            <w:pPr>
              <w:spacing w:after="0"/>
              <w:rPr>
                <w:sz w:val="18"/>
                <w:szCs w:val="18"/>
                <w:color w:val="auto"/>
              </w:rPr>
            </w:pPr>
          </w:p>
        </w:tc>
        <w:tc>
          <w:tcPr>
            <w:tcW w:w="152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60" w:type="dxa"/>
            <w:vAlign w:val="bottom"/>
            <w:shd w:val="clear" w:color="auto" w:fill="CCEEFF"/>
          </w:tcPr>
          <w:p>
            <w:pPr>
              <w:spacing w:after="0"/>
              <w:rPr>
                <w:sz w:val="18"/>
                <w:szCs w:val="18"/>
                <w:color w:val="auto"/>
              </w:rPr>
            </w:pPr>
          </w:p>
        </w:tc>
        <w:tc>
          <w:tcPr>
            <w:tcW w:w="15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3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40" w:type="dxa"/>
            <w:vAlign w:val="bottom"/>
            <w:gridSpan w:val="2"/>
          </w:tcPr>
          <w:p>
            <w:pPr>
              <w:ind w:left="360"/>
              <w:spacing w:after="0" w:line="195" w:lineRule="exact"/>
              <w:rPr>
                <w:sz w:val="20"/>
                <w:szCs w:val="20"/>
                <w:color w:val="auto"/>
              </w:rPr>
            </w:pPr>
            <w:r>
              <w:rPr>
                <w:rFonts w:ascii="Arial" w:cs="Arial" w:eastAsia="Arial" w:hAnsi="Arial"/>
                <w:sz w:val="18"/>
                <w:szCs w:val="18"/>
                <w:color w:val="auto"/>
                <w:w w:val="95"/>
              </w:rPr>
              <w:t>Other comprehensive income</w:t>
            </w:r>
          </w:p>
        </w:tc>
        <w:tc>
          <w:tcPr>
            <w:tcW w:w="60" w:type="dxa"/>
            <w:vAlign w:val="bottom"/>
          </w:tcPr>
          <w:p>
            <w:pPr>
              <w:spacing w:after="0"/>
              <w:rPr>
                <w:sz w:val="16"/>
                <w:szCs w:val="16"/>
                <w:color w:val="auto"/>
              </w:rPr>
            </w:pPr>
          </w:p>
        </w:tc>
        <w:tc>
          <w:tcPr>
            <w:tcW w:w="1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2,139</w:t>
            </w:r>
          </w:p>
        </w:tc>
        <w:tc>
          <w:tcPr>
            <w:tcW w:w="3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6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2,240</w:t>
            </w:r>
          </w:p>
        </w:tc>
        <w:tc>
          <w:tcPr>
            <w:tcW w:w="32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16"/>
                <w:szCs w:val="16"/>
                <w:color w:val="auto"/>
              </w:rPr>
            </w:pPr>
          </w:p>
        </w:tc>
        <w:tc>
          <w:tcPr>
            <w:tcW w:w="13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6"/>
                <w:szCs w:val="16"/>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(3,414)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40" w:type="dxa"/>
            <w:vAlign w:val="bottom"/>
            <w:gridSpan w:val="2"/>
          </w:tcPr>
          <w:p>
            <w:pPr>
              <w:ind w:left="540"/>
              <w:spacing w:after="0"/>
              <w:rPr>
                <w:sz w:val="20"/>
                <w:szCs w:val="20"/>
                <w:color w:val="auto"/>
              </w:rPr>
            </w:pPr>
            <w:r>
              <w:rPr>
                <w:rFonts w:ascii="Arial" w:cs="Arial" w:eastAsia="Arial" w:hAnsi="Arial"/>
                <w:sz w:val="18"/>
                <w:szCs w:val="18"/>
                <w:color w:val="auto"/>
                <w:w w:val="98"/>
              </w:rPr>
              <w:t>(loss), net of income taxes</w:t>
            </w:r>
          </w:p>
        </w:tc>
        <w:tc>
          <w:tcPr>
            <w:tcW w:w="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(505)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3,741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160" w:type="dxa"/>
            <w:vAlign w:val="bottom"/>
            <w:gridSpan w:val="13"/>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Borders>
              <w:bottom w:val="single" w:sz="8" w:color="EEEEEE"/>
            </w:tcBorders>
          </w:tcPr>
          <w:p>
            <w:pPr>
              <w:spacing w:after="0"/>
              <w:rPr>
                <w:sz w:val="17"/>
                <w:szCs w:val="17"/>
                <w:color w:val="auto"/>
              </w:rPr>
            </w:pPr>
          </w:p>
        </w:tc>
        <w:tc>
          <w:tcPr>
            <w:tcW w:w="136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116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Unearned</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jc w:val="center"/>
              <w:ind w:right="11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Employee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Arial" w:cs="Arial" w:eastAsia="Arial" w:hAnsi="Arial"/>
                <w:sz w:val="18"/>
                <w:szCs w:val="18"/>
                <w:b w:val="1"/>
                <w:bCs w:val="1"/>
                <w:color w:val="auto"/>
              </w:rPr>
              <w:t>Comprehensive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4"/>
          </w:tcPr>
          <w:p>
            <w:pPr>
              <w:ind w:left="180"/>
              <w:spacing w:after="0"/>
              <w:rPr>
                <w:sz w:val="20"/>
                <w:szCs w:val="20"/>
                <w:color w:val="auto"/>
              </w:rPr>
            </w:pPr>
            <w:r>
              <w:rPr>
                <w:rFonts w:ascii="Arial" w:cs="Arial" w:eastAsia="Arial" w:hAnsi="Arial"/>
                <w:sz w:val="18"/>
                <w:szCs w:val="18"/>
                <w:b w:val="1"/>
                <w:bCs w:val="1"/>
                <w:color w:val="auto"/>
              </w:rPr>
              <w:t>Additional</w:t>
            </w: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Ownership</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9"/>
              </w:rPr>
              <w:t>Income (Loss),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Plan</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4"/>
              </w:rPr>
              <w:t>Retained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0"/>
              </w:rPr>
              <w:t>Net of</w:t>
            </w:r>
          </w:p>
        </w:tc>
        <w:tc>
          <w:tcPr>
            <w:tcW w:w="9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Treasury</w:t>
            </w:r>
          </w:p>
        </w:tc>
        <w:tc>
          <w:tcPr>
            <w:tcW w:w="12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Controlling</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Shares</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Earnings</w:t>
            </w:r>
          </w:p>
        </w:tc>
        <w:tc>
          <w:tcPr>
            <w:tcW w:w="120" w:type="dxa"/>
            <w:vAlign w:val="bottom"/>
          </w:tcPr>
          <w:p>
            <w:pPr>
              <w:spacing w:after="0"/>
              <w:rPr>
                <w:sz w:val="20"/>
                <w:szCs w:val="20"/>
                <w:color w:val="auto"/>
              </w:rPr>
            </w:pPr>
          </w:p>
        </w:tc>
        <w:tc>
          <w:tcPr>
            <w:tcW w:w="138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8"/>
              </w:rPr>
              <w:t>Income Taxes</w:t>
            </w:r>
          </w:p>
        </w:tc>
        <w:tc>
          <w:tcPr>
            <w:tcW w:w="140" w:type="dxa"/>
            <w:vAlign w:val="bottom"/>
          </w:tcPr>
          <w:p>
            <w:pPr>
              <w:spacing w:after="0"/>
              <w:rPr>
                <w:sz w:val="20"/>
                <w:szCs w:val="20"/>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Interest</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96,517</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269,142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(25,825)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332,278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(46,636)</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w w:val="96"/>
              </w:rPr>
              <w:t>Other comprehensive income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w w:val="99"/>
              </w:rPr>
              <w:t>(loss), net of income taxes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(12,080)</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(12,582)</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vested award</w:t>
            </w: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96,827</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223,217</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(22,482 )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(26,569)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2,572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272,611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2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9"/>
          </w:tcPr>
          <w:p>
            <w:pPr>
              <w:jc w:val="right"/>
              <w:ind w:right="810"/>
              <w:spacing w:after="0"/>
              <w:rPr>
                <w:sz w:val="20"/>
                <w:szCs w:val="20"/>
                <w:color w:val="auto"/>
              </w:rPr>
            </w:pPr>
            <w:r>
              <w:rPr>
                <w:rFonts w:ascii="Arial" w:cs="Arial" w:eastAsia="Arial" w:hAnsi="Arial"/>
                <w:sz w:val="18"/>
                <w:szCs w:val="18"/>
                <w:b w:val="1"/>
                <w:bCs w:val="1"/>
                <w:color w:val="auto"/>
                <w:w w:val="89"/>
              </w:rPr>
              <w:t>Six Months Ended June 30, 2022</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Unearned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11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Employee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Arial" w:cs="Arial" w:eastAsia="Arial" w:hAnsi="Arial"/>
                <w:sz w:val="18"/>
                <w:szCs w:val="18"/>
                <w:b w:val="1"/>
                <w:bCs w:val="1"/>
                <w:color w:val="auto"/>
              </w:rPr>
              <w:t>Comprehensive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4"/>
          </w:tcPr>
          <w:p>
            <w:pPr>
              <w:ind w:left="180"/>
              <w:spacing w:after="0"/>
              <w:rPr>
                <w:sz w:val="20"/>
                <w:szCs w:val="20"/>
                <w:color w:val="auto"/>
              </w:rPr>
            </w:pPr>
            <w:r>
              <w:rPr>
                <w:rFonts w:ascii="Arial" w:cs="Arial" w:eastAsia="Arial" w:hAnsi="Arial"/>
                <w:sz w:val="18"/>
                <w:szCs w:val="18"/>
                <w:b w:val="1"/>
                <w:bCs w:val="1"/>
                <w:color w:val="auto"/>
              </w:rPr>
              <w:t>Additional</w:t>
            </w: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Ownership</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9"/>
              </w:rPr>
              <w:t>Income (Loss),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Plan</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4"/>
              </w:rPr>
              <w:t>Retained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0"/>
              </w:rPr>
              <w:t>Net of</w:t>
            </w:r>
          </w:p>
        </w:tc>
        <w:tc>
          <w:tcPr>
            <w:tcW w:w="9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Treasury</w:t>
            </w:r>
          </w:p>
        </w:tc>
        <w:tc>
          <w:tcPr>
            <w:tcW w:w="12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Controlling</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Shares</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Earnings</w:t>
            </w:r>
          </w:p>
        </w:tc>
        <w:tc>
          <w:tcPr>
            <w:tcW w:w="120" w:type="dxa"/>
            <w:vAlign w:val="bottom"/>
          </w:tcPr>
          <w:p>
            <w:pPr>
              <w:spacing w:after="0"/>
              <w:rPr>
                <w:sz w:val="20"/>
                <w:szCs w:val="20"/>
                <w:color w:val="auto"/>
              </w:rPr>
            </w:pPr>
          </w:p>
        </w:tc>
        <w:tc>
          <w:tcPr>
            <w:tcW w:w="138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8"/>
              </w:rPr>
              <w:t>Income Taxes</w:t>
            </w:r>
          </w:p>
        </w:tc>
        <w:tc>
          <w:tcPr>
            <w:tcW w:w="140" w:type="dxa"/>
            <w:vAlign w:val="bottom"/>
          </w:tcPr>
          <w:p>
            <w:pPr>
              <w:spacing w:after="0"/>
              <w:rPr>
                <w:sz w:val="20"/>
                <w:szCs w:val="20"/>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Interest</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98,166</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267,207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(26,452)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347,413</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(44,597)</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w w:val="96"/>
              </w:rPr>
              <w:t>Other comprehensive income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w w:val="99"/>
              </w:rPr>
              <w:t>(loss), net of income taxes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(27,719)</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(28,760)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vested award</w:t>
            </w: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(2,390)</w:t>
            </w:r>
          </w:p>
        </w:tc>
        <w:tc>
          <w:tcPr>
            <w:tcW w:w="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7"/>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96,827</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223,217</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(22,482)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(26,569)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2,572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272,611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Unearned</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Employee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Ownership</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Income (Loss),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Plan</w:t>
            </w:r>
          </w:p>
        </w:tc>
        <w:tc>
          <w:tcPr>
            <w:tcW w:w="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Retained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Net of</w:t>
            </w:r>
          </w:p>
        </w:tc>
        <w:tc>
          <w:tcPr>
            <w:tcW w:w="9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Treasury</w:t>
            </w:r>
          </w:p>
        </w:tc>
        <w:tc>
          <w:tcPr>
            <w:tcW w:w="12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Controlling</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Earnings</w:t>
            </w:r>
          </w:p>
        </w:tc>
        <w:tc>
          <w:tcPr>
            <w:tcW w:w="120" w:type="dxa"/>
            <w:vAlign w:val="bottom"/>
          </w:tcPr>
          <w:p>
            <w:pPr>
              <w:spacing w:after="0"/>
              <w:rPr>
                <w:sz w:val="20"/>
                <w:szCs w:val="20"/>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Income Taxes</w:t>
            </w:r>
          </w:p>
        </w:tc>
        <w:tc>
          <w:tcPr>
            <w:tcW w:w="140" w:type="dxa"/>
            <w:vAlign w:val="bottom"/>
          </w:tcPr>
          <w:p>
            <w:pPr>
              <w:spacing w:after="0"/>
              <w:rPr>
                <w:sz w:val="20"/>
                <w:szCs w:val="20"/>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Interest</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96,511</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268,444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(23,012)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352,590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w w:val="97"/>
              </w:rPr>
              <w:t>Other comprehensive income</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80"/>
              <w:spacing w:after="0"/>
              <w:rPr>
                <w:sz w:val="20"/>
                <w:szCs w:val="20"/>
                <w:color w:val="auto"/>
              </w:rPr>
            </w:pPr>
            <w:r>
              <w:rPr>
                <w:rFonts w:ascii="Arial" w:cs="Arial" w:eastAsia="Arial" w:hAnsi="Arial"/>
                <w:sz w:val="18"/>
                <w:szCs w:val="18"/>
                <w:color w:val="auto"/>
              </w:rPr>
              <w:t>(loss), net of income taxes</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2,139</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vested award</w:t>
            </w: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96,729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265,816</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9,556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(24,403)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4,438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350,939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2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1"/>
          </w:tcPr>
          <w:p>
            <w:pPr>
              <w:jc w:val="right"/>
              <w:ind w:right="900"/>
              <w:spacing w:after="0"/>
              <w:rPr>
                <w:sz w:val="20"/>
                <w:szCs w:val="20"/>
                <w:color w:val="auto"/>
              </w:rPr>
            </w:pPr>
            <w:r>
              <w:rPr>
                <w:rFonts w:ascii="Arial" w:cs="Arial" w:eastAsia="Arial" w:hAnsi="Arial"/>
                <w:sz w:val="18"/>
                <w:szCs w:val="18"/>
                <w:b w:val="1"/>
                <w:bCs w:val="1"/>
                <w:color w:val="auto"/>
                <w:w w:val="92"/>
              </w:rPr>
              <w:t>Six Months Ended June 30, 2021</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Unearned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Employee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Arial" w:cs="Arial" w:eastAsia="Arial" w:hAnsi="Arial"/>
                <w:sz w:val="18"/>
                <w:szCs w:val="18"/>
                <w:b w:val="1"/>
                <w:bCs w:val="1"/>
                <w:color w:val="auto"/>
              </w:rPr>
              <w:t>Comprehensive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Ownership</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Income (Loss),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Plan</w:t>
            </w:r>
          </w:p>
        </w:tc>
        <w:tc>
          <w:tcPr>
            <w:tcW w:w="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Retained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Net of</w:t>
            </w:r>
          </w:p>
        </w:tc>
        <w:tc>
          <w:tcPr>
            <w:tcW w:w="9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Treasury</w:t>
            </w:r>
          </w:p>
        </w:tc>
        <w:tc>
          <w:tcPr>
            <w:tcW w:w="12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Controlling</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Earnings</w:t>
            </w:r>
          </w:p>
        </w:tc>
        <w:tc>
          <w:tcPr>
            <w:tcW w:w="120" w:type="dxa"/>
            <w:vAlign w:val="bottom"/>
          </w:tcPr>
          <w:p>
            <w:pPr>
              <w:spacing w:after="0"/>
              <w:rPr>
                <w:sz w:val="20"/>
                <w:szCs w:val="20"/>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Income Taxes</w:t>
            </w:r>
          </w:p>
        </w:tc>
        <w:tc>
          <w:tcPr>
            <w:tcW w:w="140" w:type="dxa"/>
            <w:vAlign w:val="bottom"/>
          </w:tcPr>
          <w:p>
            <w:pPr>
              <w:spacing w:after="0"/>
              <w:rPr>
                <w:sz w:val="20"/>
                <w:szCs w:val="20"/>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Interest</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97,911</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258,741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(23,968)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348,872</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w w:val="97"/>
              </w:rPr>
              <w:t>Other comprehensive income</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80"/>
              <w:spacing w:after="0"/>
              <w:rPr>
                <w:sz w:val="20"/>
                <w:szCs w:val="20"/>
                <w:color w:val="auto"/>
              </w:rPr>
            </w:pPr>
            <w:r>
              <w:rPr>
                <w:rFonts w:ascii="Arial" w:cs="Arial" w:eastAsia="Arial" w:hAnsi="Arial"/>
                <w:sz w:val="18"/>
                <w:szCs w:val="18"/>
                <w:color w:val="auto"/>
              </w:rPr>
              <w:t>(loss), net of income taxes</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(3,284)</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1,188</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vested award</w:t>
            </w: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(2,370)</w:t>
            </w:r>
          </w:p>
        </w:tc>
        <w:tc>
          <w:tcPr>
            <w:tcW w:w="1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1,832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96,729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265,816</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9,556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(24,403)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4,438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350,939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6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3"/>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 (Unaudited)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7"/>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(44,597)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flows from operating activities: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Net investment losses (gains)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16,664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 expense (benefit)</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Depreciation of property and equipment</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Share-based compensation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deferred policy acquisition costs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33,473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Deferral of policy acquisition costs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(37,837)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amortization of premiums and discounts on investments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Loss (gain) on sale of property and equipment</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540"/>
              <w:spacing w:after="0"/>
              <w:rPr>
                <w:sz w:val="20"/>
                <w:szCs w:val="20"/>
                <w:color w:val="auto"/>
              </w:rPr>
            </w:pPr>
            <w:r>
              <w:rPr>
                <w:rFonts w:ascii="Arial" w:cs="Arial" w:eastAsia="Arial" w:hAnsi="Arial"/>
                <w:sz w:val="18"/>
                <w:szCs w:val="18"/>
                <w:color w:val="auto"/>
              </w:rPr>
              <w:t>Premiums and agents’ balances receivable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(56,884)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Reinsurance premiums receivable / payable</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540"/>
              <w:spacing w:after="0"/>
              <w:rPr>
                <w:sz w:val="20"/>
                <w:szCs w:val="20"/>
                <w:color w:val="auto"/>
              </w:rPr>
            </w:pPr>
            <w:r>
              <w:rPr>
                <w:rFonts w:ascii="Arial" w:cs="Arial" w:eastAsia="Arial" w:hAnsi="Arial"/>
                <w:sz w:val="18"/>
                <w:szCs w:val="18"/>
                <w:color w:val="auto"/>
              </w:rPr>
              <w:t>Reinsurance recoverables on losses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4,159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Accrued investment income</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540"/>
              <w:spacing w:after="0"/>
              <w:rPr>
                <w:sz w:val="20"/>
                <w:szCs w:val="20"/>
                <w:color w:val="auto"/>
              </w:rPr>
            </w:pPr>
            <w:r>
              <w:rPr>
                <w:rFonts w:ascii="Arial" w:cs="Arial" w:eastAsia="Arial" w:hAnsi="Arial"/>
                <w:sz w:val="18"/>
                <w:szCs w:val="18"/>
                <w:color w:val="auto"/>
              </w:rPr>
              <w:t>Federal Crop Insurance Corporation receivable / payable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Income tax recoverable / payable</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54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Unpaid losses and loss adjustment expenses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46,590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540"/>
              <w:spacing w:after="0"/>
              <w:rPr>
                <w:sz w:val="20"/>
                <w:szCs w:val="20"/>
                <w:color w:val="auto"/>
              </w:rPr>
            </w:pPr>
            <w:r>
              <w:rPr>
                <w:rFonts w:ascii="Arial" w:cs="Arial" w:eastAsia="Arial" w:hAnsi="Arial"/>
                <w:sz w:val="18"/>
                <w:szCs w:val="18"/>
                <w:color w:val="auto"/>
              </w:rPr>
              <w:t>Unearned premiums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45,936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42,229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Accrued expenses and other liabilities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gridSpan w:val="2"/>
          </w:tcPr>
          <w:p>
            <w:pPr>
              <w:ind w:left="720"/>
              <w:spacing w:after="0"/>
              <w:rPr>
                <w:sz w:val="20"/>
                <w:szCs w:val="20"/>
                <w:color w:val="auto"/>
              </w:rPr>
            </w:pPr>
            <w:r>
              <w:rPr>
                <w:rFonts w:ascii="Arial" w:cs="Arial" w:eastAsia="Arial" w:hAnsi="Arial"/>
                <w:sz w:val="18"/>
                <w:szCs w:val="18"/>
                <w:color w:val="auto"/>
              </w:rPr>
              <w:t>Net cash flows from operating activities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13,647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maturities and sales of fixed income securities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35,483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Proceeds from sales of equity securities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7,837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fixed income securities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(89,729)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Purchases of equity securities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(10,171)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Proceeds from sale of other investments and other</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flows from investing activities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Purchases of treasury stock</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Installment payment on Westminster consideration payable</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Issuance of restricted stock awards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flows from financing activities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Net decrease in cash and cash equivalents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(39,854)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101,077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63,032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61,223</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tcPr>
          <w:p>
            <w:pPr>
              <w:spacing w:after="0"/>
              <w:rPr>
                <w:sz w:val="17"/>
                <w:szCs w:val="17"/>
                <w:color w:val="auto"/>
              </w:rPr>
            </w:pPr>
          </w:p>
        </w:tc>
        <w:tc>
          <w:tcPr>
            <w:tcW w:w="6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Federal and state income taxes paid</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2,360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42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420" w:type="dxa"/>
            <w:vAlign w:val="bottom"/>
            <w:gridSpan w:val="2"/>
          </w:tcPr>
          <w:p>
            <w:pPr>
              <w:ind w:left="5580"/>
              <w:spacing w:after="0"/>
              <w:rPr>
                <w:sz w:val="20"/>
                <w:szCs w:val="20"/>
                <w:color w:val="auto"/>
              </w:rPr>
            </w:pPr>
            <w:r>
              <w:rPr>
                <w:rFonts w:ascii="Arial" w:cs="Arial" w:eastAsia="Arial" w:hAnsi="Arial"/>
                <w:sz w:val="18"/>
                <w:szCs w:val="18"/>
                <w:color w:val="auto"/>
              </w:rPr>
              <w:t>8</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Borders>
              <w:bottom w:val="single" w:sz="8" w:color="EEEEEE"/>
            </w:tcBorders>
          </w:tcPr>
          <w:p>
            <w:pPr>
              <w:spacing w:after="0"/>
              <w:rPr>
                <w:sz w:val="17"/>
                <w:szCs w:val="17"/>
                <w:color w:val="auto"/>
              </w:rPr>
            </w:pPr>
          </w:p>
        </w:tc>
        <w:tc>
          <w:tcPr>
            <w:tcW w:w="614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1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NI Holdings is a North Dakota business corporation that is the stock holding company of Nodak Insurance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conversion, NI Holdings conducted no business and had no assets or liabilities. As a result of the conversion, NI Holdings became the holding company for Nodak Insurance and its existing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Unaudited Consolidated Financial Statements include the financial position and results of NI Holdings and seven other entities: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Nodak Insurance Company</w:t>
      </w:r>
    </w:p>
    <w:p>
      <w:pPr>
        <w:spacing w:after="0" w:line="212"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Nodak Insurance is the largest domestic property and casualty insurance company in North Dakota, offering private passenger auto, homeowners, farmowners, commercial multi-peril, crop hail, and Federal multi-peril crop insurance coverages through its captive agents in the state.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Nodak Agency,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Nodak Agency is an inactive shell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American West Insurance Company</w:t>
      </w:r>
    </w:p>
    <w:p>
      <w:pPr>
        <w:spacing w:after="0" w:line="21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American West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coverage in North Dakota, as well as crop hail and Federal multi-peril crop insurance coverages in Minnesota and South Dakota.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Primero Insurance Company</w:t>
      </w:r>
    </w:p>
    <w:p>
      <w:pPr>
        <w:spacing w:after="0" w:line="21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Battle Creek Mutual Insurance Company</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Battle Creek is a property and casualty insurance company writing personal auto, homeowners, and farm coverages solely in the state of Nebraska. Battle Creek became affiliated with Nodak Insurance in 2011, and Nodak Insurance provides underwriting, claims management, policy administration, and other administrative services to Battle Creek. Because we have concluded that we control Battle Creek, we consolidate the financial statements of Battle Creek, and Battle Creek’s policyholders’ interest in Battle Creek is reflected as a non-controlling interest in shareholders’ equity in our Unaudited Consolidated Balance Sheets and its net income or loss is excluded from net income or loss attributed to NI Holdings in our Unaudited Consolidated Statements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Auto Insurance Company</w:t>
      </w:r>
    </w:p>
    <w:p>
      <w:pPr>
        <w:spacing w:after="0" w:line="21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Direct Auto is a property and casualty insurance company licensed in Illinois. Direct Auto began writing non-standard automobile coverage in 2007, and was acquired by NI Holdings on August 31, 2018, via a stock purchase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Westminster American Insurance Company</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Westminster is a property and casualty insurance company licensed in seventeen states and the District of Columbia. Westminster underwrites commercial multi-peril insurance in the states of Delaware, Georgia, Maryland, New Jersey, North Carolina, Pennsylvania, South Carolina, Virginia, West Virginia, and the District of Columbia. Westminster was acquired by NI Holdings on January 1, 2020, via a stock purchase agreement.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Nodak Insurance markets and distributes its policies through its captive agents, while all other companies utilize the independent agent distribution channel. Additionally, all of the Company’s insurance subsidiary and affiliate companies are rated “A” Excellent by A.M. Best Company, Inc. (“AM Best”).</w:t>
      </w:r>
    </w:p>
    <w:p>
      <w:pPr>
        <w:spacing w:after="0" w:line="17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w:t>
      </w:r>
    </w:p>
    <w:p>
      <w:pPr>
        <w:spacing w:after="0" w:line="107" w:lineRule="exact"/>
        <w:rPr>
          <w:sz w:val="20"/>
          <w:szCs w:val="20"/>
          <w:color w:val="auto"/>
        </w:rPr>
      </w:pPr>
    </w:p>
    <w:p>
      <w:pPr>
        <w:ind w:right="7080" w:firstLine="8"/>
        <w:spacing w:after="0" w:line="479" w:lineRule="auto"/>
        <w:tabs>
          <w:tab w:leader="none" w:pos="64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Accounting Policies Basis of Presentation</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and are unaudited. Accordingly, they do not include all of the information and footnotes required by GAAP for complete financial statements. In the opinion of management, all adjustments (consisting of normal recurring accruals) considered necessary for a fair presentation have been included. All material intercompany transactions and balances have been eliminated. These financial statements should be read in conjunction with the financial statements and notes thereto included in our 2021 Annual Report.</w:t>
      </w:r>
    </w:p>
    <w:p>
      <w:pPr>
        <w:spacing w:after="0" w:line="1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Consolidated Balance Sheet at December 31, 2021, has been derived from the Audited Consolidated Financial Statements at that date but does not include all of the information and footnotes required by GAAP for complete financial statements.</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preparation of the interim Unaudited Consolidated Financial Statements in conformity with GAAP requires management to make estimates and assumptions that affect the reported amounts of assets and liabilities and disclosure of contingent assets and liabilities at the date of the interim Unaudited Consolidated Financial Statements and the reported amounts of revenues, claims, and expenses during the reporting period. Actual results could differ from those estimates. Operating results for the interim period ended June 30, 2022, are not necessarily indicative of the results that may be expected for the year ended December 31, 2022.</w:t>
      </w:r>
    </w:p>
    <w:p>
      <w:pPr>
        <w:spacing w:after="0" w:line="17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2021 Annual Report describes the accounting policies and estimates that are critical to the understanding of our results of operations, financial condition, and liquidity. The accounting policies and estimation processes described in the 2021 Annual Report were consistently applied to the Unaudited Consolidated Financial Statements as of and for the six months ended June 30, 2022 and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 an emerging growth company (“EGC”), we have elected to use the extended transition period for complying with any new or revised financial accounting standards from the Financial Accounting Standards Board (“FASB”) pursuant to Section 13(a) of the Exchange Act. The following discussion includes effective dates for both public business entities and EGCs, as well as whether specific guidance may be adopted early.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1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February 2016, the FASB issued new guidance that requires lessees to recognize leases, including operating leases, on the lessee’s Consolidated Balance Sheet, unless a lease is considered a short-term lease. The new guidance also requires entities to make new judgments to identify leases. In July 2018, the FASB issued additional guidance to allow an optional transition method. An entity may apply the new leases guidance at the beginning of the earliest period presented in the financial statements, or at the adoption date and recognize a cumulative-effect adjustment to the opening balance of retained earnings in the period of adoption.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new guidance was effective for annual and interim reporting periods beginning after December 15, 2018, for public business entities. For private companies and EGCs, this guidance is effective for annual reporting periods beginning after December 15, 2021, and interim periods within fiscal years beginning after December 15, 2022. We will adopt this guidance in the fourth quarter of the year ended December 31, 2022, as we will lose our EGC status beginning December 31, 2022. We do not expect the adoption of this new guidance to have a significant impact on our financial position, results of operations, or cash flows. Upon adoption, the Company will recognize a right of use asset and operating lease liability on its Consolidated Balance Sheet. The cumulative adjustment to retained earnings is not expected to be significant.</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June 2016, the FASB issued a new standard that requires timelier recording of credit losses on loans and other financial instruments held by financial institutions and other organizations. The guidance requires the measurement of all expected credit losses for financial assets held at the reporting date based on historical experience, current conditions, and reasonable and supportable forecasts. The guidance also requires financial institutions and other organizations to use forward-looking information to better form their credit loss estimates. Many of the loss estimation techniques applied prior to adoption of this standard are still permitted, although the inputs to those techniques have changed to reflect the full amount of expected credit losses. Organizations are to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was effective for fiscal years, and interim periods within those fiscal years, beginning after December 15, 2019, for filers with the Securities and Exchange Commission (“SEC”) excluding smaller reporting companies, and EGCs that did not relinquish private company relief. For all other entities, this guidance will be effective for annual reporting periods beginning after December 15, 2022, and interim periods within those fiscal years. We will adopt this guidance in the fourth quarter of the year ended December 31, 2022, as we will lose our EGC status beginning December 31, 2022. Based on our evaluation, adoption of this new standard will not have a significant impact on our financial position, results of operations, and cash flows.</w:t>
      </w:r>
    </w:p>
    <w:p>
      <w:pPr>
        <w:spacing w:after="0" w:line="15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December 2019, the FASB issued amended guidance to simplify the accounting for income taxes. The amended guidance was effective for fiscal years beginning after December 15, 2020, including interim periods within those fiscal years, for public business entities. For private companies and EGCs, the amended guidance will be effective for fiscal years beginning after December 15, 2021, and interim periods within fiscal years beginning after December 15, 2022. We will adopt this guidance in the fourth quarter of the year ended December 31, 2022, as we will lose our EGC status beginning December 31, 2022. Based on our evaluation, adoption of this new standard will not have a significant impact on our financial position, results of operations, and cash flows.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fixed income securities as of June 30, 2022, and December 31, 2021,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8"/>
              </w:rPr>
              <w:t>Cost or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6"/>
                <w:szCs w:val="16"/>
                <w:color w:val="auto"/>
              </w:rPr>
            </w:pPr>
          </w:p>
        </w:tc>
        <w:tc>
          <w:tcPr>
            <w:tcW w:w="132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Cost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0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13,017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12,394</w:t>
            </w: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(5,177)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60,772</w:t>
            </w: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158,812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(13,080)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145,778</w:t>
            </w: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(4,043)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39,826</w:t>
            </w: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34,498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31,200</w:t>
            </w: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42,069</w:t>
            </w: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Redeemable preferred stocks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4,060</w:t>
            </w:r>
          </w:p>
        </w:tc>
      </w:tr>
      <w:tr>
        <w:trPr>
          <w:trHeight w:val="20"/>
        </w:trPr>
        <w:tc>
          <w:tcPr>
            <w:tcW w:w="4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fixed income securities</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366,608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336,099</w:t>
            </w: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790"/>
        </w:trPr>
        <w:tc>
          <w:tcPr>
            <w:tcW w:w="4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8"/>
              </w:rPr>
              <w:t>Cost or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6"/>
                <w:szCs w:val="16"/>
                <w:color w:val="auto"/>
              </w:rPr>
            </w:pPr>
          </w:p>
        </w:tc>
        <w:tc>
          <w:tcPr>
            <w:tcW w:w="132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Cost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0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13,118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13,498</w:t>
            </w: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2,979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87,294</w:t>
            </w: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144,476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147,621</w:t>
            </w: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26,156</w:t>
            </w: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32,878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33,532</w:t>
            </w: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52,422</w:t>
            </w: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Redeemable preferred stocks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4,128</w:t>
            </w:r>
          </w:p>
        </w:tc>
      </w:tr>
      <w:tr>
        <w:trPr>
          <w:trHeight w:val="20"/>
        </w:trPr>
        <w:tc>
          <w:tcPr>
            <w:tcW w:w="4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fixed income securities</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357,942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364,651</w:t>
            </w: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Actual maturities could differ from contractual maturities because issuers may have the right to call or prepay these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5"/>
          </w:tcPr>
          <w:p>
            <w:pPr>
              <w:ind w:left="980"/>
              <w:spacing w:after="0"/>
              <w:rPr>
                <w:sz w:val="20"/>
                <w:szCs w:val="20"/>
                <w:color w:val="auto"/>
              </w:rPr>
            </w:pPr>
            <w:r>
              <w:rPr>
                <w:rFonts w:ascii="Arial" w:cs="Arial" w:eastAsia="Arial" w:hAnsi="Arial"/>
                <w:sz w:val="18"/>
                <w:szCs w:val="18"/>
                <w:b w:val="1"/>
                <w:bCs w:val="1"/>
                <w:color w:val="auto"/>
              </w:rPr>
              <w:t>June 30, 2022</w:t>
            </w:r>
          </w:p>
        </w:tc>
      </w:tr>
      <w:tr>
        <w:trPr>
          <w:trHeight w:val="210"/>
        </w:trPr>
        <w:tc>
          <w:tcPr>
            <w:tcW w:w="79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Amortized Cost</w:t>
            </w: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Due to mature:</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One year or less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17,381</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17,373</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After one year through five years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96,141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92,562</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After five years through ten years</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80,132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71,557</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After ten years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37,452</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Mortgage / asset-backed securities</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124,197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113,095</w:t>
            </w:r>
          </w:p>
        </w:tc>
      </w:tr>
      <w:tr>
        <w:trPr>
          <w:trHeight w:val="21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Redeemable preferred stocks</w:t>
            </w: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0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366,608</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336,099</w:t>
            </w:r>
          </w:p>
        </w:tc>
      </w:tr>
      <w:tr>
        <w:trPr>
          <w:trHeight w:val="20"/>
        </w:trPr>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6"/>
          </w:tcPr>
          <w:p>
            <w:pPr>
              <w:ind w:left="780"/>
              <w:spacing w:after="0"/>
              <w:rPr>
                <w:sz w:val="20"/>
                <w:szCs w:val="20"/>
                <w:color w:val="auto"/>
              </w:rPr>
            </w:pPr>
            <w:r>
              <w:rPr>
                <w:rFonts w:ascii="Arial" w:cs="Arial" w:eastAsia="Arial" w:hAnsi="Arial"/>
                <w:sz w:val="18"/>
                <w:szCs w:val="18"/>
                <w:b w:val="1"/>
                <w:bCs w:val="1"/>
                <w:color w:val="auto"/>
              </w:rPr>
              <w:t>December 31, 2021</w:t>
            </w:r>
          </w:p>
        </w:tc>
      </w:tr>
      <w:tr>
        <w:trPr>
          <w:trHeight w:val="210"/>
        </w:trPr>
        <w:tc>
          <w:tcPr>
            <w:tcW w:w="7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1"/>
              </w:rPr>
              <w:t>Amortized Cost</w:t>
            </w: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Due to mature:</w:t>
            </w: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One year or less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14,457</w:t>
            </w:r>
          </w:p>
        </w:tc>
        <w:tc>
          <w:tcPr>
            <w:tcW w:w="16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14,586</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After one year through five years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84,760</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After five years through ten years</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82,270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84,173</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After ten years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64,894</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Mortgage / asset-backed securities</w:t>
            </w:r>
          </w:p>
        </w:tc>
        <w:tc>
          <w:tcPr>
            <w:tcW w:w="1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111,672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112,110</w:t>
            </w:r>
          </w:p>
        </w:tc>
      </w:tr>
      <w:tr>
        <w:trPr>
          <w:trHeight w:val="21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Redeemable preferred stocks</w:t>
            </w: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0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357,942</w:t>
            </w:r>
          </w:p>
        </w:tc>
        <w:tc>
          <w:tcPr>
            <w:tcW w:w="16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364,651</w:t>
            </w:r>
          </w:p>
        </w:tc>
      </w:tr>
      <w:tr>
        <w:trPr>
          <w:trHeight w:val="20"/>
        </w:trPr>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240"/>
          </w:cols>
          <w:pgMar w:left="320" w:top="125" w:right="339" w:bottom="858" w:gutter="0" w:footer="0" w:header="0"/>
        </w:sect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858"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Fixed income securities with a fair value of $6,773 at June 30, 2022, and $7,977 at December 31, 2021, were deposited with various state regulatory agencies as required by law. The Company has not pledged any assets to secure any obligations.</w:t>
      </w:r>
    </w:p>
    <w:p>
      <w:pPr>
        <w:spacing w:after="0" w:line="15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investment category and duration of the Company’s gross unrealized losses on fixed income securities are shown below. Investments with unrealized losses are categorized with a duration of greater than 12 months when all positions of a security have continually been in a loss position for at least 12 months.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8"/>
                <w:szCs w:val="18"/>
                <w:b w:val="1"/>
                <w:bCs w:val="1"/>
                <w:color w:val="auto"/>
              </w:rPr>
              <w:t>June 30, 2022</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8"/>
                <w:szCs w:val="18"/>
                <w:color w:val="auto"/>
              </w:rPr>
            </w:pPr>
          </w:p>
        </w:tc>
        <w:tc>
          <w:tcPr>
            <w:tcW w:w="23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8"/>
                <w:szCs w:val="18"/>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9,143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11,493</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45,078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48,110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(5,177)</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113,527</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(9,597)</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19,931</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(3,483)</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133,458</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(13,080)</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34,949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39,565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(4,043)</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29,073</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(3,259)</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824</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29,897</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(3,306)</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37,725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41,225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(3,765)</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Redeemable preferred stocks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(686)</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4,060</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(686)</w:t>
            </w:r>
          </w:p>
        </w:tc>
      </w:tr>
      <w:tr>
        <w:trPr>
          <w:trHeight w:val="20"/>
        </w:trPr>
        <w:tc>
          <w:tcPr>
            <w:tcW w:w="3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fixed income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273,555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307,808</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(30,706)</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85"/>
        </w:trPr>
        <w:tc>
          <w:tcPr>
            <w:tcW w:w="3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w w:val="99"/>
              </w:rPr>
              <w:t>December 31, 2021</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8"/>
                <w:szCs w:val="18"/>
                <w:color w:val="auto"/>
              </w:rPr>
            </w:pPr>
          </w:p>
        </w:tc>
        <w:tc>
          <w:tcPr>
            <w:tcW w:w="23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8"/>
                <w:szCs w:val="18"/>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3,125</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19,769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19,991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46,816</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1,895</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48,711</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17,407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18,841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11,287</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11,503</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28,797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29,792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Redeemable preferred stocks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1,493</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0"/>
        </w:trPr>
        <w:tc>
          <w:tcPr>
            <w:tcW w:w="3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fixed income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128,694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133,456</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(2,299)</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frequently review our investment portfolio for declines in fair value. Our process for identifying declines in the fair value of investments that are other-than-temporary involves consideration of several factors. These factors include (i) the time period in which there has been a significant decline in value, (ii) 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credit loss component of the impairment is reflected in net income (loss) as a realized loss on investment if the Company does not intend to sell the security, and the remaining portion of the other-than-temporary loss is recognized in other comprehensive income (loss), net of income taxes. If the Company intends to sell the security, or determines that it is more likely than not that it will be required to sell the security prior to recovering its cost or amortized cost basis less any current-period credit losses, the full amount of the other-than-temporary loss is recognized in net income (loss). The Company did not record any other-than-temporary impairments during the three- or six-month periods ending June 30, 2022, or the year ended December 31, 2021.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Consolidated Financial Statements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consisted of the following:</w:t>
      </w:r>
    </w:p>
    <w:p>
      <w:pPr>
        <w:sectPr>
          <w:pgSz w:w="11900" w:h="16838" w:orient="portrait"/>
          <w:cols w:equalWidth="0" w:num="1">
            <w:col w:w="11240"/>
          </w:cols>
          <w:pgMar w:left="320" w:top="125" w:right="339" w:bottom="1440" w:gutter="0" w:footer="0" w:header="0"/>
        </w:sectPr>
      </w:pPr>
    </w:p>
    <w:p>
      <w:pPr>
        <w:spacing w:after="0" w:line="194"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31750</wp:posOffset>
            </wp:positionV>
            <wp:extent cx="18599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30" w:lineRule="exact"/>
        <w:rPr>
          <w:sz w:val="20"/>
          <w:szCs w:val="20"/>
          <w:color w:val="auto"/>
        </w:rPr>
      </w:pPr>
    </w:p>
    <w:p>
      <w:pPr>
        <w:ind w:left="5920"/>
        <w:spacing w:after="0"/>
        <w:tabs>
          <w:tab w:leader="none" w:pos="748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16973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30" w:lineRule="exact"/>
        <w:rPr>
          <w:sz w:val="20"/>
          <w:szCs w:val="20"/>
          <w:color w:val="auto"/>
        </w:rPr>
      </w:pPr>
    </w:p>
    <w:p>
      <w:pPr>
        <w:ind w:left="140"/>
        <w:spacing w:after="0"/>
        <w:tabs>
          <w:tab w:leader="none" w:pos="156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43" w:lineRule="exact"/>
        <w:rPr>
          <w:sz w:val="20"/>
          <w:szCs w:val="20"/>
          <w:color w:val="auto"/>
        </w:rPr>
      </w:pPr>
    </w:p>
    <w:p>
      <w:pPr>
        <w:sectPr>
          <w:pgSz w:w="11900" w:h="16838" w:orient="portrait"/>
          <w:cols w:equalWidth="0" w:num="2">
            <w:col w:w="8140" w:space="720"/>
            <w:col w:w="23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Fixed income securities</w:t>
            </w:r>
          </w:p>
        </w:tc>
        <w:tc>
          <w:tcPr>
            <w:tcW w:w="3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2,406</w:t>
            </w:r>
          </w:p>
        </w:tc>
        <w:tc>
          <w:tcPr>
            <w:tcW w:w="1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2,112</w:t>
            </w: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4,567</w:t>
            </w:r>
          </w:p>
        </w:tc>
        <w:tc>
          <w:tcPr>
            <w:tcW w:w="3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Equity securities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gross investment income</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2,550</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Investment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840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1,876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3,668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5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investment gains (losses) consisted of the following:</w:t>
            </w:r>
          </w:p>
        </w:tc>
        <w:tc>
          <w:tcPr>
            <w:tcW w:w="3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7"/>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7"/>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2,605</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Pr>
          <w:p>
            <w:pPr>
              <w:ind w:left="360"/>
              <w:spacing w:after="0"/>
              <w:rPr>
                <w:sz w:val="20"/>
                <w:szCs w:val="20"/>
                <w:color w:val="auto"/>
              </w:rPr>
            </w:pPr>
            <w:r>
              <w:rPr>
                <w:rFonts w:ascii="Arial" w:cs="Arial" w:eastAsia="Arial" w:hAnsi="Arial"/>
                <w:sz w:val="18"/>
                <w:szCs w:val="18"/>
                <w:color w:val="auto"/>
              </w:rPr>
              <w:t>Total gross realized gains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tcPr>
          <w:p>
            <w:pPr>
              <w:spacing w:after="0" w:line="201" w:lineRule="exact"/>
              <w:rPr>
                <w:sz w:val="20"/>
                <w:szCs w:val="20"/>
                <w:color w:val="auto"/>
              </w:rPr>
            </w:pPr>
            <w:r>
              <w:rPr>
                <w:rFonts w:ascii="Arial" w:cs="Arial" w:eastAsia="Arial" w:hAnsi="Arial"/>
                <w:sz w:val="18"/>
                <w:szCs w:val="18"/>
                <w:color w:val="auto"/>
                <w:w w:val="96"/>
              </w:rPr>
              <w:t>Gross realized losses, excluding other-than-temporary impairment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losses: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8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w w:val="99"/>
              </w:rPr>
              <w:t>Total gross realized losses, excluding other-than-temporary</w:t>
            </w:r>
          </w:p>
        </w:tc>
        <w:tc>
          <w:tcPr>
            <w:tcW w:w="3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impairment losses</w:t>
            </w:r>
          </w:p>
        </w:tc>
        <w:tc>
          <w:tcPr>
            <w:tcW w:w="3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gains</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2,875</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Change in net unrealized gain on equity securities</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1,826</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Pr>
          <w:p>
            <w:pPr>
              <w:ind w:left="360"/>
              <w:spacing w:after="0"/>
              <w:rPr>
                <w:sz w:val="20"/>
                <w:szCs w:val="20"/>
                <w:color w:val="auto"/>
              </w:rPr>
            </w:pPr>
            <w:r>
              <w:rPr>
                <w:rFonts w:ascii="Arial" w:cs="Arial" w:eastAsia="Arial" w:hAnsi="Arial"/>
                <w:sz w:val="18"/>
                <w:szCs w:val="18"/>
                <w:color w:val="auto"/>
              </w:rPr>
              <w:t>Net investment gains (losses)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(11,136 )</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4,701</w:t>
            </w:r>
          </w:p>
        </w:tc>
        <w:tc>
          <w:tcPr>
            <w:tcW w:w="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(16,664)</w:t>
            </w:r>
          </w:p>
        </w:tc>
        <w:tc>
          <w:tcPr>
            <w:tcW w:w="14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970"/>
              <w:spacing w:after="0"/>
              <w:rPr>
                <w:sz w:val="20"/>
                <w:szCs w:val="20"/>
                <w:color w:val="auto"/>
              </w:rPr>
            </w:pPr>
            <w:r>
              <w:rPr>
                <w:rFonts w:ascii="Arial" w:cs="Arial" w:eastAsia="Arial" w:hAnsi="Arial"/>
                <w:sz w:val="18"/>
                <w:szCs w:val="18"/>
                <w:color w:val="auto"/>
                <w:w w:val="89"/>
              </w:rPr>
              <w:t>14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08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6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1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uses fair value measurements to record fair value adjustments to certain assets and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36"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i w:val="1"/>
          <w:iCs w:val="1"/>
          <w:color w:val="auto"/>
        </w:rPr>
        <w:t>Level I:</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225" w:lineRule="exact"/>
        <w:rPr>
          <w:sz w:val="20"/>
          <w:szCs w:val="20"/>
          <w:color w:val="auto"/>
        </w:rPr>
      </w:pPr>
    </w:p>
    <w:p>
      <w:pPr>
        <w:ind w:left="1700" w:right="40" w:hanging="1119"/>
        <w:spacing w:after="0" w:line="257" w:lineRule="auto"/>
        <w:tabs>
          <w:tab w:leader="none" w:pos="1680" w:val="left"/>
        </w:tabs>
        <w:rPr>
          <w:sz w:val="20"/>
          <w:szCs w:val="20"/>
          <w:color w:val="auto"/>
        </w:rPr>
      </w:pPr>
      <w:r>
        <w:rPr>
          <w:rFonts w:ascii="Arial" w:cs="Arial" w:eastAsia="Arial" w:hAnsi="Arial"/>
          <w:sz w:val="18"/>
          <w:szCs w:val="18"/>
          <w:i w:val="1"/>
          <w:iCs w:val="1"/>
          <w:color w:val="auto"/>
        </w:rPr>
        <w:t>Level 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for substantially the full term of the 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88" w:lineRule="exact"/>
        <w:rPr>
          <w:sz w:val="20"/>
          <w:szCs w:val="20"/>
          <w:color w:val="auto"/>
        </w:rPr>
      </w:pPr>
    </w:p>
    <w:p>
      <w:pPr>
        <w:ind w:left="1700" w:right="400" w:hanging="1119"/>
        <w:spacing w:after="0" w:line="277" w:lineRule="auto"/>
        <w:tabs>
          <w:tab w:leader="none" w:pos="1680" w:val="left"/>
        </w:tabs>
        <w:rPr>
          <w:sz w:val="20"/>
          <w:szCs w:val="20"/>
          <w:color w:val="auto"/>
        </w:rPr>
      </w:pPr>
      <w:r>
        <w:rPr>
          <w:rFonts w:ascii="Arial" w:cs="Arial" w:eastAsia="Arial" w:hAnsi="Arial"/>
          <w:sz w:val="18"/>
          <w:szCs w:val="18"/>
          <w:i w:val="1"/>
          <w:iCs w:val="1"/>
          <w:color w:val="auto"/>
        </w:rPr>
        <w:t>Level III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Prices or valuation techniques that require inputs that are both significant to the fair value measurement and unobservable (i.e., supported with little or no market activity).</w:t>
      </w:r>
    </w:p>
    <w:p>
      <w:pPr>
        <w:spacing w:after="0" w:line="15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could have been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independent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independent pricing service did not use broker quotes in determining any fair values of the Company’s investments at June 30, 2022, or December 31, 2021.</w:t>
      </w:r>
    </w:p>
    <w:p>
      <w:pPr>
        <w:spacing w:after="0" w:line="15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Should the independent pricing service be unable to provide a fair value estimate,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we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III investment.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fair value estimates of the Company’s investments provided by the independent pricing service at each period-end were utilized, among other resources, in reaching a conclusion as to the fair value of its investments.</w:t>
      </w:r>
    </w:p>
    <w:p>
      <w:pPr>
        <w:spacing w:after="0" w:line="15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 securities in common sectors, durations, and credit ratings. This review will also include all fixed income securities rated lower than “A” by Moody’s Investors Service, Inc. or Standard &amp; Poor’s Financial Services LLC.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 for the six-month period ended June 30, 2022, or the year ended December 31, 2021. The classification within the fair value hierarchy is then confirmed based on the final conclusions from the pricing review.</w:t>
      </w:r>
    </w:p>
    <w:p>
      <w:pPr>
        <w:spacing w:after="0" w:line="16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valuation of cash equivalents and equity securities are generally based on Level I inputs, which use the market-approach valuation technique. The valuation of our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at Level III at June 30, 2022, or December 31, 2021.</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set forth our assets which are measured at fair value on a recurring basis by the level within the fair value hierarchy in which fair value measurements fall: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8"/>
                <w:szCs w:val="18"/>
                <w:b w:val="1"/>
                <w:bCs w:val="1"/>
                <w:color w:val="auto"/>
              </w:rPr>
              <w:t>June 30, 2022</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I</w:t>
            </w:r>
          </w:p>
        </w:tc>
        <w:tc>
          <w:tcPr>
            <w:tcW w:w="2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III</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3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12,394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12,394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145,778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145,778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31,200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31,200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fixed income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336,099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336,099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0"/>
        </w:trPr>
        <w:tc>
          <w:tcPr>
            <w:tcW w:w="45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61,573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61,573</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preferred stock</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360"/>
              <w:spacing w:after="0"/>
              <w:rPr>
                <w:sz w:val="20"/>
                <w:szCs w:val="20"/>
                <w:color w:val="auto"/>
              </w:rPr>
            </w:pPr>
            <w:r>
              <w:rPr>
                <w:rFonts w:ascii="Arial" w:cs="Arial" w:eastAsia="Arial" w:hAnsi="Arial"/>
                <w:sz w:val="18"/>
                <w:szCs w:val="18"/>
                <w:color w:val="auto"/>
              </w:rPr>
              <w:t>Total equity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63,422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63,422</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Cash equivalents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35,142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35,142</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at fair value</w:t>
            </w: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434,663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98,564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336,099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r>
      <w:tr>
        <w:trPr>
          <w:trHeight w:val="372"/>
        </w:trPr>
        <w:tc>
          <w:tcPr>
            <w:tcW w:w="45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16</w:t>
            </w: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54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I</w:t>
            </w:r>
          </w:p>
        </w:tc>
        <w:tc>
          <w:tcPr>
            <w:tcW w:w="2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III</w:t>
            </w:r>
          </w:p>
        </w:tc>
        <w:tc>
          <w:tcPr>
            <w:tcW w:w="100" w:type="dxa"/>
            <w:vAlign w:val="bottom"/>
          </w:tcPr>
          <w:p>
            <w:pPr>
              <w:spacing w:after="0"/>
              <w:rPr>
                <w:sz w:val="18"/>
                <w:szCs w:val="18"/>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13,498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13,498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147,621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147,621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33,532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33,532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4,128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fixed income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364,651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364,651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45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75,143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75,143</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preferred stock</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540" w:type="dxa"/>
            <w:vAlign w:val="bottom"/>
          </w:tcPr>
          <w:p>
            <w:pPr>
              <w:ind w:left="360"/>
              <w:spacing w:after="0"/>
              <w:rPr>
                <w:sz w:val="20"/>
                <w:szCs w:val="20"/>
                <w:color w:val="auto"/>
              </w:rPr>
            </w:pPr>
            <w:r>
              <w:rPr>
                <w:rFonts w:ascii="Arial" w:cs="Arial" w:eastAsia="Arial" w:hAnsi="Arial"/>
                <w:sz w:val="18"/>
                <w:szCs w:val="18"/>
                <w:color w:val="auto"/>
              </w:rPr>
              <w:t>Total equity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77,690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77,690</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Cash equivalents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45,741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45,741</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at fair value</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488,082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123,431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364,651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liabilities measured at fair value on a recurring basis at June 30, 2022, or December 31, 2021.</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2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cedes and assumes certain premiums and losses to and from various companies and associations under a variety of reinsurance agreements. The Company seeks to limit the maximum net loss that can arise from large risks or risks in concentrated areas of exposure through use of these agreements, either on an automatic basis under general reinsurance contracts known as treaties or through facultative contracts on substantial individual risks. Reinsurance contracts do not relieve the Company from its obligation to policyholders.</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six-month period ended June 30, 2022, the Company retained the first $15,000 of weather-related losses from catastrophic events and had reinsurance under various reinsurance agreements up to $125,000 in excess of its $15,000 retained risk. The Company experienced multiple severe weather events during the second quarter of 2022 with none of these events exceeding the retention level during the current quarter.</w:t>
      </w:r>
    </w:p>
    <w:p>
      <w:pPr>
        <w:spacing w:after="0" w:line="13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year ended December 31, 2021, the Company retained the first $10,000 of weather-related losses from catastrophic events and had reinsurance under various reinsurance agreements up to $117,000 in excess of its $10,000 retained risk. The Company experienced one catastrophe event during the second quarter of 2021 in excess of the retention level.</w:t>
      </w:r>
    </w:p>
    <w:p>
      <w:pPr>
        <w:spacing w:after="0" w:line="170"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reinsurance recoverables on paid and unpaid losses were due from reinsurance companies with AM Best ratings of “A” or higher.</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direct to net premiums on both a written and an earned basis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 June 30, 2022</w:t>
            </w:r>
          </w:p>
        </w:tc>
        <w:tc>
          <w:tcPr>
            <w:tcW w:w="120" w:type="dxa"/>
            <w:vAlign w:val="bottom"/>
          </w:tcPr>
          <w:p>
            <w:pPr>
              <w:spacing w:after="0"/>
              <w:rPr>
                <w:sz w:val="20"/>
                <w:szCs w:val="20"/>
                <w:color w:val="auto"/>
              </w:rPr>
            </w:pPr>
          </w:p>
        </w:tc>
        <w:tc>
          <w:tcPr>
            <w:tcW w:w="3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 June 30, 2022</w:t>
            </w:r>
          </w:p>
        </w:tc>
      </w:tr>
      <w:tr>
        <w:trPr>
          <w:trHeight w:val="209"/>
        </w:trPr>
        <w:tc>
          <w:tcPr>
            <w:tcW w:w="3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3"/>
              </w:rPr>
              <w:t>Premiums Written</w:t>
            </w: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Premiums Earned</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2"/>
              </w:rPr>
              <w:t>Premiums Written</w:t>
            </w: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Premiums Earned</w:t>
            </w:r>
          </w:p>
        </w:tc>
        <w:tc>
          <w:tcPr>
            <w:tcW w:w="100" w:type="dxa"/>
            <w:vAlign w:val="bottom"/>
          </w:tcPr>
          <w:p>
            <w:pPr>
              <w:spacing w:after="0"/>
              <w:rPr>
                <w:sz w:val="18"/>
                <w:szCs w:val="18"/>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144,962</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94,251</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220,495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167,650</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Assumed premium</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5,087</w:t>
            </w: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3,552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(20,175)</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(11,446)</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(25,835)</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(17,119)</w:t>
            </w:r>
          </w:p>
        </w:tc>
      </w:tr>
      <w:tr>
        <w:trPr>
          <w:trHeight w:val="20"/>
        </w:trPr>
        <w:tc>
          <w:tcPr>
            <w:tcW w:w="3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740" w:type="dxa"/>
            <w:vAlign w:val="bottom"/>
          </w:tcPr>
          <w:p>
            <w:pPr>
              <w:ind w:left="180"/>
              <w:spacing w:after="0"/>
              <w:rPr>
                <w:sz w:val="20"/>
                <w:szCs w:val="20"/>
                <w:color w:val="auto"/>
              </w:rPr>
            </w:pPr>
            <w:r>
              <w:rPr>
                <w:rFonts w:ascii="Arial" w:cs="Arial" w:eastAsia="Arial" w:hAnsi="Arial"/>
                <w:sz w:val="18"/>
                <w:szCs w:val="18"/>
                <w:color w:val="auto"/>
              </w:rPr>
              <w:t>Net premiums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128,013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84,496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199,747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154,083</w:t>
            </w:r>
          </w:p>
        </w:tc>
      </w:tr>
      <w:tr>
        <w:trPr>
          <w:trHeight w:val="20"/>
        </w:trPr>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 June 30, 2021</w:t>
            </w:r>
          </w:p>
        </w:tc>
        <w:tc>
          <w:tcPr>
            <w:tcW w:w="120" w:type="dxa"/>
            <w:vAlign w:val="bottom"/>
          </w:tcPr>
          <w:p>
            <w:pPr>
              <w:spacing w:after="0"/>
              <w:rPr>
                <w:sz w:val="20"/>
                <w:szCs w:val="20"/>
                <w:color w:val="auto"/>
              </w:rPr>
            </w:pPr>
          </w:p>
        </w:tc>
        <w:tc>
          <w:tcPr>
            <w:tcW w:w="3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 June 30, 2021</w:t>
            </w:r>
          </w:p>
        </w:tc>
      </w:tr>
      <w:tr>
        <w:trPr>
          <w:trHeight w:val="209"/>
        </w:trPr>
        <w:tc>
          <w:tcPr>
            <w:tcW w:w="3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3"/>
              </w:rPr>
              <w:t>Premiums Written</w:t>
            </w: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Premiums Earned</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2"/>
              </w:rPr>
              <w:t>Premiums Written</w:t>
            </w: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Premiums Earned</w:t>
            </w:r>
          </w:p>
        </w:tc>
        <w:tc>
          <w:tcPr>
            <w:tcW w:w="100" w:type="dxa"/>
            <w:vAlign w:val="bottom"/>
          </w:tcPr>
          <w:p>
            <w:pPr>
              <w:spacing w:after="0"/>
              <w:rPr>
                <w:sz w:val="18"/>
                <w:szCs w:val="18"/>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125,552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87,059</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197,972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155,802</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Assumed premium</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5,026</w:t>
            </w: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4,964</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(26,203)</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(14,294)</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(33,317)</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(21,350)</w:t>
            </w:r>
          </w:p>
        </w:tc>
      </w:tr>
      <w:tr>
        <w:trPr>
          <w:trHeight w:val="20"/>
        </w:trPr>
        <w:tc>
          <w:tcPr>
            <w:tcW w:w="3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740" w:type="dxa"/>
            <w:vAlign w:val="bottom"/>
          </w:tcPr>
          <w:p>
            <w:pPr>
              <w:ind w:left="180"/>
              <w:spacing w:after="0"/>
              <w:rPr>
                <w:sz w:val="20"/>
                <w:szCs w:val="20"/>
                <w:color w:val="auto"/>
              </w:rPr>
            </w:pPr>
            <w:r>
              <w:rPr>
                <w:rFonts w:ascii="Arial" w:cs="Arial" w:eastAsia="Arial" w:hAnsi="Arial"/>
                <w:sz w:val="18"/>
                <w:szCs w:val="18"/>
                <w:color w:val="auto"/>
              </w:rPr>
              <w:t>Net premiums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102,925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76,281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169,681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139,416</w:t>
            </w:r>
          </w:p>
        </w:tc>
      </w:tr>
      <w:tr>
        <w:trPr>
          <w:trHeight w:val="20"/>
        </w:trPr>
        <w:tc>
          <w:tcPr>
            <w:tcW w:w="37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7560" w:type="dxa"/>
            <w:vAlign w:val="bottom"/>
            <w:gridSpan w:val="7"/>
          </w:tcPr>
          <w:p>
            <w:pPr>
              <w:spacing w:after="0"/>
              <w:rPr>
                <w:sz w:val="20"/>
                <w:szCs w:val="20"/>
                <w:color w:val="auto"/>
              </w:rPr>
            </w:pPr>
            <w:r>
              <w:rPr>
                <w:rFonts w:ascii="Arial" w:cs="Arial" w:eastAsia="Arial" w:hAnsi="Arial"/>
                <w:sz w:val="18"/>
                <w:szCs w:val="18"/>
                <w:color w:val="auto"/>
              </w:rPr>
              <w:t>A reconciliation of direct to net losses and loss adjustment expenses is as follows: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4"/>
                <w:szCs w:val="24"/>
                <w:color w:val="auto"/>
              </w:rPr>
            </w:pPr>
          </w:p>
        </w:tc>
        <w:tc>
          <w:tcPr>
            <w:tcW w:w="35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37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Direct losses and loss adjustment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114,177</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w w:val="98"/>
              </w:rPr>
              <w:t>Assumed losses and loss adjustment expenses</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1,960</w:t>
            </w:r>
          </w:p>
        </w:tc>
        <w:tc>
          <w:tcPr>
            <w:tcW w:w="1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2,908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Ceded losses and loss adjustment expenses</w:t>
            </w: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(3,610)</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(15,641)</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(8,986)</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(17,278)</w:t>
            </w:r>
          </w:p>
        </w:tc>
      </w:tr>
      <w:tr>
        <w:trPr>
          <w:trHeight w:val="20"/>
        </w:trPr>
        <w:tc>
          <w:tcPr>
            <w:tcW w:w="3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740" w:type="dxa"/>
            <w:vAlign w:val="bottom"/>
          </w:tcPr>
          <w:p>
            <w:pPr>
              <w:ind w:left="180"/>
              <w:spacing w:after="0"/>
              <w:rPr>
                <w:sz w:val="20"/>
                <w:szCs w:val="20"/>
                <w:color w:val="auto"/>
              </w:rPr>
            </w:pPr>
            <w:r>
              <w:rPr>
                <w:rFonts w:ascii="Arial" w:cs="Arial" w:eastAsia="Arial" w:hAnsi="Arial"/>
                <w:sz w:val="18"/>
                <w:szCs w:val="18"/>
                <w:color w:val="auto"/>
              </w:rPr>
              <w:t>Net losses and loss adjustment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108,595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62,918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148,724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99,807</w:t>
            </w:r>
          </w:p>
        </w:tc>
      </w:tr>
      <w:tr>
        <w:trPr>
          <w:trHeight w:val="20"/>
        </w:trPr>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500" w:firstLine="45"/>
        <w:spacing w:after="0" w:line="277" w:lineRule="auto"/>
        <w:rPr>
          <w:sz w:val="20"/>
          <w:szCs w:val="20"/>
          <w:color w:val="auto"/>
        </w:rPr>
      </w:pPr>
      <w:r>
        <w:rPr>
          <w:rFonts w:ascii="Arial" w:cs="Arial" w:eastAsia="Arial" w:hAnsi="Arial"/>
          <w:sz w:val="18"/>
          <w:szCs w:val="18"/>
          <w:color w:val="auto"/>
        </w:rPr>
        <w:t>If 100% of our ceded reinsurance was cancelled as of June 30, 2022, or December 31, 2021, no ceded commissions would need to be returned to the reinsurers. Reinsurance contracts are typically effective from January 1 through December 31 each year.</w:t>
      </w:r>
    </w:p>
    <w:p>
      <w:pPr>
        <w:spacing w:after="0" w:line="11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2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Expenses directly related to successfully acquired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shows the deferred policy acquisition costs and asset reconciliation: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7"/>
              </w:rPr>
              <w:t>Three Months Ended June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10"/>
        </w:trPr>
        <w:tc>
          <w:tcPr>
            <w:tcW w:w="4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23,968</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20,889</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22,968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37,837</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39,162</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policy acquisition costs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(16,244)</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(31,867)</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(33,473)</w:t>
            </w:r>
          </w:p>
        </w:tc>
      </w:tr>
      <w:tr>
        <w:trPr>
          <w:trHeight w:val="20"/>
        </w:trPr>
        <w:tc>
          <w:tcPr>
            <w:tcW w:w="44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r>
      <w:tr>
        <w:trPr>
          <w:trHeight w:val="210"/>
        </w:trPr>
        <w:tc>
          <w:tcPr>
            <w:tcW w:w="446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30,917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29,657</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30,917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29,657</w:t>
            </w:r>
          </w:p>
        </w:tc>
      </w:tr>
      <w:tr>
        <w:trPr>
          <w:trHeight w:val="20"/>
        </w:trPr>
        <w:tc>
          <w:tcPr>
            <w:tcW w:w="4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4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930"/>
              <w:spacing w:after="0"/>
              <w:rPr>
                <w:sz w:val="20"/>
                <w:szCs w:val="20"/>
                <w:color w:val="auto"/>
              </w:rPr>
            </w:pPr>
            <w:r>
              <w:rPr>
                <w:rFonts w:ascii="Arial" w:cs="Arial" w:eastAsia="Arial" w:hAnsi="Arial"/>
                <w:sz w:val="18"/>
                <w:szCs w:val="18"/>
                <w:color w:val="auto"/>
                <w:w w:val="99"/>
              </w:rPr>
              <w:t>19</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446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7.</w:t>
            </w:r>
          </w:p>
        </w:tc>
        <w:tc>
          <w:tcPr>
            <w:tcW w:w="7840" w:type="dxa"/>
            <w:vAlign w:val="bottom"/>
          </w:tcPr>
          <w:p>
            <w:pPr>
              <w:jc w:val="right"/>
              <w:ind w:right="3690"/>
              <w:spacing w:after="0"/>
              <w:rPr>
                <w:sz w:val="20"/>
                <w:szCs w:val="20"/>
                <w:color w:val="auto"/>
              </w:rPr>
            </w:pPr>
            <w:r>
              <w:rPr>
                <w:rFonts w:ascii="Arial" w:cs="Arial" w:eastAsia="Arial" w:hAnsi="Arial"/>
                <w:sz w:val="18"/>
                <w:szCs w:val="18"/>
                <w:b w:val="1"/>
                <w:bCs w:val="1"/>
                <w:color w:val="auto"/>
                <w:w w:val="99"/>
              </w:rPr>
              <w:t>Unpaid Losses and Loss Adjustment Expenses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8000" w:type="dxa"/>
            <w:vAlign w:val="bottom"/>
            <w:gridSpan w:val="2"/>
          </w:tcPr>
          <w:p>
            <w:pPr>
              <w:spacing w:after="0"/>
              <w:rPr>
                <w:sz w:val="20"/>
                <w:szCs w:val="20"/>
                <w:color w:val="auto"/>
              </w:rPr>
            </w:pPr>
            <w:r>
              <w:rPr>
                <w:rFonts w:ascii="Arial" w:cs="Arial" w:eastAsia="Arial" w:hAnsi="Arial"/>
                <w:sz w:val="18"/>
                <w:szCs w:val="18"/>
                <w:color w:val="auto"/>
              </w:rPr>
              <w:t>Activity in the liability for unpaid losses and loss adjustment expenses is summarized as follows: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1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6"/>
          </w:tcPr>
          <w:p>
            <w:pPr>
              <w:ind w:left="22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16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840" w:type="dxa"/>
            <w:vAlign w:val="bottom"/>
          </w:tcPr>
          <w:p>
            <w:pPr>
              <w:jc w:val="right"/>
              <w:ind w:right="3670"/>
              <w:spacing w:after="0"/>
              <w:rPr>
                <w:sz w:val="20"/>
                <w:szCs w:val="20"/>
                <w:color w:val="auto"/>
              </w:rPr>
            </w:pPr>
            <w:r>
              <w:rPr>
                <w:rFonts w:ascii="Arial" w:cs="Arial" w:eastAsia="Arial" w:hAnsi="Arial"/>
                <w:sz w:val="18"/>
                <w:szCs w:val="18"/>
                <w:color w:val="auto"/>
                <w:w w:val="90"/>
              </w:rPr>
              <w:t>Liability for unpaid losses and loss adjustment expenses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139,662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105,750</w:t>
            </w:r>
          </w:p>
        </w:tc>
      </w:tr>
      <w:tr>
        <w:trPr>
          <w:trHeight w:val="216"/>
        </w:trPr>
        <w:tc>
          <w:tcPr>
            <w:tcW w:w="160" w:type="dxa"/>
            <w:vAlign w:val="bottom"/>
            <w:tcBorders>
              <w:bottom w:val="single" w:sz="8" w:color="CCEEFF"/>
            </w:tcBorders>
            <w:shd w:val="clear" w:color="auto" w:fill="CCEEFF"/>
          </w:tcPr>
          <w:p>
            <w:pPr>
              <w:spacing w:after="0"/>
              <w:rPr>
                <w:sz w:val="18"/>
                <w:szCs w:val="18"/>
                <w:color w:val="auto"/>
              </w:rPr>
            </w:pPr>
          </w:p>
        </w:tc>
        <w:tc>
          <w:tcPr>
            <w:tcW w:w="7840" w:type="dxa"/>
            <w:vAlign w:val="bottom"/>
            <w:tcBorders>
              <w:bottom w:val="single" w:sz="8" w:color="CCEEFF"/>
            </w:tcBorders>
            <w:shd w:val="clear" w:color="auto" w:fill="CCEEFF"/>
          </w:tcPr>
          <w:p>
            <w:pPr>
              <w:jc w:val="right"/>
              <w:ind w:right="5170"/>
              <w:spacing w:after="0"/>
              <w:rPr>
                <w:sz w:val="20"/>
                <w:szCs w:val="20"/>
                <w:color w:val="auto"/>
              </w:rPr>
            </w:pPr>
            <w:r>
              <w:rPr>
                <w:rFonts w:ascii="Arial" w:cs="Arial" w:eastAsia="Arial" w:hAnsi="Arial"/>
                <w:sz w:val="18"/>
                <w:szCs w:val="18"/>
                <w:color w:val="auto"/>
                <w:w w:val="88"/>
              </w:rPr>
              <w:t>Reinsurance recoverables on losses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7840" w:type="dxa"/>
            <w:vAlign w:val="bottom"/>
          </w:tcPr>
          <w:p>
            <w:pPr>
              <w:jc w:val="right"/>
              <w:ind w:right="5170"/>
              <w:spacing w:after="0"/>
              <w:rPr>
                <w:sz w:val="20"/>
                <w:szCs w:val="20"/>
                <w:color w:val="auto"/>
              </w:rPr>
            </w:pPr>
            <w:r>
              <w:rPr>
                <w:rFonts w:ascii="Arial" w:cs="Arial" w:eastAsia="Arial" w:hAnsi="Arial"/>
                <w:sz w:val="18"/>
                <w:szCs w:val="18"/>
                <w:color w:val="auto"/>
                <w:w w:val="98"/>
              </w:rPr>
              <w:t>Net balance, beginning of period</w:t>
            </w: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118,462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97,040</w:t>
            </w:r>
          </w:p>
        </w:tc>
      </w:tr>
      <w:tr>
        <w:trPr>
          <w:trHeight w:val="209"/>
        </w:trPr>
        <w:tc>
          <w:tcPr>
            <w:tcW w:w="16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Incurred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Current year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incurred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Paid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Prior years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right="3040"/>
        <w:spacing w:after="0" w:line="273" w:lineRule="auto"/>
        <w:rPr>
          <w:sz w:val="20"/>
          <w:szCs w:val="20"/>
          <w:color w:val="auto"/>
        </w:rPr>
      </w:pPr>
      <w:r>
        <w:rPr>
          <w:rFonts w:ascii="Arial" w:cs="Arial" w:eastAsia="Arial" w:hAnsi="Arial"/>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Net balance, end of period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157,214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102,004</w:t>
            </w:r>
          </w:p>
        </w:tc>
      </w:tr>
      <w:tr>
        <w:trPr>
          <w:trHeight w:val="230"/>
        </w:trPr>
        <w:tc>
          <w:tcPr>
            <w:tcW w:w="4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(8,490 )</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(2,197 )</w:t>
            </w:r>
          </w:p>
        </w:tc>
      </w:tr>
      <w:tr>
        <w:trPr>
          <w:trHeight w:val="209"/>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148,724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99,807</w:t>
            </w:r>
          </w:p>
        </w:tc>
        <w:tc>
          <w:tcPr>
            <w:tcW w:w="80" w:type="dxa"/>
            <w:vAlign w:val="bottom"/>
          </w:tcPr>
          <w:p>
            <w:pPr>
              <w:spacing w:after="0"/>
              <w:rPr>
                <w:sz w:val="18"/>
                <w:szCs w:val="18"/>
                <w:color w:val="auto"/>
              </w:rPr>
            </w:pPr>
          </w:p>
        </w:tc>
      </w:tr>
      <w:tr>
        <w:trPr>
          <w:trHeight w:val="627"/>
        </w:trPr>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59,634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40,664</w:t>
            </w:r>
          </w:p>
        </w:tc>
      </w:tr>
      <w:tr>
        <w:trPr>
          <w:trHeight w:val="230"/>
        </w:trPr>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28,417</w:t>
            </w:r>
          </w:p>
        </w:tc>
      </w:tr>
      <w:tr>
        <w:trPr>
          <w:trHeight w:val="209"/>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101,351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69,081</w:t>
            </w:r>
          </w:p>
        </w:tc>
        <w:tc>
          <w:tcPr>
            <w:tcW w:w="80" w:type="dxa"/>
            <w:vAlign w:val="bottom"/>
          </w:tcPr>
          <w:p>
            <w:pPr>
              <w:spacing w:after="0"/>
              <w:rPr>
                <w:sz w:val="18"/>
                <w:szCs w:val="18"/>
                <w:color w:val="auto"/>
              </w:rPr>
            </w:pPr>
          </w:p>
        </w:tc>
      </w:tr>
      <w:tr>
        <w:trPr>
          <w:trHeight w:val="627"/>
        </w:trPr>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182,876</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152,340</w:t>
            </w:r>
          </w:p>
        </w:tc>
      </w:tr>
      <w:tr>
        <w:trPr>
          <w:trHeight w:val="230"/>
        </w:trPr>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17,041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24,574</w:t>
            </w:r>
          </w:p>
        </w:tc>
      </w:tr>
      <w:tr>
        <w:trPr>
          <w:trHeight w:val="210"/>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165,835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127,766</w:t>
            </w:r>
          </w:p>
        </w:tc>
        <w:tc>
          <w:tcPr>
            <w:tcW w:w="80" w:type="dxa"/>
            <w:vAlign w:val="bottom"/>
          </w:tcPr>
          <w:p>
            <w:pPr>
              <w:spacing w:after="0"/>
              <w:rPr>
                <w:sz w:val="18"/>
                <w:szCs w:val="18"/>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p>
      <w:pPr>
        <w:ind w:right="140"/>
        <w:spacing w:after="0" w:line="259" w:lineRule="auto"/>
        <w:rPr>
          <w:sz w:val="20"/>
          <w:szCs w:val="20"/>
          <w:color w:val="auto"/>
        </w:rPr>
      </w:pPr>
      <w:r>
        <w:rPr>
          <w:rFonts w:ascii="Arial" w:cs="Arial" w:eastAsia="Arial" w:hAnsi="Arial"/>
          <w:sz w:val="18"/>
          <w:szCs w:val="18"/>
          <w:color w:val="auto"/>
        </w:rPr>
        <w:t>During the six months ended June 30, 2022, the Company’s reported incurred losses and loss adjustment expenses included $8,490 of net favorable development on prior accident years, primarily attributable to Direct Auto, Battle Creek, and American West. During the six months ended June 30, 2021, the Company’s incurred reported losses and loss adjustment expenses included $2,197 of net favorable development on prior accident years, primarily attributable to Nodak Insurance, Direct Auto, and American West.</w:t>
      </w:r>
    </w:p>
    <w:p>
      <w:pPr>
        <w:spacing w:after="0" w:line="1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Increases and decreases are generally the result of ongoing analysis of loss development trends. As additional information becomes known regarding individual claims, original estimates are increased or decreased accordingly.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8.</w:t>
            </w:r>
          </w:p>
        </w:tc>
        <w:tc>
          <w:tcPr>
            <w:tcW w:w="5360" w:type="dxa"/>
            <w:vAlign w:val="bottom"/>
          </w:tcPr>
          <w:p>
            <w:pPr>
              <w:ind w:left="500"/>
              <w:spacing w:after="0"/>
              <w:rPr>
                <w:sz w:val="20"/>
                <w:szCs w:val="20"/>
                <w:color w:val="auto"/>
              </w:rPr>
            </w:pPr>
            <w:r>
              <w:rPr>
                <w:rFonts w:ascii="Arial" w:cs="Arial" w:eastAsia="Arial" w:hAnsi="Arial"/>
                <w:sz w:val="18"/>
                <w:szCs w:val="18"/>
                <w:b w:val="1"/>
                <w:bCs w:val="1"/>
                <w:color w:val="auto"/>
              </w:rPr>
              <w:t>Property and Equipment</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9"/>
        </w:trPr>
        <w:tc>
          <w:tcPr>
            <w:tcW w:w="5520" w:type="dxa"/>
            <w:vAlign w:val="bottom"/>
            <w:gridSpan w:val="2"/>
          </w:tcPr>
          <w:p>
            <w:pPr>
              <w:spacing w:after="0"/>
              <w:rPr>
                <w:sz w:val="20"/>
                <w:szCs w:val="20"/>
                <w:color w:val="auto"/>
              </w:rPr>
            </w:pPr>
            <w:r>
              <w:rPr>
                <w:rFonts w:ascii="Arial" w:cs="Arial" w:eastAsia="Arial" w:hAnsi="Arial"/>
                <w:sz w:val="18"/>
                <w:szCs w:val="18"/>
                <w:color w:val="auto"/>
              </w:rPr>
              <w:t>Property and equipment consisted of the following:</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91"/>
        </w:trPr>
        <w:tc>
          <w:tcPr>
            <w:tcW w:w="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June 30, 2022</w:t>
            </w:r>
          </w:p>
        </w:tc>
        <w:tc>
          <w:tcPr>
            <w:tcW w:w="140" w:type="dxa"/>
            <w:vAlign w:val="bottom"/>
          </w:tcPr>
          <w:p>
            <w:pPr>
              <w:spacing w:after="0"/>
              <w:rPr>
                <w:sz w:val="24"/>
                <w:szCs w:val="24"/>
                <w:color w:val="auto"/>
              </w:rPr>
            </w:pPr>
          </w:p>
        </w:tc>
        <w:tc>
          <w:tcPr>
            <w:tcW w:w="1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December 31, 2021</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1"/>
              </w:rPr>
              <w:t>Estimated Useful Life</w:t>
            </w: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Land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1,403</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indefinite</w:t>
            </w:r>
          </w:p>
        </w:tc>
      </w:tr>
      <w:tr>
        <w:trPr>
          <w:trHeight w:val="216"/>
        </w:trPr>
        <w:tc>
          <w:tcPr>
            <w:tcW w:w="160" w:type="dxa"/>
            <w:vAlign w:val="bottom"/>
            <w:shd w:val="clear" w:color="auto" w:fill="CCEEFF"/>
          </w:tcPr>
          <w:p>
            <w:pPr>
              <w:spacing w:after="0"/>
              <w:rPr>
                <w:sz w:val="18"/>
                <w:szCs w:val="18"/>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improvements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13,952</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14,193</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10–40 years</w:t>
            </w:r>
          </w:p>
        </w:tc>
      </w:tr>
      <w:tr>
        <w:trPr>
          <w:trHeight w:val="216"/>
        </w:trPr>
        <w:tc>
          <w:tcPr>
            <w:tcW w:w="160" w:type="dxa"/>
            <w:vAlign w:val="bottom"/>
          </w:tcPr>
          <w:p>
            <w:pPr>
              <w:spacing w:after="0"/>
              <w:rPr>
                <w:sz w:val="18"/>
                <w:szCs w:val="18"/>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Electronic data processing equipment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1,518</w:t>
            </w:r>
          </w:p>
        </w:tc>
        <w:tc>
          <w:tcPr>
            <w:tcW w:w="2240" w:type="dxa"/>
            <w:vAlign w:val="bottom"/>
          </w:tcPr>
          <w:p>
            <w:pPr>
              <w:jc w:val="center"/>
              <w:spacing w:after="0"/>
              <w:rPr>
                <w:sz w:val="20"/>
                <w:szCs w:val="20"/>
                <w:color w:val="auto"/>
              </w:rPr>
            </w:pPr>
            <w:r>
              <w:rPr>
                <w:rFonts w:ascii="Arial" w:cs="Arial" w:eastAsia="Arial" w:hAnsi="Arial"/>
                <w:sz w:val="18"/>
                <w:szCs w:val="18"/>
                <w:color w:val="auto"/>
                <w:w w:val="85"/>
              </w:rPr>
              <w:t>5–7 years</w:t>
            </w:r>
          </w:p>
        </w:tc>
      </w:tr>
      <w:tr>
        <w:trPr>
          <w:trHeight w:val="216"/>
        </w:trPr>
        <w:tc>
          <w:tcPr>
            <w:tcW w:w="160" w:type="dxa"/>
            <w:vAlign w:val="bottom"/>
            <w:shd w:val="clear" w:color="auto" w:fill="CCEEFF"/>
          </w:tcPr>
          <w:p>
            <w:pPr>
              <w:spacing w:after="0"/>
              <w:rPr>
                <w:sz w:val="18"/>
                <w:szCs w:val="18"/>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2,885</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5–7 years</w:t>
            </w:r>
          </w:p>
        </w:tc>
      </w:tr>
      <w:tr>
        <w:trPr>
          <w:trHeight w:val="216"/>
        </w:trPr>
        <w:tc>
          <w:tcPr>
            <w:tcW w:w="160" w:type="dxa"/>
            <w:vAlign w:val="bottom"/>
          </w:tcPr>
          <w:p>
            <w:pPr>
              <w:spacing w:after="0"/>
              <w:rPr>
                <w:sz w:val="18"/>
                <w:szCs w:val="18"/>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Automobiles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1,228</w:t>
            </w:r>
          </w:p>
        </w:tc>
        <w:tc>
          <w:tcPr>
            <w:tcW w:w="2240" w:type="dxa"/>
            <w:vAlign w:val="bottom"/>
          </w:tcPr>
          <w:p>
            <w:pPr>
              <w:jc w:val="center"/>
              <w:spacing w:after="0"/>
              <w:rPr>
                <w:sz w:val="20"/>
                <w:szCs w:val="20"/>
                <w:color w:val="auto"/>
              </w:rPr>
            </w:pPr>
            <w:r>
              <w:rPr>
                <w:rFonts w:ascii="Arial" w:cs="Arial" w:eastAsia="Arial" w:hAnsi="Arial"/>
                <w:sz w:val="18"/>
                <w:szCs w:val="18"/>
                <w:color w:val="auto"/>
                <w:w w:val="85"/>
              </w:rPr>
              <w:t>2–3 years</w:t>
            </w:r>
          </w:p>
        </w:tc>
      </w:tr>
      <w:tr>
        <w:trPr>
          <w:trHeight w:val="20"/>
        </w:trPr>
        <w:tc>
          <w:tcPr>
            <w:tcW w:w="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10"/>
        </w:trPr>
        <w:tc>
          <w:tcPr>
            <w:tcW w:w="160" w:type="dxa"/>
            <w:vAlign w:val="bottom"/>
            <w:shd w:val="clear" w:color="auto" w:fill="CCEEFF"/>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cost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20,425</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21,227</w:t>
            </w:r>
          </w:p>
        </w:tc>
        <w:tc>
          <w:tcPr>
            <w:tcW w:w="224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(10,588)</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(11,358)</w:t>
            </w:r>
          </w:p>
        </w:tc>
        <w:tc>
          <w:tcPr>
            <w:tcW w:w="2240" w:type="dxa"/>
            <w:vAlign w:val="bottom"/>
            <w:shd w:val="clear" w:color="auto" w:fill="CCEEFF"/>
          </w:tcPr>
          <w:p>
            <w:pPr>
              <w:spacing w:after="0"/>
              <w:rPr>
                <w:sz w:val="18"/>
                <w:szCs w:val="18"/>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9,837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9,869</w:t>
            </w:r>
          </w:p>
        </w:tc>
        <w:tc>
          <w:tcPr>
            <w:tcW w:w="22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Depreciation expense was $176 and $171 for the three months ended June 30, 2022 and 2021, respectively, and $344 and $341 for the six months ended June 30, 2022 and 2021,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9.</w:t>
            </w:r>
          </w:p>
        </w:tc>
        <w:tc>
          <w:tcPr>
            <w:tcW w:w="6480" w:type="dxa"/>
            <w:vAlign w:val="bottom"/>
          </w:tcPr>
          <w:p>
            <w:pPr>
              <w:ind w:left="500"/>
              <w:spacing w:after="0"/>
              <w:rPr>
                <w:sz w:val="20"/>
                <w:szCs w:val="20"/>
                <w:color w:val="auto"/>
              </w:rPr>
            </w:pPr>
            <w:r>
              <w:rPr>
                <w:rFonts w:ascii="Arial" w:cs="Arial" w:eastAsia="Arial" w:hAnsi="Arial"/>
                <w:sz w:val="18"/>
                <w:szCs w:val="18"/>
                <w:b w:val="1"/>
                <w:bCs w:val="1"/>
                <w:color w:val="auto"/>
              </w:rPr>
              <w:t>Goodwill and Other Intangibles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Goodwill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6640" w:type="dxa"/>
            <w:vAlign w:val="bottom"/>
            <w:gridSpan w:val="2"/>
          </w:tcPr>
          <w:p>
            <w:pPr>
              <w:spacing w:after="0"/>
              <w:rPr>
                <w:sz w:val="20"/>
                <w:szCs w:val="20"/>
                <w:color w:val="auto"/>
              </w:rPr>
            </w:pPr>
            <w:r>
              <w:rPr>
                <w:rFonts w:ascii="Arial" w:cs="Arial" w:eastAsia="Arial" w:hAnsi="Arial"/>
                <w:sz w:val="18"/>
                <w:szCs w:val="18"/>
                <w:color w:val="auto"/>
                <w:w w:val="93"/>
              </w:rPr>
              <w:t>The following table presents the carrying amount of the Company’s goodwill by segment: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gridSpan w:val="3"/>
          </w:tcPr>
          <w:p>
            <w:pPr>
              <w:jc w:val="center"/>
              <w:ind w:left="118"/>
              <w:spacing w:after="0"/>
              <w:rPr>
                <w:sz w:val="20"/>
                <w:szCs w:val="20"/>
                <w:color w:val="auto"/>
              </w:rPr>
            </w:pPr>
            <w:r>
              <w:rPr>
                <w:rFonts w:ascii="Arial" w:cs="Arial" w:eastAsia="Arial" w:hAnsi="Arial"/>
                <w:sz w:val="18"/>
                <w:szCs w:val="18"/>
                <w:b w:val="1"/>
                <w:bCs w:val="1"/>
                <w:color w:val="auto"/>
                <w:w w:val="88"/>
              </w:rPr>
              <w:t>June 30, 2022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6"/>
          </w:tcPr>
          <w:p>
            <w:pPr>
              <w:ind w:left="100"/>
              <w:spacing w:after="0"/>
              <w:rPr>
                <w:sz w:val="20"/>
                <w:szCs w:val="20"/>
                <w:color w:val="auto"/>
              </w:rPr>
            </w:pPr>
            <w:r>
              <w:rPr>
                <w:rFonts w:ascii="Arial" w:cs="Arial" w:eastAsia="Arial" w:hAnsi="Arial"/>
                <w:sz w:val="18"/>
                <w:szCs w:val="18"/>
                <w:b w:val="1"/>
                <w:bCs w:val="1"/>
                <w:color w:val="auto"/>
              </w:rPr>
              <w:t>December 31, 2021</w:t>
            </w:r>
          </w:p>
        </w:tc>
      </w:tr>
      <w:tr>
        <w:trPr>
          <w:trHeight w:val="209"/>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Non-standard auto from acquisition of Primero</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w w:val="84"/>
              </w:rPr>
              <w:t>2,628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Commercial from acquisition of Westminster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3"/>
          </w:tcPr>
          <w:p>
            <w:pPr>
              <w:ind w:left="480"/>
              <w:spacing w:after="0"/>
              <w:rPr>
                <w:sz w:val="20"/>
                <w:szCs w:val="20"/>
                <w:color w:val="auto"/>
              </w:rPr>
            </w:pPr>
            <w:r>
              <w:rPr>
                <w:rFonts w:ascii="Arial" w:cs="Arial" w:eastAsia="Arial" w:hAnsi="Arial"/>
                <w:sz w:val="18"/>
                <w:szCs w:val="18"/>
                <w:color w:val="auto"/>
                <w:w w:val="93"/>
              </w:rPr>
              <w:t>6,756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6,756</w:t>
            </w:r>
          </w:p>
        </w:tc>
      </w:tr>
      <w:tr>
        <w:trPr>
          <w:trHeight w:val="20"/>
        </w:trPr>
        <w:tc>
          <w:tcPr>
            <w:tcW w:w="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160" w:type="dxa"/>
            <w:vAlign w:val="bottom"/>
            <w:shd w:val="clear" w:color="auto" w:fill="CCEEFF"/>
          </w:tcPr>
          <w:p>
            <w:pPr>
              <w:spacing w:after="0"/>
              <w:rPr>
                <w:sz w:val="21"/>
                <w:szCs w:val="21"/>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9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3"/>
              </w:rPr>
              <w:t>9,384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9,384</w:t>
            </w:r>
          </w:p>
        </w:tc>
      </w:tr>
      <w:tr>
        <w:trPr>
          <w:trHeight w:val="399"/>
        </w:trPr>
        <w:tc>
          <w:tcPr>
            <w:tcW w:w="66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i w:val="1"/>
                <w:iCs w:val="1"/>
                <w:color w:val="auto"/>
              </w:rPr>
              <w:t>Other Intangible Assets</w:t>
            </w: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8"/>
        </w:trPr>
        <w:tc>
          <w:tcPr>
            <w:tcW w:w="6640" w:type="dxa"/>
            <w:vAlign w:val="bottom"/>
            <w:gridSpan w:val="2"/>
          </w:tcPr>
          <w:p>
            <w:pPr>
              <w:spacing w:after="0"/>
              <w:rPr>
                <w:sz w:val="20"/>
                <w:szCs w:val="20"/>
                <w:color w:val="auto"/>
              </w:rPr>
            </w:pPr>
            <w:r>
              <w:rPr>
                <w:rFonts w:ascii="Arial" w:cs="Arial" w:eastAsia="Arial" w:hAnsi="Arial"/>
                <w:sz w:val="18"/>
                <w:szCs w:val="18"/>
                <w:color w:val="auto"/>
                <w:w w:val="91"/>
              </w:rPr>
              <w:t>The following table presents the carrying amount of the Company’s other intangible assets: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1"/>
              </w:rPr>
              <w:t>Gross Carrying</w:t>
            </w:r>
          </w:p>
        </w:tc>
        <w:tc>
          <w:tcPr>
            <w:tcW w:w="1380" w:type="dxa"/>
            <w:vAlign w:val="bottom"/>
            <w:gridSpan w:val="6"/>
          </w:tcPr>
          <w:p>
            <w:pPr>
              <w:ind w:left="10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1"/>
              </w:rPr>
              <w:t>Amount</w:t>
            </w:r>
          </w:p>
        </w:tc>
        <w:tc>
          <w:tcPr>
            <w:tcW w:w="1380" w:type="dxa"/>
            <w:vAlign w:val="bottom"/>
            <w:gridSpan w:val="6"/>
          </w:tcPr>
          <w:p>
            <w:pPr>
              <w:ind w:left="10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r>
      <w:tr>
        <w:trPr>
          <w:trHeight w:val="209"/>
        </w:trPr>
        <w:tc>
          <w:tcPr>
            <w:tcW w:w="6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748</w:t>
            </w:r>
          </w:p>
        </w:tc>
        <w:tc>
          <w:tcPr>
            <w:tcW w:w="680" w:type="dxa"/>
            <w:vAlign w:val="bottom"/>
          </w:tcPr>
          <w:p>
            <w:pPr>
              <w:jc w:val="center"/>
              <w:ind w:right="51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315</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r>
      <w:tr>
        <w:trPr>
          <w:trHeight w:val="216"/>
        </w:trPr>
        <w:tc>
          <w:tcPr>
            <w:tcW w:w="160" w:type="dxa"/>
            <w:vAlign w:val="bottom"/>
            <w:tcBorders>
              <w:bottom w:val="single" w:sz="8" w:color="CCEEFF"/>
            </w:tcBorders>
            <w:shd w:val="clear" w:color="auto" w:fill="CCEEFF"/>
          </w:tcPr>
          <w:p>
            <w:pPr>
              <w:spacing w:after="0"/>
              <w:rPr>
                <w:sz w:val="18"/>
                <w:szCs w:val="18"/>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 network</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3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931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7,448</w:t>
            </w:r>
          </w:p>
        </w:tc>
        <w:tc>
          <w:tcPr>
            <w:tcW w:w="680" w:type="dxa"/>
            <w:vAlign w:val="bottom"/>
          </w:tcPr>
          <w:p>
            <w:pPr>
              <w:spacing w:after="0"/>
              <w:rPr>
                <w:sz w:val="18"/>
                <w:szCs w:val="18"/>
                <w:color w:val="auto"/>
              </w:rPr>
            </w:pPr>
          </w:p>
        </w:tc>
        <w:tc>
          <w:tcPr>
            <w:tcW w:w="700" w:type="dxa"/>
            <w:vAlign w:val="bottom"/>
            <w:gridSpan w:val="5"/>
          </w:tcPr>
          <w:p>
            <w:pPr>
              <w:jc w:val="right"/>
              <w:ind w:right="160"/>
              <w:spacing w:after="0"/>
              <w:rPr>
                <w:sz w:val="20"/>
                <w:szCs w:val="20"/>
                <w:color w:val="auto"/>
              </w:rPr>
            </w:pPr>
            <w:r>
              <w:rPr>
                <w:rFonts w:ascii="Arial" w:cs="Arial" w:eastAsia="Arial" w:hAnsi="Arial"/>
                <w:sz w:val="18"/>
                <w:szCs w:val="18"/>
                <w:color w:val="auto"/>
              </w:rPr>
              <w:t>1,246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6,202</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subject to amortization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State insurance license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1,900</w:t>
            </w: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8"/>
                <w:szCs w:val="18"/>
                <w:color w:val="auto"/>
              </w:rPr>
            </w:pPr>
          </w:p>
        </w:tc>
      </w:tr>
      <w:tr>
        <w:trPr>
          <w:trHeight w:val="250"/>
        </w:trPr>
        <w:tc>
          <w:tcPr>
            <w:tcW w:w="160" w:type="dxa"/>
            <w:vAlign w:val="bottom"/>
            <w:shd w:val="clear" w:color="auto" w:fill="CCEEFF"/>
          </w:tcPr>
          <w:p>
            <w:pPr>
              <w:spacing w:after="0"/>
              <w:rPr>
                <w:sz w:val="21"/>
                <w:szCs w:val="21"/>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9,348</w:t>
            </w:r>
          </w:p>
        </w:tc>
        <w:tc>
          <w:tcPr>
            <w:tcW w:w="680" w:type="dxa"/>
            <w:vAlign w:val="bottom"/>
            <w:shd w:val="clear" w:color="auto" w:fill="CCEEFF"/>
          </w:tcPr>
          <w:p>
            <w:pPr>
              <w:jc w:val="center"/>
              <w:ind w:right="510"/>
              <w:spacing w:after="0"/>
              <w:rPr>
                <w:sz w:val="20"/>
                <w:szCs w:val="20"/>
                <w:color w:val="auto"/>
              </w:rPr>
            </w:pPr>
            <w:r>
              <w:rPr>
                <w:rFonts w:ascii="Arial" w:cs="Arial" w:eastAsia="Arial" w:hAnsi="Arial"/>
                <w:sz w:val="18"/>
                <w:szCs w:val="18"/>
                <w:color w:val="auto"/>
                <w:w w:val="79"/>
              </w:rPr>
              <w:t>$</w:t>
            </w:r>
          </w:p>
        </w:tc>
        <w:tc>
          <w:tcPr>
            <w:tcW w:w="7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1,246</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8,102</w:t>
            </w:r>
          </w:p>
        </w:tc>
      </w:tr>
      <w:tr>
        <w:trPr>
          <w:trHeight w:val="772"/>
        </w:trPr>
        <w:tc>
          <w:tcPr>
            <w:tcW w:w="160" w:type="dxa"/>
            <w:vAlign w:val="bottom"/>
            <w:tcBorders>
              <w:top w:val="single" w:sz="8" w:color="CCEEFF"/>
            </w:tcBorders>
          </w:tcPr>
          <w:p>
            <w:pPr>
              <w:spacing w:after="0"/>
              <w:rPr>
                <w:sz w:val="24"/>
                <w:szCs w:val="24"/>
                <w:color w:val="auto"/>
              </w:rPr>
            </w:pPr>
          </w:p>
        </w:tc>
        <w:tc>
          <w:tcPr>
            <w:tcW w:w="64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Gross Carrying</w:t>
            </w:r>
          </w:p>
        </w:tc>
        <w:tc>
          <w:tcPr>
            <w:tcW w:w="34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w w:val="97"/>
              </w:rPr>
              <w:t>Accumulated</w:t>
            </w: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1"/>
              </w:rPr>
              <w:t>Amount</w:t>
            </w:r>
          </w:p>
        </w:tc>
        <w:tc>
          <w:tcPr>
            <w:tcW w:w="1380" w:type="dxa"/>
            <w:vAlign w:val="bottom"/>
            <w:gridSpan w:val="6"/>
          </w:tcPr>
          <w:p>
            <w:pPr>
              <w:ind w:left="10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r>
      <w:tr>
        <w:trPr>
          <w:trHeight w:val="210"/>
        </w:trPr>
        <w:tc>
          <w:tcPr>
            <w:tcW w:w="6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748</w:t>
            </w:r>
          </w:p>
        </w:tc>
        <w:tc>
          <w:tcPr>
            <w:tcW w:w="680" w:type="dxa"/>
            <w:vAlign w:val="bottom"/>
          </w:tcPr>
          <w:p>
            <w:pPr>
              <w:jc w:val="center"/>
              <w:ind w:right="51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265</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160" w:type="dxa"/>
            <w:vAlign w:val="bottom"/>
            <w:tcBorders>
              <w:bottom w:val="single" w:sz="8" w:color="CCEEFF"/>
            </w:tcBorders>
            <w:shd w:val="clear" w:color="auto" w:fill="CCEEFF"/>
          </w:tcPr>
          <w:p>
            <w:pPr>
              <w:spacing w:after="0"/>
              <w:rPr>
                <w:sz w:val="18"/>
                <w:szCs w:val="18"/>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 network</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3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745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7,448</w:t>
            </w:r>
          </w:p>
        </w:tc>
        <w:tc>
          <w:tcPr>
            <w:tcW w:w="680" w:type="dxa"/>
            <w:vAlign w:val="bottom"/>
          </w:tcPr>
          <w:p>
            <w:pPr>
              <w:spacing w:after="0"/>
              <w:rPr>
                <w:sz w:val="18"/>
                <w:szCs w:val="18"/>
                <w:color w:val="auto"/>
              </w:rPr>
            </w:pPr>
          </w:p>
        </w:tc>
        <w:tc>
          <w:tcPr>
            <w:tcW w:w="700" w:type="dxa"/>
            <w:vAlign w:val="bottom"/>
            <w:gridSpan w:val="5"/>
          </w:tcPr>
          <w:p>
            <w:pPr>
              <w:jc w:val="right"/>
              <w:ind w:right="160"/>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6,438</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subject to amortization: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State insurance license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1,900</w:t>
            </w: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8"/>
                <w:szCs w:val="18"/>
                <w:color w:val="auto"/>
              </w:rPr>
            </w:pPr>
          </w:p>
        </w:tc>
      </w:tr>
      <w:tr>
        <w:trPr>
          <w:trHeight w:val="230"/>
        </w:trPr>
        <w:tc>
          <w:tcPr>
            <w:tcW w:w="160" w:type="dxa"/>
            <w:vAlign w:val="bottom"/>
            <w:shd w:val="clear" w:color="auto" w:fill="CCEEFF"/>
          </w:tcPr>
          <w:p>
            <w:pPr>
              <w:spacing w:after="0"/>
              <w:rPr>
                <w:sz w:val="19"/>
                <w:szCs w:val="19"/>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9,348</w:t>
            </w:r>
          </w:p>
        </w:tc>
        <w:tc>
          <w:tcPr>
            <w:tcW w:w="680" w:type="dxa"/>
            <w:vAlign w:val="bottom"/>
            <w:shd w:val="clear" w:color="auto" w:fill="CCEEFF"/>
          </w:tcPr>
          <w:p>
            <w:pPr>
              <w:jc w:val="center"/>
              <w:ind w:right="510"/>
              <w:spacing w:after="0"/>
              <w:rPr>
                <w:sz w:val="20"/>
                <w:szCs w:val="20"/>
                <w:color w:val="auto"/>
              </w:rPr>
            </w:pPr>
            <w:r>
              <w:rPr>
                <w:rFonts w:ascii="Arial" w:cs="Arial" w:eastAsia="Arial" w:hAnsi="Arial"/>
                <w:sz w:val="18"/>
                <w:szCs w:val="18"/>
                <w:color w:val="auto"/>
                <w:w w:val="79"/>
              </w:rPr>
              <w:t>$</w:t>
            </w:r>
          </w:p>
        </w:tc>
        <w:tc>
          <w:tcPr>
            <w:tcW w:w="7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1,010</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8,338</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Amortization expense was $118 and $118 for the three months ended June 30, 2022 and 2021, respectively, and $236 and $236 for the six months ended June 30, 2022 and 2021, respectively.</w:t>
      </w:r>
    </w:p>
    <w:p>
      <w:pPr>
        <w:spacing w:after="0" w:line="1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intangible assets that have finite lives, including trade names and distribution networks, are amortized over their useful lives. As of June 30, 2022, the estimated amortization of other intangible assets with finite lives for the next five years and thereafter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3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2022 (six months remaining)</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2023</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2025</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Thereafter</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intangible assets with finite lives</w:t>
            </w:r>
          </w:p>
        </w:tc>
        <w:tc>
          <w:tcPr>
            <w:tcW w:w="4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w:t>
            </w:r>
          </w:p>
        </w:tc>
        <w:tc>
          <w:tcPr>
            <w:tcW w:w="8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r>
      <w:tr>
        <w:trPr>
          <w:trHeight w:val="37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Borders>
              <w:top w:val="single" w:sz="8" w:color="CCEEFF"/>
            </w:tcBorders>
          </w:tcPr>
          <w:p>
            <w:pPr>
              <w:spacing w:after="0"/>
              <w:rPr>
                <w:sz w:val="24"/>
                <w:szCs w:val="24"/>
                <w:color w:val="auto"/>
              </w:rPr>
            </w:pPr>
          </w:p>
        </w:tc>
        <w:tc>
          <w:tcPr>
            <w:tcW w:w="3840" w:type="dxa"/>
            <w:vAlign w:val="bottom"/>
            <w:tcBorders>
              <w:top w:val="single" w:sz="8" w:color="CCEEFF"/>
            </w:tcBorders>
          </w:tcPr>
          <w:p>
            <w:pPr>
              <w:jc w:val="right"/>
              <w:ind w:right="305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11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3860" w:type="dxa"/>
            <w:vAlign w:val="bottom"/>
            <w:tcBorders>
              <w:bottom w:val="single" w:sz="8" w:color="EEEEEE"/>
            </w:tcBorders>
          </w:tcPr>
          <w:p>
            <w:pPr>
              <w:spacing w:after="0"/>
              <w:rPr>
                <w:sz w:val="17"/>
                <w:szCs w:val="17"/>
                <w:color w:val="auto"/>
              </w:rPr>
            </w:pPr>
          </w:p>
        </w:tc>
        <w:tc>
          <w:tcPr>
            <w:tcW w:w="38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Intercompany Reinsurance Pooling Arrangement</w:t>
      </w:r>
    </w:p>
    <w:p>
      <w:pPr>
        <w:spacing w:after="0" w:line="21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Effective January 1, 2020, all of our insurance subsidiary and affiliate companies entered into an intercompany reinsurance pooling agreement. This agreement was finalized, approved, and implemented during the fourth quarter of 2020, retroactive to the January 1 effective date.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pooling agreement, the quota share agreement between Battle Creek and Nodak Insurance was cancelled. As a result, the Company’s consolidated financial position and results of operations are impacted by the portion of Battle Creek’s underwriting results that are allocated to the policyholders of Battle Creek rather than the shareholders of NI Holdings. For the six months ended June 30, 2022, and the year ended December 31, 2021, the pooling share percentages by insurance company were:</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Pool Percentage</w:t>
            </w:r>
          </w:p>
        </w:tc>
      </w:tr>
      <w:tr>
        <w:trPr>
          <w:trHeight w:val="209"/>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Nodak Insurance Company</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American West Insurance Company</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Primero Insurance Company</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Battle Creek Mutual Insurance Company</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Auto Insurance Company</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Westminster American Insurance Company</w:t>
            </w:r>
          </w:p>
        </w:tc>
        <w:tc>
          <w:tcPr>
            <w:tcW w:w="10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20"/>
        </w:trPr>
        <w:tc>
          <w:tcPr>
            <w:tcW w:w="8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8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Dakota Farm Bureau</w:t>
      </w:r>
    </w:p>
    <w:p>
      <w:pPr>
        <w:spacing w:after="0" w:line="19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were organized by the North Dakota Farm Bureau (“NDFB”) to provide insurance protection for its members. We have a royalty agreement with the NDFB that recognizes the use of their trademark and provides royalties to the NDFB based on the premiums written on Nodak Insurance’s policies. Royalties paid to the NDFB were $405 and $395 during the three months ended June 30, 2022 and 2021, respectively, and $744 and $732 for the six months ended June 30, 2022 and 2021, respectively. Royalty amounts payable of $151 and $144 were accrued as a liability to the NDFB at June 30, 2022, and December 31, 2021,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1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2021, exceeded the amount of statutory capital and surplus necessary to satisfy regulatory requirements, including the RBC requirements, by a significant margin.</w:t>
      </w:r>
    </w:p>
    <w:p>
      <w:pPr>
        <w:spacing w:after="0" w:line="1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amount available for payment of dividends from Nodak Insurance to NI Holdings during 2022 without the prior approval of the North Dakota Insurance Department is $21,493 based upon the surplus of Nodak Insurance at December 31, 2021. 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by Nodak Insurance during the six months ended June 30, 2022, or the year ended December 31, 2021.</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Direct Auto was re-domesticated from Illinois to North Dakota during 2021, and is now subject to the same dividend restrictions as Nodak Insurance. The amount available for payment of dividends from Direct Auto to NI Holdings during 2022 without the prior approval of the North Dakota Insurance Department is $3,796 based upon the surplus of Direct Auto at December 31, 2021. No dividends were declared or paid by Direct Auto during the six months ended June 30, 2022, or the year ended December 31, 2021.</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Westminster was re-domesticated from Maryland to North Dakota during 2021, and is now subject to the same dividend restrictions as Nodak Insurance. The amount available for payment of dividends from Westminster to NI Holdings during 2022 without the prior approval of the North Dakota Insurance Department is $2,471 based upon the surplus of Westminster at December 31, 2021. No dividends were declared or paid by Westminster during the six months ended June 30, 2022, or the year ended December 31,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Battle Creek Mutual Insurance Company</w:t>
      </w:r>
    </w:p>
    <w:p>
      <w:pPr>
        <w:spacing w:after="0" w:line="21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illustrates the impact of including Battle Creek in our Unaudited Consolidated Balance Sheets and Statements of Operations prior to intercompany eliminations: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60" w:type="dxa"/>
            <w:vAlign w:val="bottom"/>
          </w:tcPr>
          <w:p>
            <w:pPr>
              <w:spacing w:after="0"/>
              <w:rPr>
                <w:sz w:val="20"/>
                <w:szCs w:val="20"/>
                <w:color w:val="auto"/>
              </w:rPr>
            </w:pPr>
          </w:p>
        </w:tc>
        <w:tc>
          <w:tcPr>
            <w:tcW w:w="32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1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28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1,360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4,398</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11,618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10,610</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5,799</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5,038</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2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r>
      <w:tr>
        <w:trPr>
          <w:trHeight w:val="216"/>
        </w:trPr>
        <w:tc>
          <w:tcPr>
            <w:tcW w:w="54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Reinsurance recoverables on losses </w:t>
            </w:r>
            <w:r>
              <w:rPr>
                <w:rFonts w:ascii="Arial" w:cs="Arial" w:eastAsia="Arial" w:hAnsi="Arial"/>
                <w:sz w:val="21"/>
                <w:szCs w:val="21"/>
                <w:color w:val="auto"/>
                <w:vertAlign w:val="superscript"/>
              </w:rPr>
              <w:t>(2)</w:t>
            </w: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3,121</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10,173</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investment income</w:t>
            </w:r>
          </w:p>
        </w:tc>
        <w:tc>
          <w:tcPr>
            <w:tcW w:w="2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r>
      <w:tr>
        <w:trPr>
          <w:trHeight w:val="216"/>
        </w:trPr>
        <w:tc>
          <w:tcPr>
            <w:tcW w:w="54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Pooling receivable </w:t>
            </w:r>
            <w:r>
              <w:rPr>
                <w:rFonts w:ascii="Arial" w:cs="Arial" w:eastAsia="Arial" w:hAnsi="Arial"/>
                <w:sz w:val="21"/>
                <w:szCs w:val="21"/>
                <w:color w:val="auto"/>
                <w:vertAlign w:val="superscript"/>
              </w:rPr>
              <w:t>(1)</w:t>
            </w:r>
          </w:p>
        </w:tc>
        <w:tc>
          <w:tcPr>
            <w:tcW w:w="2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0"/>
        </w:trPr>
        <w:tc>
          <w:tcPr>
            <w:tcW w:w="54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4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28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30,479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31,288</w:t>
            </w:r>
          </w:p>
        </w:tc>
      </w:tr>
      <w:tr>
        <w:trPr>
          <w:trHeight w:val="20"/>
        </w:trPr>
        <w:tc>
          <w:tcPr>
            <w:tcW w:w="5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Liabilities:</w:t>
            </w: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32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3,458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2,544</w:t>
            </w:r>
          </w:p>
        </w:tc>
      </w:tr>
      <w:tr>
        <w:trPr>
          <w:trHeight w:val="216"/>
        </w:trPr>
        <w:tc>
          <w:tcPr>
            <w:tcW w:w="54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1"/>
                <w:szCs w:val="21"/>
                <w:color w:val="auto"/>
                <w:vertAlign w:val="superscript"/>
              </w:rPr>
              <w:t>(1)</w:t>
            </w:r>
          </w:p>
        </w:tc>
        <w:tc>
          <w:tcPr>
            <w:tcW w:w="2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54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Pooling payable </w:t>
            </w:r>
            <w:r>
              <w:rPr>
                <w:rFonts w:ascii="Arial" w:cs="Arial" w:eastAsia="Arial" w:hAnsi="Arial"/>
                <w:sz w:val="21"/>
                <w:szCs w:val="21"/>
                <w:color w:val="auto"/>
                <w:vertAlign w:val="superscript"/>
              </w:rPr>
              <w:t>(1)</w:t>
            </w: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5,580</w:t>
            </w:r>
          </w:p>
        </w:tc>
      </w:tr>
      <w:tr>
        <w:trPr>
          <w:trHeight w:val="216"/>
        </w:trPr>
        <w:tc>
          <w:tcPr>
            <w:tcW w:w="54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Reinsurance losses payable </w:t>
            </w:r>
            <w:r>
              <w:rPr>
                <w:rFonts w:ascii="Arial" w:cs="Arial" w:eastAsia="Arial" w:hAnsi="Arial"/>
                <w:sz w:val="21"/>
                <w:szCs w:val="21"/>
                <w:color w:val="auto"/>
                <w:vertAlign w:val="superscript"/>
              </w:rPr>
              <w:t>(2)</w:t>
            </w:r>
          </w:p>
        </w:tc>
        <w:tc>
          <w:tcPr>
            <w:tcW w:w="2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10,718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12,754</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6,790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20"/>
        </w:trPr>
        <w:tc>
          <w:tcPr>
            <w:tcW w:w="5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27,907</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27,079</w:t>
            </w:r>
          </w:p>
        </w:tc>
      </w:tr>
      <w:tr>
        <w:trPr>
          <w:trHeight w:val="210"/>
        </w:trPr>
        <w:tc>
          <w:tcPr>
            <w:tcW w:w="54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2,572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4,209</w:t>
            </w:r>
          </w:p>
        </w:tc>
      </w:tr>
      <w:tr>
        <w:trPr>
          <w:trHeight w:val="20"/>
        </w:trPr>
        <w:tc>
          <w:tcPr>
            <w:tcW w:w="5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4,209</w:t>
            </w:r>
          </w:p>
        </w:tc>
      </w:tr>
      <w:tr>
        <w:trPr>
          <w:trHeight w:val="209"/>
        </w:trPr>
        <w:tc>
          <w:tcPr>
            <w:tcW w:w="54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equity</w:t>
            </w:r>
          </w:p>
        </w:tc>
        <w:tc>
          <w:tcPr>
            <w:tcW w:w="32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30,479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31,288</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100" w:hanging="512"/>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fully eliminated in consolidation.</w:t>
      </w:r>
    </w:p>
    <w:p>
      <w:pPr>
        <w:spacing w:after="0" w:line="23" w:lineRule="exact"/>
        <w:rPr>
          <w:rFonts w:ascii="Arial" w:cs="Arial" w:eastAsia="Arial" w:hAnsi="Arial"/>
          <w:sz w:val="18"/>
          <w:szCs w:val="18"/>
          <w:color w:val="auto"/>
        </w:rPr>
      </w:pPr>
    </w:p>
    <w:p>
      <w:pPr>
        <w:ind w:left="1100" w:hanging="512"/>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partially eliminated in consolidation.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9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3420" w:type="dxa"/>
            <w:vAlign w:val="bottom"/>
            <w:gridSpan w:val="2"/>
          </w:tcPr>
          <w:p>
            <w:pPr>
              <w:jc w:val="center"/>
              <w:ind w:left="1850"/>
              <w:spacing w:after="0"/>
              <w:rPr>
                <w:sz w:val="20"/>
                <w:szCs w:val="20"/>
                <w:color w:val="auto"/>
              </w:rPr>
            </w:pPr>
            <w:r>
              <w:rPr>
                <w:rFonts w:ascii="Arial" w:cs="Arial" w:eastAsia="Arial" w:hAnsi="Arial"/>
                <w:sz w:val="18"/>
                <w:szCs w:val="18"/>
                <w:b w:val="1"/>
                <w:bCs w:val="1"/>
                <w:color w:val="auto"/>
                <w:w w:val="93"/>
              </w:rPr>
              <w:t>NI Holdings, Inc.</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520" w:type="dxa"/>
            <w:vAlign w:val="bottom"/>
            <w:gridSpan w:val="8"/>
          </w:tcPr>
          <w:p>
            <w:pPr>
              <w:jc w:val="center"/>
              <w:ind w:right="160"/>
              <w:spacing w:after="0"/>
              <w:rPr>
                <w:sz w:val="20"/>
                <w:szCs w:val="20"/>
                <w:color w:val="auto"/>
              </w:rPr>
            </w:pPr>
            <w:r>
              <w:rPr>
                <w:rFonts w:ascii="Arial" w:cs="Arial" w:eastAsia="Arial" w:hAnsi="Arial"/>
                <w:sz w:val="18"/>
                <w:szCs w:val="18"/>
                <w:b w:val="1"/>
                <w:bCs w:val="1"/>
                <w:color w:val="auto"/>
                <w:w w:val="89"/>
              </w:rPr>
              <w:t>Notes to Unaudited Consolidated Financial Statements (Unaudited)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880" w:type="dxa"/>
            <w:vAlign w:val="bottom"/>
            <w:gridSpan w:val="6"/>
          </w:tcPr>
          <w:p>
            <w:pPr>
              <w:jc w:val="center"/>
              <w:ind w:left="39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30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5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4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34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1,690</w:t>
            </w:r>
          </w:p>
        </w:tc>
        <w:tc>
          <w:tcPr>
            <w:tcW w:w="9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1,832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3,082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3,095</w:t>
            </w:r>
          </w:p>
        </w:tc>
      </w:tr>
      <w:tr>
        <w:trPr>
          <w:trHeight w:val="216"/>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Fee and other income (expenses)</w:t>
            </w:r>
          </w:p>
        </w:tc>
        <w:tc>
          <w:tcPr>
            <w:tcW w:w="2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940" w:type="dxa"/>
            <w:vAlign w:val="bottom"/>
            <w:gridSpan w:val="2"/>
          </w:tcPr>
          <w:p>
            <w:pPr>
              <w:ind w:left="180"/>
              <w:spacing w:after="0"/>
              <w:rPr>
                <w:sz w:val="20"/>
                <w:szCs w:val="20"/>
                <w:color w:val="auto"/>
              </w:rPr>
            </w:pPr>
            <w:r>
              <w:rPr>
                <w:rFonts w:ascii="Arial" w:cs="Arial" w:eastAsia="Arial" w:hAnsi="Arial"/>
                <w:sz w:val="18"/>
                <w:szCs w:val="18"/>
                <w:color w:val="auto"/>
              </w:rPr>
              <w:t>Net investment income</w:t>
            </w:r>
          </w:p>
        </w:tc>
        <w:tc>
          <w:tcPr>
            <w:tcW w:w="2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0"/>
        </w:trPr>
        <w:tc>
          <w:tcPr>
            <w:tcW w:w="1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1,715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1,848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3,116</w:t>
            </w:r>
          </w:p>
        </w:tc>
      </w:tr>
      <w:tr>
        <w:trPr>
          <w:trHeight w:val="210"/>
        </w:trPr>
        <w:tc>
          <w:tcPr>
            <w:tcW w:w="1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40" w:type="dxa"/>
            <w:vAlign w:val="bottom"/>
            <w:gridSpan w:val="2"/>
          </w:tcPr>
          <w:p>
            <w:pPr>
              <w:ind w:left="180"/>
              <w:spacing w:after="0"/>
              <w:rPr>
                <w:sz w:val="20"/>
                <w:szCs w:val="20"/>
                <w:color w:val="auto"/>
              </w:rPr>
            </w:pPr>
            <w:r>
              <w:rPr>
                <w:rFonts w:ascii="Arial" w:cs="Arial" w:eastAsia="Arial" w:hAnsi="Arial"/>
                <w:sz w:val="18"/>
                <w:szCs w:val="18"/>
                <w:color w:val="auto"/>
                <w:w w:val="90"/>
              </w:rPr>
              <w:t>Losses and loss adjustment expenses</w:t>
            </w:r>
          </w:p>
        </w:tc>
        <w:tc>
          <w:tcPr>
            <w:tcW w:w="2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2,171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1,531</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2,269</w:t>
            </w:r>
          </w:p>
        </w:tc>
      </w:tr>
      <w:tr>
        <w:trPr>
          <w:trHeight w:val="216"/>
        </w:trPr>
        <w:tc>
          <w:tcPr>
            <w:tcW w:w="63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Amortization of deferred policy acquisition costs</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r>
      <w:tr>
        <w:trPr>
          <w:trHeight w:val="216"/>
        </w:trPr>
        <w:tc>
          <w:tcPr>
            <w:tcW w:w="5520" w:type="dxa"/>
            <w:vAlign w:val="bottom"/>
            <w:gridSpan w:val="3"/>
          </w:tcPr>
          <w:p>
            <w:pPr>
              <w:ind w:left="180"/>
              <w:spacing w:after="0"/>
              <w:rPr>
                <w:sz w:val="20"/>
                <w:szCs w:val="20"/>
                <w:color w:val="auto"/>
              </w:rPr>
            </w:pPr>
            <w:r>
              <w:rPr>
                <w:rFonts w:ascii="Arial" w:cs="Arial" w:eastAsia="Arial" w:hAnsi="Arial"/>
                <w:sz w:val="18"/>
                <w:szCs w:val="18"/>
                <w:color w:val="auto"/>
              </w:rPr>
              <w:t>Other underwriting and general expenses</w:t>
            </w:r>
          </w:p>
        </w:tc>
        <w:tc>
          <w:tcPr>
            <w:tcW w:w="8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0"/>
        </w:trPr>
        <w:tc>
          <w:tcPr>
            <w:tcW w:w="1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2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2,653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1,959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w:t>
            </w:r>
          </w:p>
        </w:tc>
      </w:tr>
      <w:tr>
        <w:trPr>
          <w:trHeight w:val="209"/>
        </w:trPr>
        <w:tc>
          <w:tcPr>
            <w:tcW w:w="1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0"/>
        </w:trPr>
        <w:tc>
          <w:tcPr>
            <w:tcW w:w="1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w:t>
            </w:r>
          </w:p>
        </w:tc>
        <w:tc>
          <w:tcPr>
            <w:tcW w:w="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6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16"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Nodak Insurance sponsors a 401(k) plan with an automatic and matching contribution for eligible employees at Nodak Insurance, Primero, and Direct Auto. Westminster also sponsors a separate 401(k) plan. The Company reported expenses related to the 401(k) plans totaling $242 and $270 during the three months ended June 30, 2022 and 2021, respectively, and $432 and $539 during the six months ended June 30, 2022 and 2021, respectively.</w:t>
      </w:r>
    </w:p>
    <w:p>
      <w:pPr>
        <w:spacing w:after="0" w:line="12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Nodak Insurance also contributes an additional elective amount of employee compensation as a profit-sharing contribution for eligible employees that is invested in a portfolio of investments directed by the Company. The reported expenses related to this profit-sharing contribution were $187 and $175 during the three months ended June 30, 2022 and 2021, respectively, and $335 and $347 during the six months ended June 30, 2022 and 2021,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All fees associated with the plans are deducted from the eligible employee accounts.</w:t>
      </w:r>
    </w:p>
    <w:p>
      <w:pPr>
        <w:spacing w:after="0" w:line="212"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(“ERISA”) over the key executives’ allowable 401(k) contribution. The plan also allows employee-directed deferral of key executive’s compensation or incentive payments. The Company reported expenses related to this plan totaling $23 and $149 during the three months ended June 30, 2022 and 2021, respectively, and $127 and $567 during the six months ended June 30, 2022 and 2021, respectively.</w:t>
      </w:r>
    </w:p>
    <w:p>
      <w:pPr>
        <w:spacing w:after="0" w:line="13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connection with our initial public offering (“IPO”) in March 2017, the Company established an Employee Stock Ownership Plan (the “ESOP”). The ESOP is intended to be an employee stock ownership plan within the meaning of Internal Revenue Code Section 4975(e)(7) and invests solely in common stock of the Company.</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Upon establishment of the plan,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IPO, which resulted in the ESOP Trust owning approximately 1.0% of the Company’s authorized shares. The ESOP has purchased the shares for investment and not for resale.</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Direct Auto, and Westminster do not participate in the ESOP. American West and Battle Creek have no employees.</w:t>
      </w:r>
    </w:p>
    <w:p>
      <w:pPr>
        <w:spacing w:after="0" w:line="1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spacing w:after="0" w:line="17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connection with the establishment of the ESOP, the Company created a contra-equity account on the Consolidated Balance Sheet equal to the ESOP’s basis in the shares. The basis of those shares was set at $10.00 per share as part of the IPO. As shares are released from the ESOP suspense account, the contra-equity account is credited, which reduces the impact of the contra-equity account on the Company’s Consolidated Balance Sheet over time. The Company records compensation expense related to the shares released, equal to the number of shares released from the suspense account multiplied by the average market value of the Company’s stock during the period.</w:t>
      </w:r>
    </w:p>
    <w:p>
      <w:pPr>
        <w:spacing w:after="0" w:line="1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recognized compensation expense of $101 and $117 during the three months ended June 30, 2022 and 2021, respectively, related to the ESOP, and $210 and $226 during the six months ended June 30, 2022 and 2021, respectively.</w:t>
      </w:r>
    </w:p>
    <w:p>
      <w:pPr>
        <w:spacing w:after="0" w:line="15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Through June 30, 2022, and December 31, 2021, the Company had released and allocated 121,575 ESOP shares to participants, with a remainder of 118,425 ESOP shares in suspense at June 30, 2022, and December 31, 2021. Using the Company’s quarter-end market price of $16.43 per share, the fair value of the unearned ESOP shares was $1,946 at June 30, 2022.</w:t>
      </w:r>
    </w:p>
    <w:p>
      <w:pPr>
        <w:spacing w:after="0" w:line="126"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Nodak Insurance has a $5,000 line of credit with Wells Fargo Bank, N.A. The terms of the line of credit include a floating interest rate with a floor rate of 3.25%. There were no outstanding amounts during the six months ended June 30, 2022, or the year ended December 31, 2021. This line of credit is scheduled to expire on May 31, 2023.</w:t>
      </w:r>
    </w:p>
    <w:p>
      <w:pPr>
        <w:spacing w:after="0" w:line="126"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At June 30, 2022, and December 31, 2021, we had no unrecognized tax benefits, no accrued interest and penalties, and no significant uncertain tax positions. No interest and penalties were recognized during the three-month periods ended June 30, 2022 or 2021.</w:t>
      </w:r>
    </w:p>
    <w:p>
      <w:pPr>
        <w:spacing w:after="0" w:line="13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At June 30, 2022, and December 31, 2021, the Company, other than Battle Creek and Westminster, had no income tax related carryforwards for net operating losses, alternative minimum tax credits, or capital losses.</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Battle Creek, which files its income tax returns on a stand-alone basis, had net operating loss carryforwards of $3,215 at December 31, 2021. These net operating loss carryforwards began expiring in 2021 and will continue through 2032 due to limitations on their use.</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Westminster had a $2,122 net operating loss carryforward at December 31, 2021. This net operating loss carryforward expires in 2023 due to limitations on its use.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federal income tax years 2018 through 2020 remain open for examination.</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Primero leases a facility in Spearfish, South Dakota under a non-cancellable operating lease expiring in 2023 and leases a facility in Las Vegas, Nevada on a month-to-month basis. Direct Auto leases a facility in Chicago, Illinois under a non-cancellable operating lease expiring in 2029. Nodak Insurance leases a facility in Fargo, North Dakota under a non-cancellable operating lease expiring in 2024. There were expenses of $69 and $63 related to these leases during the three months ended June 30, 2022 and 2021, respectively, and $137 and $124 related to these leases during the six months ended June 30, 2022 and 2021,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we have minimum future commitments under non-cancellable leases for the next five years and thereafter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Estimated Future</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Minimum</w:t>
            </w:r>
          </w:p>
        </w:tc>
        <w:tc>
          <w:tcPr>
            <w:tcW w:w="1660" w:type="dxa"/>
            <w:vAlign w:val="bottom"/>
          </w:tcPr>
          <w:p>
            <w:pPr>
              <w:spacing w:after="0"/>
              <w:rPr>
                <w:sz w:val="18"/>
                <w:szCs w:val="18"/>
                <w:color w:val="auto"/>
              </w:rPr>
            </w:pPr>
          </w:p>
        </w:tc>
      </w:tr>
      <w:tr>
        <w:trPr>
          <w:trHeight w:val="234"/>
        </w:trPr>
        <w:tc>
          <w:tcPr>
            <w:tcW w:w="16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Commitments</w:t>
            </w:r>
          </w:p>
        </w:tc>
        <w:tc>
          <w:tcPr>
            <w:tcW w:w="1660" w:type="dxa"/>
            <w:vAlign w:val="bottom"/>
          </w:tcPr>
          <w:p>
            <w:pPr>
              <w:spacing w:after="0"/>
              <w:rPr>
                <w:sz w:val="20"/>
                <w:szCs w:val="20"/>
                <w:color w:val="auto"/>
              </w:rPr>
            </w:pPr>
          </w:p>
        </w:tc>
      </w:tr>
      <w:tr>
        <w:trPr>
          <w:trHeight w:val="210"/>
        </w:trPr>
        <w:tc>
          <w:tcPr>
            <w:tcW w:w="168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2022 (six months remaining)</w:t>
            </w:r>
          </w:p>
        </w:tc>
        <w:tc>
          <w:tcPr>
            <w:tcW w:w="19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2023</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2025</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286</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2026</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49"/>
        </w:trPr>
        <w:tc>
          <w:tcPr>
            <w:tcW w:w="1680" w:type="dxa"/>
            <w:vAlign w:val="bottom"/>
          </w:tcPr>
          <w:p>
            <w:pPr>
              <w:spacing w:after="0"/>
              <w:rPr>
                <w:sz w:val="21"/>
                <w:szCs w:val="21"/>
                <w:color w:val="auto"/>
              </w:rPr>
            </w:pPr>
          </w:p>
        </w:tc>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minimum future commitments</w:t>
            </w:r>
          </w:p>
        </w:tc>
        <w:tc>
          <w:tcPr>
            <w:tcW w:w="25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2,222</w:t>
            </w:r>
          </w:p>
        </w:tc>
        <w:tc>
          <w:tcPr>
            <w:tcW w:w="1660" w:type="dxa"/>
            <w:vAlign w:val="bottom"/>
          </w:tcPr>
          <w:p>
            <w:pPr>
              <w:spacing w:after="0"/>
              <w:rPr>
                <w:sz w:val="21"/>
                <w:szCs w:val="21"/>
                <w:color w:val="auto"/>
              </w:rPr>
            </w:pPr>
          </w:p>
        </w:tc>
      </w:tr>
      <w:tr>
        <w:trPr>
          <w:trHeight w:val="386"/>
        </w:trPr>
        <w:tc>
          <w:tcPr>
            <w:tcW w:w="1680" w:type="dxa"/>
            <w:vAlign w:val="bottom"/>
          </w:tcPr>
          <w:p>
            <w:pPr>
              <w:spacing w:after="0"/>
              <w:rPr>
                <w:sz w:val="24"/>
                <w:szCs w:val="24"/>
                <w:color w:val="auto"/>
              </w:rPr>
            </w:pPr>
          </w:p>
        </w:tc>
        <w:tc>
          <w:tcPr>
            <w:tcW w:w="342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jc w:val="right"/>
              <w:ind w:right="1250"/>
              <w:spacing w:after="0"/>
              <w:rPr>
                <w:sz w:val="20"/>
                <w:szCs w:val="20"/>
                <w:color w:val="auto"/>
              </w:rPr>
            </w:pPr>
            <w:r>
              <w:rPr>
                <w:rFonts w:ascii="Arial" w:cs="Arial" w:eastAsia="Arial" w:hAnsi="Arial"/>
                <w:sz w:val="18"/>
                <w:szCs w:val="18"/>
                <w:color w:val="auto"/>
              </w:rPr>
              <w:t>26</w:t>
            </w:r>
          </w:p>
        </w:tc>
        <w:tc>
          <w:tcPr>
            <w:tcW w:w="3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60" w:type="dxa"/>
            <w:vAlign w:val="bottom"/>
          </w:tcPr>
          <w:p>
            <w:pPr>
              <w:spacing w:after="0"/>
              <w:rPr>
                <w:sz w:val="24"/>
                <w:szCs w:val="24"/>
                <w:color w:val="auto"/>
              </w:rPr>
            </w:pPr>
          </w:p>
        </w:tc>
      </w:tr>
      <w:tr>
        <w:trPr>
          <w:trHeight w:val="203"/>
        </w:trPr>
        <w:tc>
          <w:tcPr>
            <w:tcW w:w="1680" w:type="dxa"/>
            <w:vAlign w:val="bottom"/>
            <w:tcBorders>
              <w:bottom w:val="single" w:sz="8" w:color="EEEEEE"/>
            </w:tcBorders>
          </w:tcPr>
          <w:p>
            <w:pPr>
              <w:spacing w:after="0"/>
              <w:rPr>
                <w:sz w:val="17"/>
                <w:szCs w:val="17"/>
                <w:color w:val="auto"/>
              </w:rPr>
            </w:pPr>
          </w:p>
        </w:tc>
        <w:tc>
          <w:tcPr>
            <w:tcW w:w="3420" w:type="dxa"/>
            <w:vAlign w:val="bottom"/>
            <w:tcBorders>
              <w:bottom w:val="single" w:sz="8" w:color="EEEEEE"/>
            </w:tcBorders>
          </w:tcPr>
          <w:p>
            <w:pPr>
              <w:spacing w:after="0"/>
              <w:rPr>
                <w:sz w:val="17"/>
                <w:szCs w:val="17"/>
                <w:color w:val="auto"/>
              </w:rPr>
            </w:pPr>
          </w:p>
        </w:tc>
        <w:tc>
          <w:tcPr>
            <w:tcW w:w="196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8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66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ectPr>
          <w:pgSz w:w="11900" w:h="16838" w:orient="portrait"/>
          <w:cols w:equalWidth="0" w:num="1">
            <w:col w:w="11240"/>
          </w:cols>
          <w:pgMar w:left="320" w:top="125" w:right="339" w:bottom="1020" w:gutter="0" w:footer="0" w:header="0"/>
        </w:sectPr>
      </w:pPr>
    </w:p>
    <w:p>
      <w:pPr>
        <w:spacing w:after="0" w:line="11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number of common stock shares outstanding are as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right="2720"/>
        <w:spacing w:after="0" w:line="328" w:lineRule="auto"/>
        <w:rPr>
          <w:sz w:val="20"/>
          <w:szCs w:val="20"/>
          <w:color w:val="auto"/>
        </w:rPr>
      </w:pPr>
      <w:r>
        <w:rPr>
          <w:rFonts w:ascii="Arial" w:cs="Arial" w:eastAsia="Arial" w:hAnsi="Arial"/>
          <w:sz w:val="15"/>
          <w:szCs w:val="15"/>
          <w:color w:val="auto"/>
        </w:rPr>
        <w:t>Treasury shares repurchased through stock repurchase authorization Issuance of treasury shares for 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Shares outstanding,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17145</wp:posOffset>
            </wp:positionV>
            <wp:extent cx="19888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 w:lineRule="exact"/>
        <w:rPr>
          <w:sz w:val="20"/>
          <w:szCs w:val="20"/>
          <w:color w:val="auto"/>
        </w:rPr>
      </w:pPr>
    </w:p>
    <w:p>
      <w:pPr>
        <w:ind w:left="40"/>
        <w:spacing w:after="0"/>
        <w:tabs>
          <w:tab w:leader="none" w:pos="168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14605</wp:posOffset>
            </wp:positionV>
            <wp:extent cx="19888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3" w:lineRule="exact"/>
        <w:rPr>
          <w:sz w:val="20"/>
          <w:szCs w:val="20"/>
          <w:color w:val="auto"/>
        </w:rPr>
      </w:pPr>
    </w:p>
    <w:p>
      <w:pPr>
        <w:ind w:left="140"/>
        <w:spacing w:after="0"/>
        <w:tabs>
          <w:tab w:leader="none" w:pos="1780" w:val="left"/>
        </w:tabs>
        <w:rPr>
          <w:sz w:val="20"/>
          <w:szCs w:val="20"/>
          <w:color w:val="auto"/>
        </w:rPr>
      </w:pPr>
      <w:r>
        <w:rPr>
          <w:rFonts w:ascii="Arial" w:cs="Arial" w:eastAsia="Arial" w:hAnsi="Arial"/>
          <w:sz w:val="17"/>
          <w:szCs w:val="17"/>
          <w:color w:val="auto"/>
        </w:rPr>
        <w:t>21,219,808</w:t>
      </w:r>
      <w:r>
        <w:rPr>
          <w:sz w:val="20"/>
          <w:szCs w:val="20"/>
          <w:color w:val="auto"/>
        </w:rPr>
        <w:tab/>
      </w:r>
      <w:r>
        <w:rPr>
          <w:rFonts w:ascii="Arial" w:cs="Arial" w:eastAsia="Arial" w:hAnsi="Arial"/>
          <w:sz w:val="17"/>
          <w:szCs w:val="17"/>
          <w:color w:val="auto"/>
        </w:rPr>
        <w:t>21,318,638</w:t>
      </w:r>
    </w:p>
    <w:p>
      <w:pPr>
        <w:spacing w:after="0" w:line="34" w:lineRule="exact"/>
        <w:rPr>
          <w:sz w:val="20"/>
          <w:szCs w:val="20"/>
          <w:color w:val="auto"/>
        </w:rPr>
      </w:pPr>
    </w:p>
    <w:p>
      <w:pPr>
        <w:jc w:val="both"/>
        <w:ind w:left="320"/>
        <w:spacing w:after="0"/>
        <w:tabs>
          <w:tab w:leader="none" w:pos="1960" w:val="left"/>
        </w:tabs>
        <w:rPr>
          <w:sz w:val="20"/>
          <w:szCs w:val="20"/>
          <w:color w:val="auto"/>
        </w:rPr>
      </w:pPr>
      <w:r>
        <w:rPr>
          <w:rFonts w:ascii="Arial" w:cs="Arial" w:eastAsia="Arial" w:hAnsi="Arial"/>
          <w:sz w:val="18"/>
          <w:szCs w:val="18"/>
          <w:color w:val="auto"/>
        </w:rPr>
        <w:t>(111,244)</w:t>
      </w:r>
      <w:r>
        <w:rPr>
          <w:sz w:val="20"/>
          <w:szCs w:val="20"/>
          <w:color w:val="auto"/>
        </w:rPr>
        <w:tab/>
      </w:r>
      <w:r>
        <w:rPr>
          <w:rFonts w:ascii="Arial" w:cs="Arial" w:eastAsia="Arial" w:hAnsi="Arial"/>
          <w:sz w:val="18"/>
          <w:szCs w:val="18"/>
          <w:color w:val="auto"/>
        </w:rPr>
        <w:t>(118,531)</w:t>
      </w:r>
    </w:p>
    <w:p>
      <w:pPr>
        <w:spacing w:after="0" w:line="9" w:lineRule="exact"/>
        <w:rPr>
          <w:sz w:val="20"/>
          <w:szCs w:val="20"/>
          <w:color w:val="auto"/>
        </w:rPr>
      </w:pPr>
    </w:p>
    <w:p>
      <w:pPr>
        <w:ind w:left="360"/>
        <w:spacing w:after="0"/>
        <w:tabs>
          <w:tab w:leader="none" w:pos="2000" w:val="left"/>
        </w:tabs>
        <w:rPr>
          <w:sz w:val="20"/>
          <w:szCs w:val="20"/>
          <w:color w:val="auto"/>
        </w:rPr>
      </w:pPr>
      <w:r>
        <w:rPr>
          <w:rFonts w:ascii="Arial" w:cs="Arial" w:eastAsia="Arial" w:hAnsi="Arial"/>
          <w:sz w:val="18"/>
          <w:szCs w:val="18"/>
          <w:color w:val="auto"/>
        </w:rPr>
        <w:t>101,292</w:t>
      </w:r>
      <w:r>
        <w:rPr>
          <w:sz w:val="20"/>
          <w:szCs w:val="20"/>
          <w:color w:val="auto"/>
        </w:rPr>
        <w:tab/>
      </w:r>
      <w:r>
        <w:rPr>
          <w:rFonts w:ascii="Arial" w:cs="Arial" w:eastAsia="Arial" w:hAnsi="Arial"/>
          <w:sz w:val="18"/>
          <w:szCs w:val="18"/>
          <w:color w:val="auto"/>
        </w:rPr>
        <w:t>102,060</w:t>
      </w:r>
    </w:p>
    <w:p>
      <w:pPr>
        <w:spacing w:after="0" w:line="9" w:lineRule="exact"/>
        <w:rPr>
          <w:sz w:val="20"/>
          <w:szCs w:val="20"/>
          <w:color w:val="auto"/>
        </w:rPr>
      </w:pPr>
    </w:p>
    <w:p>
      <w:pPr>
        <w:ind w:left="140"/>
        <w:spacing w:after="0"/>
        <w:tabs>
          <w:tab w:leader="none" w:pos="1780" w:val="left"/>
        </w:tabs>
        <w:rPr>
          <w:sz w:val="20"/>
          <w:szCs w:val="20"/>
          <w:color w:val="auto"/>
        </w:rPr>
      </w:pPr>
      <w:r>
        <w:rPr>
          <w:rFonts w:ascii="Arial" w:cs="Arial" w:eastAsia="Arial" w:hAnsi="Arial"/>
          <w:sz w:val="17"/>
          <w:szCs w:val="17"/>
          <w:color w:val="auto"/>
        </w:rPr>
        <w:t>21,209,856</w:t>
      </w:r>
      <w:r>
        <w:rPr>
          <w:sz w:val="20"/>
          <w:szCs w:val="20"/>
          <w:color w:val="auto"/>
        </w:rPr>
        <w:tab/>
      </w:r>
      <w:r>
        <w:rPr>
          <w:rFonts w:ascii="Arial" w:cs="Arial" w:eastAsia="Arial" w:hAnsi="Arial"/>
          <w:sz w:val="17"/>
          <w:szCs w:val="17"/>
          <w:color w:val="auto"/>
        </w:rPr>
        <w:t>21,302,167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21590</wp:posOffset>
            </wp:positionV>
            <wp:extent cx="19888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88820" cy="2540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7800" w:space="720"/>
            <w:col w:w="2720"/>
          </w:cols>
          <w:pgMar w:left="320" w:top="125" w:right="339" w:bottom="1020" w:gutter="0" w:footer="0" w:header="0"/>
          <w:type w:val="continuous"/>
        </w:sectPr>
      </w:pPr>
    </w:p>
    <w:p>
      <w:pPr>
        <w:spacing w:after="0" w:line="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changes in the number of common shares outstanding excludes certain non-forfeitable stock award shares that are included in the weighted average common shares outstanding used in basic earnings per common share calculations. In addition, the net loss per diluted common share for the three- and six-month periods ended June 30, 2022, excluded the weighted average effects of 176,037 and 207,424 shares of stock awards, respectively, since the impacts of these potential shares of common stock were anti-dilutive.</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4, 2020, our Board of Directors approved an authorization for the repurchase of up to approximately $10,000 of the Company’s outstanding common stock. During the year ended December 31, 2020, we completed the repurchase of 454,443 shares of our common stock for $7,238 under this authorization. During the nine months ended September 30, 2021, we completed the repurchase of 144,110 shares of our common stock for $2,762 to close out this authorization.</w:t>
      </w:r>
    </w:p>
    <w:p>
      <w:pPr>
        <w:spacing w:after="0" w:line="16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August 11, 2021, our Board of Directors approved an authorization for the repurchase of up to approximately $5,000 of the Company’s outstanding common stock. During the year ended December 31, 2021, we completed the repurchase of 81,095 shares of our common stock for $1,554 under this authorization. During the three months ended June 30, 2022, we completed the repurchase of 56,372 shares of our common stock for $935. During the six months ended June 30, 2022, we completed the repurchase of 111,244 shares of our common stock for $1,932.</w:t>
      </w:r>
    </w:p>
    <w:p>
      <w:pPr>
        <w:spacing w:after="0" w:line="15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May 9, 2022, our Board of Directors approved an authorization for the repurchase of up to approximately $10,000 of the Company’s outstanding common stock in addition to the $1,514 remaining from the August 11, 2021, repurchase authorization as of June 30, 2022. No shares were repurchased as part of the May 9, 2022, authorization during the six months ended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cost of this treasury stock is a reduction of shareholders’ equity within our Unaudited Consolidated Balance Sheets.</w:t>
      </w:r>
    </w:p>
    <w:p>
      <w:pPr>
        <w:spacing w:after="0" w:line="16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At its 2020 Annual Shareholders’ Meeting, the NI Holdings, Inc. 2020 Stock and Incentive Plan (the “Plan”) was approved by shareholders. The purpose of the Plan is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6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5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total aggregate number of shares of common stock that may be issued under the Plan shall not exceed 1,000,000 shares,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Compensation Committee has awarded RSUs to non-employee directors and select executives. RSUs are promises to issue actual shares of common stock at the end of a vesting period. The RSUs granted to executives under the Plan were based on salary and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ectPr>
          <w:pgSz w:w="11900" w:h="16838" w:orient="portrait"/>
          <w:cols w:equalWidth="0" w:num="1">
            <w:col w:w="11240"/>
          </w:cols>
          <w:pgMar w:left="320" w:top="125" w:right="339" w:bottom="1020" w:gutter="0" w:footer="0" w:header="0"/>
          <w:type w:val="continuous"/>
        </w:sectPr>
      </w:pP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020" w:gutter="0" w:footer="0" w:header="0"/>
          <w:type w:val="continuous"/>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recognizes stock-based compensation costs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ectPr>
          <w:pgSz w:w="11900" w:h="16838" w:orient="portrait"/>
          <w:cols w:equalWidth="0" w:num="1">
            <w:col w:w="11240"/>
          </w:cols>
          <w:pgMar w:left="320" w:top="125" w:right="3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outstanding and unearned RSUs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granted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RSUs earned during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granted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earned during 2022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June 30, 2022</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impact of RSU activity to the Company’s financial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Weighted-Average</w:t>
            </w: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Grant-Date</w:t>
            </w: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14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RSUs</w:t>
            </w:r>
          </w:p>
        </w:tc>
        <w:tc>
          <w:tcPr>
            <w:tcW w:w="140" w:type="dxa"/>
            <w:vAlign w:val="bottom"/>
          </w:tcPr>
          <w:p>
            <w:pPr>
              <w:spacing w:after="0"/>
              <w:rPr>
                <w:sz w:val="20"/>
                <w:szCs w:val="20"/>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Per Share</w:t>
            </w:r>
          </w:p>
        </w:tc>
      </w:tr>
      <w:tr>
        <w:trPr>
          <w:trHeight w:val="195"/>
        </w:trPr>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115,780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15.27</w:t>
            </w:r>
          </w:p>
        </w:tc>
        <w:tc>
          <w:tcPr>
            <w:tcW w:w="20" w:type="dxa"/>
            <w:vAlign w:val="bottom"/>
          </w:tcPr>
          <w:p>
            <w:pPr>
              <w:spacing w:after="0"/>
              <w:rPr>
                <w:sz w:val="16"/>
                <w:szCs w:val="16"/>
                <w:color w:val="auto"/>
              </w:rPr>
            </w:pPr>
          </w:p>
        </w:tc>
      </w:tr>
      <w:tr>
        <w:trPr>
          <w:trHeight w:val="216"/>
        </w:trPr>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58,700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18.76</w:t>
            </w:r>
          </w:p>
        </w:tc>
      </w:tr>
      <w:tr>
        <w:trPr>
          <w:trHeight w:val="230"/>
        </w:trPr>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(66,100)</w:t>
            </w:r>
          </w:p>
        </w:tc>
        <w:tc>
          <w:tcPr>
            <w:tcW w:w="1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15.77</w:t>
            </w:r>
          </w:p>
        </w:tc>
      </w:tr>
      <w:tr>
        <w:trPr>
          <w:trHeight w:val="209"/>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108,380</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16.86</w:t>
            </w:r>
          </w:p>
        </w:tc>
      </w:tr>
      <w:tr>
        <w:trPr>
          <w:trHeight w:val="411"/>
        </w:trPr>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59,600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17.61</w:t>
            </w:r>
          </w:p>
        </w:tc>
      </w:tr>
      <w:tr>
        <w:trPr>
          <w:trHeight w:val="230"/>
        </w:trPr>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(52,620)</w:t>
            </w:r>
          </w:p>
        </w:tc>
        <w:tc>
          <w:tcPr>
            <w:tcW w:w="1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17.39</w:t>
            </w:r>
          </w:p>
        </w:tc>
      </w:tr>
      <w:tr>
        <w:trPr>
          <w:trHeight w:val="209"/>
        </w:trPr>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115,360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17.00</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72" w:lineRule="exact"/>
        <w:rPr>
          <w:sz w:val="20"/>
          <w:szCs w:val="20"/>
          <w:color w:val="auto"/>
        </w:rPr>
      </w:pPr>
    </w:p>
    <w:p>
      <w:pPr>
        <w:sectPr>
          <w:pgSz w:w="11900" w:h="16838" w:orient="portrait"/>
          <w:cols w:equalWidth="0" w:num="2">
            <w:col w:w="7180" w:space="720"/>
            <w:col w:w="3340"/>
          </w:cols>
          <w:pgMar w:left="320" w:top="125" w:right="33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36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4"/>
              </w:rPr>
              <w:t>Three Months Ended June</w:t>
            </w:r>
          </w:p>
        </w:tc>
        <w:tc>
          <w:tcPr>
            <w:tcW w:w="80" w:type="dxa"/>
            <w:vAlign w:val="bottom"/>
          </w:tcPr>
          <w:p>
            <w:pPr>
              <w:spacing w:after="0"/>
              <w:rPr>
                <w:sz w:val="18"/>
                <w:szCs w:val="18"/>
                <w:color w:val="auto"/>
              </w:rPr>
            </w:pPr>
          </w:p>
        </w:tc>
        <w:tc>
          <w:tcPr>
            <w:tcW w:w="206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3"/>
              </w:rPr>
              <w:t>Six Months Ended June</w:t>
            </w:r>
          </w:p>
        </w:tc>
      </w:tr>
      <w:tr>
        <w:trPr>
          <w:trHeight w:val="234"/>
        </w:trPr>
        <w:tc>
          <w:tcPr>
            <w:tcW w:w="5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8"/>
                <w:szCs w:val="18"/>
                <w:b w:val="1"/>
                <w:bCs w:val="1"/>
                <w:color w:val="auto"/>
              </w:rPr>
              <w:t>30,</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30,</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5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2021</w:t>
            </w:r>
          </w:p>
        </w:tc>
        <w:tc>
          <w:tcPr>
            <w:tcW w:w="60" w:type="dxa"/>
            <w:vAlign w:val="bottom"/>
          </w:tcPr>
          <w:p>
            <w:pPr>
              <w:spacing w:after="0"/>
              <w:rPr>
                <w:sz w:val="18"/>
                <w:szCs w:val="18"/>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RSU compensation expense</w:t>
            </w:r>
          </w:p>
        </w:tc>
        <w:tc>
          <w:tcPr>
            <w:tcW w:w="15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Income tax benefit</w:t>
            </w: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5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RSU compensation expense, net of income taxes</w:t>
            </w: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174</w:t>
            </w: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2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At June 30, 2022, there was $1,270 of unrecognized compensation cost related to outstanding RSUs. That cost is expected to be recognized over a weighted-average period of 2.05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9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6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recognizes stock-based compensation costs based on the grant date fair value over the performance period of the awards. Estimated forfeitures are included in the determination of compensation costs. The current cost estimate assumes that the cumulative growth targets will be achieved or exceeded.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A summary of the Company’s outstanding PSUs is presented below:</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7"/>
        </w:trPr>
        <w:tc>
          <w:tcPr>
            <w:tcW w:w="7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7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Grant-Date</w:t>
            </w:r>
          </w:p>
        </w:tc>
      </w:tr>
      <w:tr>
        <w:trPr>
          <w:trHeight w:val="216"/>
        </w:trPr>
        <w:tc>
          <w:tcPr>
            <w:tcW w:w="7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Fair Value</w:t>
            </w:r>
          </w:p>
        </w:tc>
      </w:tr>
      <w:tr>
        <w:trPr>
          <w:trHeight w:val="234"/>
        </w:trPr>
        <w:tc>
          <w:tcPr>
            <w:tcW w:w="756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PSUs</w:t>
            </w:r>
          </w:p>
        </w:tc>
        <w:tc>
          <w:tcPr>
            <w:tcW w:w="220" w:type="dxa"/>
            <w:vAlign w:val="bottom"/>
          </w:tcPr>
          <w:p>
            <w:pPr>
              <w:spacing w:after="0"/>
              <w:rPr>
                <w:sz w:val="20"/>
                <w:szCs w:val="20"/>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Units outstanding at January 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174,600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PSUs granted during 2021 (at target)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64,600</w:t>
            </w:r>
          </w:p>
        </w:tc>
        <w:tc>
          <w:tcPr>
            <w:tcW w:w="22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18.64</w:t>
            </w: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PSUs earned during 2021</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(70,363 )</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r>
      <w:tr>
        <w:trPr>
          <w:trHeight w:val="216"/>
        </w:trPr>
        <w:tc>
          <w:tcPr>
            <w:tcW w:w="75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Performance adjustment </w:t>
            </w:r>
            <w:r>
              <w:rPr>
                <w:rFonts w:ascii="Arial" w:cs="Arial" w:eastAsia="Arial" w:hAnsi="Arial"/>
                <w:sz w:val="21"/>
                <w:szCs w:val="21"/>
                <w:color w:val="auto"/>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24,300</w:t>
            </w:r>
          </w:p>
        </w:tc>
        <w:tc>
          <w:tcPr>
            <w:tcW w:w="22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16.25</w:t>
            </w: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(2,537 )</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r>
      <w:tr>
        <w:trPr>
          <w:trHeight w:val="210"/>
        </w:trPr>
        <w:tc>
          <w:tcPr>
            <w:tcW w:w="7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Units outstanding at December 31, 2021</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190,600</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16.06</w:t>
            </w:r>
          </w:p>
        </w:tc>
      </w:tr>
      <w:tr>
        <w:trPr>
          <w:trHeight w:val="209"/>
        </w:trPr>
        <w:tc>
          <w:tcPr>
            <w:tcW w:w="7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180"/>
        <w:spacing w:after="0"/>
        <w:rPr>
          <w:sz w:val="20"/>
          <w:szCs w:val="20"/>
          <w:color w:val="auto"/>
        </w:rPr>
      </w:pPr>
      <w:r>
        <w:rPr>
          <w:rFonts w:ascii="Arial" w:cs="Arial" w:eastAsia="Arial" w:hAnsi="Arial"/>
          <w:sz w:val="16"/>
          <w:szCs w:val="16"/>
          <w:color w:val="auto"/>
        </w:rPr>
        <w:t>PSUs granted during 2022 (at target)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PSUs earned during 2022</w:t>
      </w:r>
    </w:p>
    <w:p>
      <w:pPr>
        <w:ind w:left="180"/>
        <w:spacing w:after="0" w:line="238" w:lineRule="auto"/>
        <w:rPr>
          <w:sz w:val="20"/>
          <w:szCs w:val="20"/>
          <w:color w:val="auto"/>
        </w:rPr>
      </w:pPr>
      <w:r>
        <w:rPr>
          <w:rFonts w:ascii="Arial" w:cs="Arial" w:eastAsia="Arial" w:hAnsi="Arial"/>
          <w:sz w:val="18"/>
          <w:szCs w:val="18"/>
          <w:color w:val="auto"/>
        </w:rPr>
        <w:t xml:space="preserve">Performance adjustment </w:t>
      </w:r>
      <w:r>
        <w:rPr>
          <w:rFonts w:ascii="Arial" w:cs="Arial" w:eastAsia="Arial" w:hAnsi="Arial"/>
          <w:sz w:val="21"/>
          <w:szCs w:val="21"/>
          <w:color w:val="auto"/>
          <w:vertAlign w:val="superscript"/>
        </w:rPr>
        <w:t>(1)</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Forfeitures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at June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61,800</w:t>
            </w:r>
          </w:p>
        </w:tc>
        <w:tc>
          <w:tcPr>
            <w:tcW w:w="100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18.10</w:t>
            </w:r>
          </w:p>
        </w:tc>
      </w:tr>
      <w:tr>
        <w:trPr>
          <w:trHeight w:val="216"/>
        </w:trPr>
        <w:tc>
          <w:tcPr>
            <w:tcW w:w="2240" w:type="dxa"/>
            <w:vAlign w:val="bottom"/>
            <w:gridSpan w:val="2"/>
          </w:tcPr>
          <w:p>
            <w:pPr>
              <w:jc w:val="right"/>
              <w:ind w:right="940"/>
              <w:spacing w:after="0"/>
              <w:rPr>
                <w:sz w:val="20"/>
                <w:szCs w:val="20"/>
                <w:color w:val="auto"/>
              </w:rPr>
            </w:pPr>
            <w:r>
              <w:rPr>
                <w:rFonts w:ascii="Arial" w:cs="Arial" w:eastAsia="Arial" w:hAnsi="Arial"/>
                <w:sz w:val="18"/>
                <w:szCs w:val="18"/>
                <w:color w:val="auto"/>
              </w:rPr>
              <w:t>(86,684)</w:t>
            </w:r>
          </w:p>
        </w:tc>
        <w:tc>
          <w:tcPr>
            <w:tcW w:w="1340" w:type="dxa"/>
            <w:vAlign w:val="bottom"/>
          </w:tcPr>
          <w:p>
            <w:pPr>
              <w:jc w:val="right"/>
              <w:spacing w:after="0"/>
              <w:rPr>
                <w:sz w:val="20"/>
                <w:szCs w:val="20"/>
                <w:color w:val="auto"/>
              </w:rPr>
            </w:pPr>
            <w:r>
              <w:rPr>
                <w:rFonts w:ascii="Arial" w:cs="Arial" w:eastAsia="Arial" w:hAnsi="Arial"/>
                <w:sz w:val="18"/>
                <w:szCs w:val="18"/>
                <w:color w:val="auto"/>
              </w:rPr>
              <w:t>15.21</w:t>
            </w:r>
          </w:p>
        </w:tc>
      </w:tr>
      <w:tr>
        <w:trPr>
          <w:trHeight w:val="216"/>
        </w:trPr>
        <w:tc>
          <w:tcPr>
            <w:tcW w:w="1240" w:type="dxa"/>
            <w:vAlign w:val="bottom"/>
          </w:tcPr>
          <w:p>
            <w:pPr>
              <w:jc w:val="right"/>
              <w:spacing w:after="0"/>
              <w:rPr>
                <w:sz w:val="20"/>
                <w:szCs w:val="20"/>
                <w:color w:val="auto"/>
              </w:rPr>
            </w:pPr>
            <w:r>
              <w:rPr>
                <w:rFonts w:ascii="Arial" w:cs="Arial" w:eastAsia="Arial" w:hAnsi="Arial"/>
                <w:sz w:val="18"/>
                <w:szCs w:val="18"/>
                <w:color w:val="auto"/>
              </w:rPr>
              <w:t>31,200</w:t>
            </w:r>
          </w:p>
        </w:tc>
        <w:tc>
          <w:tcPr>
            <w:tcW w:w="10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15.21</w:t>
            </w:r>
          </w:p>
        </w:tc>
      </w:tr>
      <w:tr>
        <w:trPr>
          <w:trHeight w:val="230"/>
        </w:trPr>
        <w:tc>
          <w:tcPr>
            <w:tcW w:w="2240" w:type="dxa"/>
            <w:vAlign w:val="bottom"/>
            <w:gridSpan w:val="2"/>
          </w:tcPr>
          <w:p>
            <w:pPr>
              <w:jc w:val="right"/>
              <w:ind w:right="940"/>
              <w:spacing w:after="0"/>
              <w:rPr>
                <w:sz w:val="20"/>
                <w:szCs w:val="20"/>
                <w:color w:val="auto"/>
              </w:rPr>
            </w:pPr>
            <w:r>
              <w:rPr>
                <w:rFonts w:ascii="Arial" w:cs="Arial" w:eastAsia="Arial" w:hAnsi="Arial"/>
                <w:sz w:val="18"/>
                <w:szCs w:val="18"/>
                <w:color w:val="auto"/>
              </w:rPr>
              <w:t>(6,916)</w:t>
            </w:r>
          </w:p>
        </w:tc>
        <w:tc>
          <w:tcPr>
            <w:tcW w:w="1340" w:type="dxa"/>
            <w:vAlign w:val="bottom"/>
          </w:tcPr>
          <w:p>
            <w:pPr>
              <w:jc w:val="right"/>
              <w:spacing w:after="0"/>
              <w:rPr>
                <w:sz w:val="20"/>
                <w:szCs w:val="20"/>
                <w:color w:val="auto"/>
              </w:rPr>
            </w:pPr>
            <w:r>
              <w:rPr>
                <w:rFonts w:ascii="Arial" w:cs="Arial" w:eastAsia="Arial" w:hAnsi="Arial"/>
                <w:sz w:val="18"/>
                <w:szCs w:val="18"/>
                <w:color w:val="auto"/>
              </w:rPr>
              <w:t>15.21</w:t>
            </w:r>
          </w:p>
        </w:tc>
      </w:tr>
      <w:tr>
        <w:trPr>
          <w:trHeight w:val="209"/>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190,000</w:t>
            </w:r>
          </w:p>
        </w:tc>
        <w:tc>
          <w:tcPr>
            <w:tcW w:w="10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-582295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-307975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6840" w:space="720"/>
            <w:col w:w="3680"/>
          </w:cols>
          <w:pgMar w:left="320" w:top="125" w:right="339" w:bottom="1440" w:gutter="0" w:footer="0" w:header="0"/>
          <w:type w:val="continuous"/>
        </w:sectPr>
      </w:pPr>
    </w:p>
    <w:p>
      <w:pPr>
        <w:ind w:right="2720" w:firstLine="8"/>
        <w:spacing w:after="0" w:line="467" w:lineRule="auto"/>
        <w:tabs>
          <w:tab w:leader="none" w:pos="173" w:val="left"/>
        </w:tabs>
        <w:numPr>
          <w:ilvl w:val="0"/>
          <w:numId w:val="20"/>
        </w:numPr>
        <w:rPr>
          <w:rFonts w:ascii="Arial" w:cs="Arial" w:eastAsia="Arial" w:hAnsi="Arial"/>
          <w:sz w:val="11"/>
          <w:szCs w:val="11"/>
          <w:color w:val="auto"/>
        </w:rPr>
      </w:pPr>
      <w:r>
        <w:rPr>
          <w:rFonts w:ascii="Arial" w:cs="Arial" w:eastAsia="Arial" w:hAnsi="Arial"/>
          <w:sz w:val="18"/>
          <w:szCs w:val="18"/>
          <w:color w:val="auto"/>
        </w:rPr>
        <w:t>Represents the change in PSUs issued based upon the attainment of performance goals established by the Company. The following table shows the impact of PSU activity to the Company’s financial results:</w:t>
      </w: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3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4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PSU compensation expense</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Income tax benefit</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96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4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PSU compensation expense, net of income taxes</w:t>
            </w:r>
          </w:p>
        </w:tc>
        <w:tc>
          <w:tcPr>
            <w:tcW w:w="1820" w:type="dxa"/>
            <w:vAlign w:val="bottom"/>
            <w:gridSpan w:val="2"/>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PSU grants above represent initial target awards and do not reflect potential increases or decreases resulting from financial performance objectives to be determined at the end of the performance period. At the end of the performance period, the Company will reflect a performance adjustment, which may be either an increase or decrease from the initial target awards. The actual number of shares to be issued at the end of the performance period will range from 0% to 150% of the initial target awards.</w:t>
      </w:r>
    </w:p>
    <w:p>
      <w:pPr>
        <w:spacing w:after="0" w:line="1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At June 30, 2022, there was $1,656 of unrecognized compensation cost related to outstanding PSUs. That cost is expected to be recognized over a weighted-average period of 2.10 years.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1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five primary reportable operating segments, which consist of private passenger auto insurance, non-standard auto insurance, home and farm insurance, crop insurance, and commercial insurance. A sixth segment captures all other insurance coverages we sell, including our assumed reinsurance lines of business. We operate only in the United States, and no single customer or agent provides 10 percent or more of our revenues. The following tables provide available information of these segments for the three- and six- month periods ended June 30, 2022 and 2021.</w:t>
      </w:r>
    </w:p>
    <w:p>
      <w:pPr>
        <w:spacing w:after="0" w:line="15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tables below. The remaining fee and other income amounts are not allocated to any segment.</w:t>
      </w:r>
    </w:p>
    <w:p>
      <w:pPr>
        <w:spacing w:after="0" w:line="15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do not assign or allocate all line items in our Unaudited Consolidated Statement of Operations or Unaudited Consolidated Balance Sheet to our operating segments. Those line items include investment income, net investment gains (losses), other income excluding non-standard auto insurance fees, and income taxes within the Unaudited Consolidated Statement of Operations. For the Unaudited Consolidated Balance Sheet, those items include cash and investments, property and equipment, other assets, accrued expenses, income taxes recoverable or payable, and shareholders’ equity.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7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3"/>
              </w:rPr>
              <w:t>NI Holdings, Inc.</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60" w:type="dxa"/>
            <w:vAlign w:val="bottom"/>
            <w:gridSpan w:val="14"/>
          </w:tcPr>
          <w:p>
            <w:pPr>
              <w:jc w:val="center"/>
              <w:ind w:left="110"/>
              <w:spacing w:after="0"/>
              <w:rPr>
                <w:sz w:val="20"/>
                <w:szCs w:val="20"/>
                <w:color w:val="auto"/>
              </w:rPr>
            </w:pPr>
            <w:r>
              <w:rPr>
                <w:rFonts w:ascii="Arial" w:cs="Arial" w:eastAsia="Arial" w:hAnsi="Arial"/>
                <w:sz w:val="18"/>
                <w:szCs w:val="18"/>
                <w:b w:val="1"/>
                <w:bCs w:val="1"/>
                <w:color w:val="auto"/>
                <w:w w:val="89"/>
              </w:rPr>
              <w:t>Notes to Unaudited Consolidated Financial Statements (Unaudited)</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60" w:type="dxa"/>
            <w:vAlign w:val="bottom"/>
            <w:gridSpan w:val="14"/>
          </w:tcPr>
          <w:p>
            <w:pPr>
              <w:jc w:val="center"/>
              <w:ind w:left="11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8"/>
                <w:szCs w:val="18"/>
                <w:b w:val="1"/>
                <w:bCs w:val="1"/>
                <w:color w:val="auto"/>
                <w:w w:val="96"/>
              </w:rPr>
              <w:t>Three Months Ended June 30, 2022</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Passenger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21,703</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17,709</w:t>
            </w: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18,161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Assumed premiums earned</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491</w:t>
            </w:r>
          </w:p>
        </w:tc>
        <w:tc>
          <w:tcPr>
            <w:tcW w:w="5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(5,905)</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(3,130)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(11,446)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19,265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15,512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19,955</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12,295</w:t>
            </w:r>
          </w:p>
        </w:tc>
        <w:tc>
          <w:tcPr>
            <w:tcW w:w="5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15,031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84,496</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rPr>
              <w:t>Direct losses and loss adjustment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16,866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62,188</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13,237</w:t>
            </w:r>
          </w:p>
        </w:tc>
        <w:tc>
          <w:tcPr>
            <w:tcW w:w="5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13,081</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110,670</w:t>
            </w:r>
          </w:p>
        </w:tc>
        <w:tc>
          <w:tcPr>
            <w:tcW w:w="0" w:type="dxa"/>
            <w:vAlign w:val="bottom"/>
          </w:tcPr>
          <w:p>
            <w:pPr>
              <w:spacing w:after="0"/>
              <w:rPr>
                <w:sz w:val="1"/>
                <w:szCs w:val="1"/>
                <w:color w:val="auto"/>
              </w:rPr>
            </w:pPr>
          </w:p>
        </w:tc>
      </w:tr>
      <w:tr>
        <w:trPr>
          <w:trHeight w:val="202"/>
        </w:trPr>
        <w:tc>
          <w:tcPr>
            <w:tcW w:w="2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Assumed losses and loss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 expenses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5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02"/>
        </w:trPr>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w w:val="98"/>
              </w:rPr>
              <w:t>Ceded losses and loss adjustment</w:t>
            </w:r>
          </w:p>
        </w:tc>
        <w:tc>
          <w:tcPr>
            <w:tcW w:w="12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(3,151)</w:t>
            </w:r>
          </w:p>
        </w:tc>
        <w:tc>
          <w:tcPr>
            <w:tcW w:w="500" w:type="dxa"/>
            <w:vAlign w:val="bottom"/>
          </w:tcPr>
          <w:p>
            <w:pPr>
              <w:spacing w:after="0"/>
              <w:rPr>
                <w:sz w:val="17"/>
                <w:szCs w:val="17"/>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17"/>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20" w:type="dxa"/>
            <w:vAlign w:val="bottom"/>
            <w:gridSpan w:val="2"/>
            <w:shd w:val="clear" w:color="auto" w:fill="CCEEFF"/>
          </w:tcPr>
          <w:p>
            <w:pPr>
              <w:ind w:left="180"/>
              <w:spacing w:after="0" w:line="195" w:lineRule="exact"/>
              <w:rPr>
                <w:sz w:val="20"/>
                <w:szCs w:val="20"/>
                <w:color w:val="auto"/>
              </w:rPr>
            </w:pPr>
            <w:r>
              <w:rPr>
                <w:rFonts w:ascii="Arial" w:cs="Arial" w:eastAsia="Arial" w:hAnsi="Arial"/>
                <w:sz w:val="18"/>
                <w:szCs w:val="18"/>
                <w:color w:val="auto"/>
              </w:rPr>
              <w:t>Net losses and loss adjustment</w:t>
            </w: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16,854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61,831</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10,330</w:t>
            </w:r>
          </w:p>
        </w:tc>
        <w:tc>
          <w:tcPr>
            <w:tcW w:w="5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12,991</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108,595</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1,965</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(24,099)</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Underwriting and general expenses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1,609</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Underwriting gain (loss)</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(47,932)</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(3,536)</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(50,345)</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investment losses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loss attributable to non-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controlling interest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loss attributable to NI</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ind w:left="587"/>
        <w:spacing w:after="0"/>
        <w:rPr>
          <w:sz w:val="20"/>
          <w:szCs w:val="20"/>
          <w:color w:val="auto"/>
        </w:rPr>
      </w:pPr>
      <w:r>
        <w:rPr>
          <w:rFonts w:ascii="Arial" w:cs="Arial" w:eastAsia="Arial" w:hAnsi="Arial"/>
          <w:sz w:val="18"/>
          <w:szCs w:val="18"/>
          <w:color w:val="auto"/>
        </w:rPr>
        <w:t>2,015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(11,136)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(59,051)</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(12,415)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(46,636)</w:t>
      </w:r>
    </w:p>
    <w:p>
      <w:pPr>
        <w:spacing w:after="0" w:line="21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(726)</w:t>
      </w:r>
    </w:p>
    <w:p>
      <w:pPr>
        <w:spacing w:after="0" w:line="198" w:lineRule="exact"/>
        <w:rPr>
          <w:sz w:val="20"/>
          <w:szCs w:val="20"/>
          <w:color w:val="auto"/>
        </w:rPr>
      </w:pPr>
    </w:p>
    <w:p>
      <w:pPr>
        <w:ind w:left="447" w:hanging="447"/>
        <w:spacing w:after="0"/>
        <w:tabs>
          <w:tab w:leader="none" w:pos="447" w:val="left"/>
        </w:tabs>
        <w:numPr>
          <w:ilvl w:val="0"/>
          <w:numId w:val="22"/>
        </w:numPr>
        <w:rPr>
          <w:rFonts w:ascii="Arial" w:cs="Arial" w:eastAsia="Arial" w:hAnsi="Arial"/>
          <w:sz w:val="16"/>
          <w:szCs w:val="16"/>
          <w:color w:val="auto"/>
        </w:rPr>
      </w:pPr>
      <w:r>
        <w:rPr>
          <w:rFonts w:ascii="Arial" w:cs="Arial" w:eastAsia="Arial" w:hAnsi="Arial"/>
          <w:sz w:val="16"/>
          <w:szCs w:val="16"/>
          <w:color w:val="auto"/>
        </w:rPr>
        <w:t>(45,910)</w:t>
      </w:r>
    </w:p>
    <w:p>
      <w:pPr>
        <w:spacing w:after="0" w:line="47" w:lineRule="exact"/>
        <w:rPr>
          <w:sz w:val="20"/>
          <w:szCs w:val="20"/>
          <w:color w:val="auto"/>
        </w:rPr>
      </w:pPr>
    </w:p>
    <w:p>
      <w:pPr>
        <w:sectPr>
          <w:pgSz w:w="11900" w:h="16838" w:orient="portrait"/>
          <w:cols w:equalWidth="0" w:num="2">
            <w:col w:w="9413" w:space="720"/>
            <w:col w:w="1107"/>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Operating Ratios: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Loss and loss adjustment</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 ratio</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87.5%</w:t>
            </w: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309.9%</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86.4%</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100.7%</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44.3%</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3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116.3%</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340.2%</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97.1%</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123.5%</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r>
      <w:tr>
        <w:trPr>
          <w:trHeight w:val="216"/>
        </w:trPr>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Balances at June 30, 2022:</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Premiums and agents’ balances</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21,287</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16,678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10,468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42,905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16,175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108,336</w:t>
            </w: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w w:val="94"/>
              </w:rPr>
              <w:t>Deferred policy acquisition costs</w:t>
            </w: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5,427</w:t>
            </w: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8,201</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7,838</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1,060</w:t>
            </w: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7,929</w:t>
            </w:r>
          </w:p>
        </w:tc>
        <w:tc>
          <w:tcPr>
            <w:tcW w:w="3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462</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30,917</w:t>
            </w:r>
          </w:p>
        </w:tc>
      </w:tr>
      <w:tr>
        <w:trPr>
          <w:trHeight w:val="202"/>
        </w:trPr>
        <w:tc>
          <w:tcPr>
            <w:tcW w:w="2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Reinsurance recoverables on</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losses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2,766</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1,976</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10,960</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748</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17,041</w:t>
            </w: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Goodwill and other intangibles</w:t>
            </w: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2,786</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14,700</w:t>
            </w:r>
          </w:p>
        </w:tc>
        <w:tc>
          <w:tcPr>
            <w:tcW w:w="3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17,486</w:t>
            </w:r>
          </w:p>
        </w:tc>
      </w:tr>
      <w:tr>
        <w:trPr>
          <w:trHeight w:val="202"/>
        </w:trPr>
        <w:tc>
          <w:tcPr>
            <w:tcW w:w="2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Unpaid losses and loss</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expenses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29,105</w:t>
            </w: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38,689</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49,052</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12,755</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43,876</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9,399</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182,876</w:t>
            </w:r>
          </w:p>
        </w:tc>
      </w:tr>
      <w:tr>
        <w:trPr>
          <w:trHeight w:val="216"/>
        </w:trPr>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premiums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31,885</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24,030</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45,942</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26,205</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42,379</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3,284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173,725</w:t>
            </w:r>
          </w:p>
        </w:tc>
      </w:tr>
      <w:tr>
        <w:trPr>
          <w:trHeight w:val="202"/>
        </w:trPr>
        <w:tc>
          <w:tcPr>
            <w:tcW w:w="2640" w:type="dxa"/>
            <w:vAlign w:val="bottom"/>
          </w:tcPr>
          <w:p>
            <w:pPr>
              <w:ind w:left="180"/>
              <w:spacing w:after="0" w:line="201" w:lineRule="exact"/>
              <w:rPr>
                <w:sz w:val="20"/>
                <w:szCs w:val="20"/>
                <w:color w:val="auto"/>
              </w:rPr>
            </w:pPr>
            <w:r>
              <w:rPr>
                <w:rFonts w:ascii="Arial" w:cs="Arial" w:eastAsia="Arial" w:hAnsi="Arial"/>
                <w:sz w:val="18"/>
                <w:szCs w:val="18"/>
                <w:color w:val="auto"/>
              </w:rPr>
              <w:t>Payable to Federal Crop</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40" w:type="dxa"/>
            <w:vAlign w:val="bottom"/>
          </w:tcPr>
          <w:p>
            <w:pPr>
              <w:ind w:left="360"/>
              <w:spacing w:after="0"/>
              <w:rPr>
                <w:sz w:val="20"/>
                <w:szCs w:val="20"/>
                <w:color w:val="auto"/>
              </w:rPr>
            </w:pPr>
            <w:r>
              <w:rPr>
                <w:rFonts w:ascii="Arial" w:cs="Arial" w:eastAsia="Arial" w:hAnsi="Arial"/>
                <w:sz w:val="18"/>
                <w:szCs w:val="18"/>
                <w:color w:val="auto"/>
              </w:rPr>
              <w:t>Insurance Corporation</w:t>
            </w:r>
          </w:p>
        </w:tc>
        <w:tc>
          <w:tcPr>
            <w:tcW w:w="3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7,102</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7,102</w:t>
            </w:r>
          </w:p>
        </w:tc>
      </w:tr>
    </w:tbl>
    <w:p>
      <w:pPr>
        <w:spacing w:after="0" w:line="161"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27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3"/>
              </w:rPr>
              <w:t>NI Holdings, Inc.</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60" w:type="dxa"/>
            <w:vAlign w:val="bottom"/>
            <w:gridSpan w:val="14"/>
          </w:tcPr>
          <w:p>
            <w:pPr>
              <w:jc w:val="center"/>
              <w:ind w:left="110"/>
              <w:spacing w:after="0"/>
              <w:rPr>
                <w:sz w:val="20"/>
                <w:szCs w:val="20"/>
                <w:color w:val="auto"/>
              </w:rPr>
            </w:pPr>
            <w:r>
              <w:rPr>
                <w:rFonts w:ascii="Arial" w:cs="Arial" w:eastAsia="Arial" w:hAnsi="Arial"/>
                <w:sz w:val="18"/>
                <w:szCs w:val="18"/>
                <w:b w:val="1"/>
                <w:bCs w:val="1"/>
                <w:color w:val="auto"/>
                <w:w w:val="89"/>
              </w:rPr>
              <w:t>Notes to Unaudited Consolidated Financial Statements (Unaudited)</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60" w:type="dxa"/>
            <w:vAlign w:val="bottom"/>
            <w:gridSpan w:val="14"/>
          </w:tcPr>
          <w:p>
            <w:pPr>
              <w:jc w:val="center"/>
              <w:ind w:left="11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8"/>
                <w:szCs w:val="18"/>
                <w:b w:val="1"/>
                <w:bCs w:val="1"/>
                <w:color w:val="auto"/>
                <w:w w:val="96"/>
              </w:rPr>
              <w:t>Three Months Ended June 30, 2021</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Passenger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20,808</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14,574</w:t>
            </w: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16,195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Assumed premiums earned</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2,084</w:t>
            </w:r>
          </w:p>
        </w:tc>
        <w:tc>
          <w:tcPr>
            <w:tcW w:w="5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(8,305)</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(2,175)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18,068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14,898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18,373</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8,353</w:t>
            </w:r>
          </w:p>
        </w:tc>
        <w:tc>
          <w:tcPr>
            <w:tcW w:w="5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14,020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76,281</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rPr>
              <w:t>Direct losses and loss adjustment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15,094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11,490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19,436</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21,803</w:t>
            </w:r>
          </w:p>
        </w:tc>
        <w:tc>
          <w:tcPr>
            <w:tcW w:w="5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8,494</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76,599</w:t>
            </w:r>
          </w:p>
        </w:tc>
        <w:tc>
          <w:tcPr>
            <w:tcW w:w="0" w:type="dxa"/>
            <w:vAlign w:val="bottom"/>
          </w:tcPr>
          <w:p>
            <w:pPr>
              <w:spacing w:after="0"/>
              <w:rPr>
                <w:sz w:val="1"/>
                <w:szCs w:val="1"/>
                <w:color w:val="auto"/>
              </w:rPr>
            </w:pPr>
          </w:p>
        </w:tc>
      </w:tr>
      <w:tr>
        <w:trPr>
          <w:trHeight w:val="202"/>
        </w:trPr>
        <w:tc>
          <w:tcPr>
            <w:tcW w:w="2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Assumed losses and loss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 expenses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w:t>
            </w:r>
          </w:p>
        </w:tc>
        <w:tc>
          <w:tcPr>
            <w:tcW w:w="5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02"/>
        </w:trPr>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w w:val="98"/>
              </w:rPr>
              <w:t>Ceded losses and loss adjustment</w:t>
            </w:r>
          </w:p>
        </w:tc>
        <w:tc>
          <w:tcPr>
            <w:tcW w:w="12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(12,994)</w:t>
            </w:r>
          </w:p>
        </w:tc>
        <w:tc>
          <w:tcPr>
            <w:tcW w:w="500" w:type="dxa"/>
            <w:vAlign w:val="bottom"/>
          </w:tcPr>
          <w:p>
            <w:pPr>
              <w:spacing w:after="0"/>
              <w:rPr>
                <w:sz w:val="17"/>
                <w:szCs w:val="17"/>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4"/>
              </w:rPr>
              <w:t>(1,230)</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(15,641)</w:t>
            </w:r>
          </w:p>
        </w:tc>
        <w:tc>
          <w:tcPr>
            <w:tcW w:w="0" w:type="dxa"/>
            <w:vAlign w:val="bottom"/>
          </w:tcPr>
          <w:p>
            <w:pPr>
              <w:spacing w:after="0"/>
              <w:rPr>
                <w:sz w:val="1"/>
                <w:szCs w:val="1"/>
                <w:color w:val="auto"/>
              </w:rPr>
            </w:pPr>
          </w:p>
        </w:tc>
      </w:tr>
      <w:tr>
        <w:trPr>
          <w:trHeight w:val="217"/>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20" w:type="dxa"/>
            <w:vAlign w:val="bottom"/>
            <w:gridSpan w:val="2"/>
            <w:shd w:val="clear" w:color="auto" w:fill="CCEEFF"/>
          </w:tcPr>
          <w:p>
            <w:pPr>
              <w:ind w:left="180"/>
              <w:spacing w:after="0" w:line="195" w:lineRule="exact"/>
              <w:rPr>
                <w:sz w:val="20"/>
                <w:szCs w:val="20"/>
                <w:color w:val="auto"/>
              </w:rPr>
            </w:pPr>
            <w:r>
              <w:rPr>
                <w:rFonts w:ascii="Arial" w:cs="Arial" w:eastAsia="Arial" w:hAnsi="Arial"/>
                <w:sz w:val="18"/>
                <w:szCs w:val="18"/>
                <w:color w:val="auto"/>
              </w:rPr>
              <w:t>Net losses and loss adjustment</w:t>
            </w: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11,490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18,208</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9,332</w:t>
            </w:r>
          </w:p>
        </w:tc>
        <w:tc>
          <w:tcPr>
            <w:tcW w:w="5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7,264</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62,918</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13,363</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Underwriting and general expenses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1,431</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Underwriting gain (loss)</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(4,908)</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(2,410)</w:t>
            </w:r>
          </w:p>
        </w:tc>
        <w:tc>
          <w:tcPr>
            <w:tcW w:w="5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investment gains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loss attributable to non-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controlling interest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loss attributable to NI</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ind w:left="587"/>
        <w:spacing w:after="0"/>
        <w:rPr>
          <w:sz w:val="20"/>
          <w:szCs w:val="20"/>
          <w:color w:val="auto"/>
        </w:rPr>
      </w:pPr>
      <w:r>
        <w:rPr>
          <w:rFonts w:ascii="Arial" w:cs="Arial" w:eastAsia="Arial" w:hAnsi="Arial"/>
          <w:sz w:val="18"/>
          <w:szCs w:val="18"/>
          <w:color w:val="auto"/>
        </w:rPr>
        <w:t>1,710</w:t>
      </w:r>
    </w:p>
    <w:p>
      <w:pPr>
        <w:spacing w:after="0" w:line="9" w:lineRule="exact"/>
        <w:rPr>
          <w:sz w:val="20"/>
          <w:szCs w:val="20"/>
          <w:color w:val="auto"/>
        </w:rPr>
      </w:pPr>
    </w:p>
    <w:p>
      <w:pPr>
        <w:ind w:left="587"/>
        <w:spacing w:after="0"/>
        <w:rPr>
          <w:sz w:val="20"/>
          <w:szCs w:val="20"/>
          <w:color w:val="auto"/>
        </w:rPr>
      </w:pPr>
      <w:r>
        <w:rPr>
          <w:rFonts w:ascii="Arial" w:cs="Arial" w:eastAsia="Arial" w:hAnsi="Arial"/>
          <w:sz w:val="18"/>
          <w:szCs w:val="18"/>
          <w:color w:val="auto"/>
        </w:rPr>
        <w:t>4,701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(3,295)</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(561)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(2,734)</w:t>
      </w:r>
    </w:p>
    <w:p>
      <w:pPr>
        <w:spacing w:after="0" w:line="21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(90)</w:t>
      </w:r>
    </w:p>
    <w:p>
      <w:pPr>
        <w:spacing w:after="0" w:line="198" w:lineRule="exact"/>
        <w:rPr>
          <w:sz w:val="20"/>
          <w:szCs w:val="20"/>
          <w:color w:val="auto"/>
        </w:rPr>
      </w:pPr>
    </w:p>
    <w:p>
      <w:pPr>
        <w:ind w:left="527" w:hanging="527"/>
        <w:spacing w:after="0"/>
        <w:tabs>
          <w:tab w:leader="none" w:pos="527" w:val="left"/>
        </w:tabs>
        <w:numPr>
          <w:ilvl w:val="0"/>
          <w:numId w:val="23"/>
        </w:numPr>
        <w:rPr>
          <w:rFonts w:ascii="Arial" w:cs="Arial" w:eastAsia="Arial" w:hAnsi="Arial"/>
          <w:sz w:val="17"/>
          <w:szCs w:val="17"/>
          <w:color w:val="auto"/>
        </w:rPr>
      </w:pPr>
      <w:r>
        <w:rPr>
          <w:rFonts w:ascii="Arial" w:cs="Arial" w:eastAsia="Arial" w:hAnsi="Arial"/>
          <w:sz w:val="17"/>
          <w:szCs w:val="17"/>
          <w:color w:val="auto"/>
        </w:rPr>
        <w:t>(2,644)</w:t>
      </w:r>
    </w:p>
    <w:p>
      <w:pPr>
        <w:spacing w:after="0" w:line="35" w:lineRule="exact"/>
        <w:rPr>
          <w:sz w:val="20"/>
          <w:szCs w:val="20"/>
          <w:color w:val="auto"/>
        </w:rPr>
      </w:pPr>
    </w:p>
    <w:p>
      <w:pPr>
        <w:sectPr>
          <w:pgSz w:w="11900" w:h="16838" w:orient="portrait"/>
          <w:cols w:equalWidth="0" w:num="2">
            <w:col w:w="9413" w:space="720"/>
            <w:col w:w="1107"/>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Operating Ratios: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Loss and loss adjustment</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 ratio</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82.5%</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77.1%</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111.7%</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51.8%</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43.8%</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40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108.9%</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120.9%</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128.9%</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88.7%</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r>
      <w:tr>
        <w:trPr>
          <w:trHeight w:val="216"/>
        </w:trPr>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Balances at June 30, 2021:</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Premiums and agents’ balances</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20,100</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9,408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9,739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30,438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14,048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84,463</w:t>
            </w: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w w:val="94"/>
              </w:rPr>
              <w:t>Deferred policy acquisition costs</w:t>
            </w: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6,548</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6,368</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9,069</w:t>
            </w: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6,763</w:t>
            </w:r>
          </w:p>
        </w:tc>
        <w:tc>
          <w:tcPr>
            <w:tcW w:w="40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551</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29,657</w:t>
            </w:r>
          </w:p>
        </w:tc>
      </w:tr>
      <w:tr>
        <w:trPr>
          <w:trHeight w:val="202"/>
        </w:trPr>
        <w:tc>
          <w:tcPr>
            <w:tcW w:w="2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Reinsurance recoverables on</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losses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13,918</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5,934</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2,217</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24,574</w:t>
            </w:r>
          </w:p>
        </w:tc>
      </w:tr>
      <w:tr>
        <w:trPr>
          <w:trHeight w:val="202"/>
        </w:trPr>
        <w:tc>
          <w:tcPr>
            <w:tcW w:w="2640" w:type="dxa"/>
            <w:vAlign w:val="bottom"/>
          </w:tcPr>
          <w:p>
            <w:pPr>
              <w:ind w:left="180"/>
              <w:spacing w:after="0" w:line="201" w:lineRule="exact"/>
              <w:rPr>
                <w:sz w:val="20"/>
                <w:szCs w:val="20"/>
                <w:color w:val="auto"/>
              </w:rPr>
            </w:pPr>
            <w:r>
              <w:rPr>
                <w:rFonts w:ascii="Arial" w:cs="Arial" w:eastAsia="Arial" w:hAnsi="Arial"/>
                <w:sz w:val="18"/>
                <w:szCs w:val="18"/>
                <w:color w:val="auto"/>
              </w:rPr>
              <w:t>Receivable from Federal Crop</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40" w:type="dxa"/>
            <w:vAlign w:val="bottom"/>
          </w:tcPr>
          <w:p>
            <w:pPr>
              <w:ind w:left="360"/>
              <w:spacing w:after="0"/>
              <w:rPr>
                <w:sz w:val="20"/>
                <w:szCs w:val="20"/>
                <w:color w:val="auto"/>
              </w:rPr>
            </w:pPr>
            <w:r>
              <w:rPr>
                <w:rFonts w:ascii="Arial" w:cs="Arial" w:eastAsia="Arial" w:hAnsi="Arial"/>
                <w:sz w:val="18"/>
                <w:szCs w:val="18"/>
                <w:color w:val="auto"/>
              </w:rPr>
              <w:t>Insurance Corporation</w:t>
            </w:r>
          </w:p>
        </w:tc>
        <w:tc>
          <w:tcPr>
            <w:tcW w:w="3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17,191</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17,191</w:t>
            </w: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other intangibles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2,835</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15,123</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17,958</w:t>
            </w:r>
          </w:p>
        </w:tc>
      </w:tr>
      <w:tr>
        <w:trPr>
          <w:trHeight w:val="216"/>
        </w:trPr>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Unpaid losses and loss</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expenses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26,161</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43,727</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20,839</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23,638</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26,812</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11,163</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152,340</w:t>
            </w: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3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30,518</w:t>
            </w:r>
          </w:p>
        </w:tc>
        <w:tc>
          <w:tcPr>
            <w:tcW w:w="4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19,968</w:t>
            </w:r>
          </w:p>
        </w:tc>
        <w:tc>
          <w:tcPr>
            <w:tcW w:w="4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43,229</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27,615</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37,047</w:t>
            </w:r>
          </w:p>
        </w:tc>
        <w:tc>
          <w:tcPr>
            <w:tcW w:w="40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3,215</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161,592</w:t>
            </w:r>
          </w:p>
        </w:tc>
      </w:tr>
    </w:tbl>
    <w:p>
      <w:pPr>
        <w:spacing w:after="0" w:line="147"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27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3"/>
              </w:rPr>
              <w:t>NI Holdings, Inc.</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60" w:type="dxa"/>
            <w:vAlign w:val="bottom"/>
            <w:gridSpan w:val="14"/>
          </w:tcPr>
          <w:p>
            <w:pPr>
              <w:jc w:val="center"/>
              <w:ind w:left="110"/>
              <w:spacing w:after="0"/>
              <w:rPr>
                <w:sz w:val="20"/>
                <w:szCs w:val="20"/>
                <w:color w:val="auto"/>
              </w:rPr>
            </w:pPr>
            <w:r>
              <w:rPr>
                <w:rFonts w:ascii="Arial" w:cs="Arial" w:eastAsia="Arial" w:hAnsi="Arial"/>
                <w:sz w:val="18"/>
                <w:szCs w:val="18"/>
                <w:b w:val="1"/>
                <w:bCs w:val="1"/>
                <w:color w:val="auto"/>
                <w:w w:val="89"/>
              </w:rPr>
              <w:t>Notes to Unaudited Consolidated Financial Statements (Unaudited)</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60" w:type="dxa"/>
            <w:vAlign w:val="bottom"/>
            <w:gridSpan w:val="14"/>
          </w:tcPr>
          <w:p>
            <w:pPr>
              <w:jc w:val="center"/>
              <w:ind w:left="11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 2022</w:t>
            </w: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Passenger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42,882</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17,692</w:t>
            </w: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35,391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Assumed premiums earned</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491</w:t>
            </w:r>
          </w:p>
        </w:tc>
        <w:tc>
          <w:tcPr>
            <w:tcW w:w="5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3,552</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(5,901)</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(6,172)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(17,119)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38,007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29,890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39,167</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12,282</w:t>
            </w:r>
          </w:p>
        </w:tc>
        <w:tc>
          <w:tcPr>
            <w:tcW w:w="5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29,219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154,083</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rPr>
              <w:t>Direct losses and loss adjustment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31,392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12,624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69,380</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13,134</w:t>
            </w:r>
          </w:p>
        </w:tc>
        <w:tc>
          <w:tcPr>
            <w:tcW w:w="5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28,144</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156,165</w:t>
            </w:r>
          </w:p>
        </w:tc>
        <w:tc>
          <w:tcPr>
            <w:tcW w:w="0" w:type="dxa"/>
            <w:vAlign w:val="bottom"/>
          </w:tcPr>
          <w:p>
            <w:pPr>
              <w:spacing w:after="0"/>
              <w:rPr>
                <w:sz w:val="1"/>
                <w:szCs w:val="1"/>
                <w:color w:val="auto"/>
              </w:rPr>
            </w:pPr>
          </w:p>
        </w:tc>
      </w:tr>
      <w:tr>
        <w:trPr>
          <w:trHeight w:val="202"/>
        </w:trPr>
        <w:tc>
          <w:tcPr>
            <w:tcW w:w="2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Assumed losses and loss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 expenses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5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02"/>
        </w:trPr>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w w:val="98"/>
              </w:rPr>
              <w:t>Ceded losses and loss adjustment</w:t>
            </w:r>
          </w:p>
        </w:tc>
        <w:tc>
          <w:tcPr>
            <w:tcW w:w="120" w:type="dxa"/>
            <w:vAlign w:val="bottom"/>
          </w:tcPr>
          <w:p>
            <w:pPr>
              <w:spacing w:after="0"/>
              <w:rPr>
                <w:sz w:val="17"/>
                <w:szCs w:val="17"/>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(709)</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(3,214)</w:t>
            </w:r>
          </w:p>
        </w:tc>
        <w:tc>
          <w:tcPr>
            <w:tcW w:w="500" w:type="dxa"/>
            <w:vAlign w:val="bottom"/>
          </w:tcPr>
          <w:p>
            <w:pPr>
              <w:spacing w:after="0"/>
              <w:rPr>
                <w:sz w:val="17"/>
                <w:szCs w:val="17"/>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4"/>
              </w:rPr>
              <w:t>(5,136)</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217"/>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20" w:type="dxa"/>
            <w:vAlign w:val="bottom"/>
            <w:gridSpan w:val="2"/>
            <w:shd w:val="clear" w:color="auto" w:fill="CCEEFF"/>
          </w:tcPr>
          <w:p>
            <w:pPr>
              <w:ind w:left="180"/>
              <w:spacing w:after="0" w:line="195" w:lineRule="exact"/>
              <w:rPr>
                <w:sz w:val="20"/>
                <w:szCs w:val="20"/>
                <w:color w:val="auto"/>
              </w:rPr>
            </w:pPr>
            <w:r>
              <w:rPr>
                <w:rFonts w:ascii="Arial" w:cs="Arial" w:eastAsia="Arial" w:hAnsi="Arial"/>
                <w:sz w:val="18"/>
                <w:szCs w:val="18"/>
                <w:color w:val="auto"/>
              </w:rPr>
              <w:t>Net losses and loss adjustment</w:t>
            </w: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12,624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68,671</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10,164</w:t>
            </w:r>
          </w:p>
        </w:tc>
        <w:tc>
          <w:tcPr>
            <w:tcW w:w="5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23,008</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148,724</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(29,504)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2,118</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5,359</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Underwriting and general expenses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12,029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10,912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49,650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Underwriting gain (loss)</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(41,533)</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1,061</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(4,701)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(44,291)</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investment losses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loss attributable to non-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controlling interest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loss attributable to NI</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ind w:left="587"/>
        <w:spacing w:after="0"/>
        <w:rPr>
          <w:sz w:val="20"/>
          <w:szCs w:val="20"/>
          <w:color w:val="auto"/>
        </w:rPr>
      </w:pPr>
      <w:r>
        <w:rPr>
          <w:rFonts w:ascii="Arial" w:cs="Arial" w:eastAsia="Arial" w:hAnsi="Arial"/>
          <w:sz w:val="18"/>
          <w:szCs w:val="18"/>
          <w:color w:val="auto"/>
        </w:rPr>
        <w:t>3,668</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(16,664)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(56,444)</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(11,847)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(44,597)</w:t>
      </w:r>
    </w:p>
    <w:p>
      <w:pPr>
        <w:spacing w:after="0" w:line="21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(596)</w:t>
      </w:r>
    </w:p>
    <w:p>
      <w:pPr>
        <w:spacing w:after="0" w:line="198" w:lineRule="exact"/>
        <w:rPr>
          <w:sz w:val="20"/>
          <w:szCs w:val="20"/>
          <w:color w:val="auto"/>
        </w:rPr>
      </w:pPr>
    </w:p>
    <w:p>
      <w:pPr>
        <w:ind w:left="447" w:hanging="447"/>
        <w:spacing w:after="0"/>
        <w:tabs>
          <w:tab w:leader="none" w:pos="447" w:val="left"/>
        </w:tabs>
        <w:numPr>
          <w:ilvl w:val="0"/>
          <w:numId w:val="24"/>
        </w:numPr>
        <w:rPr>
          <w:rFonts w:ascii="Arial" w:cs="Arial" w:eastAsia="Arial" w:hAnsi="Arial"/>
          <w:sz w:val="16"/>
          <w:szCs w:val="16"/>
          <w:color w:val="auto"/>
        </w:rPr>
      </w:pPr>
      <w:r>
        <w:rPr>
          <w:rFonts w:ascii="Arial" w:cs="Arial" w:eastAsia="Arial" w:hAnsi="Arial"/>
          <w:sz w:val="16"/>
          <w:szCs w:val="16"/>
          <w:color w:val="auto"/>
        </w:rPr>
        <w:t>(44,001)</w:t>
      </w:r>
    </w:p>
    <w:p>
      <w:pPr>
        <w:spacing w:after="0" w:line="47" w:lineRule="exact"/>
        <w:rPr>
          <w:sz w:val="20"/>
          <w:szCs w:val="20"/>
          <w:color w:val="auto"/>
        </w:rPr>
      </w:pPr>
    </w:p>
    <w:p>
      <w:pPr>
        <w:sectPr>
          <w:pgSz w:w="11900" w:h="16838" w:orient="portrait"/>
          <w:cols w:equalWidth="0" w:num="2">
            <w:col w:w="9413" w:space="720"/>
            <w:col w:w="1107"/>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6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Operating Ratios:</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Loss and loss adjustment</w:t>
            </w:r>
          </w:p>
        </w:tc>
        <w:tc>
          <w:tcPr>
            <w:tcW w:w="1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2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 ratio</w:t>
            </w:r>
          </w:p>
        </w:tc>
        <w:tc>
          <w:tcPr>
            <w:tcW w:w="1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83.1%</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42.2%</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175.3%</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82.8%</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78.7%</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48.8%</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w:t>
            </w:r>
          </w:p>
        </w:tc>
        <w:tc>
          <w:tcPr>
            <w:tcW w:w="20" w:type="dxa"/>
            <w:vAlign w:val="bottom"/>
            <w:shd w:val="clear" w:color="auto" w:fill="CCEEFF"/>
          </w:tcPr>
          <w:p>
            <w:pPr>
              <w:spacing w:after="0"/>
              <w:rPr>
                <w:sz w:val="20"/>
                <w:szCs w:val="20"/>
                <w:color w:val="auto"/>
              </w:rPr>
            </w:pPr>
          </w:p>
        </w:tc>
      </w:tr>
      <w:tr>
        <w:trPr>
          <w:trHeight w:val="216"/>
        </w:trPr>
        <w:tc>
          <w:tcPr>
            <w:tcW w:w="260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29.8%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43.4%</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30.7%</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8.6%</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37.3%</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24.9%</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r>
      <w:tr>
        <w:trPr>
          <w:trHeight w:val="216"/>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1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112.8%</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85.6%</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206.0%</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91.4%</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116.1%</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73.7%</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128.7%</w:t>
            </w:r>
          </w:p>
        </w:tc>
        <w:tc>
          <w:tcPr>
            <w:tcW w:w="20" w:type="dxa"/>
            <w:vAlign w:val="bottom"/>
            <w:shd w:val="clear" w:color="auto" w:fill="CCEEFF"/>
          </w:tcPr>
          <w:p>
            <w:pPr>
              <w:spacing w:after="0"/>
              <w:rPr>
                <w:sz w:val="18"/>
                <w:szCs w:val="18"/>
                <w:color w:val="auto"/>
              </w:rPr>
            </w:pPr>
          </w:p>
        </w:tc>
      </w:tr>
      <w:tr>
        <w:trPr>
          <w:trHeight w:val="392"/>
        </w:trPr>
        <w:tc>
          <w:tcPr>
            <w:tcW w:w="2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jc w:val="right"/>
              <w:ind w:right="830"/>
              <w:spacing w:after="0"/>
              <w:rPr>
                <w:sz w:val="20"/>
                <w:szCs w:val="20"/>
                <w:color w:val="auto"/>
              </w:rPr>
            </w:pPr>
            <w:r>
              <w:rPr>
                <w:rFonts w:ascii="Arial" w:cs="Arial" w:eastAsia="Arial" w:hAnsi="Arial"/>
                <w:sz w:val="18"/>
                <w:szCs w:val="18"/>
                <w:color w:val="auto"/>
              </w:rPr>
              <w:t>33</w:t>
            </w: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600" w:type="dxa"/>
            <w:vAlign w:val="bottom"/>
            <w:tcBorders>
              <w:bottom w:val="single" w:sz="8" w:color="EEEEEE"/>
            </w:tcBorders>
          </w:tcPr>
          <w:p>
            <w:pPr>
              <w:spacing w:after="0"/>
              <w:rPr>
                <w:sz w:val="18"/>
                <w:szCs w:val="18"/>
                <w:color w:val="auto"/>
              </w:rPr>
            </w:pPr>
          </w:p>
        </w:tc>
        <w:tc>
          <w:tcPr>
            <w:tcW w:w="1540" w:type="dxa"/>
            <w:vAlign w:val="bottom"/>
            <w:tcBorders>
              <w:bottom w:val="single" w:sz="8" w:color="EEEEEE"/>
            </w:tcBorders>
          </w:tcPr>
          <w:p>
            <w:pPr>
              <w:spacing w:after="0"/>
              <w:rPr>
                <w:sz w:val="18"/>
                <w:szCs w:val="18"/>
                <w:color w:val="auto"/>
              </w:rPr>
            </w:pPr>
          </w:p>
        </w:tc>
        <w:tc>
          <w:tcPr>
            <w:tcW w:w="1140" w:type="dxa"/>
            <w:vAlign w:val="bottom"/>
            <w:tcBorders>
              <w:bottom w:val="single" w:sz="8" w:color="EEEEEE"/>
            </w:tcBorders>
          </w:tcPr>
          <w:p>
            <w:pPr>
              <w:spacing w:after="0"/>
              <w:rPr>
                <w:sz w:val="18"/>
                <w:szCs w:val="18"/>
                <w:color w:val="auto"/>
              </w:rPr>
            </w:pPr>
          </w:p>
        </w:tc>
        <w:tc>
          <w:tcPr>
            <w:tcW w:w="1360" w:type="dxa"/>
            <w:vAlign w:val="bottom"/>
            <w:tcBorders>
              <w:bottom w:val="single" w:sz="8" w:color="EEEEEE"/>
            </w:tcBorders>
          </w:tcPr>
          <w:p>
            <w:pPr>
              <w:spacing w:after="0"/>
              <w:rPr>
                <w:sz w:val="18"/>
                <w:szCs w:val="18"/>
                <w:color w:val="auto"/>
              </w:rPr>
            </w:pPr>
          </w:p>
        </w:tc>
        <w:tc>
          <w:tcPr>
            <w:tcW w:w="1180" w:type="dxa"/>
            <w:vAlign w:val="bottom"/>
            <w:tcBorders>
              <w:bottom w:val="single" w:sz="8" w:color="EEEEEE"/>
            </w:tcBorders>
          </w:tcPr>
          <w:p>
            <w:pPr>
              <w:spacing w:after="0"/>
              <w:rPr>
                <w:sz w:val="18"/>
                <w:szCs w:val="18"/>
                <w:color w:val="auto"/>
              </w:rPr>
            </w:pPr>
          </w:p>
        </w:tc>
        <w:tc>
          <w:tcPr>
            <w:tcW w:w="126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27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3"/>
              </w:rPr>
              <w:t>NI Holdings, Inc.</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60" w:type="dxa"/>
            <w:vAlign w:val="bottom"/>
            <w:gridSpan w:val="14"/>
          </w:tcPr>
          <w:p>
            <w:pPr>
              <w:jc w:val="center"/>
              <w:ind w:left="110"/>
              <w:spacing w:after="0"/>
              <w:rPr>
                <w:sz w:val="20"/>
                <w:szCs w:val="20"/>
                <w:color w:val="auto"/>
              </w:rPr>
            </w:pPr>
            <w:r>
              <w:rPr>
                <w:rFonts w:ascii="Arial" w:cs="Arial" w:eastAsia="Arial" w:hAnsi="Arial"/>
                <w:sz w:val="18"/>
                <w:szCs w:val="18"/>
                <w:b w:val="1"/>
                <w:bCs w:val="1"/>
                <w:color w:val="auto"/>
                <w:w w:val="89"/>
              </w:rPr>
              <w:t>Notes to Unaudited Consolidated Financial Statements (Unaudited)</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60" w:type="dxa"/>
            <w:vAlign w:val="bottom"/>
            <w:gridSpan w:val="14"/>
          </w:tcPr>
          <w:p>
            <w:pPr>
              <w:jc w:val="center"/>
              <w:ind w:left="11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 2021</w:t>
            </w: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Passenger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41,391</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14,558</w:t>
            </w: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30,917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Assumed premiums earned</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2,084</w:t>
            </w:r>
          </w:p>
        </w:tc>
        <w:tc>
          <w:tcPr>
            <w:tcW w:w="5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(8,242)</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(4,559)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(21,350)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35,566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28,156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35,827</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8,400</w:t>
            </w:r>
          </w:p>
        </w:tc>
        <w:tc>
          <w:tcPr>
            <w:tcW w:w="5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26,358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5,109</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139,416</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rPr>
              <w:t>Direct losses and loss adjustment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27,653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16,290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27,324</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22,375</w:t>
            </w:r>
          </w:p>
        </w:tc>
        <w:tc>
          <w:tcPr>
            <w:tcW w:w="5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19,958</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114,177</w:t>
            </w:r>
          </w:p>
        </w:tc>
        <w:tc>
          <w:tcPr>
            <w:tcW w:w="0" w:type="dxa"/>
            <w:vAlign w:val="bottom"/>
          </w:tcPr>
          <w:p>
            <w:pPr>
              <w:spacing w:after="0"/>
              <w:rPr>
                <w:sz w:val="1"/>
                <w:szCs w:val="1"/>
                <w:color w:val="auto"/>
              </w:rPr>
            </w:pPr>
          </w:p>
        </w:tc>
      </w:tr>
      <w:tr>
        <w:trPr>
          <w:trHeight w:val="202"/>
        </w:trPr>
        <w:tc>
          <w:tcPr>
            <w:tcW w:w="2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Assumed losses and loss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 expenses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w:t>
            </w:r>
          </w:p>
        </w:tc>
        <w:tc>
          <w:tcPr>
            <w:tcW w:w="5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02"/>
        </w:trPr>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w w:val="98"/>
              </w:rPr>
              <w:t>Ceded losses and loss adjustment</w:t>
            </w:r>
          </w:p>
        </w:tc>
        <w:tc>
          <w:tcPr>
            <w:tcW w:w="12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(1,484)</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(13,005)</w:t>
            </w:r>
          </w:p>
        </w:tc>
        <w:tc>
          <w:tcPr>
            <w:tcW w:w="500" w:type="dxa"/>
            <w:vAlign w:val="bottom"/>
          </w:tcPr>
          <w:p>
            <w:pPr>
              <w:spacing w:after="0"/>
              <w:rPr>
                <w:sz w:val="17"/>
                <w:szCs w:val="17"/>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4"/>
              </w:rPr>
              <w:t>(2,295)</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(17,278)</w:t>
            </w:r>
          </w:p>
        </w:tc>
        <w:tc>
          <w:tcPr>
            <w:tcW w:w="0" w:type="dxa"/>
            <w:vAlign w:val="bottom"/>
          </w:tcPr>
          <w:p>
            <w:pPr>
              <w:spacing w:after="0"/>
              <w:rPr>
                <w:sz w:val="1"/>
                <w:szCs w:val="1"/>
                <w:color w:val="auto"/>
              </w:rPr>
            </w:pPr>
          </w:p>
        </w:tc>
      </w:tr>
      <w:tr>
        <w:trPr>
          <w:trHeight w:val="217"/>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20" w:type="dxa"/>
            <w:vAlign w:val="bottom"/>
            <w:gridSpan w:val="2"/>
            <w:shd w:val="clear" w:color="auto" w:fill="CCEEFF"/>
          </w:tcPr>
          <w:p>
            <w:pPr>
              <w:ind w:left="180"/>
              <w:spacing w:after="0" w:line="195" w:lineRule="exact"/>
              <w:rPr>
                <w:sz w:val="20"/>
                <w:szCs w:val="20"/>
                <w:color w:val="auto"/>
              </w:rPr>
            </w:pPr>
            <w:r>
              <w:rPr>
                <w:rFonts w:ascii="Arial" w:cs="Arial" w:eastAsia="Arial" w:hAnsi="Arial"/>
                <w:sz w:val="18"/>
                <w:szCs w:val="18"/>
                <w:color w:val="auto"/>
              </w:rPr>
              <w:t>Net losses and loss adjustment</w:t>
            </w: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16,290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25,840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9,893</w:t>
            </w:r>
          </w:p>
        </w:tc>
        <w:tc>
          <w:tcPr>
            <w:tcW w:w="5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17,663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99,807</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(1,493)</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39,609</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Underwriting and general expenses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1,967</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44,827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Underwriting gain (loss)</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(697)</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(3,460)</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(1,097)</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investment gains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income attributable to non-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controlling interest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attributable to NI</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3,246</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10,512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9,377</w:t>
      </w:r>
    </w:p>
    <w:p>
      <w:pPr>
        <w:spacing w:after="0" w:line="23" w:lineRule="exact"/>
        <w:rPr>
          <w:sz w:val="20"/>
          <w:szCs w:val="20"/>
          <w:color w:val="auto"/>
        </w:rPr>
      </w:pPr>
    </w:p>
    <w:p>
      <w:pPr>
        <w:ind w:left="587"/>
        <w:spacing w:after="0"/>
        <w:rPr>
          <w:sz w:val="20"/>
          <w:szCs w:val="20"/>
          <w:color w:val="auto"/>
        </w:rPr>
      </w:pPr>
      <w:r>
        <w:rPr>
          <w:rFonts w:ascii="Arial" w:cs="Arial" w:eastAsia="Arial" w:hAnsi="Arial"/>
          <w:sz w:val="16"/>
          <w:szCs w:val="16"/>
          <w:color w:val="auto"/>
        </w:rPr>
        <w:t>2,329</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7,048</w:t>
      </w:r>
    </w:p>
    <w:p>
      <w:pPr>
        <w:spacing w:after="0" w:line="21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23</w:t>
      </w:r>
    </w:p>
    <w:p>
      <w:pPr>
        <w:spacing w:after="0" w:line="198" w:lineRule="exact"/>
        <w:rPr>
          <w:sz w:val="20"/>
          <w:szCs w:val="20"/>
          <w:color w:val="auto"/>
        </w:rPr>
      </w:pPr>
    </w:p>
    <w:p>
      <w:pPr>
        <w:ind w:left="587" w:hanging="587"/>
        <w:spacing w:after="0"/>
        <w:tabs>
          <w:tab w:leader="none" w:pos="587" w:val="left"/>
        </w:tabs>
        <w:numPr>
          <w:ilvl w:val="0"/>
          <w:numId w:val="25"/>
        </w:numPr>
        <w:rPr>
          <w:rFonts w:ascii="Arial" w:cs="Arial" w:eastAsia="Arial" w:hAnsi="Arial"/>
          <w:sz w:val="16"/>
          <w:szCs w:val="16"/>
          <w:color w:val="auto"/>
        </w:rPr>
      </w:pPr>
      <w:r>
        <w:rPr>
          <w:rFonts w:ascii="Arial" w:cs="Arial" w:eastAsia="Arial" w:hAnsi="Arial"/>
          <w:sz w:val="16"/>
          <w:szCs w:val="16"/>
          <w:color w:val="auto"/>
        </w:rPr>
        <w:t>7,025</w:t>
      </w:r>
    </w:p>
    <w:p>
      <w:pPr>
        <w:spacing w:after="0" w:line="47" w:lineRule="exact"/>
        <w:rPr>
          <w:sz w:val="20"/>
          <w:szCs w:val="20"/>
          <w:color w:val="auto"/>
        </w:rPr>
      </w:pPr>
    </w:p>
    <w:p>
      <w:pPr>
        <w:sectPr>
          <w:pgSz w:w="11900" w:h="16838" w:orient="portrait"/>
          <w:cols w:equalWidth="0" w:num="2">
            <w:col w:w="9413" w:space="720"/>
            <w:col w:w="1107"/>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6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Operating Ratios:</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Loss and loss adjustment</w:t>
            </w:r>
          </w:p>
        </w:tc>
        <w:tc>
          <w:tcPr>
            <w:tcW w:w="1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2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 ratio</w:t>
            </w:r>
          </w:p>
        </w:tc>
        <w:tc>
          <w:tcPr>
            <w:tcW w:w="1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76.4%</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57.9%</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72.1%</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117.8%</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67.0%</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c>
          <w:tcPr>
            <w:tcW w:w="20" w:type="dxa"/>
            <w:vAlign w:val="bottom"/>
            <w:shd w:val="clear" w:color="auto" w:fill="CCEEFF"/>
          </w:tcPr>
          <w:p>
            <w:pPr>
              <w:spacing w:after="0"/>
              <w:rPr>
                <w:sz w:val="20"/>
                <w:szCs w:val="20"/>
                <w:color w:val="auto"/>
              </w:rPr>
            </w:pPr>
          </w:p>
        </w:tc>
      </w:tr>
      <w:tr>
        <w:trPr>
          <w:trHeight w:val="216"/>
        </w:trPr>
        <w:tc>
          <w:tcPr>
            <w:tcW w:w="260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28.5%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38.9%</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29.8%</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23.4%</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37.2%</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25.8%</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r>
      <w:tr>
        <w:trPr>
          <w:trHeight w:val="216"/>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1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104.8%</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96.7%</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101.9%</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141.2%</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104.2%</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83.8%</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103.7%</w:t>
            </w:r>
          </w:p>
        </w:tc>
        <w:tc>
          <w:tcPr>
            <w:tcW w:w="20" w:type="dxa"/>
            <w:vAlign w:val="bottom"/>
            <w:shd w:val="clear" w:color="auto" w:fill="CCEEFF"/>
          </w:tcPr>
          <w:p>
            <w:pPr>
              <w:spacing w:after="0"/>
              <w:rPr>
                <w:sz w:val="18"/>
                <w:szCs w:val="18"/>
                <w:color w:val="auto"/>
              </w:rPr>
            </w:pPr>
          </w:p>
        </w:tc>
      </w:tr>
      <w:tr>
        <w:trPr>
          <w:trHeight w:val="392"/>
        </w:trPr>
        <w:tc>
          <w:tcPr>
            <w:tcW w:w="2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jc w:val="right"/>
              <w:ind w:right="790"/>
              <w:spacing w:after="0"/>
              <w:rPr>
                <w:sz w:val="20"/>
                <w:szCs w:val="20"/>
                <w:color w:val="auto"/>
              </w:rPr>
            </w:pPr>
            <w:r>
              <w:rPr>
                <w:rFonts w:ascii="Arial" w:cs="Arial" w:eastAsia="Arial" w:hAnsi="Arial"/>
                <w:sz w:val="18"/>
                <w:szCs w:val="18"/>
                <w:color w:val="auto"/>
              </w:rPr>
              <w:t>34</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600" w:type="dxa"/>
            <w:vAlign w:val="bottom"/>
            <w:tcBorders>
              <w:bottom w:val="single" w:sz="8" w:color="EEEEEE"/>
            </w:tcBorders>
          </w:tcPr>
          <w:p>
            <w:pPr>
              <w:spacing w:after="0"/>
              <w:rPr>
                <w:sz w:val="18"/>
                <w:szCs w:val="18"/>
                <w:color w:val="auto"/>
              </w:rPr>
            </w:pPr>
          </w:p>
        </w:tc>
        <w:tc>
          <w:tcPr>
            <w:tcW w:w="1540" w:type="dxa"/>
            <w:vAlign w:val="bottom"/>
            <w:tcBorders>
              <w:bottom w:val="single" w:sz="8" w:color="EEEEEE"/>
            </w:tcBorders>
          </w:tcPr>
          <w:p>
            <w:pPr>
              <w:spacing w:after="0"/>
              <w:rPr>
                <w:sz w:val="18"/>
                <w:szCs w:val="18"/>
                <w:color w:val="auto"/>
              </w:rPr>
            </w:pPr>
          </w:p>
        </w:tc>
        <w:tc>
          <w:tcPr>
            <w:tcW w:w="1140" w:type="dxa"/>
            <w:vAlign w:val="bottom"/>
            <w:tcBorders>
              <w:bottom w:val="single" w:sz="8" w:color="EEEEEE"/>
            </w:tcBorders>
          </w:tcPr>
          <w:p>
            <w:pPr>
              <w:spacing w:after="0"/>
              <w:rPr>
                <w:sz w:val="18"/>
                <w:szCs w:val="18"/>
                <w:color w:val="auto"/>
              </w:rPr>
            </w:pPr>
          </w:p>
        </w:tc>
        <w:tc>
          <w:tcPr>
            <w:tcW w:w="1320" w:type="dxa"/>
            <w:vAlign w:val="bottom"/>
            <w:tcBorders>
              <w:bottom w:val="single" w:sz="8" w:color="EEEEEE"/>
            </w:tcBorders>
          </w:tcPr>
          <w:p>
            <w:pPr>
              <w:spacing w:after="0"/>
              <w:rPr>
                <w:sz w:val="18"/>
                <w:szCs w:val="18"/>
                <w:color w:val="auto"/>
              </w:rPr>
            </w:pPr>
          </w:p>
        </w:tc>
        <w:tc>
          <w:tcPr>
            <w:tcW w:w="1220" w:type="dxa"/>
            <w:vAlign w:val="bottom"/>
            <w:tcBorders>
              <w:bottom w:val="single" w:sz="8" w:color="EEEEEE"/>
            </w:tcBorders>
          </w:tcPr>
          <w:p>
            <w:pPr>
              <w:spacing w:after="0"/>
              <w:rPr>
                <w:sz w:val="18"/>
                <w:szCs w:val="18"/>
                <w:color w:val="auto"/>
              </w:rPr>
            </w:pPr>
          </w:p>
        </w:tc>
        <w:tc>
          <w:tcPr>
            <w:tcW w:w="126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discussion is intended to provide a more comprehensive review of the Company’s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included elsewhere in this Quarterly Report on Form 10-Q. You should also review Part I, Item 1A, “Risk Factors” included in the Company’s 2021 Annual Report for a discussion of important factors, including COVID-19 or a future pandemic, and changing climate conditions, that could cause actual results to differ materially from the results described, or implied by, the forward-looking statements contained 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All dollar amounts included in Item 2 herein are in thousands.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consolidated net loss for the Company was $46,636 for the three months ended June, 2022, compared to net loss of $2,734 for the three months ended June, 2021. The consolidated net loss for NI Holdings was $44,597 for the six months ended June 30, 2022, compared to net income of $7,048 for the six months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the Company’s operating revenues and net income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020" w:type="dxa"/>
            <w:vAlign w:val="bottom"/>
            <w:gridSpan w:val="4"/>
          </w:tcPr>
          <w:p>
            <w:pPr>
              <w:ind w:left="640"/>
              <w:spacing w:after="0"/>
              <w:rPr>
                <w:sz w:val="20"/>
                <w:szCs w:val="20"/>
                <w:color w:val="auto"/>
              </w:rPr>
            </w:pPr>
            <w:r>
              <w:rPr>
                <w:rFonts w:ascii="Arial" w:cs="Arial" w:eastAsia="Arial" w:hAnsi="Arial"/>
                <w:sz w:val="18"/>
                <w:szCs w:val="18"/>
                <w:b w:val="1"/>
                <w:bCs w:val="1"/>
                <w:color w:val="auto"/>
                <w:w w:val="92"/>
              </w:rPr>
              <w:t>Three Months Ended June 30,</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10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w w:val="94"/>
              </w:rPr>
              <w:t>2022</w:t>
            </w:r>
          </w:p>
        </w:tc>
        <w:tc>
          <w:tcPr>
            <w:tcW w:w="6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1060" w:type="dxa"/>
            <w:vAlign w:val="bottom"/>
          </w:tcPr>
          <w:p>
            <w:pPr>
              <w:jc w:val="right"/>
              <w:ind w:right="898"/>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84,496</w:t>
            </w:r>
          </w:p>
        </w:tc>
        <w:tc>
          <w:tcPr>
            <w:tcW w:w="1080" w:type="dxa"/>
            <w:vAlign w:val="bottom"/>
          </w:tcPr>
          <w:p>
            <w:pPr>
              <w:jc w:val="right"/>
              <w:ind w:right="92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76,281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154,083</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139,416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10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2,015</w:t>
            </w:r>
          </w:p>
        </w:tc>
        <w:tc>
          <w:tcPr>
            <w:tcW w:w="10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1,710</w:t>
            </w: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3,668</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gains (losses)</w:t>
            </w:r>
          </w:p>
        </w:tc>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(11,136)</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4,701</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(16,664 )</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0"/>
        </w:trPr>
        <w:tc>
          <w:tcPr>
            <w:tcW w:w="374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75,790</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83,212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141,930</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154,011</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Components of net income:</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84,496</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76,281</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154,083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139,416</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Losses and loss adjustment expenses</w:t>
            </w:r>
          </w:p>
        </w:tc>
        <w:tc>
          <w:tcPr>
            <w:tcW w:w="10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108,595</w:t>
            </w:r>
          </w:p>
        </w:tc>
        <w:tc>
          <w:tcPr>
            <w:tcW w:w="10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62,918</w:t>
            </w: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148,724</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99,807</w:t>
            </w:r>
          </w:p>
        </w:tc>
        <w:tc>
          <w:tcPr>
            <w:tcW w:w="0" w:type="dxa"/>
            <w:vAlign w:val="bottom"/>
          </w:tcPr>
          <w:p>
            <w:pPr>
              <w:spacing w:after="0"/>
              <w:rPr>
                <w:sz w:val="1"/>
                <w:szCs w:val="1"/>
                <w:color w:val="auto"/>
              </w:rPr>
            </w:pPr>
          </w:p>
        </w:tc>
      </w:tr>
      <w:tr>
        <w:trPr>
          <w:trHeight w:val="202"/>
        </w:trPr>
        <w:tc>
          <w:tcPr>
            <w:tcW w:w="3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Amortization of deferred policy acquisition</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and other underwriting and general</w:t>
            </w:r>
          </w:p>
        </w:tc>
        <w:tc>
          <w:tcPr>
            <w:tcW w:w="10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26,246</w:t>
            </w:r>
          </w:p>
        </w:tc>
        <w:tc>
          <w:tcPr>
            <w:tcW w:w="240" w:type="dxa"/>
            <w:vAlign w:val="bottom"/>
            <w:vMerge w:val="restart"/>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23,589</w:t>
            </w:r>
          </w:p>
        </w:tc>
        <w:tc>
          <w:tcPr>
            <w:tcW w:w="200" w:type="dxa"/>
            <w:vAlign w:val="bottom"/>
            <w:vMerge w:val="restart"/>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49,650</w:t>
            </w:r>
          </w:p>
        </w:tc>
        <w:tc>
          <w:tcPr>
            <w:tcW w:w="38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44,827</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10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ind w:left="360"/>
              <w:spacing w:after="0"/>
              <w:rPr>
                <w:sz w:val="20"/>
                <w:szCs w:val="20"/>
                <w:color w:val="auto"/>
              </w:rPr>
            </w:pPr>
            <w:r>
              <w:rPr>
                <w:rFonts w:ascii="Arial" w:cs="Arial" w:eastAsia="Arial" w:hAnsi="Arial"/>
                <w:sz w:val="18"/>
                <w:szCs w:val="18"/>
                <w:color w:val="auto"/>
              </w:rPr>
              <w:t>Underwriting loss</w:t>
            </w:r>
          </w:p>
        </w:tc>
        <w:tc>
          <w:tcPr>
            <w:tcW w:w="10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(50,345)</w:t>
            </w:r>
          </w:p>
        </w:tc>
        <w:tc>
          <w:tcPr>
            <w:tcW w:w="10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(10,226)</w:t>
            </w:r>
          </w:p>
        </w:tc>
        <w:tc>
          <w:tcPr>
            <w:tcW w:w="3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(44,291 )</w:t>
            </w:r>
          </w:p>
        </w:tc>
        <w:tc>
          <w:tcPr>
            <w:tcW w:w="3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(5,218 )</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Fee and other income</w:t>
            </w:r>
          </w:p>
        </w:tc>
        <w:tc>
          <w:tcPr>
            <w:tcW w:w="10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415</w:t>
            </w:r>
          </w:p>
        </w:tc>
        <w:tc>
          <w:tcPr>
            <w:tcW w:w="10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843</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2,015</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1,710</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Net investment gains (losses)</w:t>
            </w:r>
          </w:p>
        </w:tc>
        <w:tc>
          <w:tcPr>
            <w:tcW w:w="10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(11,136)</w:t>
            </w:r>
          </w:p>
        </w:tc>
        <w:tc>
          <w:tcPr>
            <w:tcW w:w="10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4,701</w:t>
            </w:r>
          </w:p>
        </w:tc>
        <w:tc>
          <w:tcPr>
            <w:tcW w:w="3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(16,664 )</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(59,051)</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(3,295)</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(56,444 )</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9,377</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10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(12,415)</w:t>
            </w:r>
          </w:p>
        </w:tc>
        <w:tc>
          <w:tcPr>
            <w:tcW w:w="10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(561)</w:t>
            </w:r>
          </w:p>
        </w:tc>
        <w:tc>
          <w:tcPr>
            <w:tcW w:w="3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(11,847 )</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060" w:type="dxa"/>
            <w:vAlign w:val="bottom"/>
            <w:shd w:val="clear" w:color="auto" w:fill="CCEEFF"/>
          </w:tcPr>
          <w:p>
            <w:pPr>
              <w:jc w:val="right"/>
              <w:ind w:right="898"/>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(46,636)</w:t>
            </w: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(44,597 )</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399"/>
        </w:trPr>
        <w:tc>
          <w:tcPr>
            <w:tcW w:w="3740" w:type="dxa"/>
            <w:vAlign w:val="bottom"/>
            <w:tcBorders>
              <w:top w:val="single" w:sz="8" w:color="CCEEFF"/>
            </w:tcBorders>
          </w:tcPr>
          <w:p>
            <w:pPr>
              <w:spacing w:after="0"/>
              <w:rPr>
                <w:sz w:val="20"/>
                <w:szCs w:val="20"/>
                <w:color w:val="auto"/>
              </w:rPr>
            </w:pPr>
            <w:r>
              <w:rPr>
                <w:rFonts w:ascii="Arial" w:cs="Arial" w:eastAsia="Arial" w:hAnsi="Arial"/>
                <w:sz w:val="18"/>
                <w:szCs w:val="18"/>
                <w:i w:val="1"/>
                <w:iCs w:val="1"/>
                <w:color w:val="auto"/>
              </w:rPr>
              <w:t>Net Premiums Earned</w:t>
            </w:r>
          </w:p>
        </w:tc>
        <w:tc>
          <w:tcPr>
            <w:tcW w:w="10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740" w:type="dxa"/>
            <w:vAlign w:val="bottom"/>
          </w:tcPr>
          <w:p>
            <w:pPr>
              <w:spacing w:after="0"/>
              <w:rPr>
                <w:sz w:val="24"/>
                <w:szCs w:val="24"/>
                <w:color w:val="auto"/>
              </w:rPr>
            </w:pPr>
          </w:p>
        </w:tc>
        <w:tc>
          <w:tcPr>
            <w:tcW w:w="3020" w:type="dxa"/>
            <w:vAlign w:val="bottom"/>
            <w:gridSpan w:val="4"/>
          </w:tcPr>
          <w:p>
            <w:pPr>
              <w:ind w:left="640"/>
              <w:spacing w:after="0"/>
              <w:rPr>
                <w:sz w:val="20"/>
                <w:szCs w:val="20"/>
                <w:color w:val="auto"/>
              </w:rPr>
            </w:pPr>
            <w:r>
              <w:rPr>
                <w:rFonts w:ascii="Arial" w:cs="Arial" w:eastAsia="Arial" w:hAnsi="Arial"/>
                <w:sz w:val="18"/>
                <w:szCs w:val="18"/>
                <w:b w:val="1"/>
                <w:bCs w:val="1"/>
                <w:color w:val="auto"/>
                <w:w w:val="92"/>
              </w:rPr>
              <w:t>Three Months Ended June 30,</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10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w w:val="94"/>
              </w:rPr>
              <w:t>2022</w:t>
            </w:r>
          </w:p>
        </w:tc>
        <w:tc>
          <w:tcPr>
            <w:tcW w:w="6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Direct premium</w:t>
            </w:r>
          </w:p>
        </w:tc>
        <w:tc>
          <w:tcPr>
            <w:tcW w:w="1060" w:type="dxa"/>
            <w:vAlign w:val="bottom"/>
          </w:tcPr>
          <w:p>
            <w:pPr>
              <w:jc w:val="right"/>
              <w:ind w:right="898"/>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94,251</w:t>
            </w:r>
          </w:p>
        </w:tc>
        <w:tc>
          <w:tcPr>
            <w:tcW w:w="1080" w:type="dxa"/>
            <w:vAlign w:val="bottom"/>
          </w:tcPr>
          <w:p>
            <w:pPr>
              <w:jc w:val="right"/>
              <w:ind w:right="92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87,059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167,650</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155,802</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Assumed premium</w:t>
            </w:r>
          </w:p>
        </w:tc>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1,691</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3,516</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Ceded premium</w:t>
            </w:r>
          </w:p>
        </w:tc>
        <w:tc>
          <w:tcPr>
            <w:tcW w:w="10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(11,446)</w:t>
            </w:r>
          </w:p>
        </w:tc>
        <w:tc>
          <w:tcPr>
            <w:tcW w:w="10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(14,294)</w:t>
            </w:r>
          </w:p>
        </w:tc>
        <w:tc>
          <w:tcPr>
            <w:tcW w:w="3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(17,119)</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(21,350)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premiums earned</w:t>
            </w:r>
          </w:p>
        </w:tc>
        <w:tc>
          <w:tcPr>
            <w:tcW w:w="1060" w:type="dxa"/>
            <w:vAlign w:val="bottom"/>
            <w:shd w:val="clear" w:color="auto" w:fill="CCEEFF"/>
          </w:tcPr>
          <w:p>
            <w:pPr>
              <w:jc w:val="right"/>
              <w:ind w:right="89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84,496</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76,281</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154,083</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139,416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Company’s net premiums earned for the three months ended June 30, 2022, increased $8,215, or 10.8%, compared to the three months ended June 30, 2021. Net premiums earned for the six months ended June 30, 2022, increased $14,667, or 10.5%, compared to the six months ended June 30, 2021.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9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Three Months Ended June 30,</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5"/>
          </w:tcPr>
          <w:p>
            <w:pPr>
              <w:ind w:left="32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394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19,265</w:t>
            </w:r>
          </w:p>
        </w:tc>
        <w:tc>
          <w:tcPr>
            <w:tcW w:w="126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18,068</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38,007</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35,566</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14,898</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29,890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28,156</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19,955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18,373</w:t>
            </w:r>
          </w:p>
        </w:tc>
        <w:tc>
          <w:tcPr>
            <w:tcW w:w="3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39,167</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35,827</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8,353</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15,031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14,020</w:t>
            </w:r>
          </w:p>
        </w:tc>
        <w:tc>
          <w:tcPr>
            <w:tcW w:w="3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29,219</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26,358</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5,109</w:t>
            </w:r>
          </w:p>
        </w:tc>
      </w:tr>
      <w:tr>
        <w:trPr>
          <w:trHeight w:val="20"/>
        </w:trPr>
        <w:tc>
          <w:tcPr>
            <w:tcW w:w="39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ind w:left="360"/>
              <w:spacing w:after="0"/>
              <w:rPr>
                <w:sz w:val="20"/>
                <w:szCs w:val="20"/>
                <w:color w:val="auto"/>
              </w:rPr>
            </w:pPr>
            <w:r>
              <w:rPr>
                <w:rFonts w:ascii="Arial" w:cs="Arial" w:eastAsia="Arial" w:hAnsi="Arial"/>
                <w:sz w:val="18"/>
                <w:szCs w:val="18"/>
                <w:color w:val="auto"/>
              </w:rPr>
              <w:t>Total net premiums earned</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84,496</w:t>
            </w:r>
          </w:p>
        </w:tc>
        <w:tc>
          <w:tcPr>
            <w:tcW w:w="126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76,281</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154,083</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139,416</w:t>
            </w:r>
          </w:p>
        </w:tc>
      </w:tr>
      <w:tr>
        <w:trPr>
          <w:trHeight w:val="20"/>
        </w:trPr>
        <w:tc>
          <w:tcPr>
            <w:tcW w:w="3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240"/>
          </w:cols>
          <w:pgMar w:left="320" w:top="125" w:right="339" w:bottom="453" w:gutter="0" w:footer="0" w:header="0"/>
        </w:sect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453" w:gutter="0" w:footer="0" w:header="0"/>
          <w:type w:val="continuous"/>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Below are comments regarding net premiums earned by business segment:</w:t>
      </w:r>
    </w:p>
    <w:p>
      <w:pPr>
        <w:spacing w:after="0" w:line="20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Private passenger auto – </w:t>
      </w:r>
      <w:r>
        <w:rPr>
          <w:rFonts w:ascii="Arial" w:cs="Arial" w:eastAsia="Arial" w:hAnsi="Arial"/>
          <w:sz w:val="18"/>
          <w:szCs w:val="18"/>
          <w:color w:val="auto"/>
        </w:rPr>
        <w:t>Net premiums earned for the second quarter of 2022 increased $1,197, or 6.6%, from the second quarter of 2021. Net premiums</w:t>
      </w:r>
      <w:r>
        <w:rPr>
          <w:rFonts w:ascii="Arial" w:cs="Arial" w:eastAsia="Arial" w:hAnsi="Arial"/>
          <w:sz w:val="18"/>
          <w:szCs w:val="18"/>
          <w:b w:val="1"/>
          <w:bCs w:val="1"/>
          <w:color w:val="auto"/>
        </w:rPr>
        <w:t xml:space="preserve"> </w:t>
      </w:r>
      <w:r>
        <w:rPr>
          <w:rFonts w:ascii="Arial" w:cs="Arial" w:eastAsia="Arial" w:hAnsi="Arial"/>
          <w:sz w:val="18"/>
          <w:szCs w:val="18"/>
          <w:color w:val="auto"/>
        </w:rPr>
        <w:t>earned for the first six months of 2022 increased $2,441, or 6.9% from the first six months of 2021. Results were driven by continued new business growth and rate increases in South Dakota and Nebraska.</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Non-standard auto – </w:t>
      </w:r>
      <w:r>
        <w:rPr>
          <w:rFonts w:ascii="Arial" w:cs="Arial" w:eastAsia="Arial" w:hAnsi="Arial"/>
          <w:sz w:val="18"/>
          <w:szCs w:val="18"/>
          <w:color w:val="auto"/>
        </w:rPr>
        <w:t>Net premiums earned for the second quarter of 2022 increased $614, or 4.1%, from the second quarter of 2021. Net premiums</w:t>
      </w:r>
      <w:r>
        <w:rPr>
          <w:rFonts w:ascii="Arial" w:cs="Arial" w:eastAsia="Arial" w:hAnsi="Arial"/>
          <w:sz w:val="18"/>
          <w:szCs w:val="18"/>
          <w:b w:val="1"/>
          <w:bCs w:val="1"/>
          <w:color w:val="auto"/>
        </w:rPr>
        <w:t xml:space="preserve"> </w:t>
      </w:r>
      <w:r>
        <w:rPr>
          <w:rFonts w:ascii="Arial" w:cs="Arial" w:eastAsia="Arial" w:hAnsi="Arial"/>
          <w:sz w:val="18"/>
          <w:szCs w:val="18"/>
          <w:color w:val="auto"/>
        </w:rPr>
        <w:t>earned for the first six months of 2022 increased $1,734, or 6.2% from the first six months of 2021. Results were driven by new business growth and recent rate increases in the Chicago market where our non-standard auto business is concentrated.</w:t>
      </w:r>
    </w:p>
    <w:p>
      <w:pPr>
        <w:spacing w:after="0" w:line="149"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Home and farm – </w:t>
      </w:r>
      <w:r>
        <w:rPr>
          <w:rFonts w:ascii="Arial" w:cs="Arial" w:eastAsia="Arial" w:hAnsi="Arial"/>
          <w:sz w:val="18"/>
          <w:szCs w:val="18"/>
          <w:color w:val="auto"/>
        </w:rPr>
        <w:t>Net premiums earned for the second quarter of 2022 increased $1,582, or 8.6%, from the second quarter of 2021. Net premiums earned</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six months of 2022 increased $3,340, or 9.3% from the first six months of 2021. Results were driven by increasing insured property values as a result of increased inflationary factors.</w:t>
      </w:r>
    </w:p>
    <w:p>
      <w:pPr>
        <w:spacing w:after="0" w:line="162" w:lineRule="exact"/>
        <w:rPr>
          <w:sz w:val="20"/>
          <w:szCs w:val="20"/>
          <w:color w:val="auto"/>
        </w:rPr>
      </w:pPr>
    </w:p>
    <w:p>
      <w:pPr>
        <w:ind w:right="280"/>
        <w:spacing w:after="0" w:line="281" w:lineRule="auto"/>
        <w:rPr>
          <w:sz w:val="20"/>
          <w:szCs w:val="20"/>
          <w:color w:val="auto"/>
        </w:rPr>
      </w:pPr>
      <w:r>
        <w:rPr>
          <w:rFonts w:ascii="Arial" w:cs="Arial" w:eastAsia="Arial" w:hAnsi="Arial"/>
          <w:sz w:val="17"/>
          <w:szCs w:val="17"/>
          <w:b w:val="1"/>
          <w:bCs w:val="1"/>
          <w:color w:val="auto"/>
        </w:rPr>
        <w:t xml:space="preserve">Crop – </w:t>
      </w:r>
      <w:r>
        <w:rPr>
          <w:rFonts w:ascii="Arial" w:cs="Arial" w:eastAsia="Arial" w:hAnsi="Arial"/>
          <w:sz w:val="17"/>
          <w:szCs w:val="17"/>
          <w:color w:val="auto"/>
        </w:rPr>
        <w:t>Net premiums earned for the second quarter of 2022 increased $3,942, or 47.2%, from the second quarter of 2021. Net premiums earned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first six months of 2022 increased $3,882, or 46.2% from the first six months of 2021. This increase was driven by a 20.4% increase in direct written premium for multi-peril crop insurance due to higher commodity prices. In addition, earned premiums increased as a result of ceding significantly less multi-peril crop insurance business into the Assigned Risk fund in 2022 compared to the prior year.</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97"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 xml:space="preserve">Commercial – </w:t>
      </w:r>
      <w:r>
        <w:rPr>
          <w:rFonts w:ascii="Arial" w:cs="Arial" w:eastAsia="Arial" w:hAnsi="Arial"/>
          <w:sz w:val="17"/>
          <w:szCs w:val="17"/>
          <w:color w:val="auto"/>
        </w:rPr>
        <w:t>Net premiums earned for the second quarter of 2022 increased $1,011, or 7.2%, from the second quarter of 2021. Net premiums earned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first six months of 2022 increased $2,861, or 10.9% from the first six months of 2021. These increases were primarily driven by increasing insured values as a result of inflationary factors as well as continued increases in both price and new business production.</w:t>
      </w:r>
    </w:p>
    <w:p>
      <w:pPr>
        <w:spacing w:after="0" w:line="144"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color w:val="auto"/>
        </w:rPr>
        <w:t xml:space="preserve">All other – </w:t>
      </w:r>
      <w:r>
        <w:rPr>
          <w:rFonts w:ascii="Arial" w:cs="Arial" w:eastAsia="Arial" w:hAnsi="Arial"/>
          <w:sz w:val="17"/>
          <w:szCs w:val="17"/>
          <w:color w:val="auto"/>
        </w:rPr>
        <w:t>Net premiums earned for the second quarter of 2022 decreased $131, or 5.1%, from the second quarter of 2021 as a result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decision to non-renew its participation in an assumed domestic and international reinsurance pool of business as of January 1, 2022. Net premiums earned for the first six months of 2022 increased $409, or 8.0% from the first six months of 2021 as a result of our increased participation during 2021 in the assumed domestic and international reinsurance pool of business. These results are communicated to the Company one to three months following the end of the reporting period. Accordingly, these results are generally reflected in the Company’s financial statements on a quarter lag basis, and as a result, the first quarter of 2022 continued to be impacted by our participation in these pools.</w:t>
      </w:r>
    </w:p>
    <w:p>
      <w:pPr>
        <w:sectPr>
          <w:pgSz w:w="11900" w:h="16838" w:orient="portrait"/>
          <w:cols w:equalWidth="0" w:num="1">
            <w:col w:w="11240"/>
          </w:cols>
          <w:pgMar w:left="320" w:top="125" w:right="339" w:bottom="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and Loss Adjustment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Net losses and loss adjustment expenses: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Direct losses and loss adjustment expenses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Assumed losses and loss adjustment expenses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Ceded losses and loss adjustment expenses</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Total net losses and loss adjustment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r>
      <w:tr>
        <w:trPr>
          <w:trHeight w:val="411"/>
        </w:trPr>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110,670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76,599</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156,165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114,177</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2,908</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(3,610)</w:t>
            </w:r>
          </w:p>
        </w:tc>
        <w:tc>
          <w:tcPr>
            <w:tcW w:w="3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(15,641)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(8,986)</w:t>
            </w:r>
          </w:p>
        </w:tc>
        <w:tc>
          <w:tcPr>
            <w:tcW w:w="3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(17,278)</w:t>
            </w:r>
          </w:p>
        </w:tc>
      </w:tr>
      <w:tr>
        <w:trPr>
          <w:trHeight w:val="210"/>
        </w:trPr>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108,595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148,724</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99,807</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-719455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-445135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-162560</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5100" w:space="720"/>
            <w:col w:w="5420"/>
          </w:cols>
          <w:pgMar w:left="320" w:top="125" w:right="339" w:bottom="0" w:gutter="0" w:footer="0" w:header="0"/>
          <w:type w:val="continuous"/>
        </w:sectPr>
      </w:pPr>
    </w:p>
    <w:p>
      <w:pPr>
        <w:ind w:right="360"/>
        <w:spacing w:after="0" w:line="263" w:lineRule="auto"/>
        <w:rPr>
          <w:sz w:val="20"/>
          <w:szCs w:val="20"/>
          <w:color w:val="auto"/>
        </w:rPr>
      </w:pPr>
      <w:r>
        <w:rPr>
          <w:rFonts w:ascii="Arial" w:cs="Arial" w:eastAsia="Arial" w:hAnsi="Arial"/>
          <w:sz w:val="18"/>
          <w:szCs w:val="18"/>
          <w:color w:val="auto"/>
        </w:rPr>
        <w:t>The Company’s net losses and loss adjustment expenses for the three months ended June 30, 2022, increased $45,677, or 72.6%, compared to the three months ended June 30, 2021. The Company’s net losses and loss adjustment expenses for the six months ended June 30, 2022, increased $48,917, or 49.0%, compared to the six months ended June 30, 2021.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320" w:type="dxa"/>
            <w:vAlign w:val="bottom"/>
            <w:gridSpan w:val="4"/>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losses and loss adjustment expenses:</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16,854</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14,905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31,565</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11,490</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12,624</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18,208</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68,671</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9,332</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10,164</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7,264</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23,008</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2,692</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ind w:left="360"/>
              <w:spacing w:after="0"/>
              <w:rPr>
                <w:sz w:val="20"/>
                <w:szCs w:val="20"/>
                <w:color w:val="auto"/>
              </w:rPr>
            </w:pPr>
            <w:r>
              <w:rPr>
                <w:rFonts w:ascii="Arial" w:cs="Arial" w:eastAsia="Arial" w:hAnsi="Arial"/>
                <w:sz w:val="18"/>
                <w:szCs w:val="18"/>
                <w:color w:val="auto"/>
              </w:rPr>
              <w:t>Total net losses and loss adjustment expenses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108,595</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62,918</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148,724</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99,807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8"/>
                <w:szCs w:val="18"/>
                <w:color w:val="auto"/>
              </w:rPr>
            </w:pPr>
          </w:p>
        </w:tc>
        <w:tc>
          <w:tcPr>
            <w:tcW w:w="248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Loss and loss adjustment expenses ratio:</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82.5%</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111.7%</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51.8%</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tcPr>
          <w:p>
            <w:pPr>
              <w:ind w:left="360"/>
              <w:spacing w:after="0"/>
              <w:rPr>
                <w:sz w:val="20"/>
                <w:szCs w:val="20"/>
                <w:color w:val="auto"/>
              </w:rPr>
            </w:pPr>
            <w:r>
              <w:rPr>
                <w:rFonts w:ascii="Arial" w:cs="Arial" w:eastAsia="Arial" w:hAnsi="Arial"/>
                <w:sz w:val="18"/>
                <w:szCs w:val="18"/>
                <w:color w:val="auto"/>
              </w:rPr>
              <w:t>Total loss and loss adjustment expenses ratio</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Below are comments regarding significant changes in the net losses and loss adjustment expenses, and the net loss and loss adjustment expense ratios, by business segment:</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Private passenger auto – </w:t>
      </w:r>
      <w:r>
        <w:rPr>
          <w:rFonts w:ascii="Arial" w:cs="Arial" w:eastAsia="Arial" w:hAnsi="Arial"/>
          <w:sz w:val="18"/>
          <w:szCs w:val="18"/>
          <w:color w:val="auto"/>
        </w:rPr>
        <w:t>The net loss and loss adjustment expense ratio increased 5.0 percentage points and 6.7 percentage points in the three- and six-month periods ended June 30, 2022, compared to the same periods in 2021. These increases were driven by elevated loss severity due to inflationary factors and increased weather-related comprehensive losses in Nebraska and South Dakota. We are addressing the increasing frequency and severity through aggressive underwriting actions and planned rate increases.</w:t>
      </w:r>
    </w:p>
    <w:p>
      <w:pPr>
        <w:spacing w:after="0" w:line="153"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 xml:space="preserve">Non-standard auto – </w:t>
      </w:r>
      <w:r>
        <w:rPr>
          <w:rFonts w:ascii="Arial" w:cs="Arial" w:eastAsia="Arial" w:hAnsi="Arial"/>
          <w:sz w:val="16"/>
          <w:szCs w:val="16"/>
          <w:color w:val="auto"/>
        </w:rPr>
        <w:t>The net loss and loss adjustment expense ratio decreased 50.5 percentage points and 15.7 percentage points in the three- and six-month periods ended June 30, 2022, compared to the same periods in 2021. These decreases were driven by favorable prior year reserve development in second quarter of 2022 along with other successful strategic underwriting initiatives taken in our Las Vegas market, partially offset by elevated loss severity as a result of inflationary factors. Continued rate increases will be necessary to combat the increasing severity as a result of the inflationary factors.</w:t>
      </w:r>
    </w:p>
    <w:p>
      <w:pPr>
        <w:spacing w:after="0" w:line="137" w:lineRule="exact"/>
        <w:rPr>
          <w:sz w:val="20"/>
          <w:szCs w:val="20"/>
          <w:color w:val="auto"/>
        </w:rPr>
      </w:pPr>
    </w:p>
    <w:p>
      <w:pPr>
        <w:ind w:right="300"/>
        <w:spacing w:after="0" w:line="281" w:lineRule="auto"/>
        <w:rPr>
          <w:sz w:val="20"/>
          <w:szCs w:val="20"/>
          <w:color w:val="auto"/>
        </w:rPr>
      </w:pPr>
      <w:r>
        <w:rPr>
          <w:rFonts w:ascii="Arial" w:cs="Arial" w:eastAsia="Arial" w:hAnsi="Arial"/>
          <w:sz w:val="17"/>
          <w:szCs w:val="17"/>
          <w:b w:val="1"/>
          <w:bCs w:val="1"/>
          <w:color w:val="auto"/>
        </w:rPr>
        <w:t xml:space="preserve">Home and farm – </w:t>
      </w:r>
      <w:r>
        <w:rPr>
          <w:rFonts w:ascii="Arial" w:cs="Arial" w:eastAsia="Arial" w:hAnsi="Arial"/>
          <w:sz w:val="17"/>
          <w:szCs w:val="17"/>
          <w:color w:val="auto"/>
        </w:rPr>
        <w:t>The net loss and loss adjustment expense ratio increased 210.8 percentage points and 103.2 percentage points in the three- and six-month periods ended June 30, 2022, compared to the same periods in 2021. These increases were driven by catastrophe losses in Nebraska and South Dakota during second quarter of 2022. Catastrophe losses for the Home and Farm segment in the second quarters of 2022 and 2021 accounted for 211.6 percentage points and 41.8 percentage points, respectively, of the net loss and loss adjustment expense ratio.</w:t>
      </w:r>
    </w:p>
    <w:p>
      <w:pPr>
        <w:spacing w:after="0" w:line="15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Crop – </w:t>
      </w:r>
      <w:r>
        <w:rPr>
          <w:rFonts w:ascii="Arial" w:cs="Arial" w:eastAsia="Arial" w:hAnsi="Arial"/>
          <w:sz w:val="18"/>
          <w:szCs w:val="18"/>
          <w:color w:val="auto"/>
        </w:rPr>
        <w:t>The net loss and loss adjustment expense ratio decreased 27.7 percentage points and 35.0 percentage points in the three- and six-month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2022, compared to the same periods in 2021. This improvement was due to improved crop growing conditions in 2022 in comparison to the extreme drought conditions faced in 2021.</w:t>
      </w:r>
    </w:p>
    <w:p>
      <w:pPr>
        <w:sectPr>
          <w:pgSz w:w="11900" w:h="16838" w:orient="portrait"/>
          <w:cols w:equalWidth="0" w:num="1">
            <w:col w:w="11240"/>
          </w:cols>
          <w:pgMar w:left="320" w:top="125" w:right="339" w:bottom="0" w:gutter="0" w:footer="0" w:header="0"/>
          <w:type w:val="continuous"/>
        </w:sectPr>
      </w:pP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38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381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9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Commercial – </w:t>
      </w:r>
      <w:r>
        <w:rPr>
          <w:rFonts w:ascii="Arial" w:cs="Arial" w:eastAsia="Arial" w:hAnsi="Arial"/>
          <w:sz w:val="18"/>
          <w:szCs w:val="18"/>
          <w:color w:val="auto"/>
        </w:rPr>
        <w:t>The net loss and loss adjustment expense ratio increased 34.6 percentage points and 11.7 percentage points in the three- and six-month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ended June 30, 2022, compared to the same periods in 2021. These increases were driven by increased frequency and severity of fire losses in the Westminster book of business during second quarter of 2022. The remaining portion of the Commercial segment also produced unprofitable results due to severe weather during the current quarter.</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b w:val="1"/>
          <w:bCs w:val="1"/>
          <w:color w:val="auto"/>
        </w:rPr>
        <w:t xml:space="preserve">All other – </w:t>
      </w:r>
      <w:r>
        <w:rPr>
          <w:rFonts w:ascii="Arial" w:cs="Arial" w:eastAsia="Arial" w:hAnsi="Arial"/>
          <w:sz w:val="17"/>
          <w:szCs w:val="17"/>
          <w:color w:val="auto"/>
        </w:rPr>
        <w:t>The net loss and loss adjustment expense ratio increased 33.8 percentage points in the three-month period ended June 30, 2022,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period for 2021. The increase for the second quarter of 2022 was driven by our share of a significant catastrophe loss occurrence within a reciprocal catastrophe pool that we participate in. The net loss and loss adjustment expense ratio decreased 9.2 percentage points in the six-month period ended June 30, 2022 compared to the same period for 2021. The year-to-date loss and loss adjustment expense ratio was also impacted by favorable prior year development in our assumed domestic and international reinsurance pool of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Deferred Policy Acquisition Costs</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Amortization of deferred policy acquisition costs decreased $3,642, or 18.3%, in the three months ended June 30, 2022, compared to the same period in 2021, and decreased $1,606, or 4.8%, in the six months ended June 30, 2022 compared to the same period in 2021. These decreases are the result of the Company refining the methodology for calculating deferred policy acquisition costs and the related amortization during the third quarter of 2021 and the impact of the previous methodology on the first six months of 2021. The effects of the change in methodology are partially offset by premium growth and the related deferrable policy acquisition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Underwriting and General Expenses</w:t>
      </w:r>
    </w:p>
    <w:p>
      <w:pPr>
        <w:spacing w:after="0" w:line="21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Other underwriting and general expenses increased $6,299, or 170.1%, in the three months ended June 30, 2022, compared to the same period in 2021, and increased $6,429, or 56.6%, in the six months ended June 30, 2022 compared to the same period in 2021. These increases are the result of the Company refining the methodology for calculating deferred policy acquisition costs and the related amortization during the third quarter of 2021. Utilizing the previous methodology resulted in higher deferrable expenses for the first six months of 2021 and lower other underwriting and general expenses.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i w:val="1"/>
                <w:iCs w:val="1"/>
                <w:color w:val="auto"/>
              </w:rPr>
              <w:t>Underwriting Gain (Loss) and Combined Ratio</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7"/>
        </w:trPr>
        <w:tc>
          <w:tcPr>
            <w:tcW w:w="4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left="79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(3,142)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(1,604)</w:t>
            </w:r>
          </w:p>
        </w:tc>
        <w:tc>
          <w:tcPr>
            <w:tcW w:w="60" w:type="dxa"/>
            <w:vAlign w:val="bottom"/>
          </w:tcPr>
          <w:p>
            <w:pPr>
              <w:spacing w:after="0"/>
              <w:rPr>
                <w:sz w:val="18"/>
                <w:szCs w:val="18"/>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(4,879)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(1,719)</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4,308</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(47,932)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(4,908)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(41,533)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(697)</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1,061</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20" w:type="dxa"/>
            <w:vAlign w:val="bottom"/>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(3,536)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(4,701)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(1,097)</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1,453</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8"/>
                <w:szCs w:val="18"/>
                <w:color w:val="auto"/>
              </w:rPr>
            </w:pPr>
          </w:p>
        </w:tc>
      </w:tr>
      <w:tr>
        <w:trPr>
          <w:trHeight w:val="20"/>
        </w:trPr>
        <w:tc>
          <w:tcPr>
            <w:tcW w:w="42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240" w:type="dxa"/>
            <w:vAlign w:val="bottom"/>
          </w:tcPr>
          <w:p>
            <w:pPr>
              <w:ind w:left="360"/>
              <w:spacing w:after="0"/>
              <w:rPr>
                <w:sz w:val="20"/>
                <w:szCs w:val="20"/>
                <w:color w:val="auto"/>
              </w:rPr>
            </w:pPr>
            <w:r>
              <w:rPr>
                <w:rFonts w:ascii="Arial" w:cs="Arial" w:eastAsia="Arial" w:hAnsi="Arial"/>
                <w:sz w:val="18"/>
                <w:szCs w:val="18"/>
                <w:color w:val="auto"/>
              </w:rPr>
              <w:t>Total underwriting gain (loss)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(50,345)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(10,226)</w:t>
            </w:r>
          </w:p>
        </w:tc>
        <w:tc>
          <w:tcPr>
            <w:tcW w:w="60" w:type="dxa"/>
            <w:vAlign w:val="bottom"/>
          </w:tcPr>
          <w:p>
            <w:pPr>
              <w:spacing w:after="0"/>
              <w:rPr>
                <w:sz w:val="18"/>
                <w:szCs w:val="18"/>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(44,291)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(5,218)</w:t>
            </w:r>
          </w:p>
        </w:tc>
        <w:tc>
          <w:tcPr>
            <w:tcW w:w="2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4"/>
        </w:trPr>
        <w:tc>
          <w:tcPr>
            <w:tcW w:w="4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left="87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83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Combined ratio:</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108.9%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85.6%</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126.7%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206.0%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20" w:type="dxa"/>
            <w:vAlign w:val="bottom"/>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88.7%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116.1%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18"/>
                <w:szCs w:val="18"/>
                <w:color w:val="auto"/>
              </w:rPr>
            </w:pPr>
          </w:p>
        </w:tc>
      </w:tr>
      <w:tr>
        <w:trPr>
          <w:trHeight w:val="216"/>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c>
          <w:tcPr>
            <w:tcW w:w="180" w:type="dxa"/>
            <w:vAlign w:val="bottom"/>
            <w:tcBorders>
              <w:left w:val="single" w:sz="8" w:color="CCEEFF"/>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18"/>
                <w:szCs w:val="18"/>
                <w:color w:val="auto"/>
              </w:rPr>
            </w:pPr>
          </w:p>
        </w:tc>
      </w:tr>
      <w:tr>
        <w:trPr>
          <w:trHeight w:val="209"/>
        </w:trPr>
        <w:tc>
          <w:tcPr>
            <w:tcW w:w="4240" w:type="dxa"/>
            <w:vAlign w:val="bottom"/>
          </w:tcPr>
          <w:p>
            <w:pPr>
              <w:ind w:left="360"/>
              <w:spacing w:after="0"/>
              <w:rPr>
                <w:sz w:val="20"/>
                <w:szCs w:val="20"/>
                <w:color w:val="auto"/>
              </w:rPr>
            </w:pPr>
            <w:r>
              <w:rPr>
                <w:rFonts w:ascii="Arial" w:cs="Arial" w:eastAsia="Arial" w:hAnsi="Arial"/>
                <w:sz w:val="18"/>
                <w:szCs w:val="18"/>
                <w:color w:val="auto"/>
              </w:rPr>
              <w:t>Combined ratio</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128.7%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spacing w:after="0" w:line="12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total underwriting loss increased $40,119, or 392.3%, for the three-month period ended June 30, 2022, compared to the same period in 2021. The total underwriting loss increased $39,073, or 748.8%, for the six-month period ended June 30, 2022, compared to the same period in 2021. These results were driven by the factors discussed in the Loss and Loss Adjustment Expenses section above.</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overall combined ratio increased 46.2 percentage points in the three-month period ended June 30, 2022, compared to the same periods in 2021. The overall combined ratio increased 25.0 percentage points in the six-month period ended June 30, 2022, compared to the same periods in 2021. These results were driven by the factors discussed in the Loss and Loss Adjustment Expenses section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and Other Income</w:t>
      </w:r>
    </w:p>
    <w:p>
      <w:pPr>
        <w:spacing w:after="0" w:line="19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Company had fee and other income of $415 for the three months ended June 30, 2022, compared to $520 for the three months ended June 30, 2021. Fee income attributable to the non-standard auto segment is a key component in measuring its profitability. Fee income on this business decreased to $254 for the three months ended June 30, 2022, from $361 for the three months ended June 30, 2021, due to a reduction in policies that generate fee income.</w:t>
      </w:r>
    </w:p>
    <w:p>
      <w:pPr>
        <w:spacing w:after="0" w:line="13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had fee and other income of $843 for the six months ended June 30, 2022, compared to $837 for the six months ended June 30, 2021. Fee income on the non-standard auto business decreased slightly to $642 for the six months ended June 30, 2022, from $693 for the six months ended June 30, 2021, due to a reduction in policies that generate fee income.</w:t>
      </w:r>
    </w:p>
    <w:p>
      <w:pPr>
        <w:sectPr>
          <w:pgSz w:w="11900" w:h="16838" w:orient="portrait"/>
          <w:cols w:equalWidth="0" w:num="1">
            <w:col w:w="11240"/>
          </w:cols>
          <w:pgMar w:left="320" w:top="125" w:right="339" w:bottom="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Net Investment Income</w:t>
      </w:r>
    </w:p>
    <w:p>
      <w:pPr>
        <w:spacing w:after="0" w:line="18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6"/>
          </w:tcPr>
          <w:p>
            <w:pPr>
              <w:ind w:left="4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503,433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487,745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11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2,015</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1,710</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3,668</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Gross return on average cash and invested assets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return on average cash and invested assets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investment income increased $305 for the three months ended June 30, 2022, compared to the three months ended June 30, 2021. Net investment income increased $422 for the six months ended June 30, 2022, compared to the six months ended June 30, 2021. These increases were primarily driven by an increase in the overall portfolio book value (measured at cost or amortized cost) as well as a higher allocation of invested assets to private placement securities and high dividend yield equities.</w:t>
      </w:r>
    </w:p>
    <w:p>
      <w:pPr>
        <w:spacing w:after="0" w:line="16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net return on average cash and invested assets increased year-over-year, driven by a decrease in average cash and invested assets (measured at fair value) as a result of unfavorable market conditions for both fixed income and equity securities as well as higher net investment income.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i w:val="1"/>
                <w:iCs w:val="1"/>
                <w:color w:val="auto"/>
              </w:rPr>
              <w:t>Net Investment Gains (Losses)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920" w:type="dxa"/>
            <w:vAlign w:val="bottom"/>
          </w:tcPr>
          <w:p>
            <w:pPr>
              <w:spacing w:after="0"/>
              <w:rPr>
                <w:sz w:val="20"/>
                <w:szCs w:val="20"/>
                <w:color w:val="auto"/>
              </w:rPr>
            </w:pPr>
            <w:r>
              <w:rPr>
                <w:rFonts w:ascii="Arial" w:cs="Arial" w:eastAsia="Arial" w:hAnsi="Arial"/>
                <w:sz w:val="18"/>
                <w:szCs w:val="18"/>
                <w:color w:val="auto"/>
              </w:rPr>
              <w:t>Net investment gains (losses) consisted of the following:</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color w:val="auto"/>
                <w:w w:val="93"/>
              </w:rPr>
              <w:t>Gross realized losses, excluding other-than-temporary impairment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17"/>
                <w:szCs w:val="17"/>
                <w:color w:val="auto"/>
              </w:rPr>
            </w:pP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(355)</w:t>
            </w:r>
          </w:p>
        </w:tc>
        <w:tc>
          <w:tcPr>
            <w:tcW w:w="340" w:type="dxa"/>
            <w:vAlign w:val="bottom"/>
          </w:tcPr>
          <w:p>
            <w:pPr>
              <w:spacing w:after="0"/>
              <w:rPr>
                <w:sz w:val="17"/>
                <w:szCs w:val="17"/>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7"/>
        </w:trPr>
        <w:tc>
          <w:tcPr>
            <w:tcW w:w="4920" w:type="dxa"/>
            <w:vAlign w:val="bottom"/>
          </w:tcPr>
          <w:p>
            <w:pPr>
              <w:ind w:left="180"/>
              <w:spacing w:after="0"/>
              <w:rPr>
                <w:sz w:val="20"/>
                <w:szCs w:val="20"/>
                <w:color w:val="auto"/>
              </w:rPr>
            </w:pPr>
            <w:r>
              <w:rPr>
                <w:rFonts w:ascii="Arial" w:cs="Arial" w:eastAsia="Arial" w:hAnsi="Arial"/>
                <w:sz w:val="18"/>
                <w:szCs w:val="18"/>
                <w:color w:val="auto"/>
              </w:rPr>
              <w:t>losses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Change in net unrealized gains on equity securities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(12,163)</w:t>
            </w:r>
          </w:p>
        </w:tc>
        <w:tc>
          <w:tcPr>
            <w:tcW w:w="4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(18,629)</w:t>
            </w:r>
          </w:p>
        </w:tc>
        <w:tc>
          <w:tcPr>
            <w:tcW w:w="3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gains (losses)</w:t>
            </w:r>
          </w:p>
        </w:tc>
        <w:tc>
          <w:tcPr>
            <w:tcW w:w="46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(11,136)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4,701</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(16,664)</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had net realized gains of $1,027 and $1,965 for the three and six months ended June 30, 2022, compared to gains of $2,875 and $6,777 for the three and six months ended June 30, 2021. The Company reported no other-than-temporary losses during any of the periods presented.</w:t>
      </w:r>
    </w:p>
    <w:p>
      <w:pPr>
        <w:spacing w:after="0" w:line="9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 experienced a decrease in net unrealized gains on equity securities of $12,163 and $18,629 during the three and six months ended June 30, 2022, respectively, driven by the impact of changes in fair value attributable to unfavorable equity markets. The Company experienced an increase in net unrealized gains on equity securities of $1,826 and $3,735 during the three and six months ended June 30, 2021, respectively, driven by the impact of changes in fair value attributable to favorable equity markets. In addition to the impact of the overall equity markets, the Company’s sales activity (and resulting gains and losses) will impact the level and direction of the change in the net unrealized gain or loss of its equity securities portfolio. During the three and six months ended June 30, 2022, the Company had net realized gains on its equity securities of $1,132 and $2,027, respectively, compared to net realized gains of $2,550 and $6,351 during the three and six months ended June 30, 2021.</w:t>
      </w:r>
    </w:p>
    <w:p>
      <w:pPr>
        <w:spacing w:after="0" w:line="16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Company’s fixed income securities are classified as available for sale because it will, from time to time, make sales of securities that are not impaired, consistent with our investment goals and policies. The fixed income portion of the portfolio experienced net unrealized losses of $16,283 and $37,220 during the three and six months ended June 30, 2022, respectively, compared to net unrealized gains (losses) of $2,835 and $(4,322) during the three and six months ended June 30, 2021. The changes were primarily the result of changes in U.S. interest rates. The change in the fair value of fixed income securities is not reflected in net income; rather it is reflected as a separate component (net of income taxes) of other comprehensive income.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before Income Taxes</w:t>
      </w:r>
    </w:p>
    <w:p>
      <w:pPr>
        <w:spacing w:after="0" w:line="19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For the three months ended June 30, 2022, the Company had a pre-tax loss of $59,051 compared to a pre-tax loss of $3,295 for the three months ended June 30, 2021. The increase in pre-tax loss was largely attributable to the significant catastrophe losses in Nebraska and South Dakota during the quarter, along with the change in net investment gains/losses attributable to the impact of equity markets on the Company’s equity securities portfolio.</w:t>
      </w:r>
    </w:p>
    <w:p>
      <w:pPr>
        <w:spacing w:after="0" w:line="13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six months ended June 30, 2022, the Company had a pre-tax loss of $56,444 compared to pre-tax income of $9,377 for the six months ended June 30, 2021. The decrease in pre-tax income was largely attributable to the significant catastrophe losses in Nebraska and South Dakota during the second quarter of 2022, along with the change in net investment gains/losses attributable to the impact of equity markets on the Company’s equity securities portfolio.</w:t>
      </w:r>
    </w:p>
    <w:p>
      <w:pPr>
        <w:sectPr>
          <w:pgSz w:w="11900" w:h="16838" w:orient="portrait"/>
          <w:cols w:equalWidth="0" w:num="1">
            <w:col w:w="11240"/>
          </w:cols>
          <w:pgMar w:left="320" w:top="125"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21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recorded an income tax benefit of $12,415 for the three months ended June 30, 2022, compared to an income tax benefit of $561 for the three months ended June 30, 2021. Our effective tax rate for the second quarter of 2022 was 21.0% compared to an effective tax rate of 17.0% for the second quarter of 2021.</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recorded an income tax benefit of $11,847 for the six months ended June 30, 2022, compared to income tax expense of $2,329 for the six months ended June 30, 2021. Our effective tax rate for the first six months of 2022 was 21.0% compared to an effective tax rate of 24.8% for the first six months of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effective tax rate is attributable to Illinois state income taxes.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212"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For the three months ended June 30, 2022, the Company had a net loss before non-controlling interest of $46,636 compared to net loss of $2,734 for the three months ended June 30, 2021. The decrease was largely attributable to the significant catastrophe losses in Nebraska and South Dakota during the quarter, along with the change in net investment gains/losses attributable to the impact of equity markets on the Company’s equity securities portfolio.</w:t>
      </w:r>
    </w:p>
    <w:p>
      <w:pPr>
        <w:spacing w:after="0" w:line="1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six months ended June 30, 2022, the Company had a net loss before non-controlling interest of $44,597 compared to net income of $7,048 for the six months ended June 30, 2021. The decrease was largely attributable to the significant catastrophe losses in Nebraska and South Dakota during the second quarter of 2022, along with the change in net investment gains/losses attributable to the impact of equity markets on the Company’s equity securities portfolio.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Average Equity</w:t>
      </w:r>
    </w:p>
    <w:p>
      <w:pPr>
        <w:spacing w:after="0" w:line="21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For the three months ended June 30, 2022, the Company had annualized return on average equity, after non-controlling interest, of (61.4)% compared to annualized return on average equity, after non-controlling interest, of (3.0)% for the three months ended June 30, 2021.</w:t>
      </w:r>
    </w:p>
    <w:p>
      <w:pPr>
        <w:spacing w:after="0" w:line="11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For the six months ended June 30, 2022, the Company had annualized return on average equity, after non-controlling interest, of (28.7)% compared to annualized return on average equity, after non-controlling interest, of 4.3% for the six months ended June 30, 2021.</w:t>
      </w:r>
    </w:p>
    <w:p>
      <w:pPr>
        <w:spacing w:after="0" w:line="133" w:lineRule="exact"/>
        <w:rPr>
          <w:sz w:val="20"/>
          <w:szCs w:val="20"/>
          <w:color w:val="auto"/>
        </w:rPr>
      </w:pPr>
    </w:p>
    <w:p>
      <w:pPr>
        <w:ind w:right="760"/>
        <w:spacing w:after="0" w:line="461" w:lineRule="auto"/>
        <w:rPr>
          <w:sz w:val="20"/>
          <w:szCs w:val="20"/>
          <w:color w:val="auto"/>
        </w:rPr>
      </w:pPr>
      <w:r>
        <w:rPr>
          <w:rFonts w:ascii="Arial" w:cs="Arial" w:eastAsia="Arial" w:hAnsi="Arial"/>
          <w:sz w:val="18"/>
          <w:szCs w:val="18"/>
          <w:color w:val="auto"/>
        </w:rPr>
        <w:t xml:space="preserve">Average equity is calculated as the average between beginning and ending shareholders’ equity, excluding non-controlling interest for the period. </w:t>
      </w:r>
      <w:r>
        <w:rPr>
          <w:rFonts w:ascii="Arial" w:cs="Arial" w:eastAsia="Arial" w:hAnsi="Arial"/>
          <w:sz w:val="18"/>
          <w:szCs w:val="18"/>
          <w:b w:val="1"/>
          <w:bCs w:val="1"/>
          <w:color w:val="auto"/>
        </w:rPr>
        <w:t>Critical Accounting Policies</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preparation of financial statements in accordance with GAAP requires both the use of estimates and judgment relative to the application of appropriate accounting policies. The Company is required to make estimates and assumptions in certain circumstances that affect amounts reported in the Unaudited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or that reported results of operations will not be materially and adversely affected by the need to make accounting adjustments to reflect changes in these estimates and assumptions from time to time. Our critical accounting policies are more fully described in Part II, Item 7, “Management's Discussion and Analysis of Financial Condition and Results of Operations” presented in our 2021 Annual Report. There have been no changes in our critical accounting policies from December 31,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IPO, which we planned to use for strategic acquisitions.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2018, we used $17,000 for the acquisition of Direct Auto, which was paid in cash at closing. On January 1, 2020, we acquired Westminster for $40,000. We paid $20,000 at the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two installments were paid in January 2021 and January 2022. The Company anticipates using the net proceeds from the IPO to satisfy the remaining obligation in December 2022.</w:t>
      </w:r>
    </w:p>
    <w:p>
      <w:pPr>
        <w:spacing w:after="0" w:line="1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currently anticipate that cash generated from our operations and available from our investment portfolio, along with the remaining IPO net proceeds, will be sufficient to fund our operations.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Company’s philosophy is to provide sufficient cash flows from operations to meet its obligations in order to minimize the forced sales of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a portion of its investment portfolio in relatively short-term and highly liquid assets to ensure the availability of funds.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change in cash and cash equivalents for the six months ended June 30, 2022, and 2021,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294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8"/>
                <w:szCs w:val="18"/>
                <w:b w:val="1"/>
                <w:bCs w:val="1"/>
                <w:color w:val="auto"/>
              </w:rPr>
              <w:t>Six Months Ended June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5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1060" w:type="dxa"/>
            <w:vAlign w:val="bottom"/>
            <w:shd w:val="clear" w:color="auto" w:fill="CCEEFF"/>
          </w:tcPr>
          <w:p>
            <w:pPr>
              <w:jc w:val="right"/>
              <w:ind w:right="93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21,708</w:t>
            </w:r>
          </w:p>
        </w:tc>
        <w:tc>
          <w:tcPr>
            <w:tcW w:w="10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10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(12,075)</w:t>
            </w:r>
          </w:p>
        </w:tc>
        <w:tc>
          <w:tcPr>
            <w:tcW w:w="10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(52,140)</w:t>
            </w:r>
          </w:p>
        </w:tc>
      </w:tr>
      <w:tr>
        <w:trPr>
          <w:trHeight w:val="216"/>
        </w:trPr>
        <w:tc>
          <w:tcPr>
            <w:tcW w:w="7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10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(9,163)</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(9,422)</w:t>
            </w:r>
          </w:p>
        </w:tc>
      </w:tr>
      <w:tr>
        <w:trPr>
          <w:trHeight w:val="20"/>
        </w:trPr>
        <w:tc>
          <w:tcPr>
            <w:tcW w:w="7580" w:type="dxa"/>
            <w:vAlign w:val="bottom"/>
            <w:tcBorders>
              <w:right w:val="single" w:sz="8" w:color="CCEEFF"/>
            </w:tcBorders>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580" w:type="dxa"/>
            <w:vAlign w:val="bottom"/>
          </w:tcPr>
          <w:p>
            <w:pPr>
              <w:ind w:left="360"/>
              <w:spacing w:after="0"/>
              <w:rPr>
                <w:sz w:val="20"/>
                <w:szCs w:val="20"/>
                <w:color w:val="auto"/>
              </w:rPr>
            </w:pPr>
            <w:r>
              <w:rPr>
                <w:rFonts w:ascii="Arial" w:cs="Arial" w:eastAsia="Arial" w:hAnsi="Arial"/>
                <w:sz w:val="18"/>
                <w:szCs w:val="18"/>
                <w:color w:val="auto"/>
              </w:rPr>
              <w:t>Net decrease in cash and cash equivalents</w:t>
            </w:r>
          </w:p>
        </w:tc>
        <w:tc>
          <w:tcPr>
            <w:tcW w:w="1060" w:type="dxa"/>
            <w:vAlign w:val="bottom"/>
          </w:tcPr>
          <w:p>
            <w:pPr>
              <w:jc w:val="right"/>
              <w:ind w:right="93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(7,591)</w:t>
            </w:r>
          </w:p>
        </w:tc>
        <w:tc>
          <w:tcPr>
            <w:tcW w:w="1060" w:type="dxa"/>
            <w:vAlign w:val="bottom"/>
          </w:tcPr>
          <w:p>
            <w:pPr>
              <w:jc w:val="right"/>
              <w:ind w:right="901"/>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(39,854)</w:t>
            </w:r>
          </w:p>
        </w:tc>
      </w:tr>
      <w:tr>
        <w:trPr>
          <w:trHeight w:val="20"/>
        </w:trPr>
        <w:tc>
          <w:tcPr>
            <w:tcW w:w="75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For the six months ended June 30, 2022, net cash provided by operating activities totaled $13,647 compared to $21,708 a year ago. This decrease was primarily driven by higher claim payments related to catastrophe losses during the current quarter, lower realized investment gains, and higher levels of premiums and agents’ balances receivable, which were partially offset by an increase in payments received on reinsurances recoverables on losses.</w:t>
      </w:r>
    </w:p>
    <w:p>
      <w:pPr>
        <w:spacing w:after="0" w:line="13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For the six months ended June 30, 2022, net cash used by investing activities totaled $12,075 compared to $52,140 a year ago. This decrease in cash used was attributable to the significant catastrophe losses in Nebraska and South Dakota during the current quarter, which resulted in less available cash for investment purchases. The decrease was also attributable to the Company investing a higher level of excess cash during the first quarter of 2021.</w:t>
      </w:r>
    </w:p>
    <w:p>
      <w:pPr>
        <w:spacing w:after="0" w:line="12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six months ended June 30, 2022, net cash used by financing activities totaled $9,163 compared to $9,422 a year ago. This decrease was primarily attributable to the Company repurchasing shares of its own common stock for $1,931 during the first half of 2022, compared to $2,267 during the first half of 2021.</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 standalone entity, and outside of the net proceeds from the IPO, the Company’s principal source of long-term liquidity will be dividend payments from its directly-owned subsidiaries.</w:t>
      </w:r>
    </w:p>
    <w:p>
      <w:pPr>
        <w:spacing w:after="0" w:line="15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3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amount available for payment of dividends from Nodak Insurance to us during 2022 without the prior approval of the North Dakota Insurance Department is approximately $21,493 based upon the surplus of Nodak Insurance at December 31, 2021. 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six months ended June 30, 2022, or the year ended December 31, 2021.</w:t>
      </w:r>
    </w:p>
    <w:p>
      <w:pPr>
        <w:spacing w:after="0" w:line="16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Direct Auto re-domesticated from Illinois to North Dakota during 2021, and is now subject to the same dividend restrictions as Nodak Insurance. The amount available for payment of dividends from Direct Auto to us during 2022 without the prior approval of the North Dakota Insurance Department is approximately $3,796 based upon the surplus of Direct Auto at December 31, 2021. No dividends were declared or paid by Direct Auto during the six months ended June 30, 2022, or the year ended December 31, 2021.</w:t>
      </w:r>
    </w:p>
    <w:p>
      <w:pPr>
        <w:spacing w:after="0" w:line="1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Westminster re-domesticated from Maryland to North Dakota during 2021, and is now subject to the same dividend restrictions as Nodak Insurance. The amount available for payment of dividends from Westminster to us during 2022 without the prior approval of the North Dakota Insurance Department is approximately $2,471 based upon the surplus of Westminster at December 31, 2021. No dividends were declared or paid by Westminster during the six months ended June 30, 2022, or the year ended December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a discussion of recent accounting pronouncements, see Part I, Item 1, Note 2, “Basis of Presentation and Accounting Policies--Recent Accounting Pronouncements” in this Quarterly Report on Form 10-Q.</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0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Company’s assessment of market risk as of June 30, 2022, indicates there have been no material changes in the quantitative and qualitative disclosures from those in Part II, Item 7A, “Quantitative and Qualitative Disclosures About Market Risk” in our 2021 Annual Report filed with the SEC.</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1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Company’s Chief Executive Officer and Chief Financial Officer have reviewed and evaluated the effectiveness of the Company’s disclosure controls and procedures (as required by Exchange Act Rules 240.13a-15(b) and 15d-15(b)) as of June 30, 2022. Based on that evaluation, the Chief Executive Officer and Chief Financial Officer have concluded that the Company’s current disclosure controls and procedures are effective.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w:t>
      </w:r>
    </w:p>
    <w:p>
      <w:pPr>
        <w:spacing w:after="0" w:line="21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the ordinary course of business, we periodically review our system of internal control over financial reporting to identify opportunities to improve our controls and increase efficiency, while ensuring that we maintain an effective internal control environment. In addition, when we acquire new businesses, we incorporate our controls and procedures into the acquired business as part of our integration activities. Since 2018, we have invested significant resources to comprehensively document and analyze our system of internal control over financial reporting. We have identified areas requiring improvement, and continue to make selected improvements to processes and controls to address issues identified through this review. These improvements may include such activities as implementing new, more efficient systems, automating manual processes, formalizing policies and procedures, increasing monitoring controls, and updating existing systems. We plan to continue this initiative as well as prepare for the first audit of our internal control over financial reporting, as required by Section 404 of the Sarbanes-Oxley Act of 2002 for the annual period ending December 31, 2022, which may result in changes to our internal control over financial reporting.</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quarter ended June 30, 2022, to which this report relates that have materially affected, or are reasonably likely to materially affect the Company’s internal control over financial reporting.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2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have been no material changes in our assessment of our risk factors from those set forth in Part I, Item 1A, “Risk Factors” in our 2021 Annual Report.</w:t>
      </w:r>
    </w:p>
    <w:p>
      <w:pPr>
        <w:spacing w:after="0" w:line="1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0900"/>
          </w:cols>
          <w:pgMar w:left="320" w:top="125" w:right="67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dollar amounts included in Item 2 herein, except per share amounts, are in thousands.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sold any unregistered securities within the past three years.</w:t>
      </w:r>
    </w:p>
    <w:p>
      <w:pPr>
        <w:spacing w:after="0" w:line="2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January 17, 2017, our registration statement on Form S-1 registering our common stock was declared effective by the SEC. On March 13, 2017, the Company completed the IPO of 10,350,000 shares of common stock at a price of $10.00 per share. The Company received net proceeds of $93,145 from the offering, after deducting underwriting discounts and offering expenses. Griffin Financial Group, LLC acted as our placement agent in connection with the IPO.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Direct Auto was acquired on August 31, 2018, with $17,000 of the net proceeds from the IPO.</w:t>
      </w:r>
    </w:p>
    <w:p>
      <w:pPr>
        <w:spacing w:after="0" w:line="21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January 1, 2020, we acquired Westminster for $40,000. We paid $20,000 at the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two installments were paid in January 2021 and January 2022. The Company anticipates using the net proceeds from the IPO to satisfy the remaining obligation in December 2022.</w:t>
      </w:r>
    </w:p>
    <w:p>
      <w:pPr>
        <w:spacing w:after="0" w:line="15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From time to time, the Company may also repurchase its own stock. These repurchases may be used to satisfy its obligations under the equity incentive plans or may be done for other reasons. To date, the Company has used the net proceeds from the IPO to fund these buyback programs.</w:t>
      </w:r>
    </w:p>
    <w:p>
      <w:pPr>
        <w:spacing w:after="0" w:line="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January 17, 2017.</w:t>
      </w:r>
    </w:p>
    <w:p>
      <w:pPr>
        <w:spacing w:after="0" w:line="15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May 4, 2020, our Board of Directors approved an authorization for the repurchase of up to approximately $10,000 of the Company’s outstanding common stock. During the year ended December 31, 2020, we completed the repurchase of 454,443 shares of our common stock for $7,238 under this authorization. During the nine months ended September 30, 2021, we repurchased an additional 144,110 shares of our common stock for $2,762 to close out this authorization.</w:t>
      </w:r>
    </w:p>
    <w:p>
      <w:pPr>
        <w:spacing w:after="0" w:line="173"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On August 11, 2021, our Board of Directors approved an additional authorization for the repurchase of up to approximately $5,000 of the Company’s outstanding common stock. During the six months ended December 31, 2021, we completed the repurchase of 81,095 shares of our common stock for $1,554 under this authorization. During the six months ended June 30, 2022, we completed the repurchase of 111,244 shares of our common stock for $1,932 under this authorization.</w:t>
      </w:r>
    </w:p>
    <w:p>
      <w:pPr>
        <w:spacing w:after="0" w:line="16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May 9, 2022, our Board of Directors approved an additional authorization for the repurchase of up to approximately $10,000 of the Company’s outstanding common stock.</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Total 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Maximum Dollar Value</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Shares Purchased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of Shares That May Yet</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Total Number of</w:t>
            </w:r>
          </w:p>
        </w:tc>
        <w:tc>
          <w:tcPr>
            <w:tcW w:w="1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Average Price</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as Part of Publicly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Be Purchased Under the</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Paid</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Announced Plans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260"/>
              <w:spacing w:after="0" w:line="216" w:lineRule="exact"/>
              <w:rPr>
                <w:sz w:val="20"/>
                <w:szCs w:val="20"/>
                <w:color w:val="auto"/>
              </w:rPr>
            </w:pPr>
            <w:r>
              <w:rPr>
                <w:rFonts w:ascii="Arial" w:cs="Arial" w:eastAsia="Arial" w:hAnsi="Arial"/>
                <w:sz w:val="18"/>
                <w:szCs w:val="18"/>
                <w:color w:val="auto"/>
                <w:w w:val="87"/>
              </w:rPr>
              <w:t xml:space="preserve">Plans or Programs </w:t>
            </w:r>
            <w:r>
              <w:rPr>
                <w:rFonts w:ascii="Arial" w:cs="Arial" w:eastAsia="Arial" w:hAnsi="Arial"/>
                <w:sz w:val="21"/>
                <w:szCs w:val="21"/>
                <w:color w:val="auto"/>
                <w:w w:val="87"/>
                <w:vertAlign w:val="superscript"/>
              </w:rPr>
              <w:t>(2)</w:t>
            </w:r>
          </w:p>
        </w:tc>
      </w:tr>
      <w:tr>
        <w:trPr>
          <w:trHeight w:val="244"/>
        </w:trPr>
        <w:tc>
          <w:tcPr>
            <w:tcW w:w="3500" w:type="dxa"/>
            <w:vAlign w:val="bottom"/>
          </w:tcPr>
          <w:p>
            <w:pPr>
              <w:ind w:left="1220"/>
              <w:spacing w:after="0"/>
              <w:rPr>
                <w:sz w:val="20"/>
                <w:szCs w:val="20"/>
                <w:color w:val="auto"/>
              </w:rPr>
            </w:pPr>
            <w:r>
              <w:rPr>
                <w:rFonts w:ascii="Arial" w:cs="Arial" w:eastAsia="Arial" w:hAnsi="Arial"/>
                <w:sz w:val="18"/>
                <w:szCs w:val="18"/>
                <w:color w:val="auto"/>
              </w:rPr>
              <w:t>Period in 2022</w:t>
            </w:r>
          </w:p>
        </w:tc>
        <w:tc>
          <w:tcPr>
            <w:tcW w:w="120" w:type="dxa"/>
            <w:vAlign w:val="bottom"/>
          </w:tcPr>
          <w:p>
            <w:pPr>
              <w:spacing w:after="0"/>
              <w:rPr>
                <w:sz w:val="21"/>
                <w:szCs w:val="21"/>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21"/>
                <w:szCs w:val="21"/>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Per Share</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 xml:space="preserve">or Programs </w:t>
            </w:r>
            <w:r>
              <w:rPr>
                <w:rFonts w:ascii="Arial" w:cs="Arial" w:eastAsia="Arial" w:hAnsi="Arial"/>
                <w:sz w:val="21"/>
                <w:szCs w:val="21"/>
                <w:color w:val="auto"/>
                <w:w w:val="87"/>
                <w:vertAlign w:val="superscript"/>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 thousands)</w:t>
            </w: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1-30, 2022</w:t>
            </w: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20,466</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20" w:type="dxa"/>
            <w:vAlign w:val="bottom"/>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May 1-31, 2022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20,596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16.39</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20,596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11,772</w:t>
            </w:r>
          </w:p>
        </w:tc>
      </w:tr>
      <w:tr>
        <w:trPr>
          <w:trHeight w:val="216"/>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1-30, 2022</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15,310</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500" w:type="dxa"/>
            <w:vAlign w:val="bottom"/>
          </w:tcPr>
          <w:p>
            <w:pPr>
              <w:ind w:left="180"/>
              <w:spacing w:after="0"/>
              <w:rPr>
                <w:sz w:val="20"/>
                <w:szCs w:val="20"/>
                <w:color w:val="auto"/>
              </w:rPr>
            </w:pPr>
            <w:r>
              <w:rPr>
                <w:rFonts w:ascii="Arial" w:cs="Arial" w:eastAsia="Arial" w:hAnsi="Arial"/>
                <w:sz w:val="18"/>
                <w:szCs w:val="18"/>
                <w:color w:val="auto"/>
              </w:rPr>
              <w:t>Total</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56,372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16.58</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56,372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11,514</w:t>
            </w: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0" w:right="440" w:hanging="792"/>
        <w:spacing w:after="0" w:line="277"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purchased pursuant to the August 11, 2021 publicly announced share repurchase authorization of up to approximately $5,000 of the Company’s outstanding common stock.</w:t>
      </w:r>
    </w:p>
    <w:p>
      <w:pPr>
        <w:spacing w:after="0" w:line="129" w:lineRule="exact"/>
        <w:rPr>
          <w:rFonts w:ascii="Arial" w:cs="Arial" w:eastAsia="Arial" w:hAnsi="Arial"/>
          <w:sz w:val="18"/>
          <w:szCs w:val="18"/>
          <w:color w:val="auto"/>
        </w:rPr>
      </w:pPr>
    </w:p>
    <w:p>
      <w:pPr>
        <w:ind w:left="800" w:right="760" w:hanging="792"/>
        <w:spacing w:after="0" w:line="263"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Maximum dollar value of shares that may yet be purchased consist of up to approximately $1,514 under the August 11, 2021, publicly announced repurchase authorization and up to approximately $10,000 under the May 9, 2022, publicly announced share repurchase authorization.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22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4"/>
        </w:trPr>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000" w:type="dxa"/>
            <w:vAlign w:val="bottom"/>
            <w:tcBorders>
              <w:bottom w:val="single" w:sz="8" w:color="auto"/>
            </w:tcBorders>
            <w:gridSpan w:val="4"/>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20" w:type="dxa"/>
            <w:vAlign w:val="bottom"/>
          </w:tcPr>
          <w:p>
            <w:pPr>
              <w:ind w:left="180"/>
              <w:spacing w:after="0" w:line="169"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4"/>
                <w:szCs w:val="14"/>
                <w:color w:val="auto"/>
              </w:rPr>
            </w:pPr>
          </w:p>
        </w:tc>
        <w:tc>
          <w:tcPr>
            <w:tcW w:w="10000" w:type="dxa"/>
            <w:vAlign w:val="bottom"/>
            <w:gridSpan w:val="4"/>
          </w:tcPr>
          <w:p>
            <w:pPr>
              <w:ind w:left="20"/>
              <w:spacing w:after="0" w:line="169" w:lineRule="exact"/>
              <w:rPr>
                <w:rFonts w:ascii="Arial" w:cs="Arial" w:eastAsia="Arial" w:hAnsi="Arial"/>
                <w:sz w:val="18"/>
                <w:szCs w:val="18"/>
                <w:color w:val="0000EE"/>
                <w:w w:val="94"/>
              </w:rPr>
            </w:pPr>
            <w:hyperlink w:anchor="page50">
              <w:r>
                <w:rPr>
                  <w:rFonts w:ascii="Arial" w:cs="Arial" w:eastAsia="Arial" w:hAnsi="Arial"/>
                  <w:sz w:val="18"/>
                  <w:szCs w:val="18"/>
                  <w:color w:val="0000EE"/>
                  <w:w w:val="94"/>
                </w:rPr>
                <w:t>Certification of Principal Executive Officer Pursuant to Rules 13a-14(a) and 15d-14(a) under the Securities Exchange Act of 1934, as</w:t>
              </w:r>
            </w:hyperlink>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2"/>
          </w:tcPr>
          <w:p>
            <w:pPr>
              <w:spacing w:after="0"/>
              <w:rPr>
                <w:sz w:val="17"/>
                <w:szCs w:val="17"/>
                <w:color w:val="auto"/>
              </w:rPr>
            </w:pPr>
          </w:p>
        </w:tc>
        <w:tc>
          <w:tcPr>
            <w:tcW w:w="380" w:type="dxa"/>
            <w:vAlign w:val="bottom"/>
          </w:tcPr>
          <w:p>
            <w:pPr>
              <w:spacing w:after="0"/>
              <w:rPr>
                <w:sz w:val="17"/>
                <w:szCs w:val="17"/>
                <w:color w:val="auto"/>
              </w:rPr>
            </w:pPr>
          </w:p>
        </w:tc>
      </w:tr>
      <w:tr>
        <w:trPr>
          <w:trHeight w:val="412"/>
        </w:trPr>
        <w:tc>
          <w:tcPr>
            <w:tcW w:w="1020" w:type="dxa"/>
            <w:vAlign w:val="bottom"/>
          </w:tcPr>
          <w:p>
            <w:pPr>
              <w:ind w:left="18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580" w:type="dxa"/>
            <w:vAlign w:val="bottom"/>
            <w:tcBorders>
              <w:bottom w:val="single" w:sz="8" w:color="0000EE"/>
            </w:tcBorders>
            <w:gridSpan w:val="2"/>
          </w:tcPr>
          <w:p>
            <w:pPr>
              <w:ind w:left="20"/>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42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bottom w:val="single" w:sz="8" w:color="0000EE"/>
            </w:tcBorders>
          </w:tcPr>
          <w:p>
            <w:pPr>
              <w:ind w:left="20"/>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Adopted Pursuant to Section 302 of the Sarbanes-Oxley Act of 2002.</w:t>
              </w:r>
            </w:hyperlink>
          </w:p>
        </w:tc>
        <w:tc>
          <w:tcPr>
            <w:tcW w:w="5000" w:type="dxa"/>
            <w:vAlign w:val="bottom"/>
            <w:gridSpan w:val="3"/>
          </w:tcPr>
          <w:p>
            <w:pPr>
              <w:spacing w:after="0"/>
              <w:rPr>
                <w:sz w:val="17"/>
                <w:szCs w:val="17"/>
                <w:color w:val="auto"/>
              </w:rPr>
            </w:pPr>
          </w:p>
        </w:tc>
      </w:tr>
    </w:tbl>
    <w:p>
      <w:pPr>
        <w:spacing w:after="0" w:line="229" w:lineRule="exact"/>
        <w:rPr>
          <w:sz w:val="20"/>
          <w:szCs w:val="20"/>
          <w:color w:val="auto"/>
        </w:rPr>
      </w:pPr>
    </w:p>
    <w:p>
      <w:pPr>
        <w:ind w:left="1260" w:right="300" w:hanging="1072"/>
        <w:spacing w:after="0" w:line="277" w:lineRule="auto"/>
        <w:tabs>
          <w:tab w:leader="none" w:pos="1260" w:val="left"/>
        </w:tabs>
        <w:numPr>
          <w:ilvl w:val="0"/>
          <w:numId w:val="27"/>
        </w:numPr>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Certification of Principal Executive Officer and Principal Financial Officer pursuant to 18 U.S.C. Section 1350, as adopted pursuant to</w:t>
        </w:r>
      </w:hyperlink>
      <w:r>
        <w:rPr>
          <w:rFonts w:ascii="Arial" w:cs="Arial" w:eastAsia="Arial" w:hAnsi="Arial"/>
          <w:sz w:val="18"/>
          <w:szCs w:val="18"/>
          <w:u w:val="single" w:color="auto"/>
          <w:color w:val="0000EE"/>
        </w:rPr>
        <w:t xml:space="preserve"> </w:t>
      </w:r>
      <w:hyperlink w:anchor="page52">
        <w:r>
          <w:rPr>
            <w:rFonts w:ascii="Arial" w:cs="Arial" w:eastAsia="Arial" w:hAnsi="Arial"/>
            <w:sz w:val="18"/>
            <w:szCs w:val="18"/>
            <w:u w:val="single" w:color="auto"/>
            <w:color w:val="0000EE"/>
          </w:rPr>
          <w:t>Section 906 of the Sarbanes-Oxley Act of 2002.</w:t>
        </w:r>
      </w:hyperlink>
    </w:p>
    <w:p>
      <w:pPr>
        <w:spacing w:after="0" w:line="170" w:lineRule="exact"/>
        <w:rPr>
          <w:rFonts w:ascii="Arial" w:cs="Arial" w:eastAsia="Arial" w:hAnsi="Arial"/>
          <w:sz w:val="18"/>
          <w:szCs w:val="18"/>
          <w:color w:val="auto"/>
        </w:rPr>
      </w:pPr>
    </w:p>
    <w:tbl>
      <w:tblPr>
        <w:tblLayout w:type="fixed"/>
        <w:tblInd w:w="18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9780" w:type="dxa"/>
            <w:vAlign w:val="bottom"/>
          </w:tcPr>
          <w:p>
            <w:pPr>
              <w:ind w:left="20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30"/>
        </w:trPr>
        <w:tc>
          <w:tcPr>
            <w:tcW w:w="880" w:type="dxa"/>
            <w:vAlign w:val="bottom"/>
          </w:tcPr>
          <w:p>
            <w:pPr>
              <w:spacing w:after="0"/>
              <w:rPr>
                <w:sz w:val="20"/>
                <w:szCs w:val="20"/>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tcPr>
          <w:p>
            <w:pPr>
              <w:ind w:left="200"/>
              <w:spacing w:after="0"/>
              <w:rPr>
                <w:sz w:val="20"/>
                <w:szCs w:val="20"/>
                <w:color w:val="auto"/>
              </w:rPr>
            </w:pPr>
            <w:r>
              <w:rPr>
                <w:rFonts w:ascii="Arial" w:cs="Arial" w:eastAsia="Arial" w:hAnsi="Arial"/>
                <w:sz w:val="18"/>
                <w:szCs w:val="18"/>
                <w:color w:val="auto"/>
              </w:rPr>
              <w:t>Inline XBRL Taxonomy Extension Schema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tcPr>
          <w:p>
            <w:pPr>
              <w:ind w:left="20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rFonts w:ascii="Arial" w:cs="Arial" w:eastAsia="Arial" w:hAnsi="Arial"/>
          <w:sz w:val="18"/>
          <w:szCs w:val="18"/>
          <w:color w:val="auto"/>
        </w:rPr>
      </w:pPr>
    </w:p>
    <w:p>
      <w:pPr>
        <w:ind w:left="1260" w:hanging="1072"/>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4, 2022.</w:t>
      </w:r>
    </w:p>
    <w:p>
      <w:pPr>
        <w:spacing w:after="0" w:line="200" w:lineRule="exact"/>
        <w:rPr>
          <w:sz w:val="20"/>
          <w:szCs w:val="20"/>
          <w:color w:val="auto"/>
        </w:rPr>
      </w:pPr>
    </w:p>
    <w:p>
      <w:pPr>
        <w:spacing w:after="0" w:line="26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NI HOLDINGS, INC.</w:t>
      </w:r>
    </w:p>
    <w:p>
      <w:pPr>
        <w:spacing w:after="0" w:line="200" w:lineRule="exact"/>
        <w:rPr>
          <w:sz w:val="20"/>
          <w:szCs w:val="20"/>
          <w:color w:val="auto"/>
        </w:rPr>
      </w:pPr>
    </w:p>
    <w:p>
      <w:pPr>
        <w:spacing w:after="0" w:line="20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J. Alexander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Seth C. Daggett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Seth C. Daggett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7"/>
          <w:szCs w:val="17"/>
          <w:i w:val="1"/>
          <w:iCs w:val="1"/>
          <w:color w:val="auto"/>
        </w:rPr>
        <w:t>(Principal Financial Officer and Principal Accounting</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Officer)</w:t>
      </w:r>
    </w:p>
    <w:p>
      <w:pPr>
        <w:spacing w:after="0" w:line="17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0700"/>
          </w:cols>
          <w:pgMar w:left="320" w:top="125" w:right="8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Michael J. Alexander, certify that:</w:t>
      </w:r>
    </w:p>
    <w:p>
      <w:pPr>
        <w:spacing w:after="0" w:line="185"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184"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ind w:left="2820"/>
              <w:spacing w:after="0"/>
              <w:rPr>
                <w:sz w:val="20"/>
                <w:szCs w:val="20"/>
                <w:color w:val="auto"/>
              </w:rPr>
            </w:pPr>
            <w:r>
              <w:rPr>
                <w:rFonts w:ascii="Arial" w:cs="Arial" w:eastAsia="Arial" w:hAnsi="Arial"/>
                <w:sz w:val="18"/>
                <w:szCs w:val="18"/>
                <w:color w:val="auto"/>
              </w:rPr>
              <w:t>August 4, 2022</w:t>
            </w:r>
          </w:p>
        </w:tc>
        <w:tc>
          <w:tcPr>
            <w:tcW w:w="90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2800" w:type="dxa"/>
            <w:vAlign w:val="bottom"/>
          </w:tcPr>
          <w:p>
            <w:pPr>
              <w:spacing w:after="0"/>
              <w:rPr>
                <w:sz w:val="20"/>
                <w:szCs w:val="20"/>
                <w:color w:val="auto"/>
              </w:rPr>
            </w:pPr>
          </w:p>
        </w:tc>
      </w:tr>
      <w:tr>
        <w:trPr>
          <w:trHeight w:val="195"/>
        </w:trPr>
        <w:tc>
          <w:tcPr>
            <w:tcW w:w="4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2800" w:type="dxa"/>
            <w:vAlign w:val="bottom"/>
          </w:tcPr>
          <w:p>
            <w:pPr>
              <w:spacing w:after="0"/>
              <w:rPr>
                <w:sz w:val="16"/>
                <w:szCs w:val="16"/>
                <w:color w:val="auto"/>
              </w:rPr>
            </w:pPr>
          </w:p>
        </w:tc>
      </w:tr>
      <w:tr>
        <w:trPr>
          <w:trHeight w:val="216"/>
        </w:trPr>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3"/>
              </w:rPr>
              <w:t>President and Chief Executive Officer</w:t>
            </w:r>
          </w:p>
        </w:tc>
        <w:tc>
          <w:tcPr>
            <w:tcW w:w="2800" w:type="dxa"/>
            <w:vAlign w:val="bottom"/>
          </w:tcPr>
          <w:p>
            <w:pPr>
              <w:spacing w:after="0"/>
              <w:rPr>
                <w:sz w:val="18"/>
                <w:szCs w:val="18"/>
                <w:color w:val="auto"/>
              </w:rPr>
            </w:pPr>
          </w:p>
        </w:tc>
      </w:tr>
      <w:tr>
        <w:trPr>
          <w:trHeight w:val="230"/>
        </w:trPr>
        <w:tc>
          <w:tcPr>
            <w:tcW w:w="4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2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800" w:type="dxa"/>
            <w:vAlign w:val="bottom"/>
          </w:tcPr>
          <w:p>
            <w:pPr>
              <w:spacing w:after="0"/>
              <w:rPr>
                <w:sz w:val="20"/>
                <w:szCs w:val="20"/>
                <w:color w:val="auto"/>
              </w:rPr>
            </w:pPr>
          </w:p>
        </w:tc>
      </w:tr>
      <w:tr>
        <w:trPr>
          <w:trHeight w:val="898"/>
        </w:trPr>
        <w:tc>
          <w:tcPr>
            <w:tcW w:w="47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jc w:val="right"/>
              <w:ind w:right="2650"/>
              <w:spacing w:after="0"/>
              <w:rPr>
                <w:sz w:val="20"/>
                <w:szCs w:val="20"/>
                <w:color w:val="auto"/>
              </w:rPr>
            </w:pPr>
            <w:r>
              <w:rPr>
                <w:rFonts w:ascii="Arial" w:cs="Arial" w:eastAsia="Arial" w:hAnsi="Arial"/>
                <w:sz w:val="18"/>
                <w:szCs w:val="18"/>
                <w:color w:val="auto"/>
              </w:rPr>
              <w:t>48</w:t>
            </w: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Seth C. Daggett, certify that:</w:t>
      </w:r>
    </w:p>
    <w:p>
      <w:pPr>
        <w:spacing w:after="0" w:line="185"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19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83"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ind w:left="2820"/>
              <w:spacing w:after="0"/>
              <w:rPr>
                <w:sz w:val="20"/>
                <w:szCs w:val="20"/>
                <w:color w:val="auto"/>
              </w:rPr>
            </w:pPr>
            <w:r>
              <w:rPr>
                <w:rFonts w:ascii="Arial" w:cs="Arial" w:eastAsia="Arial" w:hAnsi="Arial"/>
                <w:sz w:val="18"/>
                <w:szCs w:val="18"/>
                <w:color w:val="auto"/>
              </w:rPr>
              <w:t>August 4, 2022</w:t>
            </w:r>
          </w:p>
        </w:tc>
        <w:tc>
          <w:tcPr>
            <w:tcW w:w="90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C. Daggett</w:t>
            </w:r>
          </w:p>
        </w:tc>
        <w:tc>
          <w:tcPr>
            <w:tcW w:w="2800" w:type="dxa"/>
            <w:vAlign w:val="bottom"/>
          </w:tcPr>
          <w:p>
            <w:pPr>
              <w:spacing w:after="0"/>
              <w:rPr>
                <w:sz w:val="20"/>
                <w:szCs w:val="20"/>
                <w:color w:val="auto"/>
              </w:rPr>
            </w:pPr>
          </w:p>
        </w:tc>
      </w:tr>
      <w:tr>
        <w:trPr>
          <w:trHeight w:val="195"/>
        </w:trPr>
        <w:tc>
          <w:tcPr>
            <w:tcW w:w="4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Seth C. Daggett</w:t>
            </w:r>
          </w:p>
        </w:tc>
        <w:tc>
          <w:tcPr>
            <w:tcW w:w="2800" w:type="dxa"/>
            <w:vAlign w:val="bottom"/>
          </w:tcPr>
          <w:p>
            <w:pPr>
              <w:spacing w:after="0"/>
              <w:rPr>
                <w:sz w:val="16"/>
                <w:szCs w:val="16"/>
                <w:color w:val="auto"/>
              </w:rPr>
            </w:pPr>
          </w:p>
        </w:tc>
      </w:tr>
      <w:tr>
        <w:trPr>
          <w:trHeight w:val="216"/>
        </w:trPr>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spacing w:after="0"/>
              <w:rPr>
                <w:sz w:val="18"/>
                <w:szCs w:val="18"/>
                <w:color w:val="auto"/>
              </w:rPr>
            </w:pPr>
          </w:p>
        </w:tc>
      </w:tr>
      <w:tr>
        <w:trPr>
          <w:trHeight w:val="230"/>
        </w:trPr>
        <w:tc>
          <w:tcPr>
            <w:tcW w:w="4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800" w:type="dxa"/>
            <w:vAlign w:val="bottom"/>
          </w:tcPr>
          <w:p>
            <w:pPr>
              <w:spacing w:after="0"/>
              <w:rPr>
                <w:sz w:val="20"/>
                <w:szCs w:val="20"/>
                <w:color w:val="auto"/>
              </w:rPr>
            </w:pPr>
          </w:p>
        </w:tc>
      </w:tr>
      <w:tr>
        <w:trPr>
          <w:trHeight w:val="344"/>
        </w:trPr>
        <w:tc>
          <w:tcPr>
            <w:tcW w:w="47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jc w:val="right"/>
              <w:ind w:right="2650"/>
              <w:spacing w:after="0"/>
              <w:rPr>
                <w:sz w:val="20"/>
                <w:szCs w:val="20"/>
                <w:color w:val="auto"/>
              </w:rPr>
            </w:pPr>
            <w:r>
              <w:rPr>
                <w:rFonts w:ascii="Arial" w:cs="Arial" w:eastAsia="Arial" w:hAnsi="Arial"/>
                <w:sz w:val="18"/>
                <w:szCs w:val="18"/>
                <w:color w:val="auto"/>
              </w:rPr>
              <w:t>49</w:t>
            </w: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5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quarterly report of NI Holdings, Inc. (the “Company”) on Form 10-Q for the period ended June 30, 2022, as filed with the Securities and Exchange Commission on the date hereof (the “Report”), we, Michael J. Alexander, President and Chief Executive Officer, and Seth C. Daggett, Chief Financial Officer, of the Company, certify, pursuant to 18 U.S.C. Section 1350, as adopted pursuant to Section 906 of the Sarbanes-Oxley Act of 2002, that, to our knowledge:</w:t>
      </w:r>
    </w:p>
    <w:p>
      <w:pPr>
        <w:spacing w:after="0" w:line="146"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ind w:left="2820"/>
              <w:spacing w:after="0"/>
              <w:rPr>
                <w:sz w:val="20"/>
                <w:szCs w:val="20"/>
                <w:color w:val="auto"/>
              </w:rPr>
            </w:pPr>
            <w:r>
              <w:rPr>
                <w:rFonts w:ascii="Arial" w:cs="Arial" w:eastAsia="Arial" w:hAnsi="Arial"/>
                <w:sz w:val="18"/>
                <w:szCs w:val="18"/>
                <w:color w:val="auto"/>
              </w:rPr>
              <w:t>August 4, 2022</w:t>
            </w:r>
          </w:p>
        </w:tc>
        <w:tc>
          <w:tcPr>
            <w:tcW w:w="90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2800" w:type="dxa"/>
            <w:vAlign w:val="bottom"/>
          </w:tcPr>
          <w:p>
            <w:pPr>
              <w:spacing w:after="0"/>
              <w:rPr>
                <w:sz w:val="20"/>
                <w:szCs w:val="20"/>
                <w:color w:val="auto"/>
              </w:rPr>
            </w:pPr>
          </w:p>
        </w:tc>
      </w:tr>
      <w:tr>
        <w:trPr>
          <w:trHeight w:val="195"/>
        </w:trPr>
        <w:tc>
          <w:tcPr>
            <w:tcW w:w="4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2800" w:type="dxa"/>
            <w:vAlign w:val="bottom"/>
          </w:tcPr>
          <w:p>
            <w:pPr>
              <w:spacing w:after="0"/>
              <w:rPr>
                <w:sz w:val="16"/>
                <w:szCs w:val="16"/>
                <w:color w:val="auto"/>
              </w:rPr>
            </w:pPr>
          </w:p>
        </w:tc>
      </w:tr>
      <w:tr>
        <w:trPr>
          <w:trHeight w:val="216"/>
        </w:trPr>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3"/>
              </w:rPr>
              <w:t>President and Chief Executive Officer</w:t>
            </w:r>
          </w:p>
        </w:tc>
        <w:tc>
          <w:tcPr>
            <w:tcW w:w="2800" w:type="dxa"/>
            <w:vAlign w:val="bottom"/>
          </w:tcPr>
          <w:p>
            <w:pPr>
              <w:spacing w:after="0"/>
              <w:rPr>
                <w:sz w:val="18"/>
                <w:szCs w:val="18"/>
                <w:color w:val="auto"/>
              </w:rPr>
            </w:pPr>
          </w:p>
        </w:tc>
      </w:tr>
      <w:tr>
        <w:trPr>
          <w:trHeight w:val="230"/>
        </w:trPr>
        <w:tc>
          <w:tcPr>
            <w:tcW w:w="4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2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800" w:type="dxa"/>
            <w:vAlign w:val="bottom"/>
          </w:tcPr>
          <w:p>
            <w:pPr>
              <w:spacing w:after="0"/>
              <w:rPr>
                <w:sz w:val="20"/>
                <w:szCs w:val="20"/>
                <w:color w:val="auto"/>
              </w:rPr>
            </w:pPr>
          </w:p>
        </w:tc>
      </w:tr>
      <w:tr>
        <w:trPr>
          <w:trHeight w:val="702"/>
        </w:trPr>
        <w:tc>
          <w:tcPr>
            <w:tcW w:w="4720" w:type="dxa"/>
            <w:vAlign w:val="bottom"/>
          </w:tcPr>
          <w:p>
            <w:pPr>
              <w:ind w:left="2820"/>
              <w:spacing w:after="0"/>
              <w:rPr>
                <w:sz w:val="20"/>
                <w:szCs w:val="20"/>
                <w:color w:val="auto"/>
              </w:rPr>
            </w:pPr>
            <w:r>
              <w:rPr>
                <w:rFonts w:ascii="Arial" w:cs="Arial" w:eastAsia="Arial" w:hAnsi="Arial"/>
                <w:sz w:val="18"/>
                <w:szCs w:val="18"/>
                <w:color w:val="auto"/>
              </w:rPr>
              <w:t>August 4, 2022</w:t>
            </w:r>
          </w:p>
        </w:tc>
        <w:tc>
          <w:tcPr>
            <w:tcW w:w="9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C. Daggett</w:t>
            </w:r>
          </w:p>
        </w:tc>
        <w:tc>
          <w:tcPr>
            <w:tcW w:w="2800" w:type="dxa"/>
            <w:vAlign w:val="bottom"/>
          </w:tcPr>
          <w:p>
            <w:pPr>
              <w:spacing w:after="0"/>
              <w:rPr>
                <w:sz w:val="24"/>
                <w:szCs w:val="24"/>
                <w:color w:val="auto"/>
              </w:rPr>
            </w:pPr>
          </w:p>
        </w:tc>
      </w:tr>
      <w:tr>
        <w:trPr>
          <w:trHeight w:val="195"/>
        </w:trPr>
        <w:tc>
          <w:tcPr>
            <w:tcW w:w="4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Seth C. Daggett</w:t>
            </w:r>
          </w:p>
        </w:tc>
        <w:tc>
          <w:tcPr>
            <w:tcW w:w="2800" w:type="dxa"/>
            <w:vAlign w:val="bottom"/>
          </w:tcPr>
          <w:p>
            <w:pPr>
              <w:spacing w:after="0"/>
              <w:rPr>
                <w:sz w:val="16"/>
                <w:szCs w:val="16"/>
                <w:color w:val="auto"/>
              </w:rPr>
            </w:pPr>
          </w:p>
        </w:tc>
      </w:tr>
      <w:tr>
        <w:trPr>
          <w:trHeight w:val="216"/>
        </w:trPr>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spacing w:after="0"/>
              <w:rPr>
                <w:sz w:val="18"/>
                <w:szCs w:val="18"/>
                <w:color w:val="auto"/>
              </w:rPr>
            </w:pPr>
          </w:p>
        </w:tc>
      </w:tr>
      <w:tr>
        <w:trPr>
          <w:trHeight w:val="230"/>
        </w:trPr>
        <w:tc>
          <w:tcPr>
            <w:tcW w:w="4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800" w:type="dxa"/>
            <w:vAlign w:val="bottom"/>
          </w:tcPr>
          <w:p>
            <w:pPr>
              <w:spacing w:after="0"/>
              <w:rPr>
                <w:sz w:val="20"/>
                <w:szCs w:val="20"/>
                <w:color w:val="auto"/>
              </w:rPr>
            </w:pPr>
          </w:p>
        </w:tc>
      </w:tr>
      <w:tr>
        <w:trPr>
          <w:trHeight w:val="993"/>
        </w:trPr>
        <w:tc>
          <w:tcPr>
            <w:tcW w:w="47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jc w:val="right"/>
              <w:ind w:right="2650"/>
              <w:spacing w:after="0"/>
              <w:rPr>
                <w:sz w:val="20"/>
                <w:szCs w:val="20"/>
                <w:color w:val="auto"/>
              </w:rPr>
            </w:pPr>
            <w:r>
              <w:rPr>
                <w:rFonts w:ascii="Arial" w:cs="Arial" w:eastAsia="Arial" w:hAnsi="Arial"/>
                <w:sz w:val="18"/>
                <w:szCs w:val="18"/>
                <w:color w:val="auto"/>
              </w:rPr>
              <w:t>50</w:t>
            </w:r>
          </w:p>
        </w:tc>
        <w:tc>
          <w:tcPr>
            <w:tcW w:w="2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1."/>
      <w:numFmt w:val="decimal"/>
      <w:start w:val="3"/>
    </w:lvl>
  </w:abstractNum>
  <w:abstractNum w:abstractNumId="7">
    <w:nsid w:val="257130A3"/>
    <w:multiLevelType w:val="hybridMultilevel"/>
    <w:lvl w:ilvl="0">
      <w:lvlJc w:val="left"/>
      <w:lvlText w:val="%1."/>
      <w:numFmt w:val="decimal"/>
      <w:start w:val="4"/>
    </w:lvl>
  </w:abstractNum>
  <w:abstractNum w:abstractNumId="8">
    <w:nsid w:val="62BBD95A"/>
    <w:multiLevelType w:val="hybridMultilevel"/>
    <w:lvl w:ilvl="0">
      <w:lvlJc w:val="left"/>
      <w:lvlText w:val="%1."/>
      <w:numFmt w:val="decimal"/>
      <w:start w:val="5"/>
    </w:lvl>
  </w:abstractNum>
  <w:abstractNum w:abstractNumId="9">
    <w:nsid w:val="436C6125"/>
    <w:multiLevelType w:val="hybridMultilevel"/>
    <w:lvl w:ilvl="0">
      <w:lvlJc w:val="left"/>
      <w:lvlText w:val="%1."/>
      <w:numFmt w:val="decimal"/>
      <w:start w:val="6"/>
    </w:lvl>
  </w:abstractNum>
  <w:abstractNum w:abstractNumId="10">
    <w:nsid w:val="628C895D"/>
    <w:multiLevelType w:val="hybridMultilevel"/>
    <w:lvl w:ilvl="0">
      <w:lvlJc w:val="left"/>
      <w:lvlText w:val="%1."/>
      <w:numFmt w:val="decimal"/>
      <w:start w:val="10"/>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decimal"/>
      <w:start w:val="12"/>
    </w:lvl>
  </w:abstractNum>
  <w:abstractNum w:abstractNumId="14">
    <w:nsid w:val="2D1D5AE9"/>
    <w:multiLevelType w:val="hybridMultilevel"/>
    <w:lvl w:ilvl="0">
      <w:lvlJc w:val="left"/>
      <w:lvlText w:val="%1."/>
      <w:numFmt w:val="decimal"/>
      <w:start w:val="13"/>
    </w:lvl>
  </w:abstractNum>
  <w:abstractNum w:abstractNumId="15">
    <w:nsid w:val="6763845E"/>
    <w:multiLevelType w:val="hybridMultilevel"/>
    <w:lvl w:ilvl="0">
      <w:lvlJc w:val="left"/>
      <w:lvlText w:val="%1."/>
      <w:numFmt w:val="decimal"/>
      <w:start w:val="14"/>
    </w:lvl>
  </w:abstractNum>
  <w:abstractNum w:abstractNumId="16">
    <w:nsid w:val="75A2A8D4"/>
    <w:multiLevelType w:val="hybridMultilevel"/>
    <w:lvl w:ilvl="0">
      <w:lvlJc w:val="left"/>
      <w:lvlText w:val="%1."/>
      <w:numFmt w:val="decimal"/>
      <w:start w:val="15"/>
    </w:lvl>
  </w:abstractNum>
  <w:abstractNum w:abstractNumId="17">
    <w:nsid w:val="8EDBDAB"/>
    <w:multiLevelType w:val="hybridMultilevel"/>
    <w:lvl w:ilvl="0">
      <w:lvlJc w:val="left"/>
      <w:lvlText w:val="%1."/>
      <w:numFmt w:val="decimal"/>
      <w:start w:val="16"/>
    </w:lvl>
  </w:abstractNum>
  <w:abstractNum w:abstractNumId="18">
    <w:nsid w:val="79838CB2"/>
    <w:multiLevelType w:val="hybridMultilevel"/>
    <w:lvl w:ilvl="0">
      <w:lvlJc w:val="left"/>
      <w:lvlText w:val="%1."/>
      <w:numFmt w:val="decimal"/>
      <w:start w:val="17"/>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8"/>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32"/>
    </w:lvl>
  </w:abstractNum>
  <w:abstractNum w:abstractNumId="27">
    <w:nsid w:val="3A95F874"/>
    <w:multiLevelType w:val="hybridMultilevel"/>
    <w:lvl w:ilvl="0">
      <w:lvlJc w:val="left"/>
      <w:lvlText w:val="%1"/>
      <w:numFmt w:val="decimal"/>
      <w:start w:val="104"/>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2022-08-04T16:15:39Z</dcterms:created>
  <dcterms:modified xsi:type="dcterms:W3CDTF">2022-08-04T16:15:39Z</dcterms:modified>
</cp:coreProperties>
</file>