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spacing w:before="0" w:after="0"/>
        <w:ind w:left="0" w:right="0" w:firstLine="8960"/>
        <w:jc w:val="left"/>
        <w:rPr>
          <w:caps w:val="false"/>
          <w:smallCaps w:val="false"/>
        </w:rPr>
      </w:pPr>
      <w:bookmarkStart w:id="0" w:name="nodk-20260630.htm"/>
      <w:bookmarkStart w:id="1" w:name="ksnodk20260630"/>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20" w:after="20"/>
        <w:jc w:val="left"/>
        <w:rPr>
          <w:bdr w:val="single" w:sz="6" w:space="1" w:color="000000"/>
        </w:rPr>
      </w:pPr>
      <w:r>
        <w:rPr>
          <w:bdr w:val="single" w:sz="6" w:space="1" w:color="000000"/>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left"/>
              <w:rPr>
                <w:b/>
                <w:sz w:val="20"/>
              </w:rPr>
            </w:pPr>
            <w:r>
              <w:rPr>
                <w:b/>
                <w:sz w:val="20"/>
              </w:rPr>
              <w:t>QUARTERLY REPORT PURSUANT TO SECTION 13 OR 15(d) OF THE SECURITIES EXCHANGE ACT OF 1934</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b/>
                <w:sz w:val="20"/>
              </w:rPr>
            </w:pPr>
            <w:r>
              <w:rPr>
                <w:b/>
                <w:sz w:val="20"/>
              </w:rPr>
              <w:t>TRANSITION REPORT PURSUANT TO SECTION 13 OR 15(d) OF THE SECURITIES EXCHANGE ACT OF 1934</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xml:space="preserve"> to </w:t>
      </w:r>
      <w:r>
        <w:rPr>
          <w:rFonts w:ascii="Times New Roman;Times;Serif" w:hAnsi="Times New Roman;Times;Serif"/>
          <w:b/>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001-37973</w:t>
      </w:r>
      <w:r>
        <w:rPr>
          <w:rFonts w:ascii="Times New Roman;Times;Serif" w:hAnsi="Times New Roman;Times;Serif"/>
          <w:b w:val="false"/>
          <w:i w:val="false"/>
          <w:caps w:val="false"/>
          <w:smallCaps w:val="false"/>
          <w:sz w:val="20"/>
        </w:rPr>
        <w:t xml:space="preserve">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 HOLDINGS,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81-2683619</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 First Avenue North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Fargo, North Dakota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58102</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(701) 298-4200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bdr w:val="single" w:sz="6" w:space="1" w:color="000000"/>
        </w:rPr>
      </w:pPr>
      <w:r>
        <w:rPr>
          <w:caps w:val="false"/>
          <w:smallCaps w:val="false"/>
          <w:bdr w:val="single" w:sz="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6" w:space="1" w:color="000000"/>
        </w:rPr>
      </w:pPr>
      <w:r>
        <w:rPr>
          <w:rFonts w:ascii="Times New Roman;Times;Serif" w:hAnsi="Times New Roman;Times;Serif"/>
          <w:b/>
          <w:i w:val="false"/>
          <w:caps w:val="false"/>
          <w:smallCaps w:val="false"/>
          <w:sz w:val="20"/>
          <w:bdr w:val="single" w:sz="6" w:space="1" w:color="00000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6" w:space="1" w:color="000000"/>
        </w:rPr>
      </w:pPr>
      <w:r>
        <w:rPr>
          <w:rFonts w:ascii="Times New Roman;Times;Serif" w:hAnsi="Times New Roman;Times;Serif"/>
          <w:b/>
          <w:i w:val="false"/>
          <w:caps w:val="false"/>
          <w:smallCaps w:val="false"/>
          <w:sz w:val="20"/>
          <w:bdr w:val="single" w:sz="6" w:space="1" w:color="000000"/>
        </w:rPr>
        <w:t>Former name, former address, and former fiscal year, if changed since last report</w:t>
      </w:r>
    </w:p>
    <w:p>
      <w:pPr>
        <w:pStyle w:val="TextBody"/>
        <w:bidi w:val="0"/>
        <w:spacing w:before="0" w:after="0"/>
        <w:ind w:left="0" w:right="0" w:hanging="0"/>
        <w:jc w:val="center"/>
        <w:rPr>
          <w:caps w:val="false"/>
          <w:smallCaps w:val="false"/>
          <w:bdr w:val="single" w:sz="6" w:space="1" w:color="000000"/>
        </w:rPr>
      </w:pPr>
      <w:r>
        <w:rPr>
          <w:caps w:val="false"/>
          <w:smallCaps w:val="false"/>
          <w:bdr w:val="single" w:sz="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410"/>
        <w:gridCol w:w="1655"/>
        <w:gridCol w:w="3710"/>
      </w:tblGrid>
      <w:tr>
        <w:trPr/>
        <w:tc>
          <w:tcPr>
            <w:tcW w:w="34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165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Symbol(s)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w:t>
            </w:r>
          </w:p>
        </w:tc>
        <w:tc>
          <w:tcPr>
            <w:tcW w:w="1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NODK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  Yes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Registrant’s common stock outstanding on July 31, 2026 was 20,404,723. No preferred shares are issued or outstanding.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0"/>
              <w:jc w:val="left"/>
              <w:rPr/>
            </w:pPr>
            <w:hyperlink w:anchor="a_001">
              <w:r>
                <w:rPr>
                  <w:rStyle w:val="InternetLink"/>
                </w:rPr>
                <w:t>FORWARD-LOOKING STATEMENTS</w:t>
              </w:r>
            </w:hyperlink>
          </w:p>
        </w:tc>
        <w:tc>
          <w:tcPr>
            <w:tcW w:w="275" w:type="dxa"/>
            <w:tcBorders/>
            <w:vAlign w:val="center"/>
          </w:tcPr>
          <w:p>
            <w:pPr>
              <w:pStyle w:val="TableContents"/>
              <w:bidi w:val="0"/>
              <w:spacing w:before="0" w:after="283"/>
              <w:ind w:left="0" w:right="0" w:hanging="0"/>
              <w:jc w:val="right"/>
              <w:rPr/>
            </w:pPr>
            <w:r>
              <w:rPr/>
              <w:t>2</w:t>
            </w:r>
          </w:p>
        </w:tc>
      </w:tr>
      <w:tr>
        <w:trPr/>
        <w:tc>
          <w:tcPr>
            <w:tcW w:w="9930" w:type="dxa"/>
            <w:tcBorders/>
            <w:vAlign w:val="center"/>
          </w:tcPr>
          <w:p>
            <w:pPr>
              <w:pStyle w:val="TableContents"/>
              <w:bidi w:val="0"/>
              <w:spacing w:before="0" w:after="283"/>
              <w:jc w:val="left"/>
              <w:rPr/>
            </w:pPr>
            <w:hyperlink w:anchor="a_002">
              <w:r>
                <w:rPr>
                  <w:rStyle w:val="InternetLink"/>
                </w:rPr>
                <w:t>Part I. - FINANCIAL INFORMATION</w:t>
              </w:r>
            </w:hyperlink>
          </w:p>
        </w:tc>
        <w:tc>
          <w:tcPr>
            <w:tcW w:w="275" w:type="dxa"/>
            <w:tcBorders/>
            <w:vAlign w:val="center"/>
          </w:tcPr>
          <w:p>
            <w:pPr>
              <w:pStyle w:val="TableContents"/>
              <w:bidi w:val="0"/>
              <w:spacing w:before="0" w:after="283"/>
              <w:ind w:left="0" w:right="0" w:hanging="720"/>
              <w:jc w:val="right"/>
              <w:rPr/>
            </w:pPr>
            <w:r>
              <w:rPr/>
              <w:t>3</w:t>
            </w:r>
          </w:p>
        </w:tc>
      </w:tr>
      <w:tr>
        <w:trPr/>
        <w:tc>
          <w:tcPr>
            <w:tcW w:w="9930" w:type="dxa"/>
            <w:tcBorders/>
            <w:vAlign w:val="center"/>
          </w:tcPr>
          <w:p>
            <w:pPr>
              <w:pStyle w:val="TableContents"/>
              <w:bidi w:val="0"/>
              <w:spacing w:before="0" w:after="283"/>
              <w:jc w:val="left"/>
              <w:rPr/>
            </w:pPr>
            <w:hyperlink w:anchor="a_003">
              <w:r>
                <w:rPr>
                  <w:rStyle w:val="InternetLink"/>
                </w:rPr>
                <w:t>Item 1. - Financial Statements</w:t>
              </w:r>
            </w:hyperlink>
          </w:p>
        </w:tc>
        <w:tc>
          <w:tcPr>
            <w:tcW w:w="275" w:type="dxa"/>
            <w:tcBorders/>
            <w:vAlign w:val="center"/>
          </w:tcPr>
          <w:p>
            <w:pPr>
              <w:pStyle w:val="TableContents"/>
              <w:bidi w:val="0"/>
              <w:spacing w:before="0" w:after="283"/>
              <w:ind w:left="0" w:right="0" w:hanging="720"/>
              <w:jc w:val="right"/>
              <w:rPr/>
            </w:pPr>
            <w:r>
              <w:rPr/>
              <w:t>3</w:t>
            </w:r>
          </w:p>
        </w:tc>
      </w:tr>
      <w:tr>
        <w:trPr/>
        <w:tc>
          <w:tcPr>
            <w:tcW w:w="9930" w:type="dxa"/>
            <w:tcBorders/>
            <w:vAlign w:val="center"/>
          </w:tcPr>
          <w:p>
            <w:pPr>
              <w:pStyle w:val="TableContents"/>
              <w:bidi w:val="0"/>
              <w:spacing w:before="0" w:after="283"/>
              <w:jc w:val="left"/>
              <w:rPr/>
            </w:pPr>
            <w:hyperlink w:anchor="a_004">
              <w:r>
                <w:rPr>
                  <w:rStyle w:val="InternetLink"/>
                </w:rPr>
                <w:t>Consolidated Balance Sheets – June 30, 2026 (Unaudited) and December 31, 2025</w:t>
              </w:r>
            </w:hyperlink>
          </w:p>
        </w:tc>
        <w:tc>
          <w:tcPr>
            <w:tcW w:w="275" w:type="dxa"/>
            <w:tcBorders/>
            <w:vAlign w:val="center"/>
          </w:tcPr>
          <w:p>
            <w:pPr>
              <w:pStyle w:val="TableContents"/>
              <w:bidi w:val="0"/>
              <w:spacing w:before="0" w:after="283"/>
              <w:ind w:left="0" w:right="0" w:hanging="720"/>
              <w:jc w:val="right"/>
              <w:rPr/>
            </w:pPr>
            <w:r>
              <w:rPr/>
              <w:t>3</w:t>
            </w:r>
          </w:p>
        </w:tc>
      </w:tr>
      <w:tr>
        <w:trPr/>
        <w:tc>
          <w:tcPr>
            <w:tcW w:w="9930" w:type="dxa"/>
            <w:tcBorders/>
            <w:vAlign w:val="center"/>
          </w:tcPr>
          <w:p>
            <w:pPr>
              <w:pStyle w:val="TableContents"/>
              <w:bidi w:val="0"/>
              <w:spacing w:before="0" w:after="283"/>
              <w:jc w:val="left"/>
              <w:rPr/>
            </w:pPr>
            <w:hyperlink w:anchor="a_005">
              <w:r>
                <w:rPr>
                  <w:rStyle w:val="InternetLink"/>
                </w:rPr>
                <w:t>Consolidated Statements of Operations (Unaudited) – Three Months and Six Months Ended June 30, 2026 and 2025</w:t>
              </w:r>
            </w:hyperlink>
          </w:p>
        </w:tc>
        <w:tc>
          <w:tcPr>
            <w:tcW w:w="275" w:type="dxa"/>
            <w:tcBorders/>
            <w:vAlign w:val="center"/>
          </w:tcPr>
          <w:p>
            <w:pPr>
              <w:pStyle w:val="TableContents"/>
              <w:bidi w:val="0"/>
              <w:spacing w:before="0" w:after="283"/>
              <w:ind w:left="0" w:right="0" w:hanging="720"/>
              <w:jc w:val="right"/>
              <w:rPr/>
            </w:pPr>
            <w:r>
              <w:rPr/>
              <w:t>4</w:t>
            </w:r>
          </w:p>
        </w:tc>
      </w:tr>
      <w:tr>
        <w:trPr/>
        <w:tc>
          <w:tcPr>
            <w:tcW w:w="9930" w:type="dxa"/>
            <w:tcBorders/>
            <w:vAlign w:val="center"/>
          </w:tcPr>
          <w:p>
            <w:pPr>
              <w:pStyle w:val="TableContents"/>
              <w:bidi w:val="0"/>
              <w:spacing w:before="0" w:after="283"/>
              <w:jc w:val="left"/>
              <w:rPr/>
            </w:pPr>
            <w:hyperlink w:anchor="a_006">
              <w:r>
                <w:rPr>
                  <w:rStyle w:val="InternetLink"/>
                </w:rPr>
                <w:t>Consolidated Statements of Comprehensive Income (Loss) (Unaudited) – Three Months and Six Months Ended June 30, 2026 and 2025</w:t>
              </w:r>
            </w:hyperlink>
          </w:p>
        </w:tc>
        <w:tc>
          <w:tcPr>
            <w:tcW w:w="275" w:type="dxa"/>
            <w:tcBorders/>
            <w:vAlign w:val="center"/>
          </w:tcPr>
          <w:p>
            <w:pPr>
              <w:pStyle w:val="TableContents"/>
              <w:bidi w:val="0"/>
              <w:spacing w:before="0" w:after="283"/>
              <w:ind w:left="0" w:right="0" w:hanging="720"/>
              <w:jc w:val="right"/>
              <w:rPr/>
            </w:pPr>
            <w:r>
              <w:rPr/>
              <w:t>5</w:t>
            </w:r>
          </w:p>
        </w:tc>
      </w:tr>
      <w:tr>
        <w:trPr/>
        <w:tc>
          <w:tcPr>
            <w:tcW w:w="9930" w:type="dxa"/>
            <w:tcBorders/>
            <w:vAlign w:val="center"/>
          </w:tcPr>
          <w:p>
            <w:pPr>
              <w:pStyle w:val="TableContents"/>
              <w:bidi w:val="0"/>
              <w:spacing w:before="0" w:after="283"/>
              <w:jc w:val="left"/>
              <w:rPr/>
            </w:pPr>
            <w:hyperlink w:anchor="a_007">
              <w:r>
                <w:rPr>
                  <w:rStyle w:val="InternetLink"/>
                </w:rPr>
                <w:t>Consolidated Statements of Changes in Shareholders’ Equity (Unaudited) – Three Months and Six Months Ended June 30, 2026 and 2025</w:t>
              </w:r>
            </w:hyperlink>
          </w:p>
        </w:tc>
        <w:tc>
          <w:tcPr>
            <w:tcW w:w="275" w:type="dxa"/>
            <w:tcBorders/>
            <w:vAlign w:val="center"/>
          </w:tcPr>
          <w:p>
            <w:pPr>
              <w:pStyle w:val="TableContents"/>
              <w:bidi w:val="0"/>
              <w:spacing w:before="0" w:after="283"/>
              <w:ind w:left="0" w:right="0" w:hanging="720"/>
              <w:jc w:val="right"/>
              <w:rPr/>
            </w:pPr>
            <w:r>
              <w:rPr/>
              <w:t>6</w:t>
            </w:r>
          </w:p>
        </w:tc>
      </w:tr>
      <w:tr>
        <w:trPr/>
        <w:tc>
          <w:tcPr>
            <w:tcW w:w="9930" w:type="dxa"/>
            <w:tcBorders/>
            <w:vAlign w:val="center"/>
          </w:tcPr>
          <w:p>
            <w:pPr>
              <w:pStyle w:val="TableContents"/>
              <w:bidi w:val="0"/>
              <w:spacing w:before="0" w:after="283"/>
              <w:jc w:val="left"/>
              <w:rPr/>
            </w:pPr>
            <w:hyperlink w:anchor="a_008">
              <w:r>
                <w:rPr>
                  <w:rStyle w:val="InternetLink"/>
                </w:rPr>
                <w:t>Consolidated Statements of Cash Flows (Unaudited) – Six Months Ended June 30, 2026 and 2025</w:t>
              </w:r>
            </w:hyperlink>
          </w:p>
        </w:tc>
        <w:tc>
          <w:tcPr>
            <w:tcW w:w="275" w:type="dxa"/>
            <w:tcBorders/>
            <w:vAlign w:val="center"/>
          </w:tcPr>
          <w:p>
            <w:pPr>
              <w:pStyle w:val="TableContents"/>
              <w:bidi w:val="0"/>
              <w:spacing w:before="0" w:after="283"/>
              <w:ind w:left="0" w:right="0" w:hanging="720"/>
              <w:jc w:val="right"/>
              <w:rPr/>
            </w:pPr>
            <w:r>
              <w:rPr/>
              <w:t>8</w:t>
            </w:r>
          </w:p>
        </w:tc>
      </w:tr>
      <w:tr>
        <w:trPr/>
        <w:tc>
          <w:tcPr>
            <w:tcW w:w="9930" w:type="dxa"/>
            <w:tcBorders/>
            <w:vAlign w:val="center"/>
          </w:tcPr>
          <w:p>
            <w:pPr>
              <w:pStyle w:val="TableContents"/>
              <w:bidi w:val="0"/>
              <w:spacing w:before="0" w:after="283"/>
              <w:jc w:val="left"/>
              <w:rPr/>
            </w:pPr>
            <w:hyperlink w:anchor="a_009">
              <w:r>
                <w:rPr>
                  <w:rStyle w:val="InternetLink"/>
                </w:rPr>
                <w:t>Notes to Unaudited Consolidated Financial Statements</w:t>
              </w:r>
            </w:hyperlink>
          </w:p>
        </w:tc>
        <w:tc>
          <w:tcPr>
            <w:tcW w:w="275" w:type="dxa"/>
            <w:tcBorders/>
            <w:vAlign w:val="center"/>
          </w:tcPr>
          <w:p>
            <w:pPr>
              <w:pStyle w:val="TableContents"/>
              <w:bidi w:val="0"/>
              <w:spacing w:before="0" w:after="283"/>
              <w:ind w:left="0" w:right="0" w:hanging="720"/>
              <w:jc w:val="right"/>
              <w:rPr/>
            </w:pPr>
            <w:r>
              <w:rPr/>
              <w:t>9</w:t>
            </w:r>
          </w:p>
        </w:tc>
      </w:tr>
      <w:tr>
        <w:trPr/>
        <w:tc>
          <w:tcPr>
            <w:tcW w:w="9930" w:type="dxa"/>
            <w:tcBorders/>
            <w:vAlign w:val="center"/>
          </w:tcPr>
          <w:p>
            <w:pPr>
              <w:pStyle w:val="TableContents"/>
              <w:bidi w:val="0"/>
              <w:spacing w:before="0" w:after="283"/>
              <w:jc w:val="left"/>
              <w:rPr/>
            </w:pPr>
            <w:hyperlink w:anchor="a_010">
              <w:r>
                <w:rPr>
                  <w:rStyle w:val="InternetLink"/>
                </w:rPr>
                <w:t>Item 2. - Management’s Discussion and Analysis of Financial Condition and Results of Operations</w:t>
              </w:r>
            </w:hyperlink>
          </w:p>
        </w:tc>
        <w:tc>
          <w:tcPr>
            <w:tcW w:w="275" w:type="dxa"/>
            <w:tcBorders/>
            <w:vAlign w:val="center"/>
          </w:tcPr>
          <w:p>
            <w:pPr>
              <w:pStyle w:val="TableContents"/>
              <w:bidi w:val="0"/>
              <w:spacing w:before="0" w:after="283"/>
              <w:ind w:left="0" w:right="0" w:hanging="720"/>
              <w:jc w:val="right"/>
              <w:rPr/>
            </w:pPr>
            <w:r>
              <w:rPr/>
              <w:t>31</w:t>
            </w:r>
          </w:p>
        </w:tc>
      </w:tr>
      <w:tr>
        <w:trPr/>
        <w:tc>
          <w:tcPr>
            <w:tcW w:w="9930" w:type="dxa"/>
            <w:tcBorders/>
            <w:vAlign w:val="center"/>
          </w:tcPr>
          <w:p>
            <w:pPr>
              <w:pStyle w:val="TableContents"/>
              <w:bidi w:val="0"/>
              <w:spacing w:before="0" w:after="283"/>
              <w:jc w:val="left"/>
              <w:rPr/>
            </w:pPr>
            <w:hyperlink w:anchor="a_011">
              <w:r>
                <w:rPr>
                  <w:rStyle w:val="InternetLink"/>
                </w:rPr>
                <w:t>Item 3. - Quantitative and Qualitative Disclosures about Market Risk</w:t>
              </w:r>
            </w:hyperlink>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hyperlink w:anchor="a_012">
              <w:r>
                <w:rPr>
                  <w:rStyle w:val="InternetLink"/>
                </w:rPr>
                <w:t>Item 4. - Controls and Procedures</w:t>
              </w:r>
            </w:hyperlink>
          </w:p>
        </w:tc>
        <w:tc>
          <w:tcPr>
            <w:tcW w:w="275" w:type="dxa"/>
            <w:tcBorders/>
            <w:vAlign w:val="center"/>
          </w:tcPr>
          <w:p>
            <w:pPr>
              <w:pStyle w:val="TableContents"/>
              <w:bidi w:val="0"/>
              <w:spacing w:before="0" w:after="283"/>
              <w:jc w:val="right"/>
              <w:rPr/>
            </w:pPr>
            <w:r>
              <w:rPr/>
              <w:t>39</w:t>
            </w:r>
          </w:p>
        </w:tc>
      </w:tr>
      <w:tr>
        <w:trPr/>
        <w:tc>
          <w:tcPr>
            <w:tcW w:w="9930" w:type="dxa"/>
            <w:tcBorders/>
            <w:vAlign w:val="center"/>
          </w:tcPr>
          <w:p>
            <w:pPr>
              <w:pStyle w:val="TableContents"/>
              <w:bidi w:val="0"/>
              <w:spacing w:before="0" w:after="283"/>
              <w:jc w:val="left"/>
              <w:rPr/>
            </w:pPr>
            <w:hyperlink w:anchor="a_013">
              <w:r>
                <w:rPr>
                  <w:rStyle w:val="InternetLink"/>
                </w:rPr>
                <w:t>Part II. - OTHER INFORMATION</w:t>
              </w:r>
            </w:hyperlink>
          </w:p>
        </w:tc>
        <w:tc>
          <w:tcPr>
            <w:tcW w:w="275" w:type="dxa"/>
            <w:tcBorders/>
            <w:vAlign w:val="center"/>
          </w:tcPr>
          <w:p>
            <w:pPr>
              <w:pStyle w:val="TableContents"/>
              <w:bidi w:val="0"/>
              <w:spacing w:before="0" w:after="283"/>
              <w:ind w:left="0" w:right="0" w:hanging="720"/>
              <w:jc w:val="right"/>
              <w:rPr/>
            </w:pPr>
            <w:r>
              <w:rPr/>
              <w:t>40</w:t>
            </w:r>
          </w:p>
        </w:tc>
      </w:tr>
      <w:tr>
        <w:trPr/>
        <w:tc>
          <w:tcPr>
            <w:tcW w:w="9930" w:type="dxa"/>
            <w:tcBorders/>
            <w:vAlign w:val="center"/>
          </w:tcPr>
          <w:p>
            <w:pPr>
              <w:pStyle w:val="TableContents"/>
              <w:bidi w:val="0"/>
              <w:spacing w:before="0" w:after="283"/>
              <w:jc w:val="left"/>
              <w:rPr/>
            </w:pPr>
            <w:hyperlink w:anchor="a_014">
              <w:r>
                <w:rPr>
                  <w:rStyle w:val="InternetLink"/>
                </w:rPr>
                <w:t>Item 1. - Legal Proceedings</w:t>
              </w:r>
            </w:hyperlink>
          </w:p>
        </w:tc>
        <w:tc>
          <w:tcPr>
            <w:tcW w:w="275" w:type="dxa"/>
            <w:tcBorders/>
            <w:vAlign w:val="center"/>
          </w:tcPr>
          <w:p>
            <w:pPr>
              <w:pStyle w:val="TableContents"/>
              <w:bidi w:val="0"/>
              <w:spacing w:before="0" w:after="283"/>
              <w:ind w:left="0" w:right="0" w:hanging="720"/>
              <w:jc w:val="right"/>
              <w:rPr/>
            </w:pPr>
            <w:r>
              <w:rPr/>
              <w:t>40</w:t>
            </w:r>
          </w:p>
        </w:tc>
      </w:tr>
      <w:tr>
        <w:trPr/>
        <w:tc>
          <w:tcPr>
            <w:tcW w:w="9930" w:type="dxa"/>
            <w:tcBorders/>
            <w:vAlign w:val="center"/>
          </w:tcPr>
          <w:p>
            <w:pPr>
              <w:pStyle w:val="TableContents"/>
              <w:bidi w:val="0"/>
              <w:spacing w:before="0" w:after="283"/>
              <w:jc w:val="left"/>
              <w:rPr/>
            </w:pPr>
            <w:hyperlink w:anchor="a_015">
              <w:r>
                <w:rPr>
                  <w:rStyle w:val="InternetLink"/>
                </w:rPr>
                <w:t>Item 1A. - Risk Factors</w:t>
              </w:r>
            </w:hyperlink>
          </w:p>
        </w:tc>
        <w:tc>
          <w:tcPr>
            <w:tcW w:w="275" w:type="dxa"/>
            <w:tcBorders/>
            <w:vAlign w:val="center"/>
          </w:tcPr>
          <w:p>
            <w:pPr>
              <w:pStyle w:val="TableContents"/>
              <w:bidi w:val="0"/>
              <w:spacing w:before="0" w:after="283"/>
              <w:ind w:left="0" w:right="0" w:hanging="720"/>
              <w:jc w:val="right"/>
              <w:rPr/>
            </w:pPr>
            <w:r>
              <w:rPr/>
              <w:t>40</w:t>
            </w:r>
          </w:p>
        </w:tc>
      </w:tr>
      <w:tr>
        <w:trPr/>
        <w:tc>
          <w:tcPr>
            <w:tcW w:w="9930" w:type="dxa"/>
            <w:tcBorders/>
            <w:vAlign w:val="center"/>
          </w:tcPr>
          <w:p>
            <w:pPr>
              <w:pStyle w:val="TableContents"/>
              <w:bidi w:val="0"/>
              <w:spacing w:before="0" w:after="283"/>
              <w:jc w:val="left"/>
              <w:rPr/>
            </w:pPr>
            <w:hyperlink w:anchor="a_016">
              <w:r>
                <w:rPr>
                  <w:rStyle w:val="InternetLink"/>
                </w:rPr>
                <w:t>Item 2. - Unregistered Sales of Equity Securities and Use of Proceeds</w:t>
              </w:r>
            </w:hyperlink>
          </w:p>
        </w:tc>
        <w:tc>
          <w:tcPr>
            <w:tcW w:w="275" w:type="dxa"/>
            <w:tcBorders/>
            <w:vAlign w:val="center"/>
          </w:tcPr>
          <w:p>
            <w:pPr>
              <w:pStyle w:val="TableContents"/>
              <w:bidi w:val="0"/>
              <w:spacing w:before="0" w:after="283"/>
              <w:ind w:left="0" w:right="0" w:hanging="720"/>
              <w:jc w:val="right"/>
              <w:rPr/>
            </w:pPr>
            <w:r>
              <w:rPr/>
              <w:t>41</w:t>
            </w:r>
          </w:p>
        </w:tc>
      </w:tr>
      <w:tr>
        <w:trPr/>
        <w:tc>
          <w:tcPr>
            <w:tcW w:w="9930" w:type="dxa"/>
            <w:tcBorders/>
            <w:vAlign w:val="center"/>
          </w:tcPr>
          <w:p>
            <w:pPr>
              <w:pStyle w:val="TableContents"/>
              <w:bidi w:val="0"/>
              <w:spacing w:before="0" w:after="283"/>
              <w:jc w:val="left"/>
              <w:rPr/>
            </w:pPr>
            <w:hyperlink w:anchor="a_017">
              <w:r>
                <w:rPr>
                  <w:rStyle w:val="InternetLink"/>
                </w:rPr>
                <w:t>Item 3. - Defaults upon Senior Securities</w:t>
              </w:r>
            </w:hyperlink>
          </w:p>
        </w:tc>
        <w:tc>
          <w:tcPr>
            <w:tcW w:w="275" w:type="dxa"/>
            <w:tcBorders/>
            <w:vAlign w:val="center"/>
          </w:tcPr>
          <w:p>
            <w:pPr>
              <w:pStyle w:val="TableContents"/>
              <w:bidi w:val="0"/>
              <w:spacing w:before="0" w:after="283"/>
              <w:ind w:left="0" w:right="0" w:hanging="720"/>
              <w:jc w:val="right"/>
              <w:rPr/>
            </w:pPr>
            <w:r>
              <w:rPr/>
              <w:t>41</w:t>
            </w:r>
          </w:p>
        </w:tc>
      </w:tr>
      <w:tr>
        <w:trPr/>
        <w:tc>
          <w:tcPr>
            <w:tcW w:w="9930" w:type="dxa"/>
            <w:tcBorders/>
            <w:vAlign w:val="center"/>
          </w:tcPr>
          <w:p>
            <w:pPr>
              <w:pStyle w:val="TableContents"/>
              <w:bidi w:val="0"/>
              <w:spacing w:before="0" w:after="283"/>
              <w:jc w:val="left"/>
              <w:rPr/>
            </w:pPr>
            <w:hyperlink w:anchor="a_018">
              <w:r>
                <w:rPr>
                  <w:rStyle w:val="InternetLink"/>
                </w:rPr>
                <w:t>Item 4. - Mine Safety Disclosures</w:t>
              </w:r>
            </w:hyperlink>
          </w:p>
        </w:tc>
        <w:tc>
          <w:tcPr>
            <w:tcW w:w="275" w:type="dxa"/>
            <w:tcBorders/>
            <w:vAlign w:val="center"/>
          </w:tcPr>
          <w:p>
            <w:pPr>
              <w:pStyle w:val="TableContents"/>
              <w:bidi w:val="0"/>
              <w:spacing w:before="0" w:after="283"/>
              <w:ind w:left="0" w:right="0" w:hanging="720"/>
              <w:jc w:val="right"/>
              <w:rPr/>
            </w:pPr>
            <w:r>
              <w:rPr/>
              <w:t>41</w:t>
            </w:r>
          </w:p>
        </w:tc>
      </w:tr>
      <w:tr>
        <w:trPr/>
        <w:tc>
          <w:tcPr>
            <w:tcW w:w="9930" w:type="dxa"/>
            <w:tcBorders/>
            <w:vAlign w:val="center"/>
          </w:tcPr>
          <w:p>
            <w:pPr>
              <w:pStyle w:val="TableContents"/>
              <w:bidi w:val="0"/>
              <w:spacing w:before="0" w:after="283"/>
              <w:jc w:val="left"/>
              <w:rPr/>
            </w:pPr>
            <w:hyperlink w:anchor="a_019">
              <w:r>
                <w:rPr>
                  <w:rStyle w:val="InternetLink"/>
                </w:rPr>
                <w:t>Item 5. - Other Information</w:t>
              </w:r>
            </w:hyperlink>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hyperlink w:anchor="a_020">
              <w:r>
                <w:rPr>
                  <w:rStyle w:val="InternetLink"/>
                </w:rPr>
                <w:t>Item 6. - Exhibits</w:t>
              </w:r>
            </w:hyperlink>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hyperlink w:anchor="a_021">
              <w:r>
                <w:rPr>
                  <w:rStyle w:val="InternetLink"/>
                </w:rPr>
                <w:t>Signatures</w:t>
              </w:r>
            </w:hyperlink>
          </w:p>
        </w:tc>
        <w:tc>
          <w:tcPr>
            <w:tcW w:w="275" w:type="dxa"/>
            <w:tcBorders/>
            <w:vAlign w:val="center"/>
          </w:tcPr>
          <w:p>
            <w:pPr>
              <w:pStyle w:val="TableContents"/>
              <w:bidi w:val="0"/>
              <w:spacing w:before="0" w:after="283"/>
              <w:jc w:val="right"/>
              <w:rPr/>
            </w:pPr>
            <w:r>
              <w:rPr/>
              <w:t>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IMPORTANT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as used in this Quarterly Report on Form 10-Q (“Form 10-Q”):</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NI Holdings,” “the Company,” “we,” “us,” and “our” refer to NI Holdings, Inc., together with Nodak Insurance Company and its subsidiaries, and Direct Auto Insurance Company, for periods discussed after completion of the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“Nodak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Mutual Group” refers to Nodak Mutual Group, Inc., which is the majority shareholder of NI Holdings;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Mutual Insurance Company” is the predecessor company to Nodak Insurance Company prior to the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Insurance” refers to Nodak Insurance Company or Nodak Mutual Insurance Company interchangeably;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Battle Creek” refers to Battle Creek Insurance Company. Battle Creek is a wholly-owned subsidiary of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Direct Auto” refers to Direct Auto Insurance Company. Direct Auto is a wholly-owned subsidiary of NI Holdings;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American West” refers to American West Insurance Company. American West is a wholly-owned subsidiary of Nodak Insurance;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Primero” refers to Primero Insurance Company. Primero is an indirect, wholly-owned subsidiary of Nodak Insurance;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t>
            </w:r>
            <w:r>
              <w:rPr/>
              <w:t>Nodak Agency” refers to Nodak Agency, Inc. Nodak Agency is a wholly-owned subsidiary of Nodak Insurance.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pPr>
            <w:r>
              <w:rPr/>
              <w:t>our anticipated operating and financial performance, business plans, and prospects;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strategic reviews, capital allocation objectives, dividends, and share repurchases;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plans for and prospects of acquisitions, dispositions, and other business development activities, and our ability to successfully capitalize on these opportunities;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impact of a future pandemic and related economic conditions, including the potential impact on the Company's investments;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enter new markets successfully and capitalize on growth opportunities either through acquisitions or the expansion of our distribution network;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cyclical changes in the insurance industry, competition, innovation, and emerging technologies;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expectations for the impact of, or changes to, existing or new government regulations or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anticipate and respond to macroeconomic, geopolitical, health and industry trends, pandemics, acts of war, government shutdowns, and other large-scale crises;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developments in general economic conditions (including the impact of tariffs and changes in tax laws), domestic and global financial markets, interest rates, unemployment, or inflation, that could affect the performance of our insurance operations and/or investment portfolio;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effectively manage future growth, including additional necessary capital, systems, and personnel.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(“Form 10-Q”) and in the Part I, Item 1A, “Risk Factors” section in our Annual Report on Form 10-K for the year ended December 31, 2025 (“2025 Annual Report”). The occurrence of any of the risks identified in the Part I, Item 1A, “Risk Factors” section of the 2025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 - FINANCIAL INFORMATION</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par value)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0"/>
        <w:gridCol w:w="60"/>
        <w:gridCol w:w="156"/>
        <w:gridCol w:w="1083"/>
        <w:gridCol w:w="95"/>
        <w:gridCol w:w="60"/>
        <w:gridCol w:w="221"/>
        <w:gridCol w:w="1271"/>
        <w:gridCol w:w="299"/>
      </w:tblGrid>
      <w:tr>
        <w:trPr/>
        <w:tc>
          <w:tcPr>
            <w:tcW w:w="6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99" w:type="dxa"/>
            <w:tcBorders/>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sz w:val="20"/>
              </w:rPr>
            </w:pPr>
            <w:r>
              <w:rPr>
                <w:sz w:val="20"/>
              </w:rPr>
              <w:t>(Unaudited)</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ind w:left="0" w:right="0" w:hanging="216"/>
              <w:jc w:val="left"/>
              <w:rPr/>
            </w:pPr>
            <w:r>
              <w:rPr/>
              <w:t> </w:t>
            </w:r>
          </w:p>
        </w:tc>
      </w:tr>
      <w:tr>
        <w:trPr/>
        <w:tc>
          <w:tcPr>
            <w:tcW w:w="6960" w:type="dxa"/>
            <w:tcBorders/>
            <w:shd w:fill="FFFFFF" w:val="clear"/>
            <w:vAlign w:val="center"/>
          </w:tcPr>
          <w:p>
            <w:pPr>
              <w:pStyle w:val="TableContents"/>
              <w:bidi w:val="0"/>
              <w:spacing w:before="0" w:after="283"/>
              <w:jc w:val="left"/>
              <w:rPr/>
            </w:pPr>
            <w:r>
              <w:rPr/>
              <w:t>Assets: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51,609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51,715</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Fixed income securities, at fair value (amortized cost $314,055 and $314,804; net of allowance for expected credit losses of $0 and $0)</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298,374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301,393</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Equity securities, at fair value (cost $19,753 and $20,926)</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24,873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23,951</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Other investments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FFFFFF" w:val="clear"/>
            <w:tcMar>
              <w:bottom w:w="28" w:type="dxa"/>
            </w:tcMar>
            <w:vAlign w:val="center"/>
          </w:tcPr>
          <w:p>
            <w:pPr>
              <w:pStyle w:val="TableContents"/>
              <w:bidi w:val="0"/>
              <w:spacing w:before="0" w:after="283"/>
              <w:jc w:val="right"/>
              <w:rPr/>
            </w:pPr>
            <w:r>
              <w:rPr/>
              <w:t>1,619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shd w:fill="FFFFFF" w:val="clear"/>
            <w:tcMar>
              <w:bottom w:w="28" w:type="dxa"/>
            </w:tcMar>
            <w:vAlign w:val="center"/>
          </w:tcPr>
          <w:p>
            <w:pPr>
              <w:pStyle w:val="TableContents"/>
              <w:bidi w:val="0"/>
              <w:spacing w:before="0" w:after="283"/>
              <w:jc w:val="right"/>
              <w:rPr/>
            </w:pPr>
            <w:r>
              <w:rPr/>
              <w:t>1,621</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Total cash and investments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376,475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378,680</w:t>
            </w:r>
          </w:p>
        </w:tc>
        <w:tc>
          <w:tcPr>
            <w:tcW w:w="299" w:type="dxa"/>
            <w:tcBorders/>
            <w:shd w:fill="CCEEFF" w:val="clear"/>
            <w:vAlign w:val="center"/>
          </w:tcPr>
          <w:p>
            <w:pPr>
              <w:pStyle w:val="TableContents"/>
              <w:bidi w:val="0"/>
              <w:spacing w:before="0" w:after="283"/>
              <w:ind w:left="0" w:right="0" w:hanging="216"/>
              <w:jc w:val="left"/>
              <w:rPr/>
            </w:pPr>
            <w:r>
              <w:rPr/>
              <w:t> </w:t>
            </w:r>
          </w:p>
        </w:tc>
      </w:tr>
      <w:tr>
        <w:trPr/>
        <w:tc>
          <w:tcPr>
            <w:tcW w:w="6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Premiums and agents' balances receivable (net of allowance for expected credit losses of $301 and $334)</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77,789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41,575</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Deferred policy acquisition costs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21,895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19,209</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Reinsurance recoverables on losses (net of allowance for expected credit losses of $0 and $0)</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12,441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11,957</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Income tax recoverable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9,125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11,490</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2,462</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6,490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6,759</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6,075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6,145</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Receivable from Federal Crop Insurance Corporation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16,380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15,605</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CCEEFF" w:val="clear"/>
            <w:tcMar>
              <w:bottom w:w="28" w:type="dxa"/>
            </w:tcMar>
            <w:vAlign w:val="center"/>
          </w:tcPr>
          <w:p>
            <w:pPr>
              <w:pStyle w:val="TableContents"/>
              <w:bidi w:val="0"/>
              <w:spacing w:before="0" w:after="283"/>
              <w:jc w:val="right"/>
              <w:rPr/>
            </w:pPr>
            <w:r>
              <w:rPr/>
              <w:t>13,970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shd w:fill="CCEEFF" w:val="clear"/>
            <w:tcMar>
              <w:bottom w:w="28" w:type="dxa"/>
            </w:tcMar>
            <w:vAlign w:val="center"/>
          </w:tcPr>
          <w:p>
            <w:pPr>
              <w:pStyle w:val="TableContents"/>
              <w:bidi w:val="0"/>
              <w:spacing w:before="0" w:after="283"/>
              <w:jc w:val="right"/>
              <w:rPr/>
            </w:pPr>
            <w:r>
              <w:rPr/>
              <w:t>12,120</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3" w:type="dxa"/>
            <w:tcBorders>
              <w:bottom w:val="double" w:sz="6" w:space="0" w:color="000000"/>
            </w:tcBorders>
            <w:shd w:fill="FFFFFF" w:val="clear"/>
            <w:tcMar>
              <w:bottom w:w="28" w:type="dxa"/>
            </w:tcMar>
            <w:vAlign w:val="center"/>
          </w:tcPr>
          <w:p>
            <w:pPr>
              <w:pStyle w:val="TableContents"/>
              <w:bidi w:val="0"/>
              <w:spacing w:before="0" w:after="283"/>
              <w:jc w:val="right"/>
              <w:rPr/>
            </w:pPr>
            <w:r>
              <w:rPr/>
              <w:t>543,134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1" w:type="dxa"/>
            <w:tcBorders>
              <w:bottom w:val="double" w:sz="6" w:space="0" w:color="000000"/>
            </w:tcBorders>
            <w:shd w:fill="FFFFFF" w:val="clear"/>
            <w:tcMar>
              <w:bottom w:w="28" w:type="dxa"/>
            </w:tcMar>
            <w:vAlign w:val="center"/>
          </w:tcPr>
          <w:p>
            <w:pPr>
              <w:pStyle w:val="TableContents"/>
              <w:bidi w:val="0"/>
              <w:spacing w:before="0" w:after="283"/>
              <w:jc w:val="right"/>
              <w:rPr/>
            </w:pPr>
            <w:r>
              <w:rPr/>
              <w:t>506,002</w:t>
            </w:r>
          </w:p>
        </w:tc>
        <w:tc>
          <w:tcPr>
            <w:tcW w:w="299" w:type="dxa"/>
            <w:tcBorders/>
            <w:shd w:fill="FFFFFF" w:val="clear"/>
            <w:vAlign w:val="center"/>
          </w:tcPr>
          <w:p>
            <w:pPr>
              <w:pStyle w:val="TableContents"/>
              <w:bidi w:val="0"/>
              <w:spacing w:before="0" w:after="283"/>
              <w:ind w:left="0" w:right="0" w:hanging="216"/>
              <w:jc w:val="left"/>
              <w:rPr/>
            </w:pPr>
            <w:r>
              <w:rPr/>
              <w:t> </w:t>
            </w:r>
          </w:p>
        </w:tc>
      </w:tr>
      <w:tr>
        <w:trPr/>
        <w:tc>
          <w:tcPr>
            <w:tcW w:w="6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ind w:left="0" w:right="0" w:hanging="216"/>
              <w:jc w:val="left"/>
              <w:rPr/>
            </w:pPr>
            <w:r>
              <w:rPr/>
              <w:t> </w:t>
            </w:r>
          </w:p>
        </w:tc>
      </w:tr>
      <w:tr>
        <w:trPr/>
        <w:tc>
          <w:tcPr>
            <w:tcW w:w="6960"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134,757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137,855</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Unearned premiums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132,424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106,498</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Reinsurance premiums payable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878</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FFFFFF" w:val="clear"/>
            <w:tcMar>
              <w:bottom w:w="28" w:type="dxa"/>
            </w:tcMar>
            <w:vAlign w:val="center"/>
          </w:tcPr>
          <w:p>
            <w:pPr>
              <w:pStyle w:val="TableContents"/>
              <w:bidi w:val="0"/>
              <w:spacing w:before="0" w:after="283"/>
              <w:jc w:val="right"/>
              <w:rPr/>
            </w:pPr>
            <w:r>
              <w:rPr/>
              <w:t>24,577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shd w:fill="FFFFFF" w:val="clear"/>
            <w:tcMar>
              <w:bottom w:w="28" w:type="dxa"/>
            </w:tcMar>
            <w:vAlign w:val="center"/>
          </w:tcPr>
          <w:p>
            <w:pPr>
              <w:pStyle w:val="TableContents"/>
              <w:bidi w:val="0"/>
              <w:spacing w:before="0" w:after="283"/>
              <w:jc w:val="right"/>
              <w:rPr/>
            </w:pPr>
            <w:r>
              <w:rPr/>
              <w:t>20,434</w:t>
            </w:r>
          </w:p>
        </w:tc>
        <w:tc>
          <w:tcPr>
            <w:tcW w:w="299" w:type="dxa"/>
            <w:tcBorders/>
            <w:shd w:fill="FFFFFF" w:val="clear"/>
            <w:vAlign w:val="center"/>
          </w:tcPr>
          <w:p>
            <w:pPr>
              <w:pStyle w:val="TableContents"/>
              <w:bidi w:val="0"/>
              <w:spacing w:before="0" w:after="283"/>
              <w:ind w:left="0" w:right="0" w:firstLine="187"/>
              <w:jc w:val="left"/>
              <w:rPr/>
            </w:pPr>
            <w:r>
              <w:rPr/>
              <w:t> </w:t>
            </w:r>
          </w:p>
        </w:tc>
      </w:tr>
      <w:tr>
        <w:trPr/>
        <w:tc>
          <w:tcPr>
            <w:tcW w:w="696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293,758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265,665</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ind w:left="0" w:right="0" w:hanging="216"/>
              <w:jc w:val="left"/>
              <w:rPr/>
            </w:pPr>
            <w:r>
              <w:rPr/>
              <w:t> </w:t>
            </w:r>
          </w:p>
        </w:tc>
      </w:tr>
      <w:tr>
        <w:trPr/>
        <w:tc>
          <w:tcPr>
            <w:tcW w:w="6960"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Common stock, $0.01 par value, authorized: 25,000,000 shares;</w:t>
              <w:br/>
              <w:t>issued: 23,000,000 shares; and outstanding: 2026 – 20,431,819 shares, 2025 – 20,554,144 shares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230</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95,773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95,932</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Unearned employee stock ownership plan shares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(212</w:t>
            </w:r>
          </w:p>
        </w:tc>
        <w:tc>
          <w:tcPr>
            <w:tcW w:w="299" w:type="dxa"/>
            <w:tcBorders/>
            <w:shd w:fill="FFFFFF" w:val="clear"/>
            <w:vAlign w:val="center"/>
          </w:tcPr>
          <w:p>
            <w:pPr>
              <w:pStyle w:val="TableContents"/>
              <w:bidi w:val="0"/>
              <w:spacing w:before="0" w:after="283"/>
              <w:jc w:val="left"/>
              <w:rPr/>
            </w:pPr>
            <w:r>
              <w:rPr/>
              <w:t>)</w:t>
            </w:r>
          </w:p>
        </w:tc>
      </w:tr>
      <w:tr>
        <w:trPr/>
        <w:tc>
          <w:tcPr>
            <w:tcW w:w="6960"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203,596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191,074</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Accumulated other comprehensive loss, net of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(12,388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(10,595</w:t>
            </w:r>
          </w:p>
        </w:tc>
        <w:tc>
          <w:tcPr>
            <w:tcW w:w="299" w:type="dxa"/>
            <w:tcBorders/>
            <w:shd w:fill="FFFFFF" w:val="clear"/>
            <w:vAlign w:val="center"/>
          </w:tcPr>
          <w:p>
            <w:pPr>
              <w:pStyle w:val="TableContents"/>
              <w:bidi w:val="0"/>
              <w:spacing w:before="0" w:after="283"/>
              <w:jc w:val="left"/>
              <w:rPr/>
            </w:pPr>
            <w:r>
              <w:rPr/>
              <w:t>)</w:t>
            </w:r>
          </w:p>
        </w:tc>
      </w:tr>
      <w:tr>
        <w:trPr/>
        <w:tc>
          <w:tcPr>
            <w:tcW w:w="6960" w:type="dxa"/>
            <w:tcBorders/>
            <w:shd w:fill="CCEEFF" w:val="clear"/>
            <w:vAlign w:val="center"/>
          </w:tcPr>
          <w:p>
            <w:pPr>
              <w:pStyle w:val="TableContents"/>
              <w:bidi w:val="0"/>
              <w:spacing w:before="0" w:after="283"/>
              <w:jc w:val="left"/>
              <w:rPr/>
            </w:pPr>
            <w:r>
              <w:rPr/>
              <w:t>Treasury stock, at cost, 2026 – 2,547,016 shares, 2025 – 2,424,691 shares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CCEEFF" w:val="clear"/>
            <w:tcMar>
              <w:bottom w:w="28" w:type="dxa"/>
            </w:tcMar>
            <w:vAlign w:val="center"/>
          </w:tcPr>
          <w:p>
            <w:pPr>
              <w:pStyle w:val="TableContents"/>
              <w:bidi w:val="0"/>
              <w:spacing w:before="0" w:after="283"/>
              <w:jc w:val="right"/>
              <w:rPr/>
            </w:pPr>
            <w:r>
              <w:rPr/>
              <w:t>(37,623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shd w:fill="CCEEFF" w:val="clear"/>
            <w:tcMar>
              <w:bottom w:w="28" w:type="dxa"/>
            </w:tcMar>
            <w:vAlign w:val="center"/>
          </w:tcPr>
          <w:p>
            <w:pPr>
              <w:pStyle w:val="TableContents"/>
              <w:bidi w:val="0"/>
              <w:spacing w:before="0" w:after="283"/>
              <w:jc w:val="right"/>
              <w:rPr/>
            </w:pPr>
            <w:r>
              <w:rPr/>
              <w:t>(36,092</w:t>
            </w:r>
          </w:p>
        </w:tc>
        <w:tc>
          <w:tcPr>
            <w:tcW w:w="299" w:type="dxa"/>
            <w:tcBorders/>
            <w:shd w:fill="CCEEFF" w:val="clear"/>
            <w:vAlign w:val="center"/>
          </w:tcPr>
          <w:p>
            <w:pPr>
              <w:pStyle w:val="TableContents"/>
              <w:bidi w:val="0"/>
              <w:spacing w:before="0" w:after="283"/>
              <w:ind w:left="0" w:right="0" w:firstLine="187"/>
              <w:jc w:val="left"/>
              <w:rPr/>
            </w:pPr>
            <w:r>
              <w:rPr/>
              <w:t>)</w:t>
            </w:r>
          </w:p>
        </w:tc>
      </w:tr>
      <w:tr>
        <w:trPr/>
        <w:tc>
          <w:tcPr>
            <w:tcW w:w="6960"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3" w:type="dxa"/>
            <w:tcBorders>
              <w:bottom w:val="single" w:sz="8" w:space="0" w:color="000000"/>
            </w:tcBorders>
            <w:shd w:fill="FFFFFF" w:val="clear"/>
            <w:tcMar>
              <w:bottom w:w="28" w:type="dxa"/>
            </w:tcMar>
            <w:vAlign w:val="center"/>
          </w:tcPr>
          <w:p>
            <w:pPr>
              <w:pStyle w:val="TableContents"/>
              <w:bidi w:val="0"/>
              <w:spacing w:before="0" w:after="283"/>
              <w:jc w:val="right"/>
              <w:rPr/>
            </w:pPr>
            <w:r>
              <w:rPr/>
              <w:t>249,376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8" w:space="0" w:color="000000"/>
            </w:tcBorders>
            <w:shd w:fill="FFFFFF" w:val="clear"/>
            <w:tcMar>
              <w:bottom w:w="28" w:type="dxa"/>
            </w:tcMar>
            <w:vAlign w:val="center"/>
          </w:tcPr>
          <w:p>
            <w:pPr>
              <w:pStyle w:val="TableContents"/>
              <w:bidi w:val="0"/>
              <w:spacing w:before="0" w:after="283"/>
              <w:jc w:val="right"/>
              <w:rPr/>
            </w:pPr>
            <w:r>
              <w:rPr/>
              <w:t>240,337</w:t>
            </w:r>
          </w:p>
        </w:tc>
        <w:tc>
          <w:tcPr>
            <w:tcW w:w="299" w:type="dxa"/>
            <w:tcBorders/>
            <w:shd w:fill="FFFFFF" w:val="clear"/>
            <w:vAlign w:val="center"/>
          </w:tcPr>
          <w:p>
            <w:pPr>
              <w:pStyle w:val="TableContents"/>
              <w:bidi w:val="0"/>
              <w:spacing w:before="0" w:after="283"/>
              <w:jc w:val="left"/>
              <w:rPr/>
            </w:pPr>
            <w:r>
              <w:rPr/>
              <w:t> </w:t>
            </w:r>
          </w:p>
        </w:tc>
      </w:tr>
      <w:tr>
        <w:trPr/>
        <w:tc>
          <w:tcPr>
            <w:tcW w:w="6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r>
      <w:tr>
        <w:trPr/>
        <w:tc>
          <w:tcPr>
            <w:tcW w:w="6960"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3" w:type="dxa"/>
            <w:tcBorders>
              <w:bottom w:val="double" w:sz="6" w:space="0" w:color="000000"/>
            </w:tcBorders>
            <w:shd w:fill="FFFFFF" w:val="clear"/>
            <w:tcMar>
              <w:bottom w:w="28" w:type="dxa"/>
            </w:tcMar>
            <w:vAlign w:val="center"/>
          </w:tcPr>
          <w:p>
            <w:pPr>
              <w:pStyle w:val="TableContents"/>
              <w:bidi w:val="0"/>
              <w:spacing w:before="0" w:after="283"/>
              <w:jc w:val="right"/>
              <w:rPr/>
            </w:pPr>
            <w:r>
              <w:rPr/>
              <w:t>543,134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1" w:type="dxa"/>
            <w:tcBorders>
              <w:bottom w:val="double" w:sz="6" w:space="0" w:color="000000"/>
            </w:tcBorders>
            <w:shd w:fill="FFFFFF" w:val="clear"/>
            <w:tcMar>
              <w:bottom w:w="28" w:type="dxa"/>
            </w:tcMar>
            <w:vAlign w:val="center"/>
          </w:tcPr>
          <w:p>
            <w:pPr>
              <w:pStyle w:val="TableContents"/>
              <w:bidi w:val="0"/>
              <w:spacing w:before="0" w:after="283"/>
              <w:jc w:val="right"/>
              <w:rPr/>
            </w:pPr>
            <w:r>
              <w:rPr/>
              <w:t>506,002</w:t>
            </w:r>
          </w:p>
        </w:tc>
        <w:tc>
          <w:tcPr>
            <w:tcW w:w="299"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Consolidated Statements of Operations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00"/>
        <w:gridCol w:w="60"/>
        <w:gridCol w:w="140"/>
        <w:gridCol w:w="1100"/>
        <w:gridCol w:w="60"/>
        <w:gridCol w:w="60"/>
        <w:gridCol w:w="140"/>
        <w:gridCol w:w="1100"/>
        <w:gridCol w:w="95"/>
        <w:gridCol w:w="60"/>
        <w:gridCol w:w="140"/>
        <w:gridCol w:w="1100"/>
        <w:gridCol w:w="60"/>
        <w:gridCol w:w="60"/>
        <w:gridCol w:w="140"/>
        <w:gridCol w:w="1100"/>
        <w:gridCol w:w="290"/>
      </w:tblGrid>
      <w:tr>
        <w:trPr/>
        <w:tc>
          <w:tcPr>
            <w:tcW w:w="4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290" w:type="dxa"/>
            <w:tcBorders/>
            <w:vAlign w:val="center"/>
          </w:tcPr>
          <w:p>
            <w:pPr>
              <w:pStyle w:val="TableContents"/>
              <w:bidi w:val="0"/>
              <w:spacing w:before="0" w:after="283"/>
              <w:jc w:val="left"/>
              <w:rPr/>
            </w:pPr>
            <w:r>
              <w:rPr/>
              <w:t> </w:t>
            </w:r>
          </w:p>
        </w:tc>
      </w:tr>
      <w:tr>
        <w:trPr/>
        <w:tc>
          <w:tcPr>
            <w:tcW w:w="4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450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65,017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73,005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120,130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140,502</w:t>
            </w:r>
          </w:p>
        </w:tc>
        <w:tc>
          <w:tcPr>
            <w:tcW w:w="290" w:type="dxa"/>
            <w:tcBorders/>
            <w:shd w:fill="CCEEFF" w:val="clear"/>
            <w:vAlign w:val="center"/>
          </w:tcPr>
          <w:p>
            <w:pPr>
              <w:pStyle w:val="TableContents"/>
              <w:bidi w:val="0"/>
              <w:spacing w:before="0" w:after="283"/>
              <w:jc w:val="left"/>
              <w:rPr/>
            </w:pPr>
            <w:r>
              <w:rPr/>
              <w:t> </w:t>
            </w:r>
          </w:p>
        </w:tc>
      </w:tr>
      <w:tr>
        <w:trPr/>
        <w:tc>
          <w:tcPr>
            <w:tcW w:w="4500"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5,984</w:t>
            </w:r>
          </w:p>
        </w:tc>
        <w:tc>
          <w:tcPr>
            <w:tcW w:w="290" w:type="dxa"/>
            <w:tcBorders/>
            <w:shd w:fill="FFFFFF" w:val="clear"/>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459</w:t>
            </w:r>
          </w:p>
        </w:tc>
        <w:tc>
          <w:tcPr>
            <w:tcW w:w="290" w:type="dxa"/>
            <w:tcBorders/>
            <w:shd w:fill="CCEEFF" w:val="clear"/>
            <w:vAlign w:val="center"/>
          </w:tcPr>
          <w:p>
            <w:pPr>
              <w:pStyle w:val="TableContents"/>
              <w:bidi w:val="0"/>
              <w:spacing w:before="0" w:after="283"/>
              <w:jc w:val="left"/>
              <w:rPr/>
            </w:pPr>
            <w:r>
              <w:rPr/>
              <w:t> </w:t>
            </w:r>
          </w:p>
        </w:tc>
      </w:tr>
      <w:tr>
        <w:trPr/>
        <w:tc>
          <w:tcPr>
            <w:tcW w:w="4500" w:type="dxa"/>
            <w:tcBorders/>
            <w:shd w:fill="FFFFFF" w:val="clear"/>
            <w:vAlign w:val="center"/>
          </w:tcPr>
          <w:p>
            <w:pPr>
              <w:pStyle w:val="TableContents"/>
              <w:bidi w:val="0"/>
              <w:spacing w:before="0" w:after="283"/>
              <w:jc w:val="left"/>
              <w:rPr/>
            </w:pPr>
            <w:r>
              <w:rPr/>
              <w:t>Fee and 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546</w:t>
            </w:r>
          </w:p>
        </w:tc>
        <w:tc>
          <w:tcPr>
            <w:tcW w:w="290" w:type="dxa"/>
            <w:tcBorders/>
            <w:shd w:fill="FFFFFF" w:val="clear"/>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70,234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76,057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129,836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147,491</w:t>
            </w:r>
          </w:p>
        </w:tc>
        <w:tc>
          <w:tcPr>
            <w:tcW w:w="290" w:type="dxa"/>
            <w:tcBorders/>
            <w:shd w:fill="CCEEFF" w:val="clear"/>
            <w:vAlign w:val="center"/>
          </w:tcPr>
          <w:p>
            <w:pPr>
              <w:pStyle w:val="TableContents"/>
              <w:bidi w:val="0"/>
              <w:spacing w:before="0" w:after="283"/>
              <w:ind w:left="0" w:right="0" w:hanging="216"/>
              <w:jc w:val="left"/>
              <w:rPr/>
            </w:pPr>
            <w:r>
              <w:rPr/>
              <w:t> </w:t>
            </w:r>
          </w:p>
        </w:tc>
      </w:tr>
      <w:tr>
        <w:trPr/>
        <w:tc>
          <w:tcPr>
            <w:tcW w:w="4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500" w:type="dxa"/>
            <w:tcBorders/>
            <w:shd w:fill="FFFFFF" w:val="clear"/>
            <w:vAlign w:val="center"/>
          </w:tcPr>
          <w:p>
            <w:pPr>
              <w:pStyle w:val="TableContents"/>
              <w:bidi w:val="0"/>
              <w:spacing w:before="0" w:after="283"/>
              <w:jc w:val="left"/>
              <w:rPr/>
            </w:pPr>
            <w:r>
              <w:rPr/>
              <w:t>Losses and loss adjustment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105,132</w:t>
            </w:r>
          </w:p>
        </w:tc>
        <w:tc>
          <w:tcPr>
            <w:tcW w:w="290" w:type="dxa"/>
            <w:tcBorders/>
            <w:shd w:fill="FFFFFF" w:val="clear"/>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32,902</w:t>
            </w:r>
          </w:p>
        </w:tc>
        <w:tc>
          <w:tcPr>
            <w:tcW w:w="290" w:type="dxa"/>
            <w:tcBorders/>
            <w:shd w:fill="CCEEFF" w:val="clear"/>
            <w:vAlign w:val="center"/>
          </w:tcPr>
          <w:p>
            <w:pPr>
              <w:pStyle w:val="TableContents"/>
              <w:bidi w:val="0"/>
              <w:spacing w:before="0" w:after="283"/>
              <w:jc w:val="left"/>
              <w:rPr/>
            </w:pPr>
            <w:r>
              <w:rPr/>
              <w:t> </w:t>
            </w:r>
          </w:p>
        </w:tc>
      </w:tr>
      <w:tr>
        <w:trPr/>
        <w:tc>
          <w:tcPr>
            <w:tcW w:w="4500" w:type="dxa"/>
            <w:tcBorders/>
            <w:shd w:fill="FFFFFF" w:val="clear"/>
            <w:vAlign w:val="center"/>
          </w:tcPr>
          <w:p>
            <w:pPr>
              <w:pStyle w:val="TableContents"/>
              <w:bidi w:val="0"/>
              <w:spacing w:before="0" w:after="283"/>
              <w:jc w:val="left"/>
              <w:rPr/>
            </w:pPr>
            <w:r>
              <w:rPr/>
              <w:t>Other underwriting and general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18,001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17,032</w:t>
            </w:r>
          </w:p>
        </w:tc>
        <w:tc>
          <w:tcPr>
            <w:tcW w:w="290" w:type="dxa"/>
            <w:tcBorders/>
            <w:shd w:fill="FFFFFF" w:val="clear"/>
            <w:vAlign w:val="center"/>
          </w:tcPr>
          <w:p>
            <w:pPr>
              <w:pStyle w:val="TableContents"/>
              <w:bidi w:val="0"/>
              <w:spacing w:before="0" w:after="283"/>
              <w:ind w:left="0" w:right="0" w:firstLine="187"/>
              <w:jc w:val="left"/>
              <w:rPr/>
            </w:pPr>
            <w:r>
              <w:rPr/>
              <w:t> </w:t>
            </w:r>
          </w:p>
        </w:tc>
      </w:tr>
      <w:tr>
        <w:trPr/>
        <w:tc>
          <w:tcPr>
            <w:tcW w:w="450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70,004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91,381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113,896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155,066</w:t>
            </w:r>
          </w:p>
        </w:tc>
        <w:tc>
          <w:tcPr>
            <w:tcW w:w="290" w:type="dxa"/>
            <w:tcBorders/>
            <w:shd w:fill="CCEEFF" w:val="clear"/>
            <w:vAlign w:val="center"/>
          </w:tcPr>
          <w:p>
            <w:pPr>
              <w:pStyle w:val="TableContents"/>
              <w:bidi w:val="0"/>
              <w:spacing w:before="0" w:after="283"/>
              <w:ind w:left="0" w:right="0" w:hanging="216"/>
              <w:jc w:val="left"/>
              <w:rPr/>
            </w:pPr>
            <w:r>
              <w:rPr/>
              <w:t> </w:t>
            </w:r>
          </w:p>
        </w:tc>
      </w:tr>
      <w:tr>
        <w:trPr/>
        <w:tc>
          <w:tcPr>
            <w:tcW w:w="4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(7,575</w:t>
            </w:r>
          </w:p>
        </w:tc>
        <w:tc>
          <w:tcPr>
            <w:tcW w:w="290" w:type="dxa"/>
            <w:tcBorders/>
            <w:shd w:fill="CCEEFF" w:val="clear"/>
            <w:vAlign w:val="center"/>
          </w:tcPr>
          <w:p>
            <w:pPr>
              <w:pStyle w:val="TableContents"/>
              <w:bidi w:val="0"/>
              <w:spacing w:before="0" w:after="283"/>
              <w:jc w:val="left"/>
              <w:rPr/>
            </w:pPr>
            <w:r>
              <w:rPr/>
              <w:t>)</w:t>
            </w:r>
          </w:p>
        </w:tc>
      </w:tr>
      <w:tr>
        <w:trPr/>
        <w:tc>
          <w:tcPr>
            <w:tcW w:w="4500"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(1,984</w:t>
            </w:r>
          </w:p>
        </w:tc>
        <w:tc>
          <w:tcPr>
            <w:tcW w:w="290" w:type="dxa"/>
            <w:tcBorders/>
            <w:shd w:fill="FFFFFF" w:val="clear"/>
            <w:vAlign w:val="center"/>
          </w:tcPr>
          <w:p>
            <w:pPr>
              <w:pStyle w:val="TableContents"/>
              <w:bidi w:val="0"/>
              <w:spacing w:before="0" w:after="283"/>
              <w:ind w:left="0" w:right="0" w:firstLine="180"/>
              <w:jc w:val="left"/>
              <w:rPr/>
            </w:pPr>
            <w:r>
              <w:rPr/>
              <w:t>)</w:t>
            </w:r>
          </w:p>
        </w:tc>
      </w:tr>
      <w:tr>
        <w:trPr/>
        <w:tc>
          <w:tcPr>
            <w:tcW w:w="450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(5,591</w:t>
            </w:r>
          </w:p>
        </w:tc>
        <w:tc>
          <w:tcPr>
            <w:tcW w:w="290" w:type="dxa"/>
            <w:tcBorders/>
            <w:shd w:fill="CCEEFF" w:val="clear"/>
            <w:vAlign w:val="center"/>
          </w:tcPr>
          <w:p>
            <w:pPr>
              <w:pStyle w:val="TableContents"/>
              <w:bidi w:val="0"/>
              <w:spacing w:before="0" w:after="283"/>
              <w:jc w:val="left"/>
              <w:rPr/>
            </w:pPr>
            <w:r>
              <w:rPr/>
              <w:t>)</w:t>
            </w:r>
          </w:p>
        </w:tc>
      </w:tr>
      <w:tr>
        <w:trPr/>
        <w:tc>
          <w:tcPr>
            <w:tcW w:w="4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firstLine="180"/>
              <w:jc w:val="left"/>
              <w:rPr/>
            </w:pPr>
            <w:r>
              <w:rPr/>
              <w:t> </w:t>
            </w:r>
          </w:p>
        </w:tc>
      </w:tr>
      <w:tr>
        <w:trPr/>
        <w:tc>
          <w:tcPr>
            <w:tcW w:w="450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(0.27</w:t>
            </w:r>
          </w:p>
        </w:tc>
        <w:tc>
          <w:tcPr>
            <w:tcW w:w="290" w:type="dxa"/>
            <w:tcBorders/>
            <w:shd w:fill="FFFFFF" w:val="clear"/>
            <w:vAlign w:val="center"/>
          </w:tcPr>
          <w:p>
            <w:pPr>
              <w:pStyle w:val="TableContents"/>
              <w:bidi w:val="0"/>
              <w:spacing w:before="0" w:after="283"/>
              <w:ind w:left="0" w:right="0" w:firstLine="180"/>
              <w:jc w:val="left"/>
              <w:rPr/>
            </w:pPr>
            <w:r>
              <w:rPr/>
              <w:t>)</w:t>
            </w:r>
          </w:p>
        </w:tc>
      </w:tr>
      <w:tr>
        <w:trPr/>
        <w:tc>
          <w:tcPr>
            <w:tcW w:w="450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(0.27</w:t>
            </w:r>
          </w:p>
        </w:tc>
        <w:tc>
          <w:tcPr>
            <w:tcW w:w="290" w:type="dxa"/>
            <w:tcBorders/>
            <w:shd w:fill="CCEEFF" w:val="clear"/>
            <w:vAlign w:val="center"/>
          </w:tcPr>
          <w:p>
            <w:pPr>
              <w:pStyle w:val="TableContents"/>
              <w:bidi w:val="0"/>
              <w:spacing w:before="0" w:after="283"/>
              <w:ind w:left="0" w:right="0" w:hanging="216"/>
              <w:jc w:val="left"/>
              <w:rPr/>
            </w:pPr>
            <w:r>
              <w:rPr/>
              <w:t>)</w:t>
            </w:r>
          </w:p>
        </w:tc>
      </w:tr>
      <w:tr>
        <w:trPr/>
        <w:tc>
          <w:tcPr>
            <w:tcW w:w="4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216"/>
              <w:jc w:val="left"/>
              <w:rPr/>
            </w:pPr>
            <w:r>
              <w:rPr/>
              <w:t> </w:t>
            </w:r>
          </w:p>
        </w:tc>
      </w:tr>
      <w:tr>
        <w:trPr/>
        <w:tc>
          <w:tcPr>
            <w:tcW w:w="4500" w:type="dxa"/>
            <w:tcBorders/>
            <w:shd w:fill="CCEEFF" w:val="clear"/>
            <w:vAlign w:val="center"/>
          </w:tcPr>
          <w:p>
            <w:pPr>
              <w:pStyle w:val="TableContents"/>
              <w:bidi w:val="0"/>
              <w:spacing w:before="0" w:after="283"/>
              <w:jc w:val="left"/>
              <w:rPr/>
            </w:pPr>
            <w:r>
              <w:rPr/>
              <w:t>Share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500" w:type="dxa"/>
            <w:tcBorders/>
            <w:shd w:fill="FFFFFF" w:val="clear"/>
            <w:vAlign w:val="center"/>
          </w:tcPr>
          <w:p>
            <w:pPr>
              <w:pStyle w:val="TableContents"/>
              <w:bidi w:val="0"/>
              <w:spacing w:before="0" w:after="283"/>
              <w:jc w:val="left"/>
              <w:rPr/>
            </w:pPr>
            <w:r>
              <w:rPr/>
              <w:t>Weighted average common shares outstanding used in basic per common share calculations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20,811,048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21,039,090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20,843,029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21,027,073</w:t>
            </w:r>
          </w:p>
        </w:tc>
        <w:tc>
          <w:tcPr>
            <w:tcW w:w="290" w:type="dxa"/>
            <w:tcBorders/>
            <w:shd w:fill="FFFFFF" w:val="clear"/>
            <w:vAlign w:val="center"/>
          </w:tcPr>
          <w:p>
            <w:pPr>
              <w:pStyle w:val="TableContents"/>
              <w:bidi w:val="0"/>
              <w:spacing w:before="0" w:after="283"/>
              <w:jc w:val="left"/>
              <w:rPr/>
            </w:pPr>
            <w:r>
              <w:rPr/>
              <w:t> </w:t>
            </w:r>
          </w:p>
        </w:tc>
      </w:tr>
      <w:tr>
        <w:trPr/>
        <w:tc>
          <w:tcPr>
            <w:tcW w:w="4500" w:type="dxa"/>
            <w:tcBorders/>
            <w:shd w:fill="CCEEFF" w:val="clear"/>
            <w:vAlign w:val="center"/>
          </w:tcPr>
          <w:p>
            <w:pPr>
              <w:pStyle w:val="TableContents"/>
              <w:bidi w:val="0"/>
              <w:spacing w:before="0" w:after="283"/>
              <w:jc w:val="left"/>
              <w:rPr/>
            </w:pPr>
            <w:r>
              <w:rPr/>
              <w:t>Dilutive securities – restricted stock units and performance share units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61,665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500" w:type="dxa"/>
            <w:tcBorders/>
            <w:shd w:fill="FFFFFF" w:val="clear"/>
            <w:vAlign w:val="center"/>
          </w:tcPr>
          <w:p>
            <w:pPr>
              <w:pStyle w:val="TableContents"/>
              <w:bidi w:val="0"/>
              <w:spacing w:before="0" w:after="283"/>
              <w:jc w:val="left"/>
              <w:rPr/>
            </w:pPr>
            <w:r>
              <w:rPr/>
              <w:t>Weighted average common shares used in diluted per common share calculations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20,874,648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21,039,090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20,904,694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21,027,073</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Consolidated Statements of Comprehensive Income (Loss)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3"/>
        <w:gridCol w:w="60"/>
        <w:gridCol w:w="212"/>
        <w:gridCol w:w="577"/>
        <w:gridCol w:w="144"/>
        <w:gridCol w:w="90"/>
        <w:gridCol w:w="212"/>
        <w:gridCol w:w="1146"/>
        <w:gridCol w:w="95"/>
        <w:gridCol w:w="60"/>
        <w:gridCol w:w="185"/>
        <w:gridCol w:w="898"/>
        <w:gridCol w:w="125"/>
        <w:gridCol w:w="78"/>
        <w:gridCol w:w="185"/>
        <w:gridCol w:w="839"/>
        <w:gridCol w:w="296"/>
      </w:tblGrid>
      <w:tr>
        <w:trPr/>
        <w:tc>
          <w:tcPr>
            <w:tcW w:w="50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96" w:type="dxa"/>
            <w:tcBorders/>
            <w:vAlign w:val="center"/>
          </w:tcPr>
          <w:p>
            <w:pPr>
              <w:pStyle w:val="TableContents"/>
              <w:bidi w:val="0"/>
              <w:spacing w:before="0" w:after="283"/>
              <w:jc w:val="left"/>
              <w:rPr/>
            </w:pPr>
            <w:r>
              <w:rPr/>
              <w:t> </w:t>
            </w:r>
          </w:p>
        </w:tc>
      </w:tr>
      <w:tr>
        <w:trPr/>
        <w:tc>
          <w:tcPr>
            <w:tcW w:w="50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6" w:type="dxa"/>
            <w:tcBorders/>
            <w:vAlign w:val="center"/>
          </w:tcPr>
          <w:p>
            <w:pPr>
              <w:pStyle w:val="TableContents"/>
              <w:bidi w:val="0"/>
              <w:spacing w:before="0" w:after="283"/>
              <w:ind w:left="0" w:right="0" w:hanging="180"/>
              <w:jc w:val="left"/>
              <w:rPr/>
            </w:pPr>
            <w:r>
              <w:rPr/>
              <w:t> </w:t>
            </w:r>
          </w:p>
        </w:tc>
      </w:tr>
      <w:tr>
        <w:trPr/>
        <w:tc>
          <w:tcPr>
            <w:tcW w:w="5003"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77" w:type="dxa"/>
            <w:tcBorders>
              <w:bottom w:val="single" w:sz="8" w:space="0" w:color="000000"/>
            </w:tcBorders>
            <w:shd w:fill="CCEEFF" w:val="clear"/>
            <w:tcMar>
              <w:bottom w:w="28" w:type="dxa"/>
            </w:tcMar>
            <w:vAlign w:val="center"/>
          </w:tcPr>
          <w:p>
            <w:pPr>
              <w:pStyle w:val="TableContents"/>
              <w:bidi w:val="0"/>
              <w:spacing w:before="0" w:after="283"/>
              <w:jc w:val="right"/>
              <w:rPr/>
            </w:pPr>
            <w:r>
              <w:rPr/>
              <w:t>146</w:t>
            </w:r>
          </w:p>
        </w:tc>
        <w:tc>
          <w:tcPr>
            <w:tcW w:w="14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(12,051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pPr>
            <w:r>
              <w:rPr/>
              <w:t>12,654</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(5,591</w:t>
            </w:r>
          </w:p>
        </w:tc>
        <w:tc>
          <w:tcPr>
            <w:tcW w:w="296" w:type="dxa"/>
            <w:tcBorders/>
            <w:shd w:fill="CCEEFF" w:val="clear"/>
            <w:vAlign w:val="center"/>
          </w:tcPr>
          <w:p>
            <w:pPr>
              <w:pStyle w:val="TableContents"/>
              <w:bidi w:val="0"/>
              <w:spacing w:before="0" w:after="283"/>
              <w:jc w:val="left"/>
              <w:rPr/>
            </w:pPr>
            <w:r>
              <w:rPr/>
              <w:t>)</w:t>
            </w:r>
          </w:p>
        </w:tc>
      </w:tr>
      <w:tr>
        <w:trPr/>
        <w:tc>
          <w:tcPr>
            <w:tcW w:w="50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296" w:type="dxa"/>
            <w:tcBorders/>
            <w:shd w:fill="FFFFFF" w:val="clear"/>
            <w:vAlign w:val="center"/>
          </w:tcPr>
          <w:p>
            <w:pPr>
              <w:pStyle w:val="TableContents"/>
              <w:bidi w:val="0"/>
              <w:spacing w:before="0" w:after="283"/>
              <w:jc w:val="left"/>
              <w:rPr/>
            </w:pPr>
            <w:r>
              <w:rPr/>
              <w:t> </w:t>
            </w:r>
          </w:p>
        </w:tc>
      </w:tr>
      <w:tr>
        <w:trPr/>
        <w:tc>
          <w:tcPr>
            <w:tcW w:w="5003" w:type="dxa"/>
            <w:tcBorders/>
            <w:shd w:fill="CCEEFF" w:val="clear"/>
            <w:vAlign w:val="center"/>
          </w:tcPr>
          <w:p>
            <w:pPr>
              <w:pStyle w:val="TableContents"/>
              <w:bidi w:val="0"/>
              <w:spacing w:before="0" w:after="283"/>
              <w:jc w:val="left"/>
              <w:rPr/>
            </w:pPr>
            <w:r>
              <w:rPr/>
              <w:t>Other comprehensive income (loss), before income taxes: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firstLine="36"/>
              <w:jc w:val="left"/>
              <w:rPr/>
            </w:pPr>
            <w:r>
              <w:rPr/>
              <w:t> </w:t>
            </w:r>
          </w:p>
        </w:tc>
      </w:tr>
      <w:tr>
        <w:trPr/>
        <w:tc>
          <w:tcPr>
            <w:tcW w:w="5003" w:type="dxa"/>
            <w:tcBorders/>
            <w:shd w:fill="FFFFFF" w:val="clear"/>
            <w:vAlign w:val="center"/>
          </w:tcPr>
          <w:p>
            <w:pPr>
              <w:pStyle w:val="TableContents"/>
              <w:bidi w:val="0"/>
              <w:spacing w:before="0" w:after="283"/>
              <w:jc w:val="left"/>
              <w:rPr/>
            </w:pPr>
            <w:r>
              <w:rPr/>
              <w:t>Holding gains (losses) on investments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149</w:t>
            </w:r>
          </w:p>
        </w:tc>
        <w:tc>
          <w:tcPr>
            <w:tcW w:w="14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(2,254</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4,649</w:t>
            </w:r>
          </w:p>
        </w:tc>
        <w:tc>
          <w:tcPr>
            <w:tcW w:w="296" w:type="dxa"/>
            <w:tcBorders/>
            <w:shd w:fill="FFFFFF" w:val="clear"/>
            <w:vAlign w:val="center"/>
          </w:tcPr>
          <w:p>
            <w:pPr>
              <w:pStyle w:val="TableContents"/>
              <w:bidi w:val="0"/>
              <w:spacing w:before="0" w:after="283"/>
              <w:jc w:val="left"/>
              <w:rPr/>
            </w:pPr>
            <w:r>
              <w:rPr/>
              <w:t> </w:t>
            </w:r>
          </w:p>
        </w:tc>
      </w:tr>
      <w:tr>
        <w:trPr/>
        <w:tc>
          <w:tcPr>
            <w:tcW w:w="5003" w:type="dxa"/>
            <w:tcBorders/>
            <w:shd w:fill="CCEEFF" w:val="clear"/>
            <w:vAlign w:val="center"/>
          </w:tcPr>
          <w:p>
            <w:pPr>
              <w:pStyle w:val="TableContents"/>
              <w:bidi w:val="0"/>
              <w:spacing w:before="0" w:after="283"/>
              <w:jc w:val="left"/>
              <w:rPr/>
            </w:pPr>
            <w:r>
              <w:rPr/>
              <w:t>Reclassification adjustment for net realized gains (losses) included in net income (loss)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296" w:type="dxa"/>
            <w:tcBorders/>
            <w:shd w:fill="CCEEFF" w:val="clear"/>
            <w:vAlign w:val="center"/>
          </w:tcPr>
          <w:p>
            <w:pPr>
              <w:pStyle w:val="TableContents"/>
              <w:bidi w:val="0"/>
              <w:spacing w:before="0" w:after="283"/>
              <w:jc w:val="left"/>
              <w:rPr/>
            </w:pPr>
            <w:r>
              <w:rPr/>
              <w:t> </w:t>
            </w:r>
          </w:p>
        </w:tc>
      </w:tr>
      <w:tr>
        <w:trPr/>
        <w:tc>
          <w:tcPr>
            <w:tcW w:w="5003" w:type="dxa"/>
            <w:tcBorders/>
            <w:shd w:fill="FFFFFF" w:val="clear"/>
            <w:vAlign w:val="center"/>
          </w:tcPr>
          <w:p>
            <w:pPr>
              <w:pStyle w:val="TableContents"/>
              <w:bidi w:val="0"/>
              <w:spacing w:before="0" w:after="283"/>
              <w:jc w:val="left"/>
              <w:rPr/>
            </w:pPr>
            <w:r>
              <w:rPr/>
              <w:t>Other comprehensive income (loss), before income taxes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142</w:t>
            </w:r>
          </w:p>
        </w:tc>
        <w:tc>
          <w:tcPr>
            <w:tcW w:w="14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(2,269</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4,782</w:t>
            </w:r>
          </w:p>
        </w:tc>
        <w:tc>
          <w:tcPr>
            <w:tcW w:w="296" w:type="dxa"/>
            <w:tcBorders/>
            <w:shd w:fill="FFFFFF" w:val="clear"/>
            <w:vAlign w:val="center"/>
          </w:tcPr>
          <w:p>
            <w:pPr>
              <w:pStyle w:val="TableContents"/>
              <w:bidi w:val="0"/>
              <w:spacing w:before="0" w:after="283"/>
              <w:jc w:val="left"/>
              <w:rPr/>
            </w:pPr>
            <w:r>
              <w:rPr/>
              <w:t> </w:t>
            </w:r>
          </w:p>
        </w:tc>
      </w:tr>
      <w:tr>
        <w:trPr/>
        <w:tc>
          <w:tcPr>
            <w:tcW w:w="5003" w:type="dxa"/>
            <w:tcBorders/>
            <w:shd w:fill="CCEEFF" w:val="clear"/>
            <w:vAlign w:val="center"/>
          </w:tcPr>
          <w:p>
            <w:pPr>
              <w:pStyle w:val="TableContents"/>
              <w:bidi w:val="0"/>
              <w:spacing w:before="0" w:after="283"/>
              <w:jc w:val="left"/>
              <w:rPr/>
            </w:pPr>
            <w:r>
              <w:rPr/>
              <w:t>Income tax benefit (expense) related to items of other comprehensive income (loss)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pPr>
            <w:r>
              <w:rPr/>
              <w:t>476</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(1,087</w:t>
            </w:r>
          </w:p>
        </w:tc>
        <w:tc>
          <w:tcPr>
            <w:tcW w:w="296" w:type="dxa"/>
            <w:tcBorders/>
            <w:shd w:fill="CCEEFF" w:val="clear"/>
            <w:vAlign w:val="center"/>
          </w:tcPr>
          <w:p>
            <w:pPr>
              <w:pStyle w:val="TableContents"/>
              <w:bidi w:val="0"/>
              <w:spacing w:before="0" w:after="283"/>
              <w:jc w:val="left"/>
              <w:rPr/>
            </w:pPr>
            <w:r>
              <w:rPr/>
              <w:t>)</w:t>
            </w:r>
          </w:p>
        </w:tc>
      </w:tr>
      <w:tr>
        <w:trPr/>
        <w:tc>
          <w:tcPr>
            <w:tcW w:w="5003" w:type="dxa"/>
            <w:tcBorders/>
            <w:shd w:fill="FFFFFF" w:val="clear"/>
            <w:vAlign w:val="center"/>
          </w:tcPr>
          <w:p>
            <w:pPr>
              <w:pStyle w:val="TableContents"/>
              <w:bidi w:val="0"/>
              <w:spacing w:before="0" w:after="283"/>
              <w:jc w:val="left"/>
              <w:rPr/>
            </w:pPr>
            <w:r>
              <w:rPr/>
              <w:t>Other comprehensive income (loss), net of income taxes</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112</w:t>
            </w:r>
          </w:p>
        </w:tc>
        <w:tc>
          <w:tcPr>
            <w:tcW w:w="14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1,135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(1,793</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3,695</w:t>
            </w:r>
          </w:p>
        </w:tc>
        <w:tc>
          <w:tcPr>
            <w:tcW w:w="296" w:type="dxa"/>
            <w:tcBorders/>
            <w:shd w:fill="FFFFFF" w:val="clear"/>
            <w:vAlign w:val="center"/>
          </w:tcPr>
          <w:p>
            <w:pPr>
              <w:pStyle w:val="TableContents"/>
              <w:bidi w:val="0"/>
              <w:spacing w:before="0" w:after="283"/>
              <w:ind w:left="0" w:right="0" w:firstLine="216"/>
              <w:jc w:val="left"/>
              <w:rPr/>
            </w:pPr>
            <w:r>
              <w:rPr/>
              <w:t> </w:t>
            </w:r>
          </w:p>
        </w:tc>
      </w:tr>
      <w:tr>
        <w:trPr/>
        <w:tc>
          <w:tcPr>
            <w:tcW w:w="50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hanging="288"/>
              <w:jc w:val="left"/>
              <w:rPr/>
            </w:pPr>
            <w:r>
              <w:rPr/>
              <w:t> </w:t>
            </w:r>
          </w:p>
        </w:tc>
      </w:tr>
      <w:tr>
        <w:trPr/>
        <w:tc>
          <w:tcPr>
            <w:tcW w:w="5003" w:type="dxa"/>
            <w:tcBorders/>
            <w:shd w:fill="FFFFFF" w:val="clear"/>
            <w:vAlign w:val="center"/>
          </w:tcPr>
          <w:p>
            <w:pPr>
              <w:pStyle w:val="TableContents"/>
              <w:bidi w:val="0"/>
              <w:spacing w:before="0" w:after="283"/>
              <w:jc w:val="left"/>
              <w:rPr/>
            </w:pPr>
            <w:r>
              <w:rPr/>
              <w:t>Comprehensive income (loss)</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77" w:type="dxa"/>
            <w:tcBorders>
              <w:bottom w:val="double" w:sz="6" w:space="0" w:color="000000"/>
            </w:tcBorders>
            <w:shd w:fill="FFFFFF" w:val="clear"/>
            <w:tcMar>
              <w:bottom w:w="28" w:type="dxa"/>
            </w:tcMar>
            <w:vAlign w:val="center"/>
          </w:tcPr>
          <w:p>
            <w:pPr>
              <w:pStyle w:val="TableContents"/>
              <w:bidi w:val="0"/>
              <w:spacing w:before="0" w:after="283"/>
              <w:jc w:val="right"/>
              <w:rPr/>
            </w:pPr>
            <w:r>
              <w:rPr/>
              <w:t>258</w:t>
            </w:r>
          </w:p>
        </w:tc>
        <w:tc>
          <w:tcPr>
            <w:tcW w:w="14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6" w:type="dxa"/>
            <w:tcBorders>
              <w:bottom w:val="double" w:sz="6" w:space="0" w:color="000000"/>
            </w:tcBorders>
            <w:shd w:fill="FFFFFF" w:val="clear"/>
            <w:tcMar>
              <w:bottom w:w="28" w:type="dxa"/>
            </w:tcMar>
            <w:vAlign w:val="center"/>
          </w:tcPr>
          <w:p>
            <w:pPr>
              <w:pStyle w:val="TableContents"/>
              <w:bidi w:val="0"/>
              <w:spacing w:before="0" w:after="283"/>
              <w:jc w:val="right"/>
              <w:rPr/>
            </w:pPr>
            <w:r>
              <w:rPr/>
              <w:t>(10,916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10,861</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t>(1,896</w:t>
            </w:r>
          </w:p>
        </w:tc>
        <w:tc>
          <w:tcPr>
            <w:tcW w:w="29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705"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69"/>
        <w:gridCol w:w="876"/>
        <w:gridCol w:w="95"/>
        <w:gridCol w:w="60"/>
        <w:gridCol w:w="141"/>
        <w:gridCol w:w="809"/>
        <w:gridCol w:w="95"/>
        <w:gridCol w:w="60"/>
        <w:gridCol w:w="251"/>
        <w:gridCol w:w="1359"/>
        <w:gridCol w:w="95"/>
        <w:gridCol w:w="60"/>
        <w:gridCol w:w="150"/>
        <w:gridCol w:w="815"/>
        <w:gridCol w:w="95"/>
        <w:gridCol w:w="60"/>
        <w:gridCol w:w="215"/>
        <w:gridCol w:w="1230"/>
        <w:gridCol w:w="110"/>
      </w:tblGrid>
      <w:tr>
        <w:trPr/>
        <w:tc>
          <w:tcPr>
            <w:tcW w:w="10705" w:type="dxa"/>
            <w:gridSpan w:val="29"/>
            <w:tcBorders>
              <w:bottom w:val="single" w:sz="8" w:space="0" w:color="000000"/>
            </w:tcBorders>
            <w:vAlign w:val="center"/>
          </w:tcPr>
          <w:p>
            <w:pPr>
              <w:pStyle w:val="TableContents"/>
              <w:bidi w:val="0"/>
              <w:spacing w:before="0" w:after="283"/>
              <w:jc w:val="center"/>
              <w:rPr>
                <w:b/>
              </w:rPr>
            </w:pPr>
            <w:r>
              <w:rPr>
                <w:b/>
              </w:rPr>
              <w:t>Three Months Ended June 30, 2026</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Other</w:t>
              <w:br/>
              <w:t>Comprehensive</w:t>
              <w:br/>
              <w:t>Loss, Net of</w:t>
              <w:br/>
              <w:t>Income 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Treasury</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w:t>
              <w:br/>
              <w:t>April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95,643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(212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203,478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(12,500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(36,443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250,196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146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146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112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112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(1,445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(1,445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372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372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(242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265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Balance,</w:t>
              <w:b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vAlign w:val="center"/>
          </w:tcPr>
          <w:p>
            <w:pPr>
              <w:pStyle w:val="TableContents"/>
              <w:bidi w:val="0"/>
              <w:spacing w:before="0" w:after="283"/>
              <w:jc w:val="left"/>
              <w:rPr/>
            </w:pPr>
            <w:r>
              <w:rPr/>
              <w:t>$</w:t>
            </w:r>
          </w:p>
        </w:tc>
        <w:tc>
          <w:tcPr>
            <w:tcW w:w="706" w:type="dxa"/>
            <w:tcBorders>
              <w:bottom w:val="double" w:sz="6" w:space="0" w:color="000000"/>
            </w:tcBorders>
            <w:shd w:fill="FFFFFF" w:val="clear"/>
            <w:vAlign w:val="center"/>
          </w:tcPr>
          <w:p>
            <w:pPr>
              <w:pStyle w:val="TableContents"/>
              <w:bidi w:val="0"/>
              <w:spacing w:before="0" w:after="283"/>
              <w:jc w:val="right"/>
              <w:rPr/>
            </w:pPr>
            <w:r>
              <w:rPr/>
              <w:t>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vAlign w:val="center"/>
          </w:tcPr>
          <w:p>
            <w:pPr>
              <w:pStyle w:val="TableContents"/>
              <w:bidi w:val="0"/>
              <w:spacing w:before="0" w:after="283"/>
              <w:jc w:val="left"/>
              <w:rPr/>
            </w:pPr>
            <w:r>
              <w:rPr/>
              <w:t>$</w:t>
            </w:r>
          </w:p>
        </w:tc>
        <w:tc>
          <w:tcPr>
            <w:tcW w:w="913" w:type="dxa"/>
            <w:tcBorders>
              <w:bottom w:val="double" w:sz="6" w:space="0" w:color="000000"/>
            </w:tcBorders>
            <w:shd w:fill="FFFFFF" w:val="clear"/>
            <w:vAlign w:val="center"/>
          </w:tcPr>
          <w:p>
            <w:pPr>
              <w:pStyle w:val="TableContents"/>
              <w:bidi w:val="0"/>
              <w:spacing w:before="0" w:after="283"/>
              <w:jc w:val="right"/>
              <w:rPr/>
            </w:pPr>
            <w:r>
              <w:rPr/>
              <w:t>95,773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vAlign w:val="center"/>
          </w:tcPr>
          <w:p>
            <w:pPr>
              <w:pStyle w:val="TableContents"/>
              <w:bidi w:val="0"/>
              <w:spacing w:before="0" w:after="283"/>
              <w:jc w:val="left"/>
              <w:rPr/>
            </w:pPr>
            <w:r>
              <w:rPr/>
              <w:t>$</w:t>
            </w:r>
          </w:p>
        </w:tc>
        <w:tc>
          <w:tcPr>
            <w:tcW w:w="876" w:type="dxa"/>
            <w:tcBorders>
              <w:bottom w:val="double" w:sz="6" w:space="0" w:color="000000"/>
            </w:tcBorders>
            <w:shd w:fill="FFFFFF" w:val="clear"/>
            <w:vAlign w:val="center"/>
          </w:tcPr>
          <w:p>
            <w:pPr>
              <w:pStyle w:val="TableContents"/>
              <w:bidi w:val="0"/>
              <w:spacing w:before="0" w:after="283"/>
              <w:jc w:val="right"/>
              <w:rPr/>
            </w:pPr>
            <w:r>
              <w:rPr/>
              <w:t>(212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FFFFFF" w:val="clear"/>
            <w:vAlign w:val="center"/>
          </w:tcPr>
          <w:p>
            <w:pPr>
              <w:pStyle w:val="TableContents"/>
              <w:bidi w:val="0"/>
              <w:spacing w:before="0" w:after="283"/>
              <w:jc w:val="left"/>
              <w:rPr/>
            </w:pPr>
            <w:r>
              <w:rPr/>
              <w:t>$</w:t>
            </w:r>
          </w:p>
        </w:tc>
        <w:tc>
          <w:tcPr>
            <w:tcW w:w="809" w:type="dxa"/>
            <w:tcBorders>
              <w:bottom w:val="double" w:sz="6" w:space="0" w:color="000000"/>
            </w:tcBorders>
            <w:shd w:fill="FFFFFF" w:val="clear"/>
            <w:vAlign w:val="center"/>
          </w:tcPr>
          <w:p>
            <w:pPr>
              <w:pStyle w:val="TableContents"/>
              <w:bidi w:val="0"/>
              <w:spacing w:before="0" w:after="283"/>
              <w:jc w:val="right"/>
              <w:rPr/>
            </w:pPr>
            <w:r>
              <w:rPr/>
              <w:t>203,596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vAlign w:val="center"/>
          </w:tcPr>
          <w:p>
            <w:pPr>
              <w:pStyle w:val="TableContents"/>
              <w:bidi w:val="0"/>
              <w:spacing w:before="0" w:after="283"/>
              <w:jc w:val="left"/>
              <w:rPr/>
            </w:pPr>
            <w:r>
              <w:rPr/>
              <w:t>$</w:t>
            </w:r>
          </w:p>
        </w:tc>
        <w:tc>
          <w:tcPr>
            <w:tcW w:w="1359" w:type="dxa"/>
            <w:tcBorders>
              <w:bottom w:val="double" w:sz="6" w:space="0" w:color="000000"/>
            </w:tcBorders>
            <w:shd w:fill="FFFFFF" w:val="clear"/>
            <w:vAlign w:val="center"/>
          </w:tcPr>
          <w:p>
            <w:pPr>
              <w:pStyle w:val="TableContents"/>
              <w:bidi w:val="0"/>
              <w:spacing w:before="0" w:after="283"/>
              <w:jc w:val="right"/>
              <w:rPr/>
            </w:pPr>
            <w:r>
              <w:rPr/>
              <w:t>(12,388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815" w:type="dxa"/>
            <w:tcBorders>
              <w:bottom w:val="double" w:sz="6" w:space="0" w:color="000000"/>
            </w:tcBorders>
            <w:shd w:fill="FFFFFF" w:val="clear"/>
            <w:vAlign w:val="center"/>
          </w:tcPr>
          <w:p>
            <w:pPr>
              <w:pStyle w:val="TableContents"/>
              <w:bidi w:val="0"/>
              <w:spacing w:before="0" w:after="283"/>
              <w:jc w:val="right"/>
              <w:rPr/>
            </w:pPr>
            <w:r>
              <w:rPr/>
              <w:t>(37,623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vAlign w:val="center"/>
          </w:tcPr>
          <w:p>
            <w:pPr>
              <w:pStyle w:val="TableContents"/>
              <w:bidi w:val="0"/>
              <w:spacing w:before="0" w:after="283"/>
              <w:jc w:val="left"/>
              <w:rPr/>
            </w:pPr>
            <w:r>
              <w:rPr/>
              <w:t>$</w:t>
            </w:r>
          </w:p>
        </w:tc>
        <w:tc>
          <w:tcPr>
            <w:tcW w:w="1230" w:type="dxa"/>
            <w:tcBorders>
              <w:bottom w:val="double" w:sz="6" w:space="0" w:color="000000"/>
            </w:tcBorders>
            <w:shd w:fill="FFFFFF" w:val="clear"/>
            <w:vAlign w:val="center"/>
          </w:tcPr>
          <w:p>
            <w:pPr>
              <w:pStyle w:val="TableContents"/>
              <w:bidi w:val="0"/>
              <w:spacing w:before="0" w:after="283"/>
              <w:jc w:val="right"/>
              <w:rPr/>
            </w:pPr>
            <w:r>
              <w:rPr/>
              <w:t>249,376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705"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69"/>
        <w:gridCol w:w="876"/>
        <w:gridCol w:w="95"/>
        <w:gridCol w:w="60"/>
        <w:gridCol w:w="141"/>
        <w:gridCol w:w="809"/>
        <w:gridCol w:w="95"/>
        <w:gridCol w:w="60"/>
        <w:gridCol w:w="251"/>
        <w:gridCol w:w="1359"/>
        <w:gridCol w:w="95"/>
        <w:gridCol w:w="60"/>
        <w:gridCol w:w="150"/>
        <w:gridCol w:w="815"/>
        <w:gridCol w:w="95"/>
        <w:gridCol w:w="60"/>
        <w:gridCol w:w="215"/>
        <w:gridCol w:w="1230"/>
        <w:gridCol w:w="110"/>
      </w:tblGrid>
      <w:tr>
        <w:trPr/>
        <w:tc>
          <w:tcPr>
            <w:tcW w:w="10705" w:type="dxa"/>
            <w:gridSpan w:val="29"/>
            <w:tcBorders>
              <w:bottom w:val="single" w:sz="8" w:space="0" w:color="000000"/>
            </w:tcBorders>
            <w:vAlign w:val="center"/>
          </w:tcPr>
          <w:p>
            <w:pPr>
              <w:pStyle w:val="TableContents"/>
              <w:bidi w:val="0"/>
              <w:spacing w:before="0" w:after="283"/>
              <w:jc w:val="center"/>
              <w:rPr>
                <w:b/>
              </w:rPr>
            </w:pPr>
            <w:r>
              <w:rPr>
                <w:b/>
              </w:rPr>
              <w:t>Six Months Ended June 30, 2026</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Retained</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Accumulated</w:t>
              <w:br/>
              <w:t>Other</w:t>
              <w:br/>
              <w:t>Comprehensive</w:t>
              <w:br/>
              <w:t>Loss, Net of</w:t>
              <w:br/>
              <w:t>Income 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 xml:space="preserve">Treasury </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Balance,</w:t>
              <w:br/>
              <w:t>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95,932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(212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191,074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(10,595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(36,092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240,337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12,654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12,654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(1,793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(1,793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(2,306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(2,306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665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665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(824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(132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775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(181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Balance,</w:t>
              <w:br/>
              <w:t>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vAlign w:val="center"/>
          </w:tcPr>
          <w:p>
            <w:pPr>
              <w:pStyle w:val="TableContents"/>
              <w:bidi w:val="0"/>
              <w:spacing w:before="0" w:after="283"/>
              <w:jc w:val="left"/>
              <w:rPr/>
            </w:pPr>
            <w:r>
              <w:rPr/>
              <w:t>$</w:t>
            </w:r>
          </w:p>
        </w:tc>
        <w:tc>
          <w:tcPr>
            <w:tcW w:w="706" w:type="dxa"/>
            <w:tcBorders>
              <w:bottom w:val="double" w:sz="6" w:space="0" w:color="000000"/>
            </w:tcBorders>
            <w:shd w:fill="FFFFFF" w:val="clear"/>
            <w:vAlign w:val="center"/>
          </w:tcPr>
          <w:p>
            <w:pPr>
              <w:pStyle w:val="TableContents"/>
              <w:bidi w:val="0"/>
              <w:spacing w:before="0" w:after="283"/>
              <w:jc w:val="right"/>
              <w:rPr/>
            </w:pPr>
            <w:r>
              <w:rPr/>
              <w:t>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vAlign w:val="center"/>
          </w:tcPr>
          <w:p>
            <w:pPr>
              <w:pStyle w:val="TableContents"/>
              <w:bidi w:val="0"/>
              <w:spacing w:before="0" w:after="283"/>
              <w:jc w:val="left"/>
              <w:rPr/>
            </w:pPr>
            <w:r>
              <w:rPr/>
              <w:t>$</w:t>
            </w:r>
          </w:p>
        </w:tc>
        <w:tc>
          <w:tcPr>
            <w:tcW w:w="913" w:type="dxa"/>
            <w:tcBorders>
              <w:bottom w:val="double" w:sz="6" w:space="0" w:color="000000"/>
            </w:tcBorders>
            <w:shd w:fill="FFFFFF" w:val="clear"/>
            <w:vAlign w:val="center"/>
          </w:tcPr>
          <w:p>
            <w:pPr>
              <w:pStyle w:val="TableContents"/>
              <w:bidi w:val="0"/>
              <w:spacing w:before="0" w:after="283"/>
              <w:jc w:val="right"/>
              <w:rPr/>
            </w:pPr>
            <w:r>
              <w:rPr/>
              <w:t>95,773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vAlign w:val="center"/>
          </w:tcPr>
          <w:p>
            <w:pPr>
              <w:pStyle w:val="TableContents"/>
              <w:bidi w:val="0"/>
              <w:spacing w:before="0" w:after="283"/>
              <w:jc w:val="left"/>
              <w:rPr/>
            </w:pPr>
            <w:r>
              <w:rPr/>
              <w:t>$</w:t>
            </w:r>
          </w:p>
        </w:tc>
        <w:tc>
          <w:tcPr>
            <w:tcW w:w="876" w:type="dxa"/>
            <w:tcBorders>
              <w:bottom w:val="double" w:sz="6" w:space="0" w:color="000000"/>
            </w:tcBorders>
            <w:shd w:fill="FFFFFF" w:val="clear"/>
            <w:vAlign w:val="center"/>
          </w:tcPr>
          <w:p>
            <w:pPr>
              <w:pStyle w:val="TableContents"/>
              <w:bidi w:val="0"/>
              <w:spacing w:before="0" w:after="283"/>
              <w:jc w:val="right"/>
              <w:rPr/>
            </w:pPr>
            <w:r>
              <w:rPr/>
              <w:t>(212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FFFFFF" w:val="clear"/>
            <w:vAlign w:val="center"/>
          </w:tcPr>
          <w:p>
            <w:pPr>
              <w:pStyle w:val="TableContents"/>
              <w:bidi w:val="0"/>
              <w:spacing w:before="0" w:after="283"/>
              <w:jc w:val="left"/>
              <w:rPr/>
            </w:pPr>
            <w:r>
              <w:rPr/>
              <w:t>$</w:t>
            </w:r>
          </w:p>
        </w:tc>
        <w:tc>
          <w:tcPr>
            <w:tcW w:w="809" w:type="dxa"/>
            <w:tcBorders>
              <w:bottom w:val="double" w:sz="6" w:space="0" w:color="000000"/>
            </w:tcBorders>
            <w:shd w:fill="FFFFFF" w:val="clear"/>
            <w:vAlign w:val="center"/>
          </w:tcPr>
          <w:p>
            <w:pPr>
              <w:pStyle w:val="TableContents"/>
              <w:bidi w:val="0"/>
              <w:spacing w:before="0" w:after="283"/>
              <w:jc w:val="right"/>
              <w:rPr/>
            </w:pPr>
            <w:r>
              <w:rPr/>
              <w:t>203,596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vAlign w:val="center"/>
          </w:tcPr>
          <w:p>
            <w:pPr>
              <w:pStyle w:val="TableContents"/>
              <w:bidi w:val="0"/>
              <w:spacing w:before="0" w:after="283"/>
              <w:jc w:val="left"/>
              <w:rPr/>
            </w:pPr>
            <w:r>
              <w:rPr/>
              <w:t>$</w:t>
            </w:r>
          </w:p>
        </w:tc>
        <w:tc>
          <w:tcPr>
            <w:tcW w:w="1359" w:type="dxa"/>
            <w:tcBorders>
              <w:bottom w:val="double" w:sz="6" w:space="0" w:color="000000"/>
            </w:tcBorders>
            <w:shd w:fill="FFFFFF" w:val="clear"/>
            <w:vAlign w:val="center"/>
          </w:tcPr>
          <w:p>
            <w:pPr>
              <w:pStyle w:val="TableContents"/>
              <w:bidi w:val="0"/>
              <w:spacing w:before="0" w:after="283"/>
              <w:jc w:val="right"/>
              <w:rPr/>
            </w:pPr>
            <w:r>
              <w:rPr/>
              <w:t>(12,388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815" w:type="dxa"/>
            <w:tcBorders>
              <w:bottom w:val="double" w:sz="6" w:space="0" w:color="000000"/>
            </w:tcBorders>
            <w:shd w:fill="FFFFFF" w:val="clear"/>
            <w:vAlign w:val="center"/>
          </w:tcPr>
          <w:p>
            <w:pPr>
              <w:pStyle w:val="TableContents"/>
              <w:bidi w:val="0"/>
              <w:spacing w:before="0" w:after="283"/>
              <w:jc w:val="right"/>
              <w:rPr/>
            </w:pPr>
            <w:r>
              <w:rPr/>
              <w:t>(37,623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vAlign w:val="center"/>
          </w:tcPr>
          <w:p>
            <w:pPr>
              <w:pStyle w:val="TableContents"/>
              <w:bidi w:val="0"/>
              <w:spacing w:before="0" w:after="283"/>
              <w:jc w:val="left"/>
              <w:rPr/>
            </w:pPr>
            <w:r>
              <w:rPr/>
              <w:t>$</w:t>
            </w:r>
          </w:p>
        </w:tc>
        <w:tc>
          <w:tcPr>
            <w:tcW w:w="1230" w:type="dxa"/>
            <w:tcBorders>
              <w:bottom w:val="double" w:sz="6" w:space="0" w:color="000000"/>
            </w:tcBorders>
            <w:shd w:fill="FFFFFF" w:val="clear"/>
            <w:vAlign w:val="center"/>
          </w:tcPr>
          <w:p>
            <w:pPr>
              <w:pStyle w:val="TableContents"/>
              <w:bidi w:val="0"/>
              <w:spacing w:before="0" w:after="283"/>
              <w:jc w:val="right"/>
              <w:rPr/>
            </w:pPr>
            <w:r>
              <w:rPr/>
              <w:t>249,376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p>
      <w:pPr>
        <w:pStyle w:val="TextBody"/>
        <w:bidi w:val="0"/>
        <w:spacing w:before="0" w:after="0"/>
        <w:ind w:left="0" w:right="0" w:hanging="0"/>
        <w:jc w:val="left"/>
        <w:rPr>
          <w:caps w:val="false"/>
          <w:smallCaps w:val="false"/>
        </w:rPr>
      </w:pPr>
      <w:r>
        <w:rPr>
          <w:caps w:val="false"/>
          <w:smallCaps w:val="false"/>
        </w:rPr>
        <w:t> </w:t>
      </w:r>
    </w:p>
    <w:tbl>
      <w:tblPr>
        <w:tblW w:w="10705"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69"/>
        <w:gridCol w:w="876"/>
        <w:gridCol w:w="95"/>
        <w:gridCol w:w="60"/>
        <w:gridCol w:w="141"/>
        <w:gridCol w:w="809"/>
        <w:gridCol w:w="95"/>
        <w:gridCol w:w="60"/>
        <w:gridCol w:w="251"/>
        <w:gridCol w:w="1359"/>
        <w:gridCol w:w="95"/>
        <w:gridCol w:w="60"/>
        <w:gridCol w:w="150"/>
        <w:gridCol w:w="815"/>
        <w:gridCol w:w="95"/>
        <w:gridCol w:w="60"/>
        <w:gridCol w:w="215"/>
        <w:gridCol w:w="1230"/>
        <w:gridCol w:w="110"/>
      </w:tblGrid>
      <w:tr>
        <w:trPr/>
        <w:tc>
          <w:tcPr>
            <w:tcW w:w="10705" w:type="dxa"/>
            <w:gridSpan w:val="29"/>
            <w:tcBorders>
              <w:bottom w:val="single" w:sz="8" w:space="0" w:color="000000"/>
            </w:tcBorders>
            <w:vAlign w:val="center"/>
          </w:tcPr>
          <w:p>
            <w:pPr>
              <w:pStyle w:val="TableContents"/>
              <w:bidi w:val="0"/>
              <w:spacing w:before="0" w:after="283"/>
              <w:jc w:val="center"/>
              <w:rPr>
                <w:b/>
              </w:rPr>
            </w:pPr>
            <w:r>
              <w:rPr>
                <w:b/>
              </w:rPr>
              <w:t>Three Months Ended June 30, 2025</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 xml:space="preserve">Additional </w:t>
              <w:br/>
              <w:t>Paid-in</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Ownership</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 xml:space="preserve">Accumulated </w:t>
              <w:br/>
              <w:t xml:space="preserve">Other </w:t>
              <w:br/>
              <w:t>Comprehensive</w:t>
              <w:br/>
              <w:t xml:space="preserve">Loss, Net of </w:t>
              <w:br/>
              <w:t>Income 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Treasury</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 xml:space="preserve">Balance, </w:t>
              <w:br/>
              <w:t>April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95,783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(455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207,997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(15,671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(33,884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254,000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(12,051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(12,051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1,135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1,135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244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244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(203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232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 xml:space="preserve">Balance, </w:t>
              <w:b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vAlign w:val="center"/>
          </w:tcPr>
          <w:p>
            <w:pPr>
              <w:pStyle w:val="TableContents"/>
              <w:bidi w:val="0"/>
              <w:spacing w:before="0" w:after="283"/>
              <w:jc w:val="left"/>
              <w:rPr/>
            </w:pPr>
            <w:r>
              <w:rPr/>
              <w:t>$</w:t>
            </w:r>
          </w:p>
        </w:tc>
        <w:tc>
          <w:tcPr>
            <w:tcW w:w="706" w:type="dxa"/>
            <w:tcBorders>
              <w:bottom w:val="double" w:sz="6" w:space="0" w:color="000000"/>
            </w:tcBorders>
            <w:shd w:fill="FFFFFF" w:val="clear"/>
            <w:vAlign w:val="center"/>
          </w:tcPr>
          <w:p>
            <w:pPr>
              <w:pStyle w:val="TableContents"/>
              <w:bidi w:val="0"/>
              <w:spacing w:before="0" w:after="283"/>
              <w:jc w:val="right"/>
              <w:rPr/>
            </w:pPr>
            <w:r>
              <w:rPr/>
              <w:t>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vAlign w:val="center"/>
          </w:tcPr>
          <w:p>
            <w:pPr>
              <w:pStyle w:val="TableContents"/>
              <w:bidi w:val="0"/>
              <w:spacing w:before="0" w:after="283"/>
              <w:jc w:val="left"/>
              <w:rPr/>
            </w:pPr>
            <w:r>
              <w:rPr/>
              <w:t>$</w:t>
            </w:r>
          </w:p>
        </w:tc>
        <w:tc>
          <w:tcPr>
            <w:tcW w:w="913" w:type="dxa"/>
            <w:tcBorders>
              <w:bottom w:val="double" w:sz="6" w:space="0" w:color="000000"/>
            </w:tcBorders>
            <w:shd w:fill="FFFFFF" w:val="clear"/>
            <w:vAlign w:val="center"/>
          </w:tcPr>
          <w:p>
            <w:pPr>
              <w:pStyle w:val="TableContents"/>
              <w:bidi w:val="0"/>
              <w:spacing w:before="0" w:after="283"/>
              <w:jc w:val="right"/>
              <w:rPr/>
            </w:pPr>
            <w:r>
              <w:rPr/>
              <w:t>95,824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vAlign w:val="center"/>
          </w:tcPr>
          <w:p>
            <w:pPr>
              <w:pStyle w:val="TableContents"/>
              <w:bidi w:val="0"/>
              <w:spacing w:before="0" w:after="283"/>
              <w:jc w:val="left"/>
              <w:rPr/>
            </w:pPr>
            <w:r>
              <w:rPr/>
              <w:t>$</w:t>
            </w:r>
          </w:p>
        </w:tc>
        <w:tc>
          <w:tcPr>
            <w:tcW w:w="876" w:type="dxa"/>
            <w:tcBorders>
              <w:bottom w:val="double" w:sz="6" w:space="0" w:color="000000"/>
            </w:tcBorders>
            <w:shd w:fill="FFFFFF" w:val="clear"/>
            <w:vAlign w:val="center"/>
          </w:tcPr>
          <w:p>
            <w:pPr>
              <w:pStyle w:val="TableContents"/>
              <w:bidi w:val="0"/>
              <w:spacing w:before="0" w:after="283"/>
              <w:jc w:val="right"/>
              <w:rPr/>
            </w:pPr>
            <w:r>
              <w:rPr/>
              <w:t>(455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FFFFFF" w:val="clear"/>
            <w:vAlign w:val="center"/>
          </w:tcPr>
          <w:p>
            <w:pPr>
              <w:pStyle w:val="TableContents"/>
              <w:bidi w:val="0"/>
              <w:spacing w:before="0" w:after="283"/>
              <w:jc w:val="left"/>
              <w:rPr/>
            </w:pPr>
            <w:r>
              <w:rPr/>
              <w:t>$</w:t>
            </w:r>
          </w:p>
        </w:tc>
        <w:tc>
          <w:tcPr>
            <w:tcW w:w="809" w:type="dxa"/>
            <w:tcBorders>
              <w:bottom w:val="double" w:sz="6" w:space="0" w:color="000000"/>
            </w:tcBorders>
            <w:shd w:fill="FFFFFF" w:val="clear"/>
            <w:vAlign w:val="center"/>
          </w:tcPr>
          <w:p>
            <w:pPr>
              <w:pStyle w:val="TableContents"/>
              <w:bidi w:val="0"/>
              <w:spacing w:before="0" w:after="283"/>
              <w:jc w:val="right"/>
              <w:rPr/>
            </w:pPr>
            <w:r>
              <w:rPr/>
              <w:t>195,912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vAlign w:val="center"/>
          </w:tcPr>
          <w:p>
            <w:pPr>
              <w:pStyle w:val="TableContents"/>
              <w:bidi w:val="0"/>
              <w:spacing w:before="0" w:after="283"/>
              <w:jc w:val="left"/>
              <w:rPr/>
            </w:pPr>
            <w:r>
              <w:rPr/>
              <w:t>$</w:t>
            </w:r>
          </w:p>
        </w:tc>
        <w:tc>
          <w:tcPr>
            <w:tcW w:w="1359" w:type="dxa"/>
            <w:tcBorders>
              <w:bottom w:val="double" w:sz="6" w:space="0" w:color="000000"/>
            </w:tcBorders>
            <w:shd w:fill="FFFFFF" w:val="clear"/>
            <w:vAlign w:val="center"/>
          </w:tcPr>
          <w:p>
            <w:pPr>
              <w:pStyle w:val="TableContents"/>
              <w:bidi w:val="0"/>
              <w:spacing w:before="0" w:after="283"/>
              <w:jc w:val="right"/>
              <w:rPr/>
            </w:pPr>
            <w:r>
              <w:rPr/>
              <w:t>(14,536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815" w:type="dxa"/>
            <w:tcBorders>
              <w:bottom w:val="double" w:sz="6" w:space="0" w:color="000000"/>
            </w:tcBorders>
            <w:shd w:fill="FFFFFF" w:val="clear"/>
            <w:vAlign w:val="center"/>
          </w:tcPr>
          <w:p>
            <w:pPr>
              <w:pStyle w:val="TableContents"/>
              <w:bidi w:val="0"/>
              <w:spacing w:before="0" w:after="283"/>
              <w:jc w:val="right"/>
              <w:rPr/>
            </w:pPr>
            <w:r>
              <w:rPr/>
              <w:t>(33,652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vAlign w:val="center"/>
          </w:tcPr>
          <w:p>
            <w:pPr>
              <w:pStyle w:val="TableContents"/>
              <w:bidi w:val="0"/>
              <w:spacing w:before="0" w:after="283"/>
              <w:jc w:val="left"/>
              <w:rPr/>
            </w:pPr>
            <w:r>
              <w:rPr/>
              <w:t>$</w:t>
            </w:r>
          </w:p>
        </w:tc>
        <w:tc>
          <w:tcPr>
            <w:tcW w:w="1230" w:type="dxa"/>
            <w:tcBorders>
              <w:bottom w:val="double" w:sz="6" w:space="0" w:color="000000"/>
            </w:tcBorders>
            <w:shd w:fill="FFFFFF" w:val="clear"/>
            <w:vAlign w:val="center"/>
          </w:tcPr>
          <w:p>
            <w:pPr>
              <w:pStyle w:val="TableContents"/>
              <w:bidi w:val="0"/>
              <w:spacing w:before="0" w:after="283"/>
              <w:jc w:val="right"/>
              <w:rPr/>
            </w:pPr>
            <w:r>
              <w:rPr/>
              <w:t>243,323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705" w:type="dxa"/>
        <w:jc w:val="left"/>
        <w:tblInd w:w="0" w:type="dxa"/>
        <w:tblLayout w:type="fixed"/>
        <w:tblCellMar>
          <w:top w:w="0" w:type="dxa"/>
          <w:left w:w="0" w:type="dxa"/>
          <w:bottom w:w="28" w:type="dxa"/>
          <w:right w:w="0" w:type="dxa"/>
        </w:tblCellMar>
      </w:tblPr>
      <w:tblGrid>
        <w:gridCol w:w="1460"/>
        <w:gridCol w:w="60"/>
        <w:gridCol w:w="259"/>
        <w:gridCol w:w="706"/>
        <w:gridCol w:w="60"/>
        <w:gridCol w:w="60"/>
        <w:gridCol w:w="187"/>
        <w:gridCol w:w="913"/>
        <w:gridCol w:w="95"/>
        <w:gridCol w:w="60"/>
        <w:gridCol w:w="269"/>
        <w:gridCol w:w="876"/>
        <w:gridCol w:w="95"/>
        <w:gridCol w:w="60"/>
        <w:gridCol w:w="141"/>
        <w:gridCol w:w="809"/>
        <w:gridCol w:w="95"/>
        <w:gridCol w:w="60"/>
        <w:gridCol w:w="251"/>
        <w:gridCol w:w="1359"/>
        <w:gridCol w:w="95"/>
        <w:gridCol w:w="60"/>
        <w:gridCol w:w="150"/>
        <w:gridCol w:w="815"/>
        <w:gridCol w:w="95"/>
        <w:gridCol w:w="60"/>
        <w:gridCol w:w="215"/>
        <w:gridCol w:w="1230"/>
        <w:gridCol w:w="110"/>
      </w:tblGrid>
      <w:tr>
        <w:trPr/>
        <w:tc>
          <w:tcPr>
            <w:tcW w:w="10705" w:type="dxa"/>
            <w:gridSpan w:val="29"/>
            <w:tcBorders>
              <w:bottom w:val="single" w:sz="8" w:space="0" w:color="000000"/>
            </w:tcBorders>
            <w:vAlign w:val="center"/>
          </w:tcPr>
          <w:p>
            <w:pPr>
              <w:pStyle w:val="TableContents"/>
              <w:bidi w:val="0"/>
              <w:spacing w:before="0" w:after="283"/>
              <w:jc w:val="center"/>
              <w:rPr>
                <w:b/>
              </w:rPr>
            </w:pPr>
            <w:r>
              <w:rPr>
                <w:b/>
              </w:rPr>
              <w:t>Six Months Ended June 30, 2025</w:t>
            </w:r>
          </w:p>
        </w:tc>
      </w:tr>
      <w:tr>
        <w:trPr/>
        <w:tc>
          <w:tcPr>
            <w:tcW w:w="1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Common</w:t>
              <w:br/>
              <w:t>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Additional</w:t>
              <w:br/>
              <w:t xml:space="preserve">Paid-in </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xml:space="preserve">Unearned </w:t>
              <w:br/>
              <w:t xml:space="preserve">Employee </w:t>
              <w:br/>
              <w:t xml:space="preserve">Stock </w:t>
              <w:br/>
              <w:t xml:space="preserve">Ownership </w:t>
              <w:br/>
              <w:t>Plan 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 xml:space="preserve">Retained </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b/>
              </w:rPr>
            </w:pPr>
            <w:r>
              <w:rPr>
                <w:b/>
              </w:rPr>
              <w:t>Accumulated</w:t>
              <w:br/>
              <w:t xml:space="preserve">Other </w:t>
              <w:br/>
              <w:t>Comprehensive</w:t>
              <w:br/>
              <w:t>Loss, Net of</w:t>
              <w:br/>
              <w:t>Income Taxes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Treasury</w:t>
              <w:br/>
              <w:t>Stock</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Total</w:t>
              <w:br/>
              <w:t xml:space="preserve">Shareholders’ </w:t>
              <w:br/>
              <w:t>Equity</w:t>
            </w:r>
          </w:p>
        </w:tc>
        <w:tc>
          <w:tcPr>
            <w:tcW w:w="110" w:type="dxa"/>
            <w:tcBorders/>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 xml:space="preserve">Balance, </w:t>
              <w:br/>
              <w:t>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913" w:type="dxa"/>
            <w:tcBorders/>
            <w:shd w:fill="CCEEFF" w:val="clear"/>
            <w:tcMar>
              <w:bottom w:w="0" w:type="dxa"/>
            </w:tcMar>
            <w:vAlign w:val="center"/>
          </w:tcPr>
          <w:p>
            <w:pPr>
              <w:pStyle w:val="TableContents"/>
              <w:bidi w:val="0"/>
              <w:spacing w:before="0" w:after="283"/>
              <w:jc w:val="right"/>
              <w:rPr/>
            </w:pPr>
            <w:r>
              <w:rPr/>
              <w:t>95,796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w:t>
            </w:r>
          </w:p>
        </w:tc>
        <w:tc>
          <w:tcPr>
            <w:tcW w:w="876" w:type="dxa"/>
            <w:tcBorders/>
            <w:shd w:fill="CCEEFF" w:val="clear"/>
            <w:tcMar>
              <w:bottom w:w="0" w:type="dxa"/>
            </w:tcMar>
            <w:vAlign w:val="center"/>
          </w:tcPr>
          <w:p>
            <w:pPr>
              <w:pStyle w:val="TableContents"/>
              <w:bidi w:val="0"/>
              <w:spacing w:before="0" w:after="283"/>
              <w:jc w:val="right"/>
              <w:rPr/>
            </w:pPr>
            <w:r>
              <w:rPr/>
              <w:t>(455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809" w:type="dxa"/>
            <w:tcBorders/>
            <w:shd w:fill="CCEEFF" w:val="clear"/>
            <w:tcMar>
              <w:bottom w:w="0" w:type="dxa"/>
            </w:tcMar>
            <w:vAlign w:val="center"/>
          </w:tcPr>
          <w:p>
            <w:pPr>
              <w:pStyle w:val="TableContents"/>
              <w:bidi w:val="0"/>
              <w:spacing w:before="0" w:after="283"/>
              <w:jc w:val="right"/>
              <w:rPr/>
            </w:pPr>
            <w:r>
              <w:rPr/>
              <w:t>201,584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359" w:type="dxa"/>
            <w:tcBorders/>
            <w:shd w:fill="CCEEFF" w:val="clear"/>
            <w:tcMar>
              <w:bottom w:w="0" w:type="dxa"/>
            </w:tcMar>
            <w:vAlign w:val="center"/>
          </w:tcPr>
          <w:p>
            <w:pPr>
              <w:pStyle w:val="TableContents"/>
              <w:bidi w:val="0"/>
              <w:spacing w:before="0" w:after="283"/>
              <w:jc w:val="right"/>
              <w:rPr/>
            </w:pPr>
            <w:r>
              <w:rPr/>
              <w:t>(18,231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815" w:type="dxa"/>
            <w:tcBorders/>
            <w:shd w:fill="CCEEFF" w:val="clear"/>
            <w:tcMar>
              <w:bottom w:w="0" w:type="dxa"/>
            </w:tcMar>
            <w:vAlign w:val="center"/>
          </w:tcPr>
          <w:p>
            <w:pPr>
              <w:pStyle w:val="TableContents"/>
              <w:bidi w:val="0"/>
              <w:spacing w:before="0" w:after="283"/>
              <w:jc w:val="right"/>
              <w:rPr/>
            </w:pPr>
            <w:r>
              <w:rPr/>
              <w:t>(34,293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230" w:type="dxa"/>
            <w:tcBorders/>
            <w:shd w:fill="CCEEFF" w:val="clear"/>
            <w:tcMar>
              <w:bottom w:w="0" w:type="dxa"/>
            </w:tcMar>
            <w:vAlign w:val="center"/>
          </w:tcPr>
          <w:p>
            <w:pPr>
              <w:pStyle w:val="TableContents"/>
              <w:bidi w:val="0"/>
              <w:spacing w:before="0" w:after="283"/>
              <w:jc w:val="right"/>
              <w:rPr/>
            </w:pPr>
            <w:r>
              <w:rPr/>
              <w:t>244,631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Net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(5,591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(5,591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Other comprehensive income (loss), net of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3,695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3,695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Purchase of treasury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9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shd w:fill="CCEEFF" w:val="clear"/>
            <w:tcMar>
              <w:bottom w:w="0" w:type="dxa"/>
            </w:tcMar>
            <w:vAlign w:val="center"/>
          </w:tcPr>
          <w:p>
            <w:pPr>
              <w:pStyle w:val="TableContents"/>
              <w:bidi w:val="0"/>
              <w:spacing w:before="0" w:after="283"/>
              <w:jc w:val="left"/>
              <w:rPr/>
            </w:pPr>
            <w:r>
              <w:rPr/>
              <w:t> </w:t>
            </w:r>
          </w:p>
        </w:tc>
        <w:tc>
          <w:tcPr>
            <w:tcW w:w="8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35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460" w:type="dxa"/>
            <w:tcBorders/>
            <w:shd w:fill="FFFFFF" w:val="clear"/>
            <w:tcMar>
              <w:bottom w:w="0" w:type="dxa"/>
            </w:tcMar>
            <w:vAlign w:val="center"/>
          </w:tcPr>
          <w:p>
            <w:pPr>
              <w:pStyle w:val="TableContents"/>
              <w:bidi w:val="0"/>
              <w:spacing w:before="0" w:after="283"/>
              <w:jc w:val="left"/>
              <w:rPr/>
            </w:pPr>
            <w:r>
              <w:rPr/>
              <w:t>Share-based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0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913" w:type="dxa"/>
            <w:tcBorders/>
            <w:shd w:fill="FFFFFF" w:val="clear"/>
            <w:tcMar>
              <w:bottom w:w="0" w:type="dxa"/>
            </w:tcMar>
            <w:vAlign w:val="center"/>
          </w:tcPr>
          <w:p>
            <w:pPr>
              <w:pStyle w:val="TableContents"/>
              <w:bidi w:val="0"/>
              <w:spacing w:before="0" w:after="283"/>
              <w:jc w:val="right"/>
              <w:rPr/>
            </w:pPr>
            <w:r>
              <w:rPr/>
              <w:t>724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shd w:fill="FFFFFF" w:val="clear"/>
            <w:tcMar>
              <w:bottom w:w="0" w:type="dxa"/>
            </w:tcMar>
            <w:vAlign w:val="center"/>
          </w:tcPr>
          <w:p>
            <w:pPr>
              <w:pStyle w:val="TableContents"/>
              <w:bidi w:val="0"/>
              <w:spacing w:before="0" w:after="283"/>
              <w:jc w:val="left"/>
              <w:rPr/>
            </w:pPr>
            <w:r>
              <w:rPr/>
              <w:t> </w:t>
            </w:r>
          </w:p>
        </w:tc>
        <w:tc>
          <w:tcPr>
            <w:tcW w:w="87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35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724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460" w:type="dxa"/>
            <w:tcBorders/>
            <w:shd w:fill="CCEEFF" w:val="clear"/>
            <w:tcMar>
              <w:bottom w:w="0" w:type="dxa"/>
            </w:tcMar>
            <w:vAlign w:val="center"/>
          </w:tcPr>
          <w:p>
            <w:pPr>
              <w:pStyle w:val="TableContents"/>
              <w:bidi w:val="0"/>
              <w:spacing w:before="0" w:after="283"/>
              <w:jc w:val="left"/>
              <w:rPr/>
            </w:pPr>
            <w:r>
              <w:rPr/>
              <w:t>Issuance of vested award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CCEEFF" w:val="clear"/>
            <w:vAlign w:val="center"/>
          </w:tcPr>
          <w:p>
            <w:pPr>
              <w:pStyle w:val="TableContents"/>
              <w:bidi w:val="0"/>
              <w:spacing w:before="0" w:after="283"/>
              <w:jc w:val="left"/>
              <w:rPr/>
            </w:pPr>
            <w:r>
              <w:rPr/>
              <w:t> </w:t>
            </w:r>
          </w:p>
        </w:tc>
        <w:tc>
          <w:tcPr>
            <w:tcW w:w="706"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vAlign w:val="center"/>
          </w:tcPr>
          <w:p>
            <w:pPr>
              <w:pStyle w:val="TableContents"/>
              <w:bidi w:val="0"/>
              <w:spacing w:before="0" w:after="283"/>
              <w:jc w:val="left"/>
              <w:rPr/>
            </w:pPr>
            <w:r>
              <w:rPr/>
              <w:t> </w:t>
            </w:r>
          </w:p>
        </w:tc>
        <w:tc>
          <w:tcPr>
            <w:tcW w:w="913" w:type="dxa"/>
            <w:tcBorders>
              <w:bottom w:val="single" w:sz="8" w:space="0" w:color="000000"/>
            </w:tcBorders>
            <w:shd w:fill="CCEEFF" w:val="clear"/>
            <w:vAlign w:val="center"/>
          </w:tcPr>
          <w:p>
            <w:pPr>
              <w:pStyle w:val="TableContents"/>
              <w:bidi w:val="0"/>
              <w:spacing w:before="0" w:after="283"/>
              <w:jc w:val="right"/>
              <w:rPr/>
            </w:pPr>
            <w:r>
              <w:rPr/>
              <w:t>(696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vAlign w:val="center"/>
          </w:tcPr>
          <w:p>
            <w:pPr>
              <w:pStyle w:val="TableContents"/>
              <w:bidi w:val="0"/>
              <w:spacing w:before="0" w:after="283"/>
              <w:jc w:val="left"/>
              <w:rPr/>
            </w:pPr>
            <w:r>
              <w:rPr/>
              <w:t> </w:t>
            </w:r>
          </w:p>
        </w:tc>
        <w:tc>
          <w:tcPr>
            <w:tcW w:w="876"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single" w:sz="8" w:space="0" w:color="000000"/>
            </w:tcBorders>
            <w:shd w:fill="CCEEFF" w:val="clear"/>
            <w:vAlign w:val="center"/>
          </w:tcPr>
          <w:p>
            <w:pPr>
              <w:pStyle w:val="TableContents"/>
              <w:bidi w:val="0"/>
              <w:spacing w:before="0" w:after="283"/>
              <w:jc w:val="left"/>
              <w:rPr/>
            </w:pPr>
            <w:r>
              <w:rPr/>
              <w:t> </w:t>
            </w:r>
          </w:p>
        </w:tc>
        <w:tc>
          <w:tcPr>
            <w:tcW w:w="809" w:type="dxa"/>
            <w:tcBorders>
              <w:bottom w:val="single" w:sz="8" w:space="0" w:color="000000"/>
            </w:tcBorders>
            <w:shd w:fill="CCEEFF" w:val="clear"/>
            <w:vAlign w:val="center"/>
          </w:tcPr>
          <w:p>
            <w:pPr>
              <w:pStyle w:val="TableContents"/>
              <w:bidi w:val="0"/>
              <w:spacing w:before="0" w:after="283"/>
              <w:jc w:val="right"/>
              <w:rPr/>
            </w:pPr>
            <w:r>
              <w:rPr/>
              <w:t>(81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8" w:space="0" w:color="000000"/>
            </w:tcBorders>
            <w:shd w:fill="CCEEFF" w:val="clear"/>
            <w:vAlign w:val="center"/>
          </w:tcPr>
          <w:p>
            <w:pPr>
              <w:pStyle w:val="TableContents"/>
              <w:bidi w:val="0"/>
              <w:spacing w:before="0" w:after="283"/>
              <w:jc w:val="left"/>
              <w:rPr/>
            </w:pPr>
            <w:r>
              <w:rPr/>
              <w:t> </w:t>
            </w:r>
          </w:p>
        </w:tc>
        <w:tc>
          <w:tcPr>
            <w:tcW w:w="1359"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vAlign w:val="center"/>
          </w:tcPr>
          <w:p>
            <w:pPr>
              <w:pStyle w:val="TableContents"/>
              <w:bidi w:val="0"/>
              <w:spacing w:before="0" w:after="283"/>
              <w:jc w:val="left"/>
              <w:rPr/>
            </w:pPr>
            <w:r>
              <w:rPr/>
              <w:t> </w:t>
            </w:r>
          </w:p>
        </w:tc>
        <w:tc>
          <w:tcPr>
            <w:tcW w:w="815" w:type="dxa"/>
            <w:tcBorders>
              <w:bottom w:val="single" w:sz="8" w:space="0" w:color="000000"/>
            </w:tcBorders>
            <w:shd w:fill="CCEEFF" w:val="clear"/>
            <w:vAlign w:val="center"/>
          </w:tcPr>
          <w:p>
            <w:pPr>
              <w:pStyle w:val="TableContents"/>
              <w:bidi w:val="0"/>
              <w:spacing w:before="0" w:after="283"/>
              <w:jc w:val="right"/>
              <w:rPr/>
            </w:pPr>
            <w:r>
              <w:rPr/>
              <w:t>641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8" w:space="0" w:color="000000"/>
            </w:tcBorders>
            <w:shd w:fill="CCEEFF" w:val="clear"/>
            <w:vAlign w:val="center"/>
          </w:tcPr>
          <w:p>
            <w:pPr>
              <w:pStyle w:val="TableContents"/>
              <w:bidi w:val="0"/>
              <w:spacing w:before="0" w:after="283"/>
              <w:jc w:val="left"/>
              <w:rPr/>
            </w:pPr>
            <w:r>
              <w:rPr/>
              <w:t> </w:t>
            </w:r>
          </w:p>
        </w:tc>
        <w:tc>
          <w:tcPr>
            <w:tcW w:w="1230" w:type="dxa"/>
            <w:tcBorders>
              <w:bottom w:val="single" w:sz="8" w:space="0" w:color="000000"/>
            </w:tcBorders>
            <w:shd w:fill="CCEEFF" w:val="clear"/>
            <w:vAlign w:val="center"/>
          </w:tcPr>
          <w:p>
            <w:pPr>
              <w:pStyle w:val="TableContents"/>
              <w:bidi w:val="0"/>
              <w:spacing w:before="0" w:after="283"/>
              <w:jc w:val="right"/>
              <w:rPr/>
            </w:pPr>
            <w:r>
              <w:rPr/>
              <w:t>(136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460" w:type="dxa"/>
            <w:tcBorders/>
            <w:shd w:fill="FFFFFF" w:val="clear"/>
            <w:tcMar>
              <w:bottom w:w="0" w:type="dxa"/>
            </w:tcMar>
            <w:vAlign w:val="center"/>
          </w:tcPr>
          <w:p>
            <w:pPr>
              <w:pStyle w:val="TableContents"/>
              <w:bidi w:val="0"/>
              <w:spacing w:before="0" w:after="283"/>
              <w:jc w:val="left"/>
              <w:rPr/>
            </w:pPr>
            <w:r>
              <w:rPr/>
              <w:t xml:space="preserve">Balance, </w:t>
              <w:b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vAlign w:val="center"/>
          </w:tcPr>
          <w:p>
            <w:pPr>
              <w:pStyle w:val="TableContents"/>
              <w:bidi w:val="0"/>
              <w:spacing w:before="0" w:after="283"/>
              <w:jc w:val="left"/>
              <w:rPr/>
            </w:pPr>
            <w:r>
              <w:rPr/>
              <w:t>$</w:t>
            </w:r>
          </w:p>
        </w:tc>
        <w:tc>
          <w:tcPr>
            <w:tcW w:w="706" w:type="dxa"/>
            <w:tcBorders>
              <w:bottom w:val="double" w:sz="6" w:space="0" w:color="000000"/>
            </w:tcBorders>
            <w:shd w:fill="FFFFFF" w:val="clear"/>
            <w:vAlign w:val="center"/>
          </w:tcPr>
          <w:p>
            <w:pPr>
              <w:pStyle w:val="TableContents"/>
              <w:bidi w:val="0"/>
              <w:spacing w:before="0" w:after="283"/>
              <w:jc w:val="right"/>
              <w:rPr/>
            </w:pPr>
            <w:r>
              <w:rPr/>
              <w:t>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vAlign w:val="center"/>
          </w:tcPr>
          <w:p>
            <w:pPr>
              <w:pStyle w:val="TableContents"/>
              <w:bidi w:val="0"/>
              <w:spacing w:before="0" w:after="283"/>
              <w:jc w:val="left"/>
              <w:rPr/>
            </w:pPr>
            <w:r>
              <w:rPr/>
              <w:t>$</w:t>
            </w:r>
          </w:p>
        </w:tc>
        <w:tc>
          <w:tcPr>
            <w:tcW w:w="913" w:type="dxa"/>
            <w:tcBorders>
              <w:bottom w:val="double" w:sz="6" w:space="0" w:color="000000"/>
            </w:tcBorders>
            <w:shd w:fill="FFFFFF" w:val="clear"/>
            <w:vAlign w:val="center"/>
          </w:tcPr>
          <w:p>
            <w:pPr>
              <w:pStyle w:val="TableContents"/>
              <w:bidi w:val="0"/>
              <w:spacing w:before="0" w:after="283"/>
              <w:jc w:val="right"/>
              <w:rPr/>
            </w:pPr>
            <w:r>
              <w:rPr/>
              <w:t>95,824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vAlign w:val="center"/>
          </w:tcPr>
          <w:p>
            <w:pPr>
              <w:pStyle w:val="TableContents"/>
              <w:bidi w:val="0"/>
              <w:spacing w:before="0" w:after="283"/>
              <w:jc w:val="left"/>
              <w:rPr/>
            </w:pPr>
            <w:r>
              <w:rPr/>
              <w:t>$</w:t>
            </w:r>
          </w:p>
        </w:tc>
        <w:tc>
          <w:tcPr>
            <w:tcW w:w="876" w:type="dxa"/>
            <w:tcBorders>
              <w:bottom w:val="double" w:sz="6" w:space="0" w:color="000000"/>
            </w:tcBorders>
            <w:shd w:fill="FFFFFF" w:val="clear"/>
            <w:vAlign w:val="center"/>
          </w:tcPr>
          <w:p>
            <w:pPr>
              <w:pStyle w:val="TableContents"/>
              <w:bidi w:val="0"/>
              <w:spacing w:before="0" w:after="283"/>
              <w:jc w:val="right"/>
              <w:rPr/>
            </w:pPr>
            <w:r>
              <w:rPr/>
              <w:t>(455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double" w:sz="6" w:space="0" w:color="000000"/>
            </w:tcBorders>
            <w:shd w:fill="FFFFFF" w:val="clear"/>
            <w:vAlign w:val="center"/>
          </w:tcPr>
          <w:p>
            <w:pPr>
              <w:pStyle w:val="TableContents"/>
              <w:bidi w:val="0"/>
              <w:spacing w:before="0" w:after="283"/>
              <w:jc w:val="left"/>
              <w:rPr/>
            </w:pPr>
            <w:r>
              <w:rPr/>
              <w:t>$</w:t>
            </w:r>
          </w:p>
        </w:tc>
        <w:tc>
          <w:tcPr>
            <w:tcW w:w="809" w:type="dxa"/>
            <w:tcBorders>
              <w:bottom w:val="double" w:sz="6" w:space="0" w:color="000000"/>
            </w:tcBorders>
            <w:shd w:fill="FFFFFF" w:val="clear"/>
            <w:vAlign w:val="center"/>
          </w:tcPr>
          <w:p>
            <w:pPr>
              <w:pStyle w:val="TableContents"/>
              <w:bidi w:val="0"/>
              <w:spacing w:before="0" w:after="283"/>
              <w:jc w:val="right"/>
              <w:rPr/>
            </w:pPr>
            <w:r>
              <w:rPr/>
              <w:t>195,912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vAlign w:val="center"/>
          </w:tcPr>
          <w:p>
            <w:pPr>
              <w:pStyle w:val="TableContents"/>
              <w:bidi w:val="0"/>
              <w:spacing w:before="0" w:after="283"/>
              <w:jc w:val="left"/>
              <w:rPr/>
            </w:pPr>
            <w:r>
              <w:rPr/>
              <w:t>$</w:t>
            </w:r>
          </w:p>
        </w:tc>
        <w:tc>
          <w:tcPr>
            <w:tcW w:w="1359" w:type="dxa"/>
            <w:tcBorders>
              <w:bottom w:val="double" w:sz="6" w:space="0" w:color="000000"/>
            </w:tcBorders>
            <w:shd w:fill="FFFFFF" w:val="clear"/>
            <w:vAlign w:val="center"/>
          </w:tcPr>
          <w:p>
            <w:pPr>
              <w:pStyle w:val="TableContents"/>
              <w:bidi w:val="0"/>
              <w:spacing w:before="0" w:after="283"/>
              <w:jc w:val="right"/>
              <w:rPr/>
            </w:pPr>
            <w:r>
              <w:rPr/>
              <w:t>(14,536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815" w:type="dxa"/>
            <w:tcBorders>
              <w:bottom w:val="double" w:sz="6" w:space="0" w:color="000000"/>
            </w:tcBorders>
            <w:shd w:fill="FFFFFF" w:val="clear"/>
            <w:vAlign w:val="center"/>
          </w:tcPr>
          <w:p>
            <w:pPr>
              <w:pStyle w:val="TableContents"/>
              <w:bidi w:val="0"/>
              <w:spacing w:before="0" w:after="283"/>
              <w:jc w:val="right"/>
              <w:rPr/>
            </w:pPr>
            <w:r>
              <w:rPr/>
              <w:t>(33,652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vAlign w:val="center"/>
          </w:tcPr>
          <w:p>
            <w:pPr>
              <w:pStyle w:val="TableContents"/>
              <w:bidi w:val="0"/>
              <w:spacing w:before="0" w:after="283"/>
              <w:jc w:val="left"/>
              <w:rPr/>
            </w:pPr>
            <w:r>
              <w:rPr/>
              <w:t>$</w:t>
            </w:r>
          </w:p>
        </w:tc>
        <w:tc>
          <w:tcPr>
            <w:tcW w:w="1230" w:type="dxa"/>
            <w:tcBorders>
              <w:bottom w:val="double" w:sz="6" w:space="0" w:color="000000"/>
            </w:tcBorders>
            <w:shd w:fill="FFFFFF" w:val="clear"/>
            <w:vAlign w:val="center"/>
          </w:tcPr>
          <w:p>
            <w:pPr>
              <w:pStyle w:val="TableContents"/>
              <w:bidi w:val="0"/>
              <w:spacing w:before="0" w:after="283"/>
              <w:jc w:val="right"/>
              <w:rPr/>
            </w:pPr>
            <w:r>
              <w:rPr/>
              <w:t>243,323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 Holdings, Inc.</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Consolidated Statements of Cash Flows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w:t>
      </w:r>
    </w:p>
    <w:tbl>
      <w:tblPr>
        <w:tblW w:w="10205" w:type="dxa"/>
        <w:jc w:val="left"/>
        <w:tblInd w:w="0" w:type="dxa"/>
        <w:tblLayout w:type="fixed"/>
        <w:tblCellMar>
          <w:top w:w="0" w:type="dxa"/>
          <w:left w:w="0" w:type="dxa"/>
          <w:bottom w:w="0" w:type="dxa"/>
          <w:right w:w="0" w:type="dxa"/>
        </w:tblCellMar>
      </w:tblPr>
      <w:tblGrid>
        <w:gridCol w:w="6787"/>
        <w:gridCol w:w="60"/>
        <w:gridCol w:w="190"/>
        <w:gridCol w:w="1030"/>
        <w:gridCol w:w="128"/>
        <w:gridCol w:w="81"/>
        <w:gridCol w:w="190"/>
        <w:gridCol w:w="1030"/>
        <w:gridCol w:w="709"/>
      </w:tblGrid>
      <w:tr>
        <w:trPr/>
        <w:tc>
          <w:tcPr>
            <w:tcW w:w="67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09" w:type="dxa"/>
            <w:tcBorders/>
            <w:vAlign w:val="center"/>
          </w:tcPr>
          <w:p>
            <w:pPr>
              <w:pStyle w:val="TableContents"/>
              <w:bidi w:val="0"/>
              <w:spacing w:before="0" w:after="283"/>
              <w:jc w:val="left"/>
              <w:rPr/>
            </w:pPr>
            <w:r>
              <w:rPr/>
              <w:t> </w:t>
            </w:r>
          </w:p>
        </w:tc>
      </w:tr>
      <w:tr>
        <w:trPr/>
        <w:tc>
          <w:tcPr>
            <w:tcW w:w="67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09" w:type="dxa"/>
            <w:tcBorders/>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030" w:type="dxa"/>
            <w:tcBorders/>
            <w:shd w:fill="FFFFFF" w:val="clear"/>
            <w:vAlign w:val="center"/>
          </w:tcPr>
          <w:p>
            <w:pPr>
              <w:pStyle w:val="TableContents"/>
              <w:bidi w:val="0"/>
              <w:spacing w:before="0" w:after="283"/>
              <w:jc w:val="right"/>
              <w:rPr/>
            </w:pPr>
            <w:r>
              <w:rPr/>
              <w:t>12,654</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030" w:type="dxa"/>
            <w:tcBorders/>
            <w:shd w:fill="FFFFFF" w:val="clear"/>
            <w:vAlign w:val="center"/>
          </w:tcPr>
          <w:p>
            <w:pPr>
              <w:pStyle w:val="TableContents"/>
              <w:bidi w:val="0"/>
              <w:spacing w:before="0" w:after="283"/>
              <w:jc w:val="right"/>
              <w:rPr/>
            </w:pPr>
            <w:r>
              <w:rPr/>
              <w:t>(5,591</w:t>
            </w:r>
          </w:p>
        </w:tc>
        <w:tc>
          <w:tcPr>
            <w:tcW w:w="709" w:type="dxa"/>
            <w:tcBorders/>
            <w:shd w:fill="FFFFFF" w:val="clear"/>
            <w:vAlign w:val="center"/>
          </w:tcPr>
          <w:p>
            <w:pPr>
              <w:pStyle w:val="TableContents"/>
              <w:bidi w:val="0"/>
              <w:spacing w:before="0" w:after="283"/>
              <w:jc w:val="left"/>
              <w:rPr/>
            </w:pPr>
            <w:r>
              <w:rPr/>
              <w:t>)</w:t>
            </w:r>
          </w:p>
        </w:tc>
      </w:tr>
      <w:tr>
        <w:trPr/>
        <w:tc>
          <w:tcPr>
            <w:tcW w:w="6787" w:type="dxa"/>
            <w:tcBorders/>
            <w:shd w:fill="CCEEFF" w:val="clear"/>
            <w:vAlign w:val="center"/>
          </w:tcPr>
          <w:p>
            <w:pPr>
              <w:pStyle w:val="TableContents"/>
              <w:bidi w:val="0"/>
              <w:spacing w:before="0" w:after="283"/>
              <w:jc w:val="left"/>
              <w:rPr/>
            </w:pPr>
            <w:r>
              <w:rPr/>
              <w:t>Adjustments to reconcile net income (loss) to 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Net investment gains (losses)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(3,767</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(459</w:t>
            </w:r>
          </w:p>
        </w:tc>
        <w:tc>
          <w:tcPr>
            <w:tcW w:w="709" w:type="dxa"/>
            <w:tcBorders/>
            <w:shd w:fill="FFFFFF" w:val="clear"/>
            <w:vAlign w:val="center"/>
          </w:tcPr>
          <w:p>
            <w:pPr>
              <w:pStyle w:val="TableContents"/>
              <w:bidi w:val="0"/>
              <w:spacing w:before="0" w:after="283"/>
              <w:jc w:val="left"/>
              <w:rPr/>
            </w:pPr>
            <w:r>
              <w:rPr/>
              <w:t>)</w:t>
            </w:r>
          </w:p>
        </w:tc>
      </w:tr>
      <w:tr>
        <w:trPr/>
        <w:tc>
          <w:tcPr>
            <w:tcW w:w="6787" w:type="dxa"/>
            <w:tcBorders/>
            <w:shd w:fill="CCEEFF" w:val="clear"/>
            <w:vAlign w:val="center"/>
          </w:tcPr>
          <w:p>
            <w:pPr>
              <w:pStyle w:val="TableContents"/>
              <w:bidi w:val="0"/>
              <w:spacing w:before="0" w:after="283"/>
              <w:jc w:val="left"/>
              <w:rPr/>
            </w:pPr>
            <w:r>
              <w:rPr/>
              <w:t>Deferred income tax expense (benefit)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547</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(1,452</w:t>
            </w:r>
          </w:p>
        </w:tc>
        <w:tc>
          <w:tcPr>
            <w:tcW w:w="709" w:type="dxa"/>
            <w:tcBorders/>
            <w:shd w:fill="CCEEFF" w:val="clear"/>
            <w:vAlign w:val="center"/>
          </w:tcPr>
          <w:p>
            <w:pPr>
              <w:pStyle w:val="TableContents"/>
              <w:bidi w:val="0"/>
              <w:spacing w:before="0" w:after="283"/>
              <w:jc w:val="left"/>
              <w:rPr/>
            </w:pPr>
            <w:r>
              <w:rPr/>
              <w:t>)</w:t>
            </w:r>
          </w:p>
        </w:tc>
      </w:tr>
      <w:tr>
        <w:trPr/>
        <w:tc>
          <w:tcPr>
            <w:tcW w:w="6787"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290</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344</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665</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724</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24,122</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32,902</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Deferral of policy acquisition costs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(26,808</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(32,922</w:t>
            </w:r>
          </w:p>
        </w:tc>
        <w:tc>
          <w:tcPr>
            <w:tcW w:w="709" w:type="dxa"/>
            <w:tcBorders/>
            <w:shd w:fill="CCEEFF" w:val="clear"/>
            <w:vAlign w:val="center"/>
          </w:tcPr>
          <w:p>
            <w:pPr>
              <w:pStyle w:val="TableContents"/>
              <w:bidi w:val="0"/>
              <w:spacing w:before="0" w:after="283"/>
              <w:jc w:val="left"/>
              <w:rPr/>
            </w:pPr>
            <w:r>
              <w:rPr/>
              <w:t>)</w:t>
            </w:r>
          </w:p>
        </w:tc>
      </w:tr>
      <w:tr>
        <w:trPr/>
        <w:tc>
          <w:tcPr>
            <w:tcW w:w="6787" w:type="dxa"/>
            <w:tcBorders/>
            <w:shd w:fill="FFFFFF" w:val="clear"/>
            <w:vAlign w:val="center"/>
          </w:tcPr>
          <w:p>
            <w:pPr>
              <w:pStyle w:val="TableContents"/>
              <w:bidi w:val="0"/>
              <w:spacing w:before="0" w:after="283"/>
              <w:jc w:val="left"/>
              <w:rPr/>
            </w:pPr>
            <w:r>
              <w:rPr/>
              <w:t>Net amortization of premiums and discounts on investments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221</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174</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(8</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(9</w:t>
            </w:r>
          </w:p>
        </w:tc>
        <w:tc>
          <w:tcPr>
            <w:tcW w:w="709" w:type="dxa"/>
            <w:tcBorders/>
            <w:shd w:fill="CCEEFF" w:val="clear"/>
            <w:vAlign w:val="center"/>
          </w:tcPr>
          <w:p>
            <w:pPr>
              <w:pStyle w:val="TableContents"/>
              <w:bidi w:val="0"/>
              <w:spacing w:before="0" w:after="283"/>
              <w:ind w:left="0" w:right="0" w:hanging="216"/>
              <w:jc w:val="left"/>
              <w:rPr/>
            </w:pPr>
            <w:r>
              <w:rPr/>
              <w:t>)</w:t>
            </w:r>
          </w:p>
        </w:tc>
      </w:tr>
      <w:tr>
        <w:trPr/>
        <w:tc>
          <w:tcPr>
            <w:tcW w:w="6787"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ind w:left="0" w:right="0" w:hanging="36"/>
              <w:jc w:val="left"/>
              <w:rPr/>
            </w:pPr>
            <w:r>
              <w:rPr/>
              <w:t> </w:t>
            </w:r>
          </w:p>
        </w:tc>
      </w:tr>
      <w:tr>
        <w:trPr/>
        <w:tc>
          <w:tcPr>
            <w:tcW w:w="6787" w:type="dxa"/>
            <w:tcBorders/>
            <w:shd w:fill="CCEEFF" w:val="clear"/>
            <w:vAlign w:val="center"/>
          </w:tcPr>
          <w:p>
            <w:pPr>
              <w:pStyle w:val="TableContents"/>
              <w:bidi w:val="0"/>
              <w:spacing w:before="0" w:after="283"/>
              <w:jc w:val="left"/>
              <w:rPr/>
            </w:pPr>
            <w:r>
              <w:rPr/>
              <w:t>Premiums and agents’ balances receivable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(36,214</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(32,697</w:t>
            </w:r>
          </w:p>
        </w:tc>
        <w:tc>
          <w:tcPr>
            <w:tcW w:w="709" w:type="dxa"/>
            <w:tcBorders/>
            <w:shd w:fill="CCEEFF" w:val="clear"/>
            <w:vAlign w:val="center"/>
          </w:tcPr>
          <w:p>
            <w:pPr>
              <w:pStyle w:val="TableContents"/>
              <w:bidi w:val="0"/>
              <w:spacing w:before="0" w:after="283"/>
              <w:ind w:left="0" w:right="0" w:hanging="36"/>
              <w:jc w:val="left"/>
              <w:rPr/>
            </w:pPr>
            <w:r>
              <w:rPr/>
              <w:t>)</w:t>
            </w:r>
          </w:p>
        </w:tc>
      </w:tr>
      <w:tr>
        <w:trPr/>
        <w:tc>
          <w:tcPr>
            <w:tcW w:w="6787" w:type="dxa"/>
            <w:tcBorders/>
            <w:shd w:fill="FFFFFF" w:val="clear"/>
            <w:vAlign w:val="center"/>
          </w:tcPr>
          <w:p>
            <w:pPr>
              <w:pStyle w:val="TableContents"/>
              <w:bidi w:val="0"/>
              <w:spacing w:before="0" w:after="283"/>
              <w:jc w:val="left"/>
              <w:rPr/>
            </w:pPr>
            <w:r>
              <w:rPr/>
              <w:t>Reinsurance premiums receivable / payable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1,122</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7,603</w:t>
            </w:r>
          </w:p>
        </w:tc>
        <w:tc>
          <w:tcPr>
            <w:tcW w:w="709" w:type="dxa"/>
            <w:tcBorders/>
            <w:shd w:fill="FFFFFF" w:val="clear"/>
            <w:vAlign w:val="center"/>
          </w:tcPr>
          <w:p>
            <w:pPr>
              <w:pStyle w:val="TableContents"/>
              <w:bidi w:val="0"/>
              <w:spacing w:before="0" w:after="283"/>
              <w:ind w:left="0" w:right="0" w:hanging="36"/>
              <w:jc w:val="left"/>
              <w:rPr/>
            </w:pPr>
            <w:r>
              <w:rPr/>
              <w:t> </w:t>
            </w:r>
          </w:p>
        </w:tc>
      </w:tr>
      <w:tr>
        <w:trPr/>
        <w:tc>
          <w:tcPr>
            <w:tcW w:w="6787"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(484</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(38,717</w:t>
            </w:r>
          </w:p>
        </w:tc>
        <w:tc>
          <w:tcPr>
            <w:tcW w:w="709" w:type="dxa"/>
            <w:tcBorders/>
            <w:shd w:fill="CCEEFF" w:val="clear"/>
            <w:vAlign w:val="center"/>
          </w:tcPr>
          <w:p>
            <w:pPr>
              <w:pStyle w:val="TableContents"/>
              <w:bidi w:val="0"/>
              <w:spacing w:before="0" w:after="283"/>
              <w:ind w:left="0" w:right="0" w:hanging="36"/>
              <w:jc w:val="left"/>
              <w:rPr/>
            </w:pPr>
            <w:r>
              <w:rPr/>
              <w:t>)</w:t>
            </w:r>
          </w:p>
        </w:tc>
      </w:tr>
      <w:tr>
        <w:trPr/>
        <w:tc>
          <w:tcPr>
            <w:tcW w:w="6787" w:type="dxa"/>
            <w:tcBorders/>
            <w:shd w:fill="FFFFFF" w:val="clear"/>
            <w:vAlign w:val="center"/>
          </w:tcPr>
          <w:p>
            <w:pPr>
              <w:pStyle w:val="TableContents"/>
              <w:bidi w:val="0"/>
              <w:spacing w:before="0" w:after="283"/>
              <w:jc w:val="left"/>
              <w:rPr/>
            </w:pPr>
            <w:r>
              <w:rPr/>
              <w:t>Income tax recoverable / payable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2,365</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(3,382</w:t>
            </w:r>
          </w:p>
        </w:tc>
        <w:tc>
          <w:tcPr>
            <w:tcW w:w="709" w:type="dxa"/>
            <w:tcBorders/>
            <w:shd w:fill="FFFFFF" w:val="clear"/>
            <w:vAlign w:val="center"/>
          </w:tcPr>
          <w:p>
            <w:pPr>
              <w:pStyle w:val="TableContents"/>
              <w:bidi w:val="0"/>
              <w:spacing w:before="0" w:after="283"/>
              <w:ind w:left="0" w:right="0" w:hanging="36"/>
              <w:jc w:val="left"/>
              <w:rPr/>
            </w:pPr>
            <w:r>
              <w:rPr/>
              <w:t>)</w:t>
            </w:r>
          </w:p>
        </w:tc>
      </w:tr>
      <w:tr>
        <w:trPr/>
        <w:tc>
          <w:tcPr>
            <w:tcW w:w="6787" w:type="dxa"/>
            <w:tcBorders/>
            <w:shd w:fill="CCEEFF" w:val="clear"/>
            <w:vAlign w:val="center"/>
          </w:tcPr>
          <w:p>
            <w:pPr>
              <w:pStyle w:val="TableContents"/>
              <w:bidi w:val="0"/>
              <w:spacing w:before="0" w:after="283"/>
              <w:jc w:val="left"/>
              <w:rPr/>
            </w:pPr>
            <w:r>
              <w:rPr/>
              <w:t>Accrued investment income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(32</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(69</w:t>
            </w:r>
          </w:p>
        </w:tc>
        <w:tc>
          <w:tcPr>
            <w:tcW w:w="709" w:type="dxa"/>
            <w:tcBorders/>
            <w:shd w:fill="CCEEFF" w:val="clear"/>
            <w:vAlign w:val="center"/>
          </w:tcPr>
          <w:p>
            <w:pPr>
              <w:pStyle w:val="TableContents"/>
              <w:bidi w:val="0"/>
              <w:spacing w:before="0" w:after="283"/>
              <w:ind w:left="0" w:right="0" w:hanging="36"/>
              <w:jc w:val="left"/>
              <w:rPr/>
            </w:pPr>
            <w:r>
              <w:rPr/>
              <w:t>)</w:t>
            </w:r>
          </w:p>
        </w:tc>
      </w:tr>
      <w:tr>
        <w:trPr/>
        <w:tc>
          <w:tcPr>
            <w:tcW w:w="6787" w:type="dxa"/>
            <w:tcBorders/>
            <w:shd w:fill="FFFFFF" w:val="clear"/>
            <w:vAlign w:val="center"/>
          </w:tcPr>
          <w:p>
            <w:pPr>
              <w:pStyle w:val="TableContents"/>
              <w:bidi w:val="0"/>
              <w:spacing w:before="0" w:after="283"/>
              <w:jc w:val="left"/>
              <w:rPr/>
            </w:pPr>
            <w:r>
              <w:rPr/>
              <w:t>Federal Crop Insurance Corporation receivable / payable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(775</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1,891</w:t>
            </w:r>
          </w:p>
        </w:tc>
        <w:tc>
          <w:tcPr>
            <w:tcW w:w="709" w:type="dxa"/>
            <w:tcBorders/>
            <w:shd w:fill="FFFFFF" w:val="clear"/>
            <w:vAlign w:val="center"/>
          </w:tcPr>
          <w:p>
            <w:pPr>
              <w:pStyle w:val="TableContents"/>
              <w:bidi w:val="0"/>
              <w:spacing w:before="0" w:after="283"/>
              <w:ind w:left="0" w:right="0" w:hanging="36"/>
              <w:jc w:val="left"/>
              <w:rPr/>
            </w:pPr>
            <w:r>
              <w:rPr/>
              <w:t> </w:t>
            </w:r>
          </w:p>
        </w:tc>
      </w:tr>
      <w:tr>
        <w:trPr/>
        <w:tc>
          <w:tcPr>
            <w:tcW w:w="6787"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(1,850</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(61</w:t>
            </w:r>
          </w:p>
        </w:tc>
        <w:tc>
          <w:tcPr>
            <w:tcW w:w="709" w:type="dxa"/>
            <w:tcBorders/>
            <w:shd w:fill="CCEEFF" w:val="clear"/>
            <w:vAlign w:val="center"/>
          </w:tcPr>
          <w:p>
            <w:pPr>
              <w:pStyle w:val="TableContents"/>
              <w:bidi w:val="0"/>
              <w:spacing w:before="0" w:after="283"/>
              <w:ind w:left="0" w:right="0" w:hanging="36"/>
              <w:jc w:val="left"/>
              <w:rPr/>
            </w:pPr>
            <w:r>
              <w:rPr/>
              <w:t>)</w:t>
            </w:r>
          </w:p>
        </w:tc>
      </w:tr>
      <w:tr>
        <w:trPr/>
        <w:tc>
          <w:tcPr>
            <w:tcW w:w="6787" w:type="dxa"/>
            <w:tcBorders/>
            <w:shd w:fill="FFFFFF" w:val="clear"/>
            <w:vAlign w:val="center"/>
          </w:tcPr>
          <w:p>
            <w:pPr>
              <w:pStyle w:val="TableContents"/>
              <w:bidi w:val="0"/>
              <w:spacing w:before="0" w:after="283"/>
              <w:jc w:val="left"/>
              <w:rPr/>
            </w:pPr>
            <w:r>
              <w:rPr/>
              <w:t>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(3,098</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66,242</w:t>
            </w:r>
          </w:p>
        </w:tc>
        <w:tc>
          <w:tcPr>
            <w:tcW w:w="709" w:type="dxa"/>
            <w:tcBorders/>
            <w:shd w:fill="FFFFFF" w:val="clear"/>
            <w:vAlign w:val="center"/>
          </w:tcPr>
          <w:p>
            <w:pPr>
              <w:pStyle w:val="TableContents"/>
              <w:bidi w:val="0"/>
              <w:spacing w:before="0" w:after="283"/>
              <w:ind w:left="0" w:right="0" w:hanging="36"/>
              <w:jc w:val="left"/>
              <w:rPr/>
            </w:pPr>
            <w:r>
              <w:rPr/>
              <w:t> </w:t>
            </w:r>
          </w:p>
        </w:tc>
      </w:tr>
      <w:tr>
        <w:trPr/>
        <w:tc>
          <w:tcPr>
            <w:tcW w:w="6787" w:type="dxa"/>
            <w:tcBorders/>
            <w:shd w:fill="CCEEFF" w:val="clear"/>
            <w:vAlign w:val="center"/>
          </w:tcPr>
          <w:p>
            <w:pPr>
              <w:pStyle w:val="TableContents"/>
              <w:bidi w:val="0"/>
              <w:spacing w:before="0" w:after="283"/>
              <w:jc w:val="left"/>
              <w:rPr/>
            </w:pPr>
            <w:r>
              <w:rPr/>
              <w:t>Unearned premiums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25,926</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16,391</w:t>
            </w:r>
          </w:p>
        </w:tc>
        <w:tc>
          <w:tcPr>
            <w:tcW w:w="709" w:type="dxa"/>
            <w:tcBorders/>
            <w:shd w:fill="CCEEFF" w:val="clear"/>
            <w:vAlign w:val="center"/>
          </w:tcPr>
          <w:p>
            <w:pPr>
              <w:pStyle w:val="TableContents"/>
              <w:bidi w:val="0"/>
              <w:spacing w:before="0" w:after="283"/>
              <w:ind w:left="0" w:right="0" w:hanging="36"/>
              <w:jc w:val="left"/>
              <w:rPr/>
            </w:pPr>
            <w:r>
              <w:rPr/>
              <w:t> </w:t>
            </w:r>
          </w:p>
        </w:tc>
      </w:tr>
      <w:tr>
        <w:trPr/>
        <w:tc>
          <w:tcPr>
            <w:tcW w:w="6787"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4,169</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5,377</w:t>
            </w:r>
          </w:p>
        </w:tc>
        <w:tc>
          <w:tcPr>
            <w:tcW w:w="709" w:type="dxa"/>
            <w:tcBorders/>
            <w:shd w:fill="FFFFFF" w:val="clear"/>
            <w:vAlign w:val="center"/>
          </w:tcPr>
          <w:p>
            <w:pPr>
              <w:pStyle w:val="TableContents"/>
              <w:bidi w:val="0"/>
              <w:spacing w:before="0" w:after="283"/>
              <w:ind w:left="0" w:right="0" w:firstLine="630"/>
              <w:jc w:val="left"/>
              <w:rPr/>
            </w:pPr>
            <w:r>
              <w:rPr/>
              <w:t> </w:t>
            </w:r>
          </w:p>
        </w:tc>
      </w:tr>
      <w:tr>
        <w:trPr/>
        <w:tc>
          <w:tcPr>
            <w:tcW w:w="6787"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(13,609</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21,880</w:t>
            </w:r>
          </w:p>
        </w:tc>
        <w:tc>
          <w:tcPr>
            <w:tcW w:w="709" w:type="dxa"/>
            <w:tcBorders/>
            <w:shd w:fill="CCEEFF" w:val="clear"/>
            <w:vAlign w:val="center"/>
          </w:tcPr>
          <w:p>
            <w:pPr>
              <w:pStyle w:val="TableContents"/>
              <w:bidi w:val="0"/>
              <w:spacing w:before="0" w:after="283"/>
              <w:ind w:left="0" w:right="0" w:firstLine="630"/>
              <w:jc w:val="left"/>
              <w:rPr/>
            </w:pPr>
            <w:r>
              <w:rPr/>
              <w:t> </w:t>
            </w:r>
          </w:p>
        </w:tc>
      </w:tr>
      <w:tr>
        <w:trPr/>
        <w:tc>
          <w:tcPr>
            <w:tcW w:w="6787" w:type="dxa"/>
            <w:tcBorders/>
            <w:shd w:fill="FFFFFF" w:val="clear"/>
            <w:vAlign w:val="center"/>
          </w:tcPr>
          <w:p>
            <w:pPr>
              <w:pStyle w:val="TableContents"/>
              <w:bidi w:val="0"/>
              <w:spacing w:before="0" w:after="283"/>
              <w:jc w:val="left"/>
              <w:rPr/>
            </w:pPr>
            <w:r>
              <w:rPr/>
              <w:t>Net cash flows from operating activities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(955</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16,289</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Proceeds from maturities and sales of fixed income securities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31,458</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13,714</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Proceeds from sales of equity securities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7,383</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3,098</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Purchases of fixed income securities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(30,914</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(23,641</w:t>
            </w:r>
          </w:p>
        </w:tc>
        <w:tc>
          <w:tcPr>
            <w:tcW w:w="709" w:type="dxa"/>
            <w:tcBorders/>
            <w:shd w:fill="CCEEFF" w:val="clear"/>
            <w:vAlign w:val="center"/>
          </w:tcPr>
          <w:p>
            <w:pPr>
              <w:pStyle w:val="TableContents"/>
              <w:bidi w:val="0"/>
              <w:spacing w:before="0" w:after="283"/>
              <w:jc w:val="left"/>
              <w:rPr/>
            </w:pPr>
            <w:r>
              <w:rPr/>
              <w:t>)</w:t>
            </w:r>
          </w:p>
        </w:tc>
      </w:tr>
      <w:tr>
        <w:trPr/>
        <w:tc>
          <w:tcPr>
            <w:tcW w:w="6787" w:type="dxa"/>
            <w:tcBorders/>
            <w:shd w:fill="FFFFFF" w:val="clear"/>
            <w:vAlign w:val="center"/>
          </w:tcPr>
          <w:p>
            <w:pPr>
              <w:pStyle w:val="TableContents"/>
              <w:bidi w:val="0"/>
              <w:spacing w:before="0" w:after="283"/>
              <w:jc w:val="left"/>
              <w:rPr/>
            </w:pPr>
            <w:r>
              <w:rPr/>
              <w:t>Purchases of equity securities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(4,553</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(3,255</w:t>
            </w:r>
          </w:p>
        </w:tc>
        <w:tc>
          <w:tcPr>
            <w:tcW w:w="709" w:type="dxa"/>
            <w:tcBorders/>
            <w:shd w:fill="FFFFFF" w:val="clear"/>
            <w:vAlign w:val="center"/>
          </w:tcPr>
          <w:p>
            <w:pPr>
              <w:pStyle w:val="TableContents"/>
              <w:bidi w:val="0"/>
              <w:spacing w:before="0" w:after="283"/>
              <w:jc w:val="left"/>
              <w:rPr/>
            </w:pPr>
            <w:r>
              <w:rPr/>
              <w:t>)</w:t>
            </w:r>
          </w:p>
        </w:tc>
      </w:tr>
      <w:tr>
        <w:trPr/>
        <w:tc>
          <w:tcPr>
            <w:tcW w:w="6787"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(61</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(182</w:t>
            </w:r>
          </w:p>
        </w:tc>
        <w:tc>
          <w:tcPr>
            <w:tcW w:w="709" w:type="dxa"/>
            <w:tcBorders/>
            <w:shd w:fill="CCEEFF" w:val="clear"/>
            <w:vAlign w:val="center"/>
          </w:tcPr>
          <w:p>
            <w:pPr>
              <w:pStyle w:val="TableContents"/>
              <w:bidi w:val="0"/>
              <w:spacing w:before="0" w:after="283"/>
              <w:ind w:left="0" w:right="0" w:hanging="216"/>
              <w:jc w:val="left"/>
              <w:rPr/>
            </w:pPr>
            <w:r>
              <w:rPr/>
              <w:t>)</w:t>
            </w:r>
          </w:p>
        </w:tc>
      </w:tr>
      <w:tr>
        <w:trPr/>
        <w:tc>
          <w:tcPr>
            <w:tcW w:w="6787" w:type="dxa"/>
            <w:tcBorders/>
            <w:shd w:fill="FFFFFF" w:val="clear"/>
            <w:vAlign w:val="center"/>
          </w:tcPr>
          <w:p>
            <w:pPr>
              <w:pStyle w:val="TableContents"/>
              <w:bidi w:val="0"/>
              <w:spacing w:before="0" w:after="283"/>
              <w:jc w:val="left"/>
              <w:rPr/>
            </w:pPr>
            <w:r>
              <w:rPr/>
              <w:t>Proceeds from sales of property and equipment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49</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Net 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3,362</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(10,246</w:t>
            </w:r>
          </w:p>
        </w:tc>
        <w:tc>
          <w:tcPr>
            <w:tcW w:w="709" w:type="dxa"/>
            <w:tcBorders/>
            <w:shd w:fill="CCEEFF" w:val="clear"/>
            <w:vAlign w:val="center"/>
          </w:tcPr>
          <w:p>
            <w:pPr>
              <w:pStyle w:val="TableContents"/>
              <w:bidi w:val="0"/>
              <w:spacing w:before="0" w:after="283"/>
              <w:jc w:val="left"/>
              <w:rPr/>
            </w:pPr>
            <w:r>
              <w:rPr/>
              <w:t>)</w:t>
            </w:r>
          </w:p>
        </w:tc>
      </w:tr>
      <w:tr>
        <w:trPr/>
        <w:tc>
          <w:tcPr>
            <w:tcW w:w="6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(2,306</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Principal repayments of finance leases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(26</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(53</w:t>
            </w:r>
          </w:p>
        </w:tc>
        <w:tc>
          <w:tcPr>
            <w:tcW w:w="709" w:type="dxa"/>
            <w:tcBorders/>
            <w:shd w:fill="CCEEFF" w:val="clear"/>
            <w:vAlign w:val="center"/>
          </w:tcPr>
          <w:p>
            <w:pPr>
              <w:pStyle w:val="TableContents"/>
              <w:bidi w:val="0"/>
              <w:spacing w:before="0" w:after="283"/>
              <w:jc w:val="left"/>
              <w:rPr/>
            </w:pPr>
            <w:r>
              <w:rPr/>
              <w:t>)</w:t>
            </w:r>
          </w:p>
        </w:tc>
      </w:tr>
      <w:tr>
        <w:trPr/>
        <w:tc>
          <w:tcPr>
            <w:tcW w:w="6787" w:type="dxa"/>
            <w:tcBorders/>
            <w:shd w:fill="FFFFFF" w:val="clear"/>
            <w:vAlign w:val="center"/>
          </w:tcPr>
          <w:p>
            <w:pPr>
              <w:pStyle w:val="TableContents"/>
              <w:bidi w:val="0"/>
              <w:spacing w:before="0" w:after="283"/>
              <w:jc w:val="left"/>
              <w:rPr/>
            </w:pPr>
            <w:r>
              <w:rPr/>
              <w:t>Issuance of vested award shares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(181</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(136</w:t>
            </w:r>
          </w:p>
        </w:tc>
        <w:tc>
          <w:tcPr>
            <w:tcW w:w="709" w:type="dxa"/>
            <w:tcBorders/>
            <w:shd w:fill="FFFFFF" w:val="clear"/>
            <w:vAlign w:val="center"/>
          </w:tcPr>
          <w:p>
            <w:pPr>
              <w:pStyle w:val="TableContents"/>
              <w:bidi w:val="0"/>
              <w:spacing w:before="0" w:after="283"/>
              <w:jc w:val="left"/>
              <w:rPr/>
            </w:pPr>
            <w:r>
              <w:rPr/>
              <w:t>)</w:t>
            </w:r>
          </w:p>
        </w:tc>
      </w:tr>
      <w:tr>
        <w:trPr/>
        <w:tc>
          <w:tcPr>
            <w:tcW w:w="6787"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(2,513</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(189</w:t>
            </w:r>
          </w:p>
        </w:tc>
        <w:tc>
          <w:tcPr>
            <w:tcW w:w="709" w:type="dxa"/>
            <w:tcBorders/>
            <w:shd w:fill="CCEEFF" w:val="clear"/>
            <w:vAlign w:val="center"/>
          </w:tcPr>
          <w:p>
            <w:pPr>
              <w:pStyle w:val="TableContents"/>
              <w:bidi w:val="0"/>
              <w:spacing w:before="0" w:after="283"/>
              <w:jc w:val="left"/>
              <w:rPr/>
            </w:pPr>
            <w:r>
              <w:rPr/>
              <w:t>)</w:t>
            </w:r>
          </w:p>
        </w:tc>
      </w:tr>
      <w:tr>
        <w:trPr/>
        <w:tc>
          <w:tcPr>
            <w:tcW w:w="6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(106</w:t>
            </w:r>
          </w:p>
        </w:tc>
        <w:tc>
          <w:tcPr>
            <w:tcW w:w="128"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5,854</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51,715</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50,930</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jc w:val="left"/>
              <w:rPr/>
            </w:pPr>
            <w:r>
              <w:rPr/>
              <w:t> </w:t>
            </w:r>
          </w:p>
        </w:tc>
      </w:tr>
      <w:tr>
        <w:trPr/>
        <w:tc>
          <w:tcPr>
            <w:tcW w:w="6787" w:type="dxa"/>
            <w:tcBorders/>
            <w:shd w:fill="CCEEFF" w:val="clear"/>
            <w:vAlign w:val="center"/>
          </w:tcPr>
          <w:p>
            <w:pPr>
              <w:pStyle w:val="TableContents"/>
              <w:bidi w:val="0"/>
              <w:spacing w:before="0" w:after="283"/>
              <w:jc w:val="left"/>
              <w:rPr/>
            </w:pPr>
            <w:r>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jc w:val="right"/>
              <w:rPr/>
            </w:pPr>
            <w:r>
              <w:rPr/>
              <w:t>51,609</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jc w:val="right"/>
              <w:rPr/>
            </w:pPr>
            <w:r>
              <w:rPr/>
              <w:t>56,784</w:t>
            </w:r>
          </w:p>
        </w:tc>
        <w:tc>
          <w:tcPr>
            <w:tcW w:w="709" w:type="dxa"/>
            <w:tcBorders/>
            <w:shd w:fill="CCEEFF" w:val="clear"/>
            <w:vAlign w:val="center"/>
          </w:tcPr>
          <w:p>
            <w:pPr>
              <w:pStyle w:val="TableContents"/>
              <w:bidi w:val="0"/>
              <w:spacing w:before="0" w:after="283"/>
              <w:jc w:val="left"/>
              <w:rPr/>
            </w:pPr>
            <w:r>
              <w:rPr/>
              <w:t> </w:t>
            </w:r>
          </w:p>
        </w:tc>
      </w:tr>
      <w:tr>
        <w:trPr/>
        <w:tc>
          <w:tcPr>
            <w:tcW w:w="67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709" w:type="dxa"/>
            <w:tcBorders/>
            <w:shd w:fill="FFFFFF" w:val="clear"/>
            <w:vAlign w:val="center"/>
          </w:tcPr>
          <w:p>
            <w:pPr>
              <w:pStyle w:val="TableContents"/>
              <w:bidi w:val="0"/>
              <w:spacing w:before="0" w:after="283"/>
              <w:ind w:left="0" w:right="0" w:hanging="216"/>
              <w:jc w:val="left"/>
              <w:rPr/>
            </w:pPr>
            <w:r>
              <w:rPr/>
              <w:t> </w:t>
            </w:r>
          </w:p>
        </w:tc>
      </w:tr>
      <w:tr>
        <w:trPr/>
        <w:tc>
          <w:tcPr>
            <w:tcW w:w="67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709" w:type="dxa"/>
            <w:tcBorders/>
            <w:shd w:fill="CCEEFF" w:val="clear"/>
            <w:vAlign w:val="center"/>
          </w:tcPr>
          <w:p>
            <w:pPr>
              <w:pStyle w:val="TableContents"/>
              <w:bidi w:val="0"/>
              <w:spacing w:before="0" w:after="283"/>
              <w:ind w:left="0" w:right="0" w:hanging="216"/>
              <w:jc w:val="left"/>
              <w:rPr/>
            </w:pPr>
            <w:r>
              <w:rPr/>
              <w:t> </w:t>
            </w:r>
          </w:p>
        </w:tc>
      </w:tr>
      <w:tr>
        <w:trPr/>
        <w:tc>
          <w:tcPr>
            <w:tcW w:w="6787" w:type="dxa"/>
            <w:tcBorders/>
            <w:shd w:fill="FFFFFF" w:val="clear"/>
            <w:vAlign w:val="center"/>
          </w:tcPr>
          <w:p>
            <w:pPr>
              <w:pStyle w:val="TableContents"/>
              <w:bidi w:val="0"/>
              <w:spacing w:before="0" w:after="283"/>
              <w:jc w:val="left"/>
              <w:rPr/>
            </w:pPr>
            <w:r>
              <w:rPr/>
              <w:t>Federal and state income taxes paid (net of refunds received)</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jc w:val="right"/>
              <w:rPr/>
            </w:pPr>
            <w:r>
              <w:rPr/>
              <w:t>374</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jc w:val="right"/>
              <w:rPr/>
            </w:pPr>
            <w:r>
              <w:rPr/>
              <w:t>2,975</w:t>
            </w:r>
          </w:p>
        </w:tc>
        <w:tc>
          <w:tcPr>
            <w:tcW w:w="7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1269"/>
        <w:gridCol w:w="8695"/>
      </w:tblGrid>
      <w:tr>
        <w:trPr/>
        <w:tc>
          <w:tcPr>
            <w:tcW w:w="24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b/>
              </w:rPr>
            </w:pPr>
            <w:r>
              <w:rPr>
                <w:b/>
              </w:rPr>
              <w:t>1.</w:t>
            </w:r>
          </w:p>
        </w:tc>
        <w:tc>
          <w:tcPr>
            <w:tcW w:w="8695" w:type="dxa"/>
            <w:tcBorders/>
            <w:vAlign w:val="center"/>
          </w:tcPr>
          <w:p>
            <w:pPr>
              <w:pStyle w:val="TableContents"/>
              <w:bidi w:val="0"/>
              <w:spacing w:before="0" w:after="283"/>
              <w:jc w:val="both"/>
              <w:rPr>
                <w:b/>
              </w:rPr>
            </w:pPr>
            <w:r>
              <w:rPr>
                <w:b/>
              </w:rPr>
              <w:t>Organization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 Holdings is a North Dakota business corporation that is the stock holding company of Nodak Insurance and became such in connection with the Nodak conversion, whereby Nodak Mutual Insurance Company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include the financial position and results of operations of NI Holdings and the following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the largest domestic property and casualty insurance company based in North Dakota, offering private passenger auto, homeowners, farmowners, commercial multi-peril, excess lines, dwelling, crop hail, and Federal multi-peril crop insurance coverages through its captive agents in the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Nodak Agency,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Agency is an inactive shell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American West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West is a property and casualty insurance company licensed in eight states in the Midwest and Western regions of the United States (“U.S.”). American West primarily writes private passenger auto, homeowners, and farm coverages in South Dakota. American West also writes private passenger auto coverage in North Dakota, as well as crop hail and Federal multi-peril crop insurance coverages in Minnesota and South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Battle Creek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and its net income or loss was excluded from net income or loss attributed to NI Holdings in our Consolidated Statements of Operations. Subsequent to January 2, 2024, Battle Creek is fully consolidated in our Consolidated Balance Sheets and Consolidated Statements of Operations and, as such, no longer reflected as a non-controlling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Primero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Primero is a wholly-owned subsidiary of Tri-State, Ltd. Tri-State, Ltd. is an inactive shell corporation that is 100% owned by Nodak Insurance. Primero is a property and casualty insurance company that primarily provides non-standard auto coverage in the states of Arizona, North Dakota, South Dakota, and Nevada. The Company made the strategic decision to stop writing non-standard auto business for Primero in Nevada during 2024 and in Arizona and South Dakota during the third quarter of 2025, and existing policies for these states will be non-renewed.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 Auto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Auto is a property and casualty insurance company that provides non-standard auto coverage in the state of Illinois. The Company made the strategic decision to stop writing non-standard auto business for Direct Auto in Illinois during the third quarter of 2025, and existing policies will be non-renewed.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Organizational Structure and Credit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markets and distributes its policies through its captive agents, while all other companies utilize the independent agent distribution channel. Additionally, all of the Company’s insurance subsidiary and affiliate companies as of June 30, 2026, are rated “A” Excellent by A.M. Best Company, Inc. (“AM Best”), a global credit rating agency specializing in the insurance industry. The same executive management team provides oversight and strategic direction for the entire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audited consolidated financial statements and notes thereto included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at December 31, 2025, has been derived from the audited consolidated financial statements at that date but does not include all of the information and footnotes required by GAAP for complete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estimates and assumptions that can have a significant effect on amounts and disclosures we report in our unaudited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as well as deferred policy acquisition costs.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interim periods ended June 30, 2026, are not necessarily indicative of the results that may be expected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2025 Annual Report describes the accounting policies and estimates that are critical to the understanding of our results of operations, financial condition, and liquidity. The accounting policies and estimation processes described in the 2025 Annual Report were consistently applied to the unaudited consolidated financial statements as of and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Enactment of the One Big Beautiful Bill Act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enacted a budget reconciliation package known as the One Big Beautiful Bill Act of 2025 (“OBBBA”) which includes both tax and non-tax provisions. The legislation has multiple effective dates, with certain provisions effective in 2025 and others through 2027. The Company believes that the changes resulting from the tax provisions in the OBBBA are not expected to have a material impact on the Company’s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 Yet Adopted</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Income Statement Expenses</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(“FASB”) issued Accounting Standards Update (“ASU”) 2024-03, “Income Statement - Reporting Comprehensive Income - Expense Disaggregation Disclosures (Subtopic 220-40): Disaggregation of Income Statement Expenses.” This guidance is intended to improve disclosures about a public business entity's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statement of operations,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5" w:right="115"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115" w:right="1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Internal-Use Software (Subtopic 350-40): Targeted Improvements to the Accounting for Internal-Use Software."  This guidance modernizes the accounting for internal-use software under ASC 350-40 to adapt to different development practices, especially agile and iterative methods. The updated guidance requires that an entity capitalize software costs when both: 1) management has authorized and committed to the funding of the software project, and 2) it is probable that the project will be completed, and the software will be used to perform its intended function. This update is effective for interim and annual periods beginning after December 15, 2027, with early adoption permitted. The Company is currently evaluating the impact of adopting this guidance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Investments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presented on a consolidated basis as of June 30, 2026, and December 31, 2025, were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3"/>
        <w:gridCol w:w="60"/>
        <w:gridCol w:w="168"/>
        <w:gridCol w:w="974"/>
        <w:gridCol w:w="60"/>
        <w:gridCol w:w="60"/>
        <w:gridCol w:w="469"/>
        <w:gridCol w:w="876"/>
        <w:gridCol w:w="60"/>
        <w:gridCol w:w="60"/>
        <w:gridCol w:w="234"/>
        <w:gridCol w:w="938"/>
        <w:gridCol w:w="60"/>
        <w:gridCol w:w="60"/>
        <w:gridCol w:w="182"/>
        <w:gridCol w:w="990"/>
        <w:gridCol w:w="95"/>
        <w:gridCol w:w="60"/>
        <w:gridCol w:w="158"/>
        <w:gridCol w:w="907"/>
        <w:gridCol w:w="81"/>
      </w:tblGrid>
      <w:tr>
        <w:trPr/>
        <w:tc>
          <w:tcPr>
            <w:tcW w:w="3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11"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81" w:type="dxa"/>
            <w:tcBorders/>
            <w:vAlign w:val="center"/>
          </w:tcPr>
          <w:p>
            <w:pPr>
              <w:pStyle w:val="TableContents"/>
              <w:bidi w:val="0"/>
              <w:spacing w:before="0" w:after="283"/>
              <w:jc w:val="left"/>
              <w:rPr/>
            </w:pPr>
            <w:r>
              <w:rPr/>
              <w:t> </w:t>
            </w:r>
          </w:p>
        </w:tc>
      </w:tr>
      <w:tr>
        <w:trPr/>
        <w:tc>
          <w:tcPr>
            <w:tcW w:w="3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 or</w:t>
              <w:br/>
              <w:t xml:space="preserve">Amortized </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1" w:type="dxa"/>
            <w:tcBorders/>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974" w:type="dxa"/>
            <w:tcBorders/>
            <w:shd w:fill="FFFFFF" w:val="clear"/>
            <w:vAlign w:val="center"/>
          </w:tcPr>
          <w:p>
            <w:pPr>
              <w:pStyle w:val="TableContents"/>
              <w:bidi w:val="0"/>
              <w:spacing w:before="0" w:after="283"/>
              <w:jc w:val="right"/>
              <w:rPr/>
            </w:pPr>
            <w:r>
              <w:rPr/>
              <w:t>8,440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938"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90" w:type="dxa"/>
            <w:tcBorders/>
            <w:shd w:fill="FFFFFF" w:val="clear"/>
            <w:vAlign w:val="center"/>
          </w:tcPr>
          <w:p>
            <w:pPr>
              <w:pStyle w:val="TableContents"/>
              <w:bidi w:val="0"/>
              <w:spacing w:before="0" w:after="283"/>
              <w:jc w:val="right"/>
              <w:rPr/>
            </w:pPr>
            <w:r>
              <w:rPr/>
              <w:t>(112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07" w:type="dxa"/>
            <w:tcBorders/>
            <w:shd w:fill="FFFFFF" w:val="clear"/>
            <w:vAlign w:val="center"/>
          </w:tcPr>
          <w:p>
            <w:pPr>
              <w:pStyle w:val="TableContents"/>
              <w:bidi w:val="0"/>
              <w:spacing w:before="0" w:after="283"/>
              <w:jc w:val="right"/>
              <w:rPr/>
            </w:pPr>
            <w:r>
              <w:rPr/>
              <w:t>8,340</w:t>
            </w:r>
          </w:p>
        </w:tc>
        <w:tc>
          <w:tcPr>
            <w:tcW w:w="81" w:type="dxa"/>
            <w:tcBorders/>
            <w:shd w:fill="FFFFFF" w:val="clear"/>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50,533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46,381</w:t>
            </w:r>
          </w:p>
        </w:tc>
        <w:tc>
          <w:tcPr>
            <w:tcW w:w="81" w:type="dxa"/>
            <w:tcBorders/>
            <w:shd w:fill="CCEEFF"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131,082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(4,110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127,544</w:t>
            </w:r>
          </w:p>
        </w:tc>
        <w:tc>
          <w:tcPr>
            <w:tcW w:w="81" w:type="dxa"/>
            <w:tcBorders/>
            <w:shd w:fill="FFFFFF" w:val="clear"/>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68,822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(5,303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63,898</w:t>
            </w:r>
          </w:p>
        </w:tc>
        <w:tc>
          <w:tcPr>
            <w:tcW w:w="81" w:type="dxa"/>
            <w:tcBorders/>
            <w:shd w:fill="CCEEFF"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33,414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31,393</w:t>
            </w:r>
          </w:p>
        </w:tc>
        <w:tc>
          <w:tcPr>
            <w:tcW w:w="81" w:type="dxa"/>
            <w:tcBorders/>
            <w:shd w:fill="FFFFFF" w:val="clear"/>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18,028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17,778</w:t>
            </w:r>
          </w:p>
        </w:tc>
        <w:tc>
          <w:tcPr>
            <w:tcW w:w="81" w:type="dxa"/>
            <w:tcBorders/>
            <w:shd w:fill="CCEEFF" w:val="clear"/>
            <w:vAlign w:val="center"/>
          </w:tcPr>
          <w:p>
            <w:pPr>
              <w:pStyle w:val="TableContents"/>
              <w:bidi w:val="0"/>
              <w:spacing w:before="0" w:after="283"/>
              <w:jc w:val="left"/>
              <w:rPr/>
            </w:pPr>
            <w:r>
              <w:rPr/>
              <w:t> </w:t>
            </w:r>
          </w:p>
        </w:tc>
      </w:tr>
      <w:tr>
        <w:trPr/>
        <w:tc>
          <w:tcPr>
            <w:tcW w:w="3653"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3,736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pPr>
            <w:r>
              <w:rPr/>
              <w:t>3,040</w:t>
            </w:r>
          </w:p>
        </w:tc>
        <w:tc>
          <w:tcPr>
            <w:tcW w:w="81" w:type="dxa"/>
            <w:tcBorders/>
            <w:shd w:fill="FFFFFF" w:val="clear"/>
            <w:vAlign w:val="center"/>
          </w:tcPr>
          <w:p>
            <w:pPr>
              <w:pStyle w:val="TableContents"/>
              <w:bidi w:val="0"/>
              <w:spacing w:before="0" w:after="283"/>
              <w:jc w:val="left"/>
              <w:rPr/>
            </w:pPr>
            <w:r>
              <w:rPr/>
              <w:t> </w:t>
            </w:r>
          </w:p>
        </w:tc>
      </w:tr>
      <w:tr>
        <w:trPr/>
        <w:tc>
          <w:tcPr>
            <w:tcW w:w="3653"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314,055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1,301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jc w:val="right"/>
              <w:rPr/>
            </w:pPr>
            <w:r>
              <w:rPr/>
              <w:t>(16,982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pPr>
            <w:r>
              <w:rPr/>
              <w:t>298,374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9"/>
        <w:gridCol w:w="60"/>
        <w:gridCol w:w="168"/>
        <w:gridCol w:w="973"/>
        <w:gridCol w:w="60"/>
        <w:gridCol w:w="60"/>
        <w:gridCol w:w="483"/>
        <w:gridCol w:w="900"/>
        <w:gridCol w:w="60"/>
        <w:gridCol w:w="60"/>
        <w:gridCol w:w="234"/>
        <w:gridCol w:w="938"/>
        <w:gridCol w:w="60"/>
        <w:gridCol w:w="60"/>
        <w:gridCol w:w="182"/>
        <w:gridCol w:w="989"/>
        <w:gridCol w:w="95"/>
        <w:gridCol w:w="60"/>
        <w:gridCol w:w="158"/>
        <w:gridCol w:w="905"/>
        <w:gridCol w:w="81"/>
      </w:tblGrid>
      <w:tr>
        <w:trPr/>
        <w:tc>
          <w:tcPr>
            <w:tcW w:w="36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81"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 or</w:t>
              <w:br/>
              <w:t xml:space="preserve">Amortized </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Expected</w:t>
              <w:br/>
              <w:t>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Gross </w:t>
              <w:b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1" w:type="dxa"/>
            <w:tcBorders/>
            <w:vAlign w:val="center"/>
          </w:tcPr>
          <w:p>
            <w:pPr>
              <w:pStyle w:val="TableContents"/>
              <w:bidi w:val="0"/>
              <w:spacing w:before="0" w:after="283"/>
              <w:jc w:val="left"/>
              <w:rPr/>
            </w:pPr>
            <w:r>
              <w:rPr/>
              <w:t> </w:t>
            </w:r>
          </w:p>
        </w:tc>
      </w:tr>
      <w:tr>
        <w:trPr/>
        <w:tc>
          <w:tcPr>
            <w:tcW w:w="3619"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619"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10,643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w:t>
            </w:r>
          </w:p>
        </w:tc>
        <w:tc>
          <w:tcPr>
            <w:tcW w:w="9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w:t>
            </w:r>
          </w:p>
        </w:tc>
        <w:tc>
          <w:tcPr>
            <w:tcW w:w="938" w:type="dxa"/>
            <w:tcBorders/>
            <w:shd w:fill="FFFFFF" w:val="cle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989" w:type="dxa"/>
            <w:tcBorders/>
            <w:shd w:fill="FFFFFF" w:val="cle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10,716</w:t>
            </w:r>
          </w:p>
        </w:tc>
        <w:tc>
          <w:tcPr>
            <w:tcW w:w="81" w:type="dxa"/>
            <w:tcBorders/>
            <w:shd w:fill="FFFFFF" w:val="clear"/>
            <w:vAlign w:val="center"/>
          </w:tcPr>
          <w:p>
            <w:pPr>
              <w:pStyle w:val="TableContents"/>
              <w:bidi w:val="0"/>
              <w:spacing w:before="0" w:after="283"/>
              <w:jc w:val="left"/>
              <w:rPr/>
            </w:pPr>
            <w:r>
              <w:rPr/>
              <w:t> </w:t>
            </w:r>
          </w:p>
        </w:tc>
      </w:tr>
      <w:tr>
        <w:trPr/>
        <w:tc>
          <w:tcPr>
            <w:tcW w:w="3619"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50,530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(4,648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46,050</w:t>
            </w:r>
          </w:p>
        </w:tc>
        <w:tc>
          <w:tcPr>
            <w:tcW w:w="81" w:type="dxa"/>
            <w:tcBorders/>
            <w:shd w:fill="CCEEFF" w:val="clear"/>
            <w:vAlign w:val="center"/>
          </w:tcPr>
          <w:p>
            <w:pPr>
              <w:pStyle w:val="TableContents"/>
              <w:bidi w:val="0"/>
              <w:spacing w:before="0" w:after="283"/>
              <w:jc w:val="left"/>
              <w:rPr/>
            </w:pPr>
            <w:r>
              <w:rPr/>
              <w:t> </w:t>
            </w:r>
          </w:p>
        </w:tc>
      </w:tr>
      <w:tr>
        <w:trPr/>
        <w:tc>
          <w:tcPr>
            <w:tcW w:w="3619"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125,978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1,434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(3,607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123,805</w:t>
            </w:r>
          </w:p>
        </w:tc>
        <w:tc>
          <w:tcPr>
            <w:tcW w:w="81" w:type="dxa"/>
            <w:tcBorders/>
            <w:shd w:fill="FFFFFF" w:val="clear"/>
            <w:vAlign w:val="center"/>
          </w:tcPr>
          <w:p>
            <w:pPr>
              <w:pStyle w:val="TableContents"/>
              <w:bidi w:val="0"/>
              <w:spacing w:before="0" w:after="283"/>
              <w:jc w:val="left"/>
              <w:rPr/>
            </w:pPr>
            <w:r>
              <w:rPr/>
              <w:t> </w:t>
            </w:r>
          </w:p>
        </w:tc>
      </w:tr>
      <w:tr>
        <w:trPr/>
        <w:tc>
          <w:tcPr>
            <w:tcW w:w="3619"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73,022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(5,002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68,699</w:t>
            </w:r>
          </w:p>
        </w:tc>
        <w:tc>
          <w:tcPr>
            <w:tcW w:w="81" w:type="dxa"/>
            <w:tcBorders/>
            <w:shd w:fill="CCEEFF" w:val="clear"/>
            <w:vAlign w:val="center"/>
          </w:tcPr>
          <w:p>
            <w:pPr>
              <w:pStyle w:val="TableContents"/>
              <w:bidi w:val="0"/>
              <w:spacing w:before="0" w:after="283"/>
              <w:jc w:val="left"/>
              <w:rPr/>
            </w:pPr>
            <w:r>
              <w:rPr/>
              <w:t> </w:t>
            </w:r>
          </w:p>
        </w:tc>
      </w:tr>
      <w:tr>
        <w:trPr/>
        <w:tc>
          <w:tcPr>
            <w:tcW w:w="3619"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29,376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27,528</w:t>
            </w:r>
          </w:p>
        </w:tc>
        <w:tc>
          <w:tcPr>
            <w:tcW w:w="81" w:type="dxa"/>
            <w:tcBorders/>
            <w:shd w:fill="FFFFFF" w:val="clear"/>
            <w:vAlign w:val="center"/>
          </w:tcPr>
          <w:p>
            <w:pPr>
              <w:pStyle w:val="TableContents"/>
              <w:bidi w:val="0"/>
              <w:spacing w:before="0" w:after="283"/>
              <w:jc w:val="left"/>
              <w:rPr/>
            </w:pPr>
            <w:r>
              <w:rPr/>
              <w:t> </w:t>
            </w:r>
          </w:p>
        </w:tc>
      </w:tr>
      <w:tr>
        <w:trPr/>
        <w:tc>
          <w:tcPr>
            <w:tcW w:w="3619"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21,519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21,409</w:t>
            </w:r>
          </w:p>
        </w:tc>
        <w:tc>
          <w:tcPr>
            <w:tcW w:w="81" w:type="dxa"/>
            <w:tcBorders/>
            <w:shd w:fill="CCEEFF" w:val="clear"/>
            <w:vAlign w:val="center"/>
          </w:tcPr>
          <w:p>
            <w:pPr>
              <w:pStyle w:val="TableContents"/>
              <w:bidi w:val="0"/>
              <w:spacing w:before="0" w:after="283"/>
              <w:jc w:val="left"/>
              <w:rPr/>
            </w:pPr>
            <w:r>
              <w:rPr/>
              <w:t> </w:t>
            </w:r>
          </w:p>
        </w:tc>
      </w:tr>
      <w:tr>
        <w:trPr/>
        <w:tc>
          <w:tcPr>
            <w:tcW w:w="3619"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3,736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81" w:type="dxa"/>
            <w:tcBorders/>
            <w:shd w:fill="FFFFFF" w:val="clear"/>
            <w:vAlign w:val="center"/>
          </w:tcPr>
          <w:p>
            <w:pPr>
              <w:pStyle w:val="TableContents"/>
              <w:bidi w:val="0"/>
              <w:spacing w:before="0" w:after="283"/>
              <w:jc w:val="left"/>
              <w:rPr/>
            </w:pPr>
            <w:r>
              <w:rPr/>
              <w:t> </w:t>
            </w:r>
          </w:p>
        </w:tc>
      </w:tr>
      <w:tr>
        <w:trPr/>
        <w:tc>
          <w:tcPr>
            <w:tcW w:w="3619"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pPr>
            <w:r>
              <w:rPr/>
              <w:t>314,804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9" w:type="dxa"/>
            <w:tcBorders>
              <w:bottom w:val="double" w:sz="6" w:space="0" w:color="000000"/>
            </w:tcBorders>
            <w:shd w:fill="CCEEFF" w:val="clear"/>
            <w:tcMar>
              <w:bottom w:w="28" w:type="dxa"/>
            </w:tcMar>
            <w:vAlign w:val="center"/>
          </w:tcPr>
          <w:p>
            <w:pPr>
              <w:pStyle w:val="TableContents"/>
              <w:bidi w:val="0"/>
              <w:spacing w:before="0" w:after="283"/>
              <w:jc w:val="right"/>
              <w:rPr/>
            </w:pPr>
            <w:r>
              <w:rPr/>
              <w:t>(16,220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301,393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and estimated fair value of fixed income securities by contractual maturity, presented on a consolidated basis, are shown below. Actual maturities could differ from contractual maturities because issuers may have the right to call or prepay these securities.</w:t>
      </w:r>
    </w:p>
    <w:p>
      <w:pPr>
        <w:pStyle w:val="TextBody"/>
        <w:bidi w:val="0"/>
        <w:spacing w:before="0" w:after="0"/>
        <w:ind w:left="15" w:right="15"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One year or less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19,560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19,368</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69,262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66,371</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After five years through ten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63,023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61,900</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38,210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34,626</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Mortgage / asset-backed securities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120,264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113,069</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3,736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3,040</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shd w:fill="FFFFFF" w:val="clear"/>
            <w:vAlign w:val="center"/>
          </w:tcPr>
          <w:p>
            <w:pPr>
              <w:pStyle w:val="TableContents"/>
              <w:bidi w:val="0"/>
              <w:spacing w:before="0" w:after="283"/>
              <w:jc w:val="left"/>
              <w:rPr/>
            </w:pPr>
            <w:r>
              <w:rPr/>
              <w:t>Total fixed income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pPr>
            <w:r>
              <w:rPr/>
              <w:t>314,055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298,374</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3260"/>
        <w:gridCol w:w="60"/>
        <w:gridCol w:w="240"/>
        <w:gridCol w:w="1384"/>
        <w:gridCol w:w="60"/>
        <w:gridCol w:w="60"/>
        <w:gridCol w:w="166"/>
        <w:gridCol w:w="948"/>
        <w:gridCol w:w="82"/>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82"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82"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Due to mature: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One year or less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10,208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10,097</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one year through five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73,908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72,140</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After five years through ten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64,118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63,599</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After ten years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38,917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34,735</w:t>
            </w:r>
          </w:p>
        </w:tc>
        <w:tc>
          <w:tcPr>
            <w:tcW w:w="82"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Mortgage / asset-backed securities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123,917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117,636</w:t>
            </w:r>
          </w:p>
        </w:tc>
        <w:tc>
          <w:tcPr>
            <w:tcW w:w="82"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Redeemable preferred stocks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pPr>
            <w:r>
              <w:rPr/>
              <w:t>3,736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3,186</w:t>
            </w:r>
          </w:p>
        </w:tc>
        <w:tc>
          <w:tcPr>
            <w:tcW w:w="82" w:type="dxa"/>
            <w:tcBorders/>
            <w:shd w:fill="CCEEFF" w:val="clear"/>
            <w:vAlign w:val="center"/>
          </w:tcPr>
          <w:p>
            <w:pPr>
              <w:pStyle w:val="TableContents"/>
              <w:bidi w:val="0"/>
              <w:spacing w:before="0" w:after="283"/>
              <w:ind w:left="0" w:right="0" w:firstLine="7"/>
              <w:jc w:val="left"/>
              <w:rPr/>
            </w:pPr>
            <w:r>
              <w:rPr/>
              <w:t> </w:t>
            </w:r>
          </w:p>
        </w:tc>
      </w:tr>
      <w:tr>
        <w:trPr/>
        <w:tc>
          <w:tcPr>
            <w:tcW w:w="3260" w:type="dxa"/>
            <w:tcBorders/>
            <w:shd w:fill="FFFFFF" w:val="clear"/>
            <w:vAlign w:val="center"/>
          </w:tcPr>
          <w:p>
            <w:pPr>
              <w:pStyle w:val="TableContents"/>
              <w:bidi w:val="0"/>
              <w:spacing w:before="0" w:after="283"/>
              <w:jc w:val="left"/>
              <w:rPr/>
            </w:pPr>
            <w:r>
              <w:rPr/>
              <w:t>Total fixed income securities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pPr>
            <w:r>
              <w:rPr/>
              <w:t>314,804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jc w:val="right"/>
              <w:rPr/>
            </w:pPr>
            <w:r>
              <w:rPr/>
              <w:t>301,393</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pPr>
      <w:r>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Fixed income securities and cash with a fair value of $4,549 at June 30, 2026, and $4,574 at December 31, 2025, were deposited with various state regulatory agencies as required by law. The Company has not pledged any assets to secure any obligations.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category and duration of the Company’s gross unrealized losses on fixed income securities, presented on a consolidated basis, are shown below. Investments with unrealized losses are categorized with a duration of greater than 12 months when all positions of a security have continually been in a loss position for at least 12 months.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9"/>
        <w:gridCol w:w="60"/>
        <w:gridCol w:w="164"/>
        <w:gridCol w:w="802"/>
        <w:gridCol w:w="70"/>
        <w:gridCol w:w="70"/>
        <w:gridCol w:w="265"/>
        <w:gridCol w:w="865"/>
        <w:gridCol w:w="95"/>
        <w:gridCol w:w="60"/>
        <w:gridCol w:w="156"/>
        <w:gridCol w:w="893"/>
        <w:gridCol w:w="66"/>
        <w:gridCol w:w="66"/>
        <w:gridCol w:w="180"/>
        <w:gridCol w:w="977"/>
        <w:gridCol w:w="95"/>
        <w:gridCol w:w="60"/>
        <w:gridCol w:w="140"/>
        <w:gridCol w:w="800"/>
        <w:gridCol w:w="60"/>
        <w:gridCol w:w="60"/>
        <w:gridCol w:w="180"/>
        <w:gridCol w:w="977"/>
        <w:gridCol w:w="115"/>
      </w:tblGrid>
      <w:tr>
        <w:trPr/>
        <w:tc>
          <w:tcPr>
            <w:tcW w:w="2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1"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15" w:type="dxa"/>
            <w:tcBorders/>
            <w:vAlign w:val="center"/>
          </w:tcPr>
          <w:p>
            <w:pPr>
              <w:pStyle w:val="TableContents"/>
              <w:bidi w:val="0"/>
              <w:spacing w:before="0" w:after="283"/>
              <w:jc w:val="left"/>
              <w:rPr/>
            </w:pPr>
            <w:r>
              <w:rPr/>
              <w:t> </w:t>
            </w:r>
          </w:p>
        </w:tc>
      </w:tr>
      <w:tr>
        <w:trPr/>
        <w:tc>
          <w:tcPr>
            <w:tcW w:w="2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Unrealized </w:t>
              <w:br/>
              <w:t>Losses</w:t>
            </w:r>
          </w:p>
        </w:tc>
        <w:tc>
          <w:tcPr>
            <w:tcW w:w="115" w:type="dxa"/>
            <w:tcBorders/>
            <w:vAlign w:val="center"/>
          </w:tcPr>
          <w:p>
            <w:pPr>
              <w:pStyle w:val="TableContents"/>
              <w:bidi w:val="0"/>
              <w:spacing w:before="0" w:after="283"/>
              <w:jc w:val="left"/>
              <w:rPr/>
            </w:pPr>
            <w:r>
              <w:rPr/>
              <w:t> </w:t>
            </w:r>
          </w:p>
        </w:tc>
      </w:tr>
      <w:tr>
        <w:trPr/>
        <w:tc>
          <w:tcPr>
            <w:tcW w:w="2929"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929"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802" w:type="dxa"/>
            <w:tcBorders/>
            <w:shd w:fill="FFFFFF" w:val="clear"/>
            <w:vAlign w:val="center"/>
          </w:tcPr>
          <w:p>
            <w:pPr>
              <w:pStyle w:val="TableContents"/>
              <w:bidi w:val="0"/>
              <w:spacing w:before="0" w:after="283"/>
              <w:jc w:val="right"/>
              <w:rPr/>
            </w:pPr>
            <w:r>
              <w:rPr/>
              <w:t>3,830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865" w:type="dxa"/>
            <w:tcBorders/>
            <w:shd w:fill="FFFFFF" w:val="clear"/>
            <w:vAlign w:val="center"/>
          </w:tcPr>
          <w:p>
            <w:pPr>
              <w:pStyle w:val="TableContents"/>
              <w:bidi w:val="0"/>
              <w:spacing w:before="0" w:after="283"/>
              <w:jc w:val="right"/>
              <w:rPr/>
            </w:pPr>
            <w:r>
              <w:rPr/>
              <w:t>(36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93" w:type="dxa"/>
            <w:tcBorders/>
            <w:shd w:fill="FFFFFF" w:val="clear"/>
            <w:vAlign w:val="center"/>
          </w:tcPr>
          <w:p>
            <w:pPr>
              <w:pStyle w:val="TableContents"/>
              <w:bidi w:val="0"/>
              <w:spacing w:before="0" w:after="283"/>
              <w:jc w:val="right"/>
              <w:rPr/>
            </w:pPr>
            <w:r>
              <w:rPr/>
              <w:t>3,175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7" w:type="dxa"/>
            <w:tcBorders/>
            <w:shd w:fill="FFFFFF" w:val="clear"/>
            <w:vAlign w:val="center"/>
          </w:tcPr>
          <w:p>
            <w:pPr>
              <w:pStyle w:val="TableContents"/>
              <w:bidi w:val="0"/>
              <w:spacing w:before="0" w:after="283"/>
              <w:jc w:val="right"/>
              <w:rPr/>
            </w:pPr>
            <w:r>
              <w:rPr/>
              <w:t>(76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7,005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7" w:type="dxa"/>
            <w:tcBorders/>
            <w:shd w:fill="FFFFFF" w:val="clear"/>
            <w:vAlign w:val="center"/>
          </w:tcPr>
          <w:p>
            <w:pPr>
              <w:pStyle w:val="TableContents"/>
              <w:bidi w:val="0"/>
              <w:spacing w:before="0" w:after="283"/>
              <w:jc w:val="right"/>
              <w:rPr/>
            </w:pPr>
            <w:r>
              <w:rPr/>
              <w:t>(112</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4,361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35,069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(4,335</w:t>
            </w:r>
          </w:p>
        </w:tc>
        <w:tc>
          <w:tcPr>
            <w:tcW w:w="115" w:type="dxa"/>
            <w:tcBorders/>
            <w:shd w:fill="CCEEFF" w:val="clear"/>
            <w:vAlign w:val="center"/>
          </w:tcPr>
          <w:p>
            <w:pPr>
              <w:pStyle w:val="TableContents"/>
              <w:bidi w:val="0"/>
              <w:spacing w:before="0" w:after="283"/>
              <w:jc w:val="left"/>
              <w:rPr/>
            </w:pPr>
            <w:r>
              <w:rPr/>
              <w:t>)</w:t>
            </w:r>
          </w:p>
        </w:tc>
      </w:tr>
      <w:tr>
        <w:trPr/>
        <w:tc>
          <w:tcPr>
            <w:tcW w:w="2929"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35,141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55,671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(3,775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90,812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(4,110</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12,870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29,317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(5,167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(5,303</w:t>
            </w:r>
          </w:p>
        </w:tc>
        <w:tc>
          <w:tcPr>
            <w:tcW w:w="115" w:type="dxa"/>
            <w:tcBorders/>
            <w:shd w:fill="CCEEFF" w:val="clear"/>
            <w:vAlign w:val="center"/>
          </w:tcPr>
          <w:p>
            <w:pPr>
              <w:pStyle w:val="TableContents"/>
              <w:bidi w:val="0"/>
              <w:spacing w:before="0" w:after="283"/>
              <w:jc w:val="left"/>
              <w:rPr/>
            </w:pPr>
            <w:r>
              <w:rPr/>
              <w:t>)</w:t>
            </w:r>
          </w:p>
        </w:tc>
      </w:tr>
      <w:tr>
        <w:trPr/>
        <w:tc>
          <w:tcPr>
            <w:tcW w:w="2929"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7,734</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19,054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(2,061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(2,118</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7,615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4,152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(308</w:t>
            </w:r>
          </w:p>
        </w:tc>
        <w:tc>
          <w:tcPr>
            <w:tcW w:w="115" w:type="dxa"/>
            <w:tcBorders/>
            <w:shd w:fill="CCEEFF" w:val="clear"/>
            <w:vAlign w:val="center"/>
          </w:tcPr>
          <w:p>
            <w:pPr>
              <w:pStyle w:val="TableContents"/>
              <w:bidi w:val="0"/>
              <w:spacing w:before="0" w:after="283"/>
              <w:jc w:val="left"/>
              <w:rPr/>
            </w:pPr>
            <w:r>
              <w:rPr/>
              <w:t>)</w:t>
            </w:r>
          </w:p>
        </w:tc>
      </w:tr>
      <w:tr>
        <w:trPr/>
        <w:tc>
          <w:tcPr>
            <w:tcW w:w="2929"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3,040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pPr>
            <w:r>
              <w:rPr/>
              <w:t>(696</w:t>
            </w:r>
          </w:p>
        </w:tc>
        <w:tc>
          <w:tcPr>
            <w:tcW w:w="115" w:type="dxa"/>
            <w:tcBorders/>
            <w:shd w:fill="FFFFFF" w:val="clear"/>
            <w:vAlign w:val="center"/>
          </w:tcPr>
          <w:p>
            <w:pPr>
              <w:pStyle w:val="TableContents"/>
              <w:bidi w:val="0"/>
              <w:spacing w:before="0" w:after="283"/>
              <w:jc w:val="left"/>
              <w:rPr/>
            </w:pPr>
            <w:r>
              <w:rPr/>
              <w:t>)</w:t>
            </w:r>
          </w:p>
        </w:tc>
      </w:tr>
      <w:tr>
        <w:trPr/>
        <w:tc>
          <w:tcPr>
            <w:tcW w:w="2929"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pPr>
            <w:r>
              <w:rPr/>
              <w:t>71,551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pPr>
            <w:r>
              <w:rPr/>
              <w:t>(757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149,478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pPr>
            <w:r>
              <w:rPr/>
              <w:t>(16,225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221,029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pPr>
            <w:r>
              <w:rPr/>
              <w:t>(16,982</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3"/>
        <w:gridCol w:w="60"/>
        <w:gridCol w:w="165"/>
        <w:gridCol w:w="806"/>
        <w:gridCol w:w="70"/>
        <w:gridCol w:w="70"/>
        <w:gridCol w:w="265"/>
        <w:gridCol w:w="865"/>
        <w:gridCol w:w="95"/>
        <w:gridCol w:w="60"/>
        <w:gridCol w:w="156"/>
        <w:gridCol w:w="896"/>
        <w:gridCol w:w="67"/>
        <w:gridCol w:w="67"/>
        <w:gridCol w:w="176"/>
        <w:gridCol w:w="954"/>
        <w:gridCol w:w="95"/>
        <w:gridCol w:w="60"/>
        <w:gridCol w:w="140"/>
        <w:gridCol w:w="800"/>
        <w:gridCol w:w="60"/>
        <w:gridCol w:w="60"/>
        <w:gridCol w:w="176"/>
        <w:gridCol w:w="954"/>
        <w:gridCol w:w="115"/>
      </w:tblGrid>
      <w:tr>
        <w:trPr/>
        <w:tc>
          <w:tcPr>
            <w:tcW w:w="29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7"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5" w:type="dxa"/>
            <w:tcBorders/>
            <w:vAlign w:val="center"/>
          </w:tcPr>
          <w:p>
            <w:pPr>
              <w:pStyle w:val="TableContents"/>
              <w:bidi w:val="0"/>
              <w:spacing w:before="0" w:after="283"/>
              <w:jc w:val="left"/>
              <w:rPr/>
            </w:pPr>
            <w:r>
              <w:rPr/>
              <w:t> </w:t>
            </w:r>
          </w:p>
        </w:tc>
      </w:tr>
      <w:tr>
        <w:trPr/>
        <w:tc>
          <w:tcPr>
            <w:tcW w:w="29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Greater than 12 months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jc w:val="left"/>
              <w:rPr/>
            </w:pPr>
            <w:r>
              <w:rPr/>
              <w:t> </w:t>
            </w:r>
          </w:p>
        </w:tc>
      </w:tr>
      <w:tr>
        <w:trPr/>
        <w:tc>
          <w:tcPr>
            <w:tcW w:w="29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Unrealized</w:t>
              <w:br/>
              <w:t>Losses</w:t>
            </w:r>
          </w:p>
        </w:tc>
        <w:tc>
          <w:tcPr>
            <w:tcW w:w="115" w:type="dxa"/>
            <w:tcBorders/>
            <w:vAlign w:val="center"/>
          </w:tcPr>
          <w:p>
            <w:pPr>
              <w:pStyle w:val="TableContents"/>
              <w:bidi w:val="0"/>
              <w:spacing w:before="0" w:after="283"/>
              <w:jc w:val="left"/>
              <w:rPr/>
            </w:pPr>
            <w:r>
              <w:rPr/>
              <w:t> </w:t>
            </w:r>
          </w:p>
        </w:tc>
      </w:tr>
      <w:tr>
        <w:trPr/>
        <w:tc>
          <w:tcPr>
            <w:tcW w:w="2973"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2973"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06" w:type="dxa"/>
            <w:tcBorders/>
            <w:shd w:fill="FFFFFF" w:val="clear"/>
            <w:vAlign w:val="center"/>
          </w:tcPr>
          <w:p>
            <w:pPr>
              <w:pStyle w:val="TableContents"/>
              <w:bidi w:val="0"/>
              <w:spacing w:before="0" w:after="283"/>
              <w:jc w:val="right"/>
              <w:rPr/>
            </w:pPr>
            <w:r>
              <w:rPr/>
              <w:t>997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w:t>
            </w:r>
          </w:p>
        </w:tc>
        <w:tc>
          <w:tcPr>
            <w:tcW w:w="86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896" w:type="dxa"/>
            <w:tcBorders/>
            <w:shd w:fill="FFFFFF" w:val="clear"/>
            <w:vAlign w:val="center"/>
          </w:tcPr>
          <w:p>
            <w:pPr>
              <w:pStyle w:val="TableContents"/>
              <w:bidi w:val="0"/>
              <w:spacing w:before="0" w:after="283"/>
              <w:jc w:val="right"/>
              <w:rPr/>
            </w:pPr>
            <w:r>
              <w:rPr/>
              <w:t>3,433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4,430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(73</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2,976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35,429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(4,648</w:t>
            </w:r>
          </w:p>
        </w:tc>
        <w:tc>
          <w:tcPr>
            <w:tcW w:w="115" w:type="dxa"/>
            <w:tcBorders/>
            <w:shd w:fill="CCEEFF" w:val="clear"/>
            <w:vAlign w:val="center"/>
          </w:tcPr>
          <w:p>
            <w:pPr>
              <w:pStyle w:val="TableContents"/>
              <w:bidi w:val="0"/>
              <w:spacing w:before="0" w:after="283"/>
              <w:jc w:val="left"/>
              <w:rPr/>
            </w:pPr>
            <w:r>
              <w:rPr/>
              <w:t>)</w:t>
            </w:r>
          </w:p>
        </w:tc>
      </w:tr>
      <w:tr>
        <w:trPr/>
        <w:tc>
          <w:tcPr>
            <w:tcW w:w="2973"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2,081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62,738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(3,460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(3,607</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3,273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33,503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(5,002</w:t>
            </w:r>
          </w:p>
        </w:tc>
        <w:tc>
          <w:tcPr>
            <w:tcW w:w="115" w:type="dxa"/>
            <w:tcBorders/>
            <w:shd w:fill="CCEEFF" w:val="clear"/>
            <w:vAlign w:val="center"/>
          </w:tcPr>
          <w:p>
            <w:pPr>
              <w:pStyle w:val="TableContents"/>
              <w:bidi w:val="0"/>
              <w:spacing w:before="0" w:after="283"/>
              <w:jc w:val="left"/>
              <w:rPr/>
            </w:pPr>
            <w:r>
              <w:rPr/>
              <w:t>)</w:t>
            </w:r>
          </w:p>
        </w:tc>
      </w:tr>
      <w:tr>
        <w:trPr/>
        <w:tc>
          <w:tcPr>
            <w:tcW w:w="2973"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19,754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(2,030</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right"/>
              <w:rPr/>
            </w:pPr>
            <w:r>
              <w:rPr/>
              <w:t>1,433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5,832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(310</w:t>
            </w:r>
          </w:p>
        </w:tc>
        <w:tc>
          <w:tcPr>
            <w:tcW w:w="115" w:type="dxa"/>
            <w:tcBorders/>
            <w:shd w:fill="CCEEFF" w:val="clear"/>
            <w:vAlign w:val="center"/>
          </w:tcPr>
          <w:p>
            <w:pPr>
              <w:pStyle w:val="TableContents"/>
              <w:bidi w:val="0"/>
              <w:spacing w:before="0" w:after="283"/>
              <w:jc w:val="left"/>
              <w:rPr/>
            </w:pPr>
            <w:r>
              <w:rPr/>
              <w:t>)</w:t>
            </w:r>
          </w:p>
        </w:tc>
      </w:tr>
      <w:tr>
        <w:trPr/>
        <w:tc>
          <w:tcPr>
            <w:tcW w:w="2973" w:type="dxa"/>
            <w:tcBorders/>
            <w:shd w:fill="FFFFFF" w:val="clear"/>
            <w:vAlign w:val="center"/>
          </w:tcPr>
          <w:p>
            <w:pPr>
              <w:pStyle w:val="TableContents"/>
              <w:bidi w:val="0"/>
              <w:spacing w:before="0" w:after="283"/>
              <w:jc w:val="left"/>
              <w:rPr/>
            </w:pPr>
            <w:r>
              <w:rPr/>
              <w:t>Redeemable preferred stocks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15" w:type="dxa"/>
            <w:tcBorders/>
            <w:shd w:fill="FFFFFF" w:val="clear"/>
            <w:vAlign w:val="center"/>
          </w:tcPr>
          <w:p>
            <w:pPr>
              <w:pStyle w:val="TableContents"/>
              <w:bidi w:val="0"/>
              <w:spacing w:before="0" w:after="283"/>
              <w:jc w:val="left"/>
              <w:rPr/>
            </w:pPr>
            <w:r>
              <w:rPr/>
              <w:t>)</w:t>
            </w:r>
          </w:p>
        </w:tc>
      </w:tr>
      <w:tr>
        <w:trPr/>
        <w:tc>
          <w:tcPr>
            <w:tcW w:w="2973"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right"/>
              <w:rPr/>
            </w:pPr>
            <w:r>
              <w:rPr/>
              <w:t>10,760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6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96" w:type="dxa"/>
            <w:tcBorders>
              <w:bottom w:val="single" w:sz="8" w:space="0" w:color="000000"/>
            </w:tcBorders>
            <w:shd w:fill="CCEEFF" w:val="clear"/>
            <w:tcMar>
              <w:bottom w:w="28" w:type="dxa"/>
            </w:tcMar>
            <w:vAlign w:val="center"/>
          </w:tcPr>
          <w:p>
            <w:pPr>
              <w:pStyle w:val="TableContents"/>
              <w:bidi w:val="0"/>
              <w:spacing w:before="0" w:after="283"/>
              <w:jc w:val="right"/>
              <w:rPr/>
            </w:pPr>
            <w:r>
              <w:rPr/>
              <w:t>163,875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(15,852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174,635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(16,220</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along with our investment advisor, frequently review our investment portfolio for declines in fair value that could be indicative of credit losses, which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have not recognized any credit losses for fixed income securities and have concluded that an allowance is not required. There was no beginning balance, activity, or ending balance of credit losses as of and during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9114" w:type="dxa"/>
        <w:jc w:val="left"/>
        <w:tblInd w:w="0" w:type="dxa"/>
        <w:tblLayout w:type="fixed"/>
        <w:tblCellMar>
          <w:top w:w="0" w:type="dxa"/>
          <w:left w:w="0" w:type="dxa"/>
          <w:bottom w:w="0" w:type="dxa"/>
          <w:right w:w="0" w:type="dxa"/>
        </w:tblCellMar>
      </w:tblPr>
      <w:tblGrid>
        <w:gridCol w:w="2915"/>
        <w:gridCol w:w="60"/>
        <w:gridCol w:w="287"/>
        <w:gridCol w:w="1151"/>
        <w:gridCol w:w="123"/>
        <w:gridCol w:w="123"/>
        <w:gridCol w:w="287"/>
        <w:gridCol w:w="1151"/>
        <w:gridCol w:w="60"/>
        <w:gridCol w:w="60"/>
        <w:gridCol w:w="260"/>
        <w:gridCol w:w="1040"/>
        <w:gridCol w:w="111"/>
        <w:gridCol w:w="111"/>
        <w:gridCol w:w="260"/>
        <w:gridCol w:w="1040"/>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3,081</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6,018</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6,321</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Equity securities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210</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441</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455</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Real estate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65</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131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131</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222</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475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748</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Total gross investment income</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3,578</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7,065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7,655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Investment expenses</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768</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pPr>
            <w:r>
              <w:rPr/>
              <w:t>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1,600</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1,671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2,810</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3,146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5,465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5,984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9"/>
        <w:gridCol w:w="60"/>
        <w:gridCol w:w="261"/>
        <w:gridCol w:w="1046"/>
        <w:gridCol w:w="177"/>
        <w:gridCol w:w="111"/>
        <w:gridCol w:w="261"/>
        <w:gridCol w:w="850"/>
        <w:gridCol w:w="95"/>
        <w:gridCol w:w="60"/>
        <w:gridCol w:w="239"/>
        <w:gridCol w:w="959"/>
        <w:gridCol w:w="162"/>
        <w:gridCol w:w="102"/>
        <w:gridCol w:w="239"/>
        <w:gridCol w:w="779"/>
        <w:gridCol w:w="115"/>
      </w:tblGrid>
      <w:tr>
        <w:trPr/>
        <w:tc>
          <w:tcPr>
            <w:tcW w:w="46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5" w:type="dxa"/>
            <w:tcBorders/>
            <w:vAlign w:val="center"/>
          </w:tcPr>
          <w:p>
            <w:pPr>
              <w:pStyle w:val="TableContents"/>
              <w:bidi w:val="0"/>
              <w:spacing w:before="0" w:after="283"/>
              <w:jc w:val="left"/>
              <w:rPr/>
            </w:pPr>
            <w:r>
              <w:rPr/>
              <w:t> </w:t>
            </w:r>
          </w:p>
        </w:tc>
      </w:tr>
      <w:tr>
        <w:trPr/>
        <w:tc>
          <w:tcPr>
            <w:tcW w:w="46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7"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4689" w:type="dxa"/>
            <w:tcBorders/>
            <w:shd w:fill="CCEEFF" w:val="clear"/>
            <w:vAlign w:val="center"/>
          </w:tcPr>
          <w:p>
            <w:pPr>
              <w:pStyle w:val="TableContents"/>
              <w:bidi w:val="0"/>
              <w:spacing w:before="0" w:after="283"/>
              <w:jc w:val="left"/>
              <w:rPr/>
            </w:pPr>
            <w:r>
              <w:rPr/>
              <w:t>Gross realized gains:</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689" w:type="dxa"/>
            <w:tcBorders/>
            <w:shd w:fill="FFFFFF" w:val="clear"/>
            <w:vAlign w:val="center"/>
          </w:tcPr>
          <w:p>
            <w:pPr>
              <w:pStyle w:val="TableContents"/>
              <w:bidi w:val="0"/>
              <w:spacing w:before="0" w:after="283"/>
              <w:jc w:val="left"/>
              <w:rPr/>
            </w:pPr>
            <w:r>
              <w:rPr/>
              <w:t>Fixed income securities</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w:t>
            </w:r>
          </w:p>
        </w:tc>
        <w:tc>
          <w:tcPr>
            <w:tcW w:w="1046" w:type="dxa"/>
            <w:tcBorders/>
            <w:shd w:fill="FFFFFF" w:val="clear"/>
            <w:vAlign w:val="center"/>
          </w:tcPr>
          <w:p>
            <w:pPr>
              <w:pStyle w:val="TableContents"/>
              <w:bidi w:val="0"/>
              <w:spacing w:before="0" w:after="283"/>
              <w:jc w:val="right"/>
              <w:rPr/>
            </w:pPr>
            <w:r>
              <w:rPr/>
              <w:t>45</w:t>
            </w:r>
          </w:p>
        </w:tc>
        <w:tc>
          <w:tcPr>
            <w:tcW w:w="17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w:t>
            </w:r>
          </w:p>
        </w:tc>
        <w:tc>
          <w:tcPr>
            <w:tcW w:w="850"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959" w:type="dxa"/>
            <w:tcBorders/>
            <w:shd w:fill="FFFFFF" w:val="clear"/>
            <w:vAlign w:val="center"/>
          </w:tcPr>
          <w:p>
            <w:pPr>
              <w:pStyle w:val="TableContents"/>
              <w:bidi w:val="0"/>
              <w:spacing w:before="0" w:after="283"/>
              <w:jc w:val="right"/>
              <w:rPr/>
            </w:pPr>
            <w:r>
              <w:rPr/>
              <w:t>75</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w:t>
            </w:r>
          </w:p>
        </w:tc>
        <w:tc>
          <w:tcPr>
            <w:tcW w:w="779" w:type="dxa"/>
            <w:tcBorders/>
            <w:shd w:fill="FFFFFF" w:val="clear"/>
            <w:vAlign w:val="center"/>
          </w:tcPr>
          <w:p>
            <w:pPr>
              <w:pStyle w:val="TableContents"/>
              <w:bidi w:val="0"/>
              <w:spacing w:before="0" w:after="283"/>
              <w:jc w:val="right"/>
              <w:rPr/>
            </w:pPr>
            <w:r>
              <w:rPr/>
              <w:t>6</w:t>
            </w:r>
          </w:p>
        </w:tc>
        <w:tc>
          <w:tcPr>
            <w:tcW w:w="115" w:type="dxa"/>
            <w:tcBorders/>
            <w:shd w:fill="FFFFFF" w:val="clear"/>
            <w:vAlign w:val="center"/>
          </w:tcPr>
          <w:p>
            <w:pPr>
              <w:pStyle w:val="TableContents"/>
              <w:bidi w:val="0"/>
              <w:spacing w:before="0" w:after="283"/>
              <w:jc w:val="left"/>
              <w:rPr/>
            </w:pPr>
            <w:r>
              <w:rPr/>
              <w:t> </w:t>
            </w:r>
          </w:p>
        </w:tc>
      </w:tr>
      <w:tr>
        <w:trPr/>
        <w:tc>
          <w:tcPr>
            <w:tcW w:w="4689" w:type="dxa"/>
            <w:tcBorders/>
            <w:shd w:fill="CCEEFF" w:val="clear"/>
            <w:vAlign w:val="center"/>
          </w:tcPr>
          <w:p>
            <w:pPr>
              <w:pStyle w:val="TableContents"/>
              <w:bidi w:val="0"/>
              <w:spacing w:before="0" w:after="283"/>
              <w:jc w:val="left"/>
              <w:rPr/>
            </w:pPr>
            <w:r>
              <w:rPr/>
              <w:t>Equity securities</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pPr>
            <w:r>
              <w:rPr/>
              <w:t>1,660</w:t>
            </w:r>
          </w:p>
        </w:tc>
        <w:tc>
          <w:tcPr>
            <w:tcW w:w="177"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2,049</w:t>
            </w:r>
          </w:p>
        </w:tc>
        <w:tc>
          <w:tcPr>
            <w:tcW w:w="1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pPr>
            <w:r>
              <w:rPr/>
              <w:t>743</w:t>
            </w:r>
          </w:p>
        </w:tc>
        <w:tc>
          <w:tcPr>
            <w:tcW w:w="115" w:type="dxa"/>
            <w:tcBorders/>
            <w:shd w:fill="CCEEFF" w:val="clear"/>
            <w:vAlign w:val="center"/>
          </w:tcPr>
          <w:p>
            <w:pPr>
              <w:pStyle w:val="TableContents"/>
              <w:bidi w:val="0"/>
              <w:spacing w:before="0" w:after="283"/>
              <w:jc w:val="left"/>
              <w:rPr/>
            </w:pPr>
            <w:r>
              <w:rPr/>
              <w:t> </w:t>
            </w:r>
          </w:p>
        </w:tc>
      </w:tr>
      <w:tr>
        <w:trPr/>
        <w:tc>
          <w:tcPr>
            <w:tcW w:w="4689" w:type="dxa"/>
            <w:tcBorders/>
            <w:shd w:fill="FFFFFF" w:val="clear"/>
            <w:vAlign w:val="center"/>
          </w:tcPr>
          <w:p>
            <w:pPr>
              <w:pStyle w:val="TableContents"/>
              <w:bidi w:val="0"/>
              <w:spacing w:before="0" w:after="283"/>
              <w:jc w:val="left"/>
              <w:rPr/>
            </w:pPr>
            <w:r>
              <w:rPr/>
              <w:t>Total gross realized gains</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1,705</w:t>
            </w:r>
          </w:p>
        </w:tc>
        <w:tc>
          <w:tcPr>
            <w:tcW w:w="17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2,124</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749</w:t>
            </w:r>
          </w:p>
        </w:tc>
        <w:tc>
          <w:tcPr>
            <w:tcW w:w="115" w:type="dxa"/>
            <w:tcBorders/>
            <w:shd w:fill="FFFFFF" w:val="clear"/>
            <w:vAlign w:val="center"/>
          </w:tcPr>
          <w:p>
            <w:pPr>
              <w:pStyle w:val="TableContents"/>
              <w:bidi w:val="0"/>
              <w:spacing w:before="0" w:after="283"/>
              <w:jc w:val="left"/>
              <w:rPr/>
            </w:pPr>
            <w:r>
              <w:rPr/>
              <w:t> </w:t>
            </w:r>
          </w:p>
        </w:tc>
      </w:tr>
      <w:tr>
        <w:trPr/>
        <w:tc>
          <w:tcPr>
            <w:tcW w:w="46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4689" w:type="dxa"/>
            <w:tcBorders/>
            <w:shd w:fill="FFFFFF" w:val="clear"/>
            <w:vAlign w:val="center"/>
          </w:tcPr>
          <w:p>
            <w:pPr>
              <w:pStyle w:val="TableContents"/>
              <w:bidi w:val="0"/>
              <w:spacing w:before="0" w:after="283"/>
              <w:jc w:val="left"/>
              <w:rPr/>
            </w:pPr>
            <w:r>
              <w:rPr/>
              <w:t>Gross realized losses, excluding credit impairment losses:</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689"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(38</w:t>
            </w:r>
          </w:p>
        </w:tc>
        <w:tc>
          <w:tcPr>
            <w:tcW w:w="177"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(60</w:t>
            </w:r>
          </w:p>
        </w:tc>
        <w:tc>
          <w:tcPr>
            <w:tcW w:w="16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(139</w:t>
            </w:r>
          </w:p>
        </w:tc>
        <w:tc>
          <w:tcPr>
            <w:tcW w:w="115" w:type="dxa"/>
            <w:tcBorders/>
            <w:shd w:fill="CCEEFF" w:val="clear"/>
            <w:vAlign w:val="center"/>
          </w:tcPr>
          <w:p>
            <w:pPr>
              <w:pStyle w:val="TableContents"/>
              <w:bidi w:val="0"/>
              <w:spacing w:before="0" w:after="283"/>
              <w:jc w:val="left"/>
              <w:rPr/>
            </w:pPr>
            <w:r>
              <w:rPr/>
              <w:t>)</w:t>
            </w:r>
          </w:p>
        </w:tc>
      </w:tr>
      <w:tr>
        <w:trPr/>
        <w:tc>
          <w:tcPr>
            <w:tcW w:w="4689" w:type="dxa"/>
            <w:tcBorders/>
            <w:shd w:fill="FFFFFF" w:val="clear"/>
            <w:vAlign w:val="center"/>
          </w:tcPr>
          <w:p>
            <w:pPr>
              <w:pStyle w:val="TableContents"/>
              <w:bidi w:val="0"/>
              <w:spacing w:before="0" w:after="283"/>
              <w:jc w:val="left"/>
              <w:rPr/>
            </w:pPr>
            <w:r>
              <w:rPr/>
              <w:t>Equity securities</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pPr>
            <w:r>
              <w:rPr/>
              <w:t>(137</w:t>
            </w:r>
          </w:p>
        </w:tc>
        <w:tc>
          <w:tcPr>
            <w:tcW w:w="177" w:type="dxa"/>
            <w:tcBorders/>
            <w:shd w:fill="FFFFFF" w:val="clear"/>
            <w:vAlign w:val="center"/>
          </w:tcPr>
          <w:p>
            <w:pPr>
              <w:pStyle w:val="TableContents"/>
              <w:bidi w:val="0"/>
              <w:spacing w:before="0" w:after="283"/>
              <w:jc w:val="left"/>
              <w:rPr/>
            </w:pPr>
            <w:r>
              <w:rPr/>
              <w:t>)</w:t>
            </w:r>
          </w:p>
        </w:tc>
        <w:tc>
          <w:tcPr>
            <w:tcW w:w="111"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FFFFFF" w:val="clear"/>
            <w:tcMar>
              <w:bottom w:w="28" w:type="dxa"/>
            </w:tcMar>
            <w:vAlign w:val="center"/>
          </w:tcPr>
          <w:p>
            <w:pPr>
              <w:pStyle w:val="TableContents"/>
              <w:bidi w:val="0"/>
              <w:spacing w:before="0" w:after="283"/>
              <w:jc w:val="right"/>
              <w:rPr/>
            </w:pPr>
            <w:r>
              <w:rPr/>
              <w:t>(393</w:t>
            </w:r>
          </w:p>
        </w:tc>
        <w:tc>
          <w:tcPr>
            <w:tcW w:w="162"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pPr>
            <w:r>
              <w:rPr/>
              <w:t>(177</w:t>
            </w:r>
          </w:p>
        </w:tc>
        <w:tc>
          <w:tcPr>
            <w:tcW w:w="115" w:type="dxa"/>
            <w:tcBorders/>
            <w:shd w:fill="FFFFFF" w:val="clear"/>
            <w:vAlign w:val="center"/>
          </w:tcPr>
          <w:p>
            <w:pPr>
              <w:pStyle w:val="TableContents"/>
              <w:bidi w:val="0"/>
              <w:spacing w:before="0" w:after="283"/>
              <w:ind w:left="0" w:right="0" w:hanging="400"/>
              <w:jc w:val="left"/>
              <w:rPr/>
            </w:pPr>
            <w:r>
              <w:rPr/>
              <w:t>)</w:t>
            </w:r>
          </w:p>
        </w:tc>
      </w:tr>
      <w:tr>
        <w:trPr/>
        <w:tc>
          <w:tcPr>
            <w:tcW w:w="4689" w:type="dxa"/>
            <w:tcBorders/>
            <w:shd w:fill="CCEEFF" w:val="clear"/>
            <w:vAlign w:val="center"/>
          </w:tcPr>
          <w:p>
            <w:pPr>
              <w:pStyle w:val="TableContents"/>
              <w:bidi w:val="0"/>
              <w:spacing w:before="0" w:after="283"/>
              <w:jc w:val="left"/>
              <w:rPr/>
            </w:pPr>
            <w:r>
              <w:rPr/>
              <w:t>Total gross realized losses, excluding credit impairment losses</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pPr>
            <w:r>
              <w:rPr/>
              <w:t>(175</w:t>
            </w:r>
          </w:p>
        </w:tc>
        <w:tc>
          <w:tcPr>
            <w:tcW w:w="177" w:type="dxa"/>
            <w:tcBorders/>
            <w:shd w:fill="CCEEFF" w:val="clear"/>
            <w:vAlign w:val="center"/>
          </w:tcPr>
          <w:p>
            <w:pPr>
              <w:pStyle w:val="TableContents"/>
              <w:bidi w:val="0"/>
              <w:spacing w:before="0" w:after="283"/>
              <w:jc w:val="left"/>
              <w:rPr/>
            </w:pPr>
            <w:r>
              <w:rPr/>
              <w:t>)</w:t>
            </w:r>
          </w:p>
        </w:tc>
        <w:tc>
          <w:tcPr>
            <w:tcW w:w="111"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(453</w:t>
            </w:r>
          </w:p>
        </w:tc>
        <w:tc>
          <w:tcPr>
            <w:tcW w:w="16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pPr>
            <w:r>
              <w:rPr/>
              <w:t>(316</w:t>
            </w:r>
          </w:p>
        </w:tc>
        <w:tc>
          <w:tcPr>
            <w:tcW w:w="115" w:type="dxa"/>
            <w:tcBorders/>
            <w:shd w:fill="CCEEFF" w:val="clear"/>
            <w:vAlign w:val="center"/>
          </w:tcPr>
          <w:p>
            <w:pPr>
              <w:pStyle w:val="TableContents"/>
              <w:bidi w:val="0"/>
              <w:spacing w:before="0" w:after="283"/>
              <w:jc w:val="left"/>
              <w:rPr/>
            </w:pPr>
            <w:r>
              <w:rPr/>
              <w:t>)</w:t>
            </w:r>
          </w:p>
        </w:tc>
      </w:tr>
      <w:tr>
        <w:trPr/>
        <w:tc>
          <w:tcPr>
            <w:tcW w:w="46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689" w:type="dxa"/>
            <w:tcBorders/>
            <w:shd w:fill="CCEEFF" w:val="clear"/>
            <w:vAlign w:val="center"/>
          </w:tcPr>
          <w:p>
            <w:pPr>
              <w:pStyle w:val="TableContents"/>
              <w:bidi w:val="0"/>
              <w:spacing w:before="0" w:after="283"/>
              <w:jc w:val="left"/>
              <w:rPr/>
            </w:pPr>
            <w:r>
              <w:rPr/>
              <w:t>Net realized gains (losses)</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1,530</w:t>
            </w:r>
          </w:p>
        </w:tc>
        <w:tc>
          <w:tcPr>
            <w:tcW w:w="177"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1,671</w:t>
            </w:r>
          </w:p>
        </w:tc>
        <w:tc>
          <w:tcPr>
            <w:tcW w:w="1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433</w:t>
            </w:r>
          </w:p>
        </w:tc>
        <w:tc>
          <w:tcPr>
            <w:tcW w:w="115" w:type="dxa"/>
            <w:tcBorders/>
            <w:shd w:fill="CCEEFF" w:val="clear"/>
            <w:vAlign w:val="center"/>
          </w:tcPr>
          <w:p>
            <w:pPr>
              <w:pStyle w:val="TableContents"/>
              <w:bidi w:val="0"/>
              <w:spacing w:before="0" w:after="283"/>
              <w:jc w:val="left"/>
              <w:rPr/>
            </w:pPr>
            <w:r>
              <w:rPr/>
              <w:t> </w:t>
            </w:r>
          </w:p>
        </w:tc>
      </w:tr>
      <w:tr>
        <w:trPr/>
        <w:tc>
          <w:tcPr>
            <w:tcW w:w="46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689" w:type="dxa"/>
            <w:tcBorders/>
            <w:shd w:fill="CCEEFF" w:val="clear"/>
            <w:vAlign w:val="center"/>
          </w:tcPr>
          <w:p>
            <w:pPr>
              <w:pStyle w:val="TableContents"/>
              <w:bidi w:val="0"/>
              <w:spacing w:before="0" w:after="283"/>
              <w:jc w:val="left"/>
              <w:rPr/>
            </w:pPr>
            <w:r>
              <w:rPr/>
              <w:t>Change in net unrealized gains on equity securities</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pPr>
            <w:r>
              <w:rPr/>
              <w:t>533</w:t>
            </w:r>
          </w:p>
        </w:tc>
        <w:tc>
          <w:tcPr>
            <w:tcW w:w="177"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(517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8" w:space="0" w:color="000000"/>
            </w:tcBorders>
            <w:shd w:fill="CCEEFF" w:val="clear"/>
            <w:tcMar>
              <w:bottom w:w="28" w:type="dxa"/>
            </w:tcMar>
            <w:vAlign w:val="center"/>
          </w:tcPr>
          <w:p>
            <w:pPr>
              <w:pStyle w:val="TableContents"/>
              <w:bidi w:val="0"/>
              <w:spacing w:before="0" w:after="283"/>
              <w:jc w:val="right"/>
              <w:rPr/>
            </w:pPr>
            <w:r>
              <w:rPr/>
              <w:t>2,096</w:t>
            </w:r>
          </w:p>
        </w:tc>
        <w:tc>
          <w:tcPr>
            <w:tcW w:w="1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pPr>
            <w:r>
              <w:rPr/>
              <w:t>26</w:t>
            </w:r>
          </w:p>
        </w:tc>
        <w:tc>
          <w:tcPr>
            <w:tcW w:w="115" w:type="dxa"/>
            <w:tcBorders/>
            <w:shd w:fill="CCEEFF" w:val="clear"/>
            <w:vAlign w:val="center"/>
          </w:tcPr>
          <w:p>
            <w:pPr>
              <w:pStyle w:val="TableContents"/>
              <w:bidi w:val="0"/>
              <w:spacing w:before="0" w:after="283"/>
              <w:jc w:val="left"/>
              <w:rPr/>
            </w:pPr>
            <w:r>
              <w:rPr/>
              <w:t> </w:t>
            </w:r>
          </w:p>
        </w:tc>
      </w:tr>
      <w:tr>
        <w:trPr/>
        <w:tc>
          <w:tcPr>
            <w:tcW w:w="4689" w:type="dxa"/>
            <w:tcBorders/>
            <w:shd w:fill="FFFFFF" w:val="clear"/>
            <w:vAlign w:val="center"/>
          </w:tcPr>
          <w:p>
            <w:pPr>
              <w:pStyle w:val="TableContents"/>
              <w:bidi w:val="0"/>
              <w:spacing w:before="0" w:after="283"/>
              <w:jc w:val="left"/>
              <w:rPr/>
            </w:pPr>
            <w:r>
              <w:rPr/>
              <w:t>Net investment gains (losses)</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pPr>
            <w:r>
              <w:rPr/>
              <w:t>2,063</w:t>
            </w:r>
          </w:p>
        </w:tc>
        <w:tc>
          <w:tcPr>
            <w:tcW w:w="17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(410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9" w:type="dxa"/>
            <w:tcBorders>
              <w:bottom w:val="double" w:sz="6" w:space="0" w:color="000000"/>
            </w:tcBorders>
            <w:shd w:fill="FFFFFF" w:val="clear"/>
            <w:tcMar>
              <w:bottom w:w="28" w:type="dxa"/>
            </w:tcMar>
            <w:vAlign w:val="center"/>
          </w:tcPr>
          <w:p>
            <w:pPr>
              <w:pStyle w:val="TableContents"/>
              <w:bidi w:val="0"/>
              <w:spacing w:before="0" w:after="283"/>
              <w:jc w:val="right"/>
              <w:rPr/>
            </w:pPr>
            <w:r>
              <w:rPr/>
              <w:t>3,767</w:t>
            </w:r>
          </w:p>
        </w:tc>
        <w:tc>
          <w:tcPr>
            <w:tcW w:w="1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pPr>
            <w:r>
              <w:rPr/>
              <w:t>459</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Non-cash investment transactions were $446 and $499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pPr>
      <w:r>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Fair Value Measurements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90"/>
        <w:gridCol w:w="9640"/>
      </w:tblGrid>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i/>
                <w:sz w:val="20"/>
              </w:rPr>
            </w:pPr>
            <w:r>
              <w:rPr>
                <w:i/>
                <w:sz w:val="20"/>
              </w:rPr>
              <w:t>Level 1:</w:t>
            </w:r>
          </w:p>
        </w:tc>
        <w:tc>
          <w:tcPr>
            <w:tcW w:w="9640" w:type="dxa"/>
            <w:tcBorders/>
            <w:vAlign w:val="center"/>
          </w:tcPr>
          <w:p>
            <w:pPr>
              <w:pStyle w:val="TableContents"/>
              <w:bidi w:val="0"/>
              <w:spacing w:before="0" w:after="283"/>
              <w:jc w:val="left"/>
              <w:rPr>
                <w:sz w:val="20"/>
              </w:rPr>
            </w:pPr>
            <w:r>
              <w:rPr>
                <w:sz w:val="20"/>
              </w:rPr>
              <w:t>Unadjusted quoted prices in active markets that are accessible at the measurement date for identical, unrestricted assets or liabilities.</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sz w:val="20"/>
              </w:rPr>
            </w:pPr>
            <w:r>
              <w:rPr>
                <w:i/>
                <w:sz w:val="20"/>
              </w:rPr>
              <w:t>Level 2</w:t>
            </w:r>
            <w:r>
              <w:rPr>
                <w:sz w:val="20"/>
              </w:rPr>
              <w:t>:</w:t>
            </w:r>
          </w:p>
        </w:tc>
        <w:tc>
          <w:tcPr>
            <w:tcW w:w="9640" w:type="dxa"/>
            <w:tcBorders/>
            <w:vAlign w:val="center"/>
          </w:tcPr>
          <w:p>
            <w:pPr>
              <w:pStyle w:val="TableContents"/>
              <w:bidi w:val="0"/>
              <w:spacing w:before="0" w:after="283"/>
              <w:jc w:val="left"/>
              <w:rPr>
                <w:sz w:val="20"/>
              </w:rPr>
            </w:pPr>
            <w:r>
              <w:rPr>
                <w:sz w:val="20"/>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tc>
      </w:tr>
      <w:tr>
        <w:trPr/>
        <w:tc>
          <w:tcPr>
            <w:tcW w:w="75"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sz w:val="20"/>
              </w:rPr>
            </w:pPr>
            <w:r>
              <w:rPr>
                <w:i/>
                <w:sz w:val="20"/>
              </w:rPr>
              <w:t>Level 3</w:t>
            </w:r>
            <w:r>
              <w:rPr>
                <w:sz w:val="20"/>
              </w:rPr>
              <w:t>:</w:t>
            </w:r>
          </w:p>
        </w:tc>
        <w:tc>
          <w:tcPr>
            <w:tcW w:w="9640" w:type="dxa"/>
            <w:tcBorders/>
            <w:vAlign w:val="center"/>
          </w:tcPr>
          <w:p>
            <w:pPr>
              <w:pStyle w:val="TableContents"/>
              <w:bidi w:val="0"/>
              <w:spacing w:before="0" w:after="283"/>
              <w:jc w:val="left"/>
              <w:rPr>
                <w:sz w:val="20"/>
              </w:rPr>
            </w:pPr>
            <w:r>
              <w:rPr>
                <w:sz w:val="20"/>
              </w:rPr>
              <w:t>Prices or valuation techniques that require inputs that are both significant to the fair value measurement and unobservable (i.e., supported with little or no market activity).</w:t>
            </w:r>
          </w:p>
        </w:tc>
      </w:tr>
    </w:tbl>
    <w:p>
      <w:pPr>
        <w:pStyle w:val="TextBody"/>
        <w:bidi w:val="0"/>
        <w:spacing w:before="0" w:after="0"/>
        <w:ind w:left="1584" w:right="14" w:hanging="864"/>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independent pricing service be unable to provide a fair value estimate, we would first attempt to obtain a fair value estimate from a second independent pricing service.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estimates of our investments provided by the independent pricing service at each period-end were utilized, among other resources, in reaching a conclusion as to the fair value of our investments.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pPr>
      <w:r>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the reasonableness of the pricing provided by the independent pricing service by employing various analytical procedures. We also use information from a second independent pricing service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services. In its review, management did not identify any such discrepancies and no adjustments were made to the estimates provided by the independent pricing services for the six-month period ended June 30, 2026, or the year ended December 31, 2025. The classification within the fair value hierarchy is then confirmed based on the final conclusions from the pricing review.</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June 30, 2026, or December 31, 2025.</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assets which are measured on a recurring basis by the level within the fair value hierarchy in which fair value measurements fall:</w:t>
      </w:r>
    </w:p>
    <w:p>
      <w:pPr>
        <w:pStyle w:val="TextBody"/>
        <w:bidi w:val="0"/>
        <w:spacing w:before="0" w:after="0"/>
        <w:ind w:left="14" w:right="14"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8,340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8,340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127,544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127,544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298,374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298,374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 -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Money market accounts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18,950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Total assets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342,197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29,387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312,810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firstLine="705"/>
        <w:jc w:val="left"/>
        <w:rPr>
          <w:caps w:val="false"/>
          <w:smallCaps w:val="false"/>
        </w:rPr>
      </w:pPr>
      <w:r>
        <w:rPr>
          <w:caps w:val="false"/>
          <w:smallCaps w:val="false"/>
        </w:rPr>
        <w:t> </w:t>
      </w:r>
    </w:p>
    <w:p>
      <w:pPr>
        <w:pStyle w:val="TextBody"/>
        <w:bidi w:val="0"/>
        <w:spacing w:before="0" w:after="0"/>
        <w:ind w:left="15" w:right="15" w:firstLine="705"/>
        <w:jc w:val="left"/>
        <w:rPr>
          <w:caps w:val="false"/>
          <w:smallCaps w:val="false"/>
        </w:rPr>
      </w:pPr>
      <w:r>
        <w:rPr>
          <w:caps w:val="false"/>
          <w:smallCaps w:val="false"/>
        </w:rPr>
        <w:t> </w:t>
      </w:r>
    </w:p>
    <w:tbl>
      <w:tblPr>
        <w:tblW w:w="8349" w:type="dxa"/>
        <w:jc w:val="left"/>
        <w:tblInd w:w="0" w:type="dxa"/>
        <w:tblLayout w:type="fixed"/>
        <w:tblCellMar>
          <w:top w:w="0" w:type="dxa"/>
          <w:left w:w="0" w:type="dxa"/>
          <w:bottom w:w="0" w:type="dxa"/>
          <w:right w:w="0" w:type="dxa"/>
        </w:tblCellMar>
      </w:tblPr>
      <w:tblGrid>
        <w:gridCol w:w="4400"/>
        <w:gridCol w:w="60"/>
        <w:gridCol w:w="140"/>
        <w:gridCol w:w="800"/>
        <w:gridCol w:w="60"/>
        <w:gridCol w:w="60"/>
        <w:gridCol w:w="140"/>
        <w:gridCol w:w="680"/>
        <w:gridCol w:w="60"/>
        <w:gridCol w:w="60"/>
        <w:gridCol w:w="140"/>
        <w:gridCol w:w="800"/>
        <w:gridCol w:w="60"/>
        <w:gridCol w:w="60"/>
        <w:gridCol w:w="263"/>
        <w:gridCol w:w="491"/>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U.S. Government and agencies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Obligations of states and political subdivisions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Corporate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123,805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Residential mortgage-backed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Commercial mortgage-backed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Asset-backed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Redeemable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Total fixed income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301,393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400" w:type="dxa"/>
            <w:tcBorders/>
            <w:shd w:fill="CCEEFF" w:val="clear"/>
            <w:vAlign w:val="center"/>
          </w:tcPr>
          <w:p>
            <w:pPr>
              <w:pStyle w:val="TableContents"/>
              <w:bidi w:val="0"/>
              <w:spacing w:before="0" w:after="283"/>
              <w:jc w:val="left"/>
              <w:rPr/>
            </w:pPr>
            <w:r>
              <w:rPr/>
              <w:t>Equity Securities -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Money market accounts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Total assets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335,509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34,116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301,393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liabilities measured at fair value on a recurring basis at June 30, 2026, or December 31, 2025.</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pPr>
      <w:r>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Reinsurance</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External Reinsurance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six-month period ended June 30, 2026, the Company maintained property catastrophe reinsurance protection covering $123,000 in excess of a $20,000 retention. Our per risk excess of loss treaty provides coverage of $3,900 in excess of $1,100 for property risks and $11,000 in excess of $1,000 for casualty risks. Additionally, a property per-risk facultative contract is in place to provide coverage up to $35,000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Federal Crop Insurance Corporation (“FCIC”).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maintained property catastrophe reinsurance protection covering $117,000 in excess of a $20,000 retention. Our per risk excess of loss treaty provides coverage of $4,000 in excess of $1,000 for property risks and $11,000 in excess of $1,000 for casualty risks.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monitors and evaluates the financial condition of the reinsurers and develops estimates of the uncollectible amounts due from reinsurers, which would be recognized as credit losses through an allowance account developed using the current expected credit losses (“CECL”) model.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the state of reinsurer relations in general, and other relevant factors. Collection risk is mitigated by entering into reinsurance arrangements only with reinsurers that have strong credit ratings and statutory surplus above certain levels. At June 30, 2026, and December 31, 2025, management has concluded that it is not necessary to record an allowance for expected credit losses related to reinsurance recoverables. All of our significant reinsurance partners are rated “A-” (Excellent) or better by AM Best or “A+” or better by Standard &amp; Poor’s, and there is no history of write-offs.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pPr>
      <w:r>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premiums on both a written and an earned basis is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1"/>
        <w:gridCol w:w="60"/>
        <w:gridCol w:w="282"/>
        <w:gridCol w:w="1608"/>
        <w:gridCol w:w="179"/>
        <w:gridCol w:w="112"/>
        <w:gridCol w:w="318"/>
        <w:gridCol w:w="1542"/>
        <w:gridCol w:w="95"/>
        <w:gridCol w:w="60"/>
        <w:gridCol w:w="282"/>
        <w:gridCol w:w="1608"/>
        <w:gridCol w:w="172"/>
        <w:gridCol w:w="108"/>
        <w:gridCol w:w="292"/>
        <w:gridCol w:w="1569"/>
        <w:gridCol w:w="117"/>
      </w:tblGrid>
      <w:tr>
        <w:trPr/>
        <w:tc>
          <w:tcPr>
            <w:tcW w:w="18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17" w:type="dxa"/>
            <w:tcBorders/>
            <w:vAlign w:val="center"/>
          </w:tcPr>
          <w:p>
            <w:pPr>
              <w:pStyle w:val="TableContents"/>
              <w:bidi w:val="0"/>
              <w:spacing w:before="0" w:after="283"/>
              <w:jc w:val="left"/>
              <w:rPr/>
            </w:pPr>
            <w:r>
              <w:rPr/>
              <w:t> </w:t>
            </w:r>
          </w:p>
        </w:tc>
      </w:tr>
      <w:tr>
        <w:trPr/>
        <w:tc>
          <w:tcPr>
            <w:tcW w:w="18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7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7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17" w:type="dxa"/>
            <w:tcBorders/>
            <w:vAlign w:val="center"/>
          </w:tcPr>
          <w:p>
            <w:pPr>
              <w:pStyle w:val="TableContents"/>
              <w:bidi w:val="0"/>
              <w:spacing w:before="0" w:after="283"/>
              <w:jc w:val="left"/>
              <w:rPr/>
            </w:pPr>
            <w:r>
              <w:rPr/>
              <w:t> </w:t>
            </w:r>
          </w:p>
        </w:tc>
      </w:tr>
      <w:tr>
        <w:trPr/>
        <w:tc>
          <w:tcPr>
            <w:tcW w:w="1801" w:type="dxa"/>
            <w:tcBorders/>
            <w:shd w:fill="CCEEFF" w:val="clear"/>
            <w:vAlign w:val="center"/>
          </w:tcPr>
          <w:p>
            <w:pPr>
              <w:pStyle w:val="TableContents"/>
              <w:bidi w:val="0"/>
              <w:spacing w:before="0" w:after="283"/>
              <w:jc w:val="left"/>
              <w:rPr/>
            </w:pPr>
            <w:r>
              <w:rPr/>
              <w:t>Direct premium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608" w:type="dxa"/>
            <w:tcBorders/>
            <w:shd w:fill="CCEEFF" w:val="clear"/>
            <w:vAlign w:val="center"/>
          </w:tcPr>
          <w:p>
            <w:pPr>
              <w:pStyle w:val="TableContents"/>
              <w:bidi w:val="0"/>
              <w:spacing w:before="0" w:after="283"/>
              <w:jc w:val="right"/>
              <w:rPr/>
            </w:pPr>
            <w:r>
              <w:rPr/>
              <w:t>103,013</w:t>
            </w:r>
          </w:p>
        </w:tc>
        <w:tc>
          <w:tcPr>
            <w:tcW w:w="17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542" w:type="dxa"/>
            <w:tcBorders/>
            <w:shd w:fill="CCEEFF" w:val="clear"/>
            <w:vAlign w:val="center"/>
          </w:tcPr>
          <w:p>
            <w:pPr>
              <w:pStyle w:val="TableContents"/>
              <w:bidi w:val="0"/>
              <w:spacing w:before="0" w:after="283"/>
              <w:jc w:val="right"/>
              <w:rPr/>
            </w:pPr>
            <w:r>
              <w:rPr/>
              <w:t>71,104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608" w:type="dxa"/>
            <w:tcBorders/>
            <w:shd w:fill="CCEEFF" w:val="clear"/>
            <w:vAlign w:val="center"/>
          </w:tcPr>
          <w:p>
            <w:pPr>
              <w:pStyle w:val="TableContents"/>
              <w:bidi w:val="0"/>
              <w:spacing w:before="0" w:after="283"/>
              <w:jc w:val="right"/>
              <w:rPr/>
            </w:pPr>
            <w:r>
              <w:rPr/>
              <w:t>109,519</w:t>
            </w:r>
          </w:p>
        </w:tc>
        <w:tc>
          <w:tcPr>
            <w:tcW w:w="17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569" w:type="dxa"/>
            <w:tcBorders/>
            <w:shd w:fill="CCEEFF" w:val="clear"/>
            <w:vAlign w:val="center"/>
          </w:tcPr>
          <w:p>
            <w:pPr>
              <w:pStyle w:val="TableContents"/>
              <w:bidi w:val="0"/>
              <w:spacing w:before="0" w:after="283"/>
              <w:jc w:val="right"/>
              <w:rPr/>
            </w:pPr>
            <w:r>
              <w:rPr/>
              <w:t>82,542</w:t>
            </w:r>
          </w:p>
        </w:tc>
        <w:tc>
          <w:tcPr>
            <w:tcW w:w="117" w:type="dxa"/>
            <w:tcBorders/>
            <w:shd w:fill="CCEEFF"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pPr>
            <w:r>
              <w:rPr/>
              <w:t>Assumed premium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4,178</w:t>
            </w:r>
          </w:p>
        </w:tc>
        <w:tc>
          <w:tcPr>
            <w:tcW w:w="17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2,619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t>2,309</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569" w:type="dxa"/>
            <w:tcBorders/>
            <w:shd w:fill="FFFFFF" w:val="clear"/>
            <w:vAlign w:val="center"/>
          </w:tcPr>
          <w:p>
            <w:pPr>
              <w:pStyle w:val="TableContents"/>
              <w:bidi w:val="0"/>
              <w:spacing w:before="0" w:after="283"/>
              <w:jc w:val="right"/>
              <w:rPr/>
            </w:pPr>
            <w:r>
              <w:rPr/>
              <w:t>696</w:t>
            </w:r>
          </w:p>
        </w:tc>
        <w:tc>
          <w:tcPr>
            <w:tcW w:w="117" w:type="dxa"/>
            <w:tcBorders/>
            <w:shd w:fill="FFFFFF" w:val="clear"/>
            <w:vAlign w:val="center"/>
          </w:tcPr>
          <w:p>
            <w:pPr>
              <w:pStyle w:val="TableContents"/>
              <w:bidi w:val="0"/>
              <w:spacing w:before="0" w:after="283"/>
              <w:jc w:val="left"/>
              <w:rPr/>
            </w:pPr>
            <w:r>
              <w:rPr/>
              <w:t> </w:t>
            </w:r>
          </w:p>
        </w:tc>
      </w:tr>
      <w:tr>
        <w:trPr/>
        <w:tc>
          <w:tcPr>
            <w:tcW w:w="1801" w:type="dxa"/>
            <w:tcBorders/>
            <w:shd w:fill="CCEEFF" w:val="clear"/>
            <w:vAlign w:val="center"/>
          </w:tcPr>
          <w:p>
            <w:pPr>
              <w:pStyle w:val="TableContents"/>
              <w:bidi w:val="0"/>
              <w:spacing w:before="0" w:after="283"/>
              <w:jc w:val="left"/>
              <w:rPr/>
            </w:pPr>
            <w:r>
              <w:rPr/>
              <w:t>Ceded premium</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8" w:type="dxa"/>
            <w:tcBorders>
              <w:bottom w:val="single" w:sz="8" w:space="0" w:color="000000"/>
            </w:tcBorders>
            <w:shd w:fill="CCEEFF" w:val="clear"/>
            <w:tcMar>
              <w:bottom w:w="28" w:type="dxa"/>
            </w:tcMar>
            <w:vAlign w:val="center"/>
          </w:tcPr>
          <w:p>
            <w:pPr>
              <w:pStyle w:val="TableContents"/>
              <w:bidi w:val="0"/>
              <w:spacing w:before="0" w:after="283"/>
              <w:jc w:val="right"/>
              <w:rPr/>
            </w:pPr>
            <w:r>
              <w:rPr/>
              <w:t>(13,386</w:t>
            </w:r>
          </w:p>
        </w:tc>
        <w:tc>
          <w:tcPr>
            <w:tcW w:w="179"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pPr>
            <w:r>
              <w:rPr/>
              <w:t>(8,706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08" w:type="dxa"/>
            <w:tcBorders>
              <w:bottom w:val="single" w:sz="8" w:space="0" w:color="000000"/>
            </w:tcBorders>
            <w:shd w:fill="CCEEFF" w:val="clear"/>
            <w:tcMar>
              <w:bottom w:w="28" w:type="dxa"/>
            </w:tcMar>
            <w:vAlign w:val="center"/>
          </w:tcPr>
          <w:p>
            <w:pPr>
              <w:pStyle w:val="TableContents"/>
              <w:bidi w:val="0"/>
              <w:spacing w:before="0" w:after="283"/>
              <w:jc w:val="right"/>
              <w:rPr/>
            </w:pPr>
            <w:r>
              <w:rPr/>
              <w:t>(18,518</w:t>
            </w:r>
          </w:p>
        </w:tc>
        <w:tc>
          <w:tcPr>
            <w:tcW w:w="172"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9" w:type="dxa"/>
            <w:tcBorders>
              <w:bottom w:val="single" w:sz="8" w:space="0" w:color="000000"/>
            </w:tcBorders>
            <w:shd w:fill="CCEEFF" w:val="clear"/>
            <w:tcMar>
              <w:bottom w:w="28" w:type="dxa"/>
            </w:tcMar>
            <w:vAlign w:val="center"/>
          </w:tcPr>
          <w:p>
            <w:pPr>
              <w:pStyle w:val="TableContents"/>
              <w:bidi w:val="0"/>
              <w:spacing w:before="0" w:after="283"/>
              <w:jc w:val="right"/>
              <w:rPr/>
            </w:pPr>
            <w:r>
              <w:rPr/>
              <w:t>(10,233</w:t>
            </w:r>
          </w:p>
        </w:tc>
        <w:tc>
          <w:tcPr>
            <w:tcW w:w="117" w:type="dxa"/>
            <w:tcBorders/>
            <w:shd w:fill="CCEEFF" w:val="clear"/>
            <w:vAlign w:val="center"/>
          </w:tcPr>
          <w:p>
            <w:pPr>
              <w:pStyle w:val="TableContents"/>
              <w:bidi w:val="0"/>
              <w:spacing w:before="0" w:after="283"/>
              <w:jc w:val="left"/>
              <w:rPr/>
            </w:pPr>
            <w:r>
              <w:rPr/>
              <w:t>)</w:t>
            </w:r>
          </w:p>
        </w:tc>
      </w:tr>
      <w:tr>
        <w:trPr/>
        <w:tc>
          <w:tcPr>
            <w:tcW w:w="1801" w:type="dxa"/>
            <w:tcBorders/>
            <w:shd w:fill="FFFFFF" w:val="clear"/>
            <w:vAlign w:val="center"/>
          </w:tcPr>
          <w:p>
            <w:pPr>
              <w:pStyle w:val="TableContents"/>
              <w:bidi w:val="0"/>
              <w:spacing w:before="0" w:after="283"/>
              <w:jc w:val="left"/>
              <w:rPr/>
            </w:pPr>
            <w:r>
              <w:rPr/>
              <w:t>Net premiums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08" w:type="dxa"/>
            <w:tcBorders>
              <w:bottom w:val="double" w:sz="6" w:space="0" w:color="000000"/>
            </w:tcBorders>
            <w:shd w:fill="FFFFFF" w:val="clear"/>
            <w:tcMar>
              <w:bottom w:w="28" w:type="dxa"/>
            </w:tcMar>
            <w:vAlign w:val="center"/>
          </w:tcPr>
          <w:p>
            <w:pPr>
              <w:pStyle w:val="TableContents"/>
              <w:bidi w:val="0"/>
              <w:spacing w:before="0" w:after="283"/>
              <w:jc w:val="right"/>
              <w:rPr/>
            </w:pPr>
            <w:r>
              <w:rPr/>
              <w:t>93,805</w:t>
            </w:r>
          </w:p>
        </w:tc>
        <w:tc>
          <w:tcPr>
            <w:tcW w:w="17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2" w:type="dxa"/>
            <w:tcBorders>
              <w:bottom w:val="double" w:sz="6" w:space="0" w:color="000000"/>
            </w:tcBorders>
            <w:shd w:fill="FFFFFF" w:val="clear"/>
            <w:tcMar>
              <w:bottom w:w="28" w:type="dxa"/>
            </w:tcMar>
            <w:vAlign w:val="center"/>
          </w:tcPr>
          <w:p>
            <w:pPr>
              <w:pStyle w:val="TableContents"/>
              <w:bidi w:val="0"/>
              <w:spacing w:before="0" w:after="283"/>
              <w:jc w:val="right"/>
              <w:rPr/>
            </w:pPr>
            <w:r>
              <w:rPr/>
              <w:t>65,017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08" w:type="dxa"/>
            <w:tcBorders>
              <w:bottom w:val="double" w:sz="6" w:space="0" w:color="000000"/>
            </w:tcBorders>
            <w:shd w:fill="FFFFFF" w:val="clear"/>
            <w:tcMar>
              <w:bottom w:w="28" w:type="dxa"/>
            </w:tcMar>
            <w:vAlign w:val="center"/>
          </w:tcPr>
          <w:p>
            <w:pPr>
              <w:pStyle w:val="TableContents"/>
              <w:bidi w:val="0"/>
              <w:spacing w:before="0" w:after="283"/>
              <w:jc w:val="right"/>
              <w:rPr/>
            </w:pPr>
            <w:r>
              <w:rPr/>
              <w:t>93,310</w:t>
            </w:r>
          </w:p>
        </w:tc>
        <w:tc>
          <w:tcPr>
            <w:tcW w:w="172"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9" w:type="dxa"/>
            <w:tcBorders>
              <w:bottom w:val="double" w:sz="6" w:space="0" w:color="000000"/>
            </w:tcBorders>
            <w:shd w:fill="FFFFFF" w:val="clear"/>
            <w:tcMar>
              <w:bottom w:w="28" w:type="dxa"/>
            </w:tcMar>
            <w:vAlign w:val="center"/>
          </w:tcPr>
          <w:p>
            <w:pPr>
              <w:pStyle w:val="TableContents"/>
              <w:bidi w:val="0"/>
              <w:spacing w:before="0" w:after="283"/>
              <w:jc w:val="right"/>
              <w:rPr/>
            </w:pPr>
            <w:r>
              <w:rPr/>
              <w:t>73,005</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4"/>
        <w:gridCol w:w="60"/>
        <w:gridCol w:w="283"/>
        <w:gridCol w:w="1619"/>
        <w:gridCol w:w="156"/>
        <w:gridCol w:w="98"/>
        <w:gridCol w:w="278"/>
        <w:gridCol w:w="1595"/>
        <w:gridCol w:w="95"/>
        <w:gridCol w:w="60"/>
        <w:gridCol w:w="283"/>
        <w:gridCol w:w="1619"/>
        <w:gridCol w:w="156"/>
        <w:gridCol w:w="98"/>
        <w:gridCol w:w="278"/>
        <w:gridCol w:w="1595"/>
        <w:gridCol w:w="118"/>
      </w:tblGrid>
      <w:tr>
        <w:trPr/>
        <w:tc>
          <w:tcPr>
            <w:tcW w:w="1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8"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Written</w:t>
            </w:r>
          </w:p>
        </w:tc>
        <w:tc>
          <w:tcPr>
            <w:tcW w:w="156"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Earned</w:t>
            </w:r>
          </w:p>
        </w:tc>
        <w:tc>
          <w:tcPr>
            <w:tcW w:w="118" w:type="dxa"/>
            <w:tcBorders/>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pPr>
            <w:r>
              <w:rPr/>
              <w:t>Direct premium</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619" w:type="dxa"/>
            <w:tcBorders/>
            <w:shd w:fill="CCEEFF" w:val="clear"/>
            <w:vAlign w:val="center"/>
          </w:tcPr>
          <w:p>
            <w:pPr>
              <w:pStyle w:val="TableContents"/>
              <w:bidi w:val="0"/>
              <w:spacing w:before="0" w:after="283"/>
              <w:jc w:val="right"/>
              <w:rPr/>
            </w:pPr>
            <w:r>
              <w:rPr/>
              <w:t>158,542</w:t>
            </w:r>
          </w:p>
        </w:tc>
        <w:tc>
          <w:tcPr>
            <w:tcW w:w="15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595" w:type="dxa"/>
            <w:tcBorders/>
            <w:shd w:fill="CCEEFF" w:val="clear"/>
            <w:vAlign w:val="center"/>
          </w:tcPr>
          <w:p>
            <w:pPr>
              <w:pStyle w:val="TableContents"/>
              <w:bidi w:val="0"/>
              <w:spacing w:before="0" w:after="283"/>
              <w:jc w:val="right"/>
              <w:rPr/>
            </w:pPr>
            <w:r>
              <w:rPr/>
              <w:t>129,495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619" w:type="dxa"/>
            <w:tcBorders/>
            <w:shd w:fill="CCEEFF" w:val="clear"/>
            <w:vAlign w:val="center"/>
          </w:tcPr>
          <w:p>
            <w:pPr>
              <w:pStyle w:val="TableContents"/>
              <w:bidi w:val="0"/>
              <w:spacing w:before="0" w:after="283"/>
              <w:jc w:val="right"/>
              <w:rPr/>
            </w:pPr>
            <w:r>
              <w:rPr/>
              <w:t>177,247</w:t>
            </w:r>
          </w:p>
        </w:tc>
        <w:tc>
          <w:tcPr>
            <w:tcW w:w="15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595" w:type="dxa"/>
            <w:tcBorders/>
            <w:shd w:fill="CCEEFF" w:val="clear"/>
            <w:vAlign w:val="center"/>
          </w:tcPr>
          <w:p>
            <w:pPr>
              <w:pStyle w:val="TableContents"/>
              <w:bidi w:val="0"/>
              <w:spacing w:before="0" w:after="283"/>
              <w:jc w:val="right"/>
              <w:rPr/>
            </w:pPr>
            <w:r>
              <w:rPr/>
              <w:t>154,704</w:t>
            </w:r>
          </w:p>
        </w:tc>
        <w:tc>
          <w:tcPr>
            <w:tcW w:w="118" w:type="dxa"/>
            <w:tcBorders/>
            <w:shd w:fill="CCEEFF" w:val="clear"/>
            <w:vAlign w:val="center"/>
          </w:tcPr>
          <w:p>
            <w:pPr>
              <w:pStyle w:val="TableContents"/>
              <w:bidi w:val="0"/>
              <w:spacing w:before="0" w:after="283"/>
              <w:jc w:val="left"/>
              <w:rPr/>
            </w:pPr>
            <w:r>
              <w:rPr/>
              <w:t> </w:t>
            </w:r>
          </w:p>
        </w:tc>
      </w:tr>
      <w:tr>
        <w:trPr/>
        <w:tc>
          <w:tcPr>
            <w:tcW w:w="1814" w:type="dxa"/>
            <w:tcBorders/>
            <w:shd w:fill="FFFFFF" w:val="clear"/>
            <w:vAlign w:val="center"/>
          </w:tcPr>
          <w:p>
            <w:pPr>
              <w:pStyle w:val="TableContents"/>
              <w:bidi w:val="0"/>
              <w:spacing w:before="0" w:after="283"/>
              <w:jc w:val="left"/>
              <w:rPr/>
            </w:pPr>
            <w:r>
              <w:rPr/>
              <w:t>Assumed premium</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pPr>
            <w:r>
              <w:rPr/>
              <w:t>6,161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4,602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619" w:type="dxa"/>
            <w:tcBorders/>
            <w:shd w:fill="FFFFFF" w:val="clear"/>
            <w:vAlign w:val="center"/>
          </w:tcPr>
          <w:p>
            <w:pPr>
              <w:pStyle w:val="TableContents"/>
              <w:bidi w:val="0"/>
              <w:spacing w:before="0" w:after="283"/>
              <w:jc w:val="right"/>
              <w:rPr/>
            </w:pPr>
            <w:r>
              <w:rPr/>
              <w:t>2,347</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735</w:t>
            </w:r>
          </w:p>
        </w:tc>
        <w:tc>
          <w:tcPr>
            <w:tcW w:w="118" w:type="dxa"/>
            <w:tcBorders/>
            <w:shd w:fill="FFFFFF" w:val="clear"/>
            <w:vAlign w:val="center"/>
          </w:tcPr>
          <w:p>
            <w:pPr>
              <w:pStyle w:val="TableContents"/>
              <w:bidi w:val="0"/>
              <w:spacing w:before="0" w:after="283"/>
              <w:jc w:val="left"/>
              <w:rPr/>
            </w:pPr>
            <w:r>
              <w:rPr/>
              <w:t> </w:t>
            </w:r>
          </w:p>
        </w:tc>
      </w:tr>
      <w:tr>
        <w:trPr/>
        <w:tc>
          <w:tcPr>
            <w:tcW w:w="1814" w:type="dxa"/>
            <w:tcBorders/>
            <w:shd w:fill="CCEEFF" w:val="clear"/>
            <w:vAlign w:val="center"/>
          </w:tcPr>
          <w:p>
            <w:pPr>
              <w:pStyle w:val="TableContents"/>
              <w:bidi w:val="0"/>
              <w:spacing w:before="0" w:after="283"/>
              <w:jc w:val="left"/>
              <w:rPr/>
            </w:pPr>
            <w:r>
              <w:rPr/>
              <w:t>Ceded premium</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CCEEFF" w:val="clear"/>
            <w:tcMar>
              <w:bottom w:w="28" w:type="dxa"/>
            </w:tcMar>
            <w:vAlign w:val="center"/>
          </w:tcPr>
          <w:p>
            <w:pPr>
              <w:pStyle w:val="TableContents"/>
              <w:bidi w:val="0"/>
              <w:spacing w:before="0" w:after="283"/>
              <w:jc w:val="right"/>
              <w:rPr/>
            </w:pPr>
            <w:r>
              <w:rPr/>
              <w:t>(18,647</w:t>
            </w:r>
          </w:p>
        </w:tc>
        <w:tc>
          <w:tcPr>
            <w:tcW w:w="15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single" w:sz="8" w:space="0" w:color="000000"/>
            </w:tcBorders>
            <w:shd w:fill="CCEEFF" w:val="clear"/>
            <w:tcMar>
              <w:bottom w:w="28" w:type="dxa"/>
            </w:tcMar>
            <w:vAlign w:val="center"/>
          </w:tcPr>
          <w:p>
            <w:pPr>
              <w:pStyle w:val="TableContents"/>
              <w:bidi w:val="0"/>
              <w:spacing w:before="0" w:after="283"/>
              <w:jc w:val="right"/>
              <w:rPr/>
            </w:pPr>
            <w:r>
              <w:rPr/>
              <w:t>(13,967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9" w:type="dxa"/>
            <w:tcBorders>
              <w:bottom w:val="single" w:sz="8" w:space="0" w:color="000000"/>
            </w:tcBorders>
            <w:shd w:fill="CCEEFF" w:val="clear"/>
            <w:tcMar>
              <w:bottom w:w="28" w:type="dxa"/>
            </w:tcMar>
            <w:vAlign w:val="center"/>
          </w:tcPr>
          <w:p>
            <w:pPr>
              <w:pStyle w:val="TableContents"/>
              <w:bidi w:val="0"/>
              <w:spacing w:before="0" w:after="283"/>
              <w:jc w:val="right"/>
              <w:rPr/>
            </w:pPr>
            <w:r>
              <w:rPr/>
              <w:t>(23,222</w:t>
            </w:r>
          </w:p>
        </w:tc>
        <w:tc>
          <w:tcPr>
            <w:tcW w:w="156"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single" w:sz="8" w:space="0" w:color="000000"/>
            </w:tcBorders>
            <w:shd w:fill="CCEEFF" w:val="clear"/>
            <w:tcMar>
              <w:bottom w:w="28" w:type="dxa"/>
            </w:tcMar>
            <w:vAlign w:val="center"/>
          </w:tcPr>
          <w:p>
            <w:pPr>
              <w:pStyle w:val="TableContents"/>
              <w:bidi w:val="0"/>
              <w:spacing w:before="0" w:after="283"/>
              <w:jc w:val="right"/>
              <w:rPr/>
            </w:pPr>
            <w:r>
              <w:rPr/>
              <w:t>(14,937</w:t>
            </w:r>
          </w:p>
        </w:tc>
        <w:tc>
          <w:tcPr>
            <w:tcW w:w="118" w:type="dxa"/>
            <w:tcBorders/>
            <w:shd w:fill="CCEEFF" w:val="clear"/>
            <w:vAlign w:val="center"/>
          </w:tcPr>
          <w:p>
            <w:pPr>
              <w:pStyle w:val="TableContents"/>
              <w:bidi w:val="0"/>
              <w:spacing w:before="0" w:after="283"/>
              <w:jc w:val="left"/>
              <w:rPr/>
            </w:pPr>
            <w:r>
              <w:rPr/>
              <w:t>)</w:t>
            </w:r>
          </w:p>
        </w:tc>
      </w:tr>
      <w:tr>
        <w:trPr/>
        <w:tc>
          <w:tcPr>
            <w:tcW w:w="1814" w:type="dxa"/>
            <w:tcBorders/>
            <w:shd w:fill="FFFFFF" w:val="clear"/>
            <w:vAlign w:val="center"/>
          </w:tcPr>
          <w:p>
            <w:pPr>
              <w:pStyle w:val="TableContents"/>
              <w:bidi w:val="0"/>
              <w:spacing w:before="0" w:after="283"/>
              <w:jc w:val="left"/>
              <w:rPr/>
            </w:pPr>
            <w:r>
              <w:rPr/>
              <w:t>Net premiums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9" w:type="dxa"/>
            <w:tcBorders>
              <w:bottom w:val="double" w:sz="6" w:space="0" w:color="000000"/>
            </w:tcBorders>
            <w:shd w:fill="FFFFFF" w:val="clear"/>
            <w:tcMar>
              <w:bottom w:w="28" w:type="dxa"/>
            </w:tcMar>
            <w:vAlign w:val="center"/>
          </w:tcPr>
          <w:p>
            <w:pPr>
              <w:pStyle w:val="TableContents"/>
              <w:bidi w:val="0"/>
              <w:spacing w:before="0" w:after="283"/>
              <w:jc w:val="right"/>
              <w:rPr/>
            </w:pPr>
            <w:r>
              <w:rPr/>
              <w:t>146,056</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95" w:type="dxa"/>
            <w:tcBorders>
              <w:bottom w:val="double" w:sz="6" w:space="0" w:color="000000"/>
            </w:tcBorders>
            <w:shd w:fill="FFFFFF" w:val="clear"/>
            <w:tcMar>
              <w:bottom w:w="28" w:type="dxa"/>
            </w:tcMar>
            <w:vAlign w:val="center"/>
          </w:tcPr>
          <w:p>
            <w:pPr>
              <w:pStyle w:val="TableContents"/>
              <w:bidi w:val="0"/>
              <w:spacing w:before="0" w:after="283"/>
              <w:jc w:val="right"/>
              <w:rPr/>
            </w:pPr>
            <w:r>
              <w:rPr/>
              <w:t>120,130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19" w:type="dxa"/>
            <w:tcBorders>
              <w:bottom w:val="double" w:sz="6" w:space="0" w:color="000000"/>
            </w:tcBorders>
            <w:shd w:fill="FFFFFF" w:val="clear"/>
            <w:tcMar>
              <w:bottom w:w="28" w:type="dxa"/>
            </w:tcMar>
            <w:vAlign w:val="center"/>
          </w:tcPr>
          <w:p>
            <w:pPr>
              <w:pStyle w:val="TableContents"/>
              <w:bidi w:val="0"/>
              <w:spacing w:before="0" w:after="283"/>
              <w:jc w:val="right"/>
              <w:rPr/>
            </w:pPr>
            <w:r>
              <w:rPr/>
              <w:t>156,372</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95" w:type="dxa"/>
            <w:tcBorders>
              <w:bottom w:val="double" w:sz="6" w:space="0" w:color="000000"/>
            </w:tcBorders>
            <w:shd w:fill="FFFFFF" w:val="clear"/>
            <w:tcMar>
              <w:bottom w:w="28" w:type="dxa"/>
            </w:tcMar>
            <w:vAlign w:val="center"/>
          </w:tcPr>
          <w:p>
            <w:pPr>
              <w:pStyle w:val="TableContents"/>
              <w:bidi w:val="0"/>
              <w:spacing w:before="0" w:after="283"/>
              <w:jc w:val="right"/>
              <w:rPr/>
            </w:pPr>
            <w:r>
              <w:rPr/>
              <w:t>140,502</w:t>
            </w:r>
          </w:p>
        </w:tc>
        <w:tc>
          <w:tcPr>
            <w:tcW w:w="11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direct to net losses and loss adjustment expenses is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9"/>
        <w:gridCol w:w="60"/>
        <w:gridCol w:w="221"/>
        <w:gridCol w:w="1075"/>
        <w:gridCol w:w="150"/>
        <w:gridCol w:w="94"/>
        <w:gridCol w:w="221"/>
        <w:gridCol w:w="1265"/>
        <w:gridCol w:w="95"/>
        <w:gridCol w:w="60"/>
        <w:gridCol w:w="200"/>
        <w:gridCol w:w="977"/>
        <w:gridCol w:w="136"/>
        <w:gridCol w:w="85"/>
        <w:gridCol w:w="200"/>
        <w:gridCol w:w="1150"/>
        <w:gridCol w:w="117"/>
      </w:tblGrid>
      <w:tr>
        <w:trPr/>
        <w:tc>
          <w:tcPr>
            <w:tcW w:w="4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7" w:type="dxa"/>
            <w:tcBorders/>
            <w:vAlign w:val="center"/>
          </w:tcPr>
          <w:p>
            <w:pPr>
              <w:pStyle w:val="TableContents"/>
              <w:bidi w:val="0"/>
              <w:spacing w:before="0" w:after="283"/>
              <w:jc w:val="left"/>
              <w:rPr/>
            </w:pPr>
            <w:r>
              <w:rPr/>
              <w:t> </w:t>
            </w:r>
          </w:p>
        </w:tc>
      </w:tr>
      <w:tr>
        <w:trPr/>
        <w:tc>
          <w:tcPr>
            <w:tcW w:w="4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r>
      <w:tr>
        <w:trPr/>
        <w:tc>
          <w:tcPr>
            <w:tcW w:w="4099" w:type="dxa"/>
            <w:tcBorders/>
            <w:shd w:fill="CCEEFF" w:val="clear"/>
            <w:vAlign w:val="center"/>
          </w:tcPr>
          <w:p>
            <w:pPr>
              <w:pStyle w:val="TableContents"/>
              <w:bidi w:val="0"/>
              <w:spacing w:before="0" w:after="283"/>
              <w:jc w:val="left"/>
              <w:rPr/>
            </w:pPr>
            <w:r>
              <w:rPr/>
              <w:t>Direct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49,836</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109,382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73,905</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149,761</w:t>
            </w:r>
          </w:p>
        </w:tc>
        <w:tc>
          <w:tcPr>
            <w:tcW w:w="117" w:type="dxa"/>
            <w:tcBorders/>
            <w:shd w:fill="CCEEFF" w:val="clear"/>
            <w:vAlign w:val="center"/>
          </w:tcPr>
          <w:p>
            <w:pPr>
              <w:pStyle w:val="TableContents"/>
              <w:bidi w:val="0"/>
              <w:spacing w:before="0" w:after="283"/>
              <w:jc w:val="left"/>
              <w:rPr/>
            </w:pPr>
            <w:r>
              <w:rPr/>
              <w:t> </w:t>
            </w:r>
          </w:p>
        </w:tc>
      </w:tr>
      <w:tr>
        <w:trPr/>
        <w:tc>
          <w:tcPr>
            <w:tcW w:w="4099" w:type="dxa"/>
            <w:tcBorders/>
            <w:shd w:fill="FFFFFF" w:val="clear"/>
            <w:vAlign w:val="center"/>
          </w:tcPr>
          <w:p>
            <w:pPr>
              <w:pStyle w:val="TableContents"/>
              <w:bidi w:val="0"/>
              <w:spacing w:before="0" w:after="283"/>
              <w:jc w:val="left"/>
              <w:rPr/>
            </w:pPr>
            <w:r>
              <w:rPr/>
              <w:t>Assumed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2,388</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2,509</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51</w:t>
            </w:r>
          </w:p>
        </w:tc>
        <w:tc>
          <w:tcPr>
            <w:tcW w:w="117" w:type="dxa"/>
            <w:tcBorders/>
            <w:shd w:fill="FFFFFF" w:val="clear"/>
            <w:vAlign w:val="center"/>
          </w:tcPr>
          <w:p>
            <w:pPr>
              <w:pStyle w:val="TableContents"/>
              <w:bidi w:val="0"/>
              <w:spacing w:before="0" w:after="283"/>
              <w:jc w:val="left"/>
              <w:rPr/>
            </w:pPr>
            <w:r>
              <w:rPr/>
              <w:t> </w:t>
            </w:r>
          </w:p>
        </w:tc>
      </w:tr>
      <w:tr>
        <w:trPr/>
        <w:tc>
          <w:tcPr>
            <w:tcW w:w="4099" w:type="dxa"/>
            <w:tcBorders/>
            <w:shd w:fill="CCEEFF" w:val="clear"/>
            <w:vAlign w:val="center"/>
          </w:tcPr>
          <w:p>
            <w:pPr>
              <w:pStyle w:val="TableContents"/>
              <w:bidi w:val="0"/>
              <w:spacing w:before="0" w:after="283"/>
              <w:jc w:val="left"/>
              <w:rPr/>
            </w:pPr>
            <w:r>
              <w:rPr/>
              <w:t>Ceded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shd w:fill="CCEEFF" w:val="clear"/>
            <w:tcMar>
              <w:bottom w:w="28" w:type="dxa"/>
            </w:tcMar>
            <w:vAlign w:val="center"/>
          </w:tcPr>
          <w:p>
            <w:pPr>
              <w:pStyle w:val="TableContents"/>
              <w:bidi w:val="0"/>
              <w:spacing w:before="0" w:after="283"/>
              <w:jc w:val="right"/>
              <w:rPr/>
            </w:pPr>
            <w:r>
              <w:rPr/>
              <w:t>(3,807</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(43,059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CCEEFF" w:val="clear"/>
            <w:tcMar>
              <w:bottom w:w="28" w:type="dxa"/>
            </w:tcMar>
            <w:vAlign w:val="center"/>
          </w:tcPr>
          <w:p>
            <w:pPr>
              <w:pStyle w:val="TableContents"/>
              <w:bidi w:val="0"/>
              <w:spacing w:before="0" w:after="283"/>
              <w:jc w:val="right"/>
              <w:rPr/>
            </w:pPr>
            <w:r>
              <w:rPr/>
              <w:t>(4,641</w:t>
            </w:r>
          </w:p>
        </w:tc>
        <w:tc>
          <w:tcPr>
            <w:tcW w:w="136"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CCEEFF" w:val="clear"/>
            <w:tcMar>
              <w:bottom w:w="28" w:type="dxa"/>
            </w:tcMar>
            <w:vAlign w:val="center"/>
          </w:tcPr>
          <w:p>
            <w:pPr>
              <w:pStyle w:val="TableContents"/>
              <w:bidi w:val="0"/>
              <w:spacing w:before="0" w:after="283"/>
              <w:jc w:val="right"/>
              <w:rPr/>
            </w:pPr>
            <w:r>
              <w:rPr/>
              <w:t>(44,680</w:t>
            </w:r>
          </w:p>
        </w:tc>
        <w:tc>
          <w:tcPr>
            <w:tcW w:w="117" w:type="dxa"/>
            <w:tcBorders/>
            <w:shd w:fill="CCEEFF" w:val="clear"/>
            <w:vAlign w:val="center"/>
          </w:tcPr>
          <w:p>
            <w:pPr>
              <w:pStyle w:val="TableContents"/>
              <w:bidi w:val="0"/>
              <w:spacing w:before="0" w:after="283"/>
              <w:jc w:val="left"/>
              <w:rPr/>
            </w:pPr>
            <w:r>
              <w:rPr/>
              <w:t>)</w:t>
            </w:r>
          </w:p>
        </w:tc>
      </w:tr>
      <w:tr>
        <w:trPr/>
        <w:tc>
          <w:tcPr>
            <w:tcW w:w="4099" w:type="dxa"/>
            <w:tcBorders/>
            <w:shd w:fill="FFFFFF" w:val="clear"/>
            <w:vAlign w:val="center"/>
          </w:tcPr>
          <w:p>
            <w:pPr>
              <w:pStyle w:val="TableContents"/>
              <w:bidi w:val="0"/>
              <w:spacing w:before="0" w:after="283"/>
              <w:jc w:val="left"/>
              <w:rPr/>
            </w:pPr>
            <w:r>
              <w:rPr/>
              <w:t>Net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jc w:val="right"/>
              <w:rPr/>
            </w:pPr>
            <w:r>
              <w:rPr/>
              <w:t>48,417</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66,607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jc w:val="right"/>
              <w:rPr/>
            </w:pPr>
            <w:r>
              <w:rPr/>
              <w:t>71,773</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pPr>
            <w:r>
              <w:rPr/>
              <w:t>105,132</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Intercompany Reinsurance Pooling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Pooling percentages for the insurance subsidiaries are updated periodically based on their respective surplus as a percentage of the pool’s surplus.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b/>
                <w:sz w:val="20"/>
              </w:rPr>
            </w:pPr>
            <w:r>
              <w:rPr>
                <w:b/>
                <w:sz w:val="20"/>
              </w:rPr>
              <w:t>6.</w:t>
            </w:r>
          </w:p>
        </w:tc>
        <w:tc>
          <w:tcPr>
            <w:tcW w:w="9626" w:type="dxa"/>
            <w:tcBorders/>
            <w:vAlign w:val="center"/>
          </w:tcPr>
          <w:p>
            <w:pPr>
              <w:pStyle w:val="TableContents"/>
              <w:bidi w:val="0"/>
              <w:spacing w:before="0" w:after="283"/>
              <w:jc w:val="left"/>
              <w:rPr>
                <w:b/>
              </w:rPr>
            </w:pPr>
            <w:r>
              <w:rPr>
                <w:b/>
              </w:rPr>
              <w:t>Deferred Policy Acquisition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8"/>
        <w:gridCol w:w="60"/>
        <w:gridCol w:w="213"/>
        <w:gridCol w:w="1154"/>
        <w:gridCol w:w="144"/>
        <w:gridCol w:w="91"/>
        <w:gridCol w:w="213"/>
        <w:gridCol w:w="1154"/>
        <w:gridCol w:w="95"/>
        <w:gridCol w:w="60"/>
        <w:gridCol w:w="194"/>
        <w:gridCol w:w="1052"/>
        <w:gridCol w:w="131"/>
        <w:gridCol w:w="83"/>
        <w:gridCol w:w="194"/>
        <w:gridCol w:w="1052"/>
        <w:gridCol w:w="117"/>
      </w:tblGrid>
      <w:tr>
        <w:trPr/>
        <w:tc>
          <w:tcPr>
            <w:tcW w:w="41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7" w:type="dxa"/>
            <w:tcBorders/>
            <w:vAlign w:val="center"/>
          </w:tcPr>
          <w:p>
            <w:pPr>
              <w:pStyle w:val="TableContents"/>
              <w:bidi w:val="0"/>
              <w:spacing w:before="0" w:after="283"/>
              <w:jc w:val="left"/>
              <w:rPr/>
            </w:pPr>
            <w:r>
              <w:rPr/>
              <w:t> </w:t>
            </w:r>
          </w:p>
        </w:tc>
      </w:tr>
      <w:tr>
        <w:trPr/>
        <w:tc>
          <w:tcPr>
            <w:tcW w:w="41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jc w:val="left"/>
              <w:rPr/>
            </w:pPr>
            <w:r>
              <w:rPr/>
              <w:t> </w:t>
            </w:r>
          </w:p>
        </w:tc>
      </w:tr>
      <w:tr>
        <w:trPr/>
        <w:tc>
          <w:tcPr>
            <w:tcW w:w="4198"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19,110</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23,813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19,209</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26,300</w:t>
            </w:r>
          </w:p>
        </w:tc>
        <w:tc>
          <w:tcPr>
            <w:tcW w:w="117" w:type="dxa"/>
            <w:tcBorders/>
            <w:shd w:fill="CCEEFF" w:val="clear"/>
            <w:vAlign w:val="center"/>
          </w:tcPr>
          <w:p>
            <w:pPr>
              <w:pStyle w:val="TableContents"/>
              <w:bidi w:val="0"/>
              <w:spacing w:before="0" w:after="283"/>
              <w:jc w:val="left"/>
              <w:rPr/>
            </w:pPr>
            <w:r>
              <w:rPr/>
              <w:t> </w:t>
            </w:r>
          </w:p>
        </w:tc>
      </w:tr>
      <w:tr>
        <w:trPr/>
        <w:tc>
          <w:tcPr>
            <w:tcW w:w="4198" w:type="dxa"/>
            <w:tcBorders/>
            <w:shd w:fill="FFFFFF" w:val="clear"/>
            <w:vAlign w:val="center"/>
          </w:tcPr>
          <w:p>
            <w:pPr>
              <w:pStyle w:val="TableContents"/>
              <w:bidi w:val="0"/>
              <w:spacing w:before="0" w:after="283"/>
              <w:jc w:val="left"/>
              <w:rPr/>
            </w:pPr>
            <w:r>
              <w:rPr/>
              <w:t>Deferral of policy acquisition costs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15,021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right"/>
              <w:rPr/>
            </w:pPr>
            <w:r>
              <w:rPr/>
              <w:t>18,881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26,808</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32,922</w:t>
            </w:r>
          </w:p>
        </w:tc>
        <w:tc>
          <w:tcPr>
            <w:tcW w:w="117" w:type="dxa"/>
            <w:tcBorders/>
            <w:shd w:fill="FFFFFF" w:val="clear"/>
            <w:vAlign w:val="center"/>
          </w:tcPr>
          <w:p>
            <w:pPr>
              <w:pStyle w:val="TableContents"/>
              <w:bidi w:val="0"/>
              <w:spacing w:before="0" w:after="283"/>
              <w:jc w:val="left"/>
              <w:rPr/>
            </w:pPr>
            <w:r>
              <w:rPr/>
              <w:t> </w:t>
            </w:r>
          </w:p>
        </w:tc>
      </w:tr>
      <w:tr>
        <w:trPr/>
        <w:tc>
          <w:tcPr>
            <w:tcW w:w="4198" w:type="dxa"/>
            <w:tcBorders/>
            <w:shd w:fill="CCEEFF" w:val="clear"/>
            <w:vAlign w:val="center"/>
          </w:tcPr>
          <w:p>
            <w:pPr>
              <w:pStyle w:val="TableContents"/>
              <w:bidi w:val="0"/>
              <w:spacing w:before="0" w:after="283"/>
              <w:jc w:val="left"/>
              <w:rPr/>
            </w:pPr>
            <w:r>
              <w:rPr/>
              <w:t>Amortization of deferred policy acquisition costs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CCEEFF" w:val="clear"/>
            <w:tcMar>
              <w:bottom w:w="28" w:type="dxa"/>
            </w:tcMar>
            <w:vAlign w:val="center"/>
          </w:tcPr>
          <w:p>
            <w:pPr>
              <w:pStyle w:val="TableContents"/>
              <w:bidi w:val="0"/>
              <w:spacing w:before="0" w:after="283"/>
              <w:jc w:val="right"/>
              <w:rPr/>
            </w:pPr>
            <w:r>
              <w:rPr/>
              <w:t>(12,236</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8" w:space="0" w:color="000000"/>
            </w:tcBorders>
            <w:shd w:fill="CCEEFF" w:val="clear"/>
            <w:tcMar>
              <w:bottom w:w="28" w:type="dxa"/>
            </w:tcMar>
            <w:vAlign w:val="center"/>
          </w:tcPr>
          <w:p>
            <w:pPr>
              <w:pStyle w:val="TableContents"/>
              <w:bidi w:val="0"/>
              <w:spacing w:before="0" w:after="283"/>
              <w:jc w:val="right"/>
              <w:rPr/>
            </w:pPr>
            <w:r>
              <w:rPr/>
              <w:t>(16,374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(24,122</w:t>
            </w:r>
          </w:p>
        </w:tc>
        <w:tc>
          <w:tcPr>
            <w:tcW w:w="131"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(32,902</w:t>
            </w:r>
          </w:p>
        </w:tc>
        <w:tc>
          <w:tcPr>
            <w:tcW w:w="117" w:type="dxa"/>
            <w:tcBorders/>
            <w:shd w:fill="CCEEFF" w:val="clear"/>
            <w:vAlign w:val="center"/>
          </w:tcPr>
          <w:p>
            <w:pPr>
              <w:pStyle w:val="TableContents"/>
              <w:bidi w:val="0"/>
              <w:spacing w:before="0" w:after="283"/>
              <w:jc w:val="left"/>
              <w:rPr/>
            </w:pPr>
            <w:r>
              <w:rPr/>
              <w:t>)</w:t>
            </w:r>
          </w:p>
        </w:tc>
      </w:tr>
      <w:tr>
        <w:trPr/>
        <w:tc>
          <w:tcPr>
            <w:tcW w:w="4198"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pPr>
            <w:r>
              <w:rPr/>
              <w:t>21,895</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jc w:val="right"/>
              <w:rPr/>
            </w:pPr>
            <w:r>
              <w:rPr/>
              <w:t>26,320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pPr>
            <w:r>
              <w:rPr/>
              <w:t>21,895</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pPr>
            <w:r>
              <w:rPr/>
              <w:t>26,320</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Unpaid Losses and Loss Adjustment Expenses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in the liability for unpaid losses and loss adjustment expenses is summarized as follows:</w:t>
      </w:r>
    </w:p>
    <w:p>
      <w:pPr>
        <w:pStyle w:val="TextBody"/>
        <w:bidi w:val="0"/>
        <w:spacing w:before="0" w:after="0"/>
        <w:ind w:left="0" w:right="0" w:hanging="0"/>
        <w:jc w:val="left"/>
        <w:rPr>
          <w:caps w:val="false"/>
          <w:smallCaps w:val="false"/>
        </w:rPr>
      </w:pPr>
      <w:r>
        <w:rPr>
          <w:caps w:val="false"/>
          <w:smallCaps w:val="false"/>
        </w:rPr>
        <w:t> </w:t>
      </w:r>
    </w:p>
    <w:tbl>
      <w:tblPr>
        <w:tblW w:w="8257" w:type="dxa"/>
        <w:jc w:val="left"/>
        <w:tblInd w:w="0" w:type="dxa"/>
        <w:tblLayout w:type="fixed"/>
        <w:tblCellMar>
          <w:top w:w="0" w:type="dxa"/>
          <w:left w:w="0" w:type="dxa"/>
          <w:bottom w:w="0" w:type="dxa"/>
          <w:right w:w="0" w:type="dxa"/>
        </w:tblCellMar>
      </w:tblPr>
      <w:tblGrid>
        <w:gridCol w:w="5300"/>
        <w:gridCol w:w="60"/>
        <w:gridCol w:w="194"/>
        <w:gridCol w:w="1110"/>
        <w:gridCol w:w="131"/>
        <w:gridCol w:w="83"/>
        <w:gridCol w:w="194"/>
        <w:gridCol w:w="1110"/>
        <w:gridCol w:w="7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Balance, beginning of period:</w:t>
            </w:r>
          </w:p>
        </w:tc>
        <w:tc>
          <w:tcPr>
            <w:tcW w:w="60"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Liability for unpaid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137,855</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137,288</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Reinsurance recoverables on losses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11,957</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12,561</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balance, beginning of period</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125,898</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124,727</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Incurred related to:</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Current year</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81,898</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93,894</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Prior years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(10,125</w:t>
            </w:r>
          </w:p>
        </w:tc>
        <w:tc>
          <w:tcPr>
            <w:tcW w:w="131"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11,238</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Total incurred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71,773</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105,132</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Paid related to:</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29,959</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30,151</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Prior years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45,396</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47,456</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paid</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75,355</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77,607</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 end of period:</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Liability for unpaid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134,757</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203,530</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Reinsurance recoverables on losses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12,441</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pPr>
            <w:r>
              <w:rPr/>
              <w:t>51,278</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Net balance, end of period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pPr>
            <w:r>
              <w:rPr/>
              <w:t>122,316</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pPr>
            <w:r>
              <w:rPr/>
              <w:t>152,252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Company’s incurred reported losses and loss adjustment expense included $6,077 and $10,125, respectively, of net favorable development on prior accident years. This was primarily attributable to favorable development for the Non-Standard Auto and Home and Farm segments. During the three and six months ended June 30, 2025, the Company’s incurred reported losses and loss adjustment expenses included $9,820 and $11,238, respectively, of net unfavorable development on prior accident years. This was primarily attributable to unfavorable development for the Non-Standard Auto segment.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pPr>
      <w:r>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9523" w:type="dxa"/>
        <w:jc w:val="left"/>
        <w:tblInd w:w="0" w:type="dxa"/>
        <w:tblLayout w:type="fixed"/>
        <w:tblCellMar>
          <w:top w:w="0" w:type="dxa"/>
          <w:left w:w="0" w:type="dxa"/>
          <w:bottom w:w="0" w:type="dxa"/>
          <w:right w:w="0" w:type="dxa"/>
        </w:tblCellMar>
      </w:tblPr>
      <w:tblGrid>
        <w:gridCol w:w="3560"/>
        <w:gridCol w:w="60"/>
        <w:gridCol w:w="221"/>
        <w:gridCol w:w="1193"/>
        <w:gridCol w:w="95"/>
        <w:gridCol w:w="60"/>
        <w:gridCol w:w="305"/>
        <w:gridCol w:w="1649"/>
        <w:gridCol w:w="95"/>
        <w:gridCol w:w="60"/>
        <w:gridCol w:w="222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bottom w:val="single" w:sz="8" w:space="0" w:color="000000"/>
            </w:tcBorders>
            <w:tcMar>
              <w:bottom w:w="28" w:type="dxa"/>
            </w:tcMar>
            <w:vAlign w:val="center"/>
          </w:tcPr>
          <w:p>
            <w:pPr>
              <w:pStyle w:val="TableContents"/>
              <w:bidi w:val="0"/>
              <w:spacing w:before="0" w:after="283"/>
              <w:jc w:val="center"/>
              <w:rPr>
                <w:b/>
              </w:rPr>
            </w:pPr>
            <w:r>
              <w:rPr>
                <w:b/>
              </w:rPr>
              <w:t>Estimated Useful Life</w:t>
            </w:r>
          </w:p>
        </w:tc>
      </w:tr>
      <w:tr>
        <w:trPr/>
        <w:tc>
          <w:tcPr>
            <w:tcW w:w="3560"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right"/>
              <w:rPr/>
            </w:pPr>
            <w:r>
              <w:rPr/>
              <w:t> </w:t>
            </w:r>
          </w:p>
        </w:tc>
      </w:tr>
      <w:tr>
        <w:trPr/>
        <w:tc>
          <w:tcPr>
            <w:tcW w:w="3560"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3" w:type="dxa"/>
            <w:tcBorders/>
            <w:shd w:fill="FFFFFF" w:val="clear"/>
            <w:vAlign w:val="center"/>
          </w:tcPr>
          <w:p>
            <w:pPr>
              <w:pStyle w:val="TableContents"/>
              <w:bidi w:val="0"/>
              <w:spacing w:before="0" w:after="283"/>
              <w:jc w:val="right"/>
              <w:rPr/>
            </w:pPr>
            <w:r>
              <w:rPr/>
              <w:t>1,204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1649" w:type="dxa"/>
            <w:tcBorders/>
            <w:shd w:fill="FFFFFF" w:val="cle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center"/>
              <w:rPr/>
            </w:pPr>
            <w:r>
              <w:rPr/>
              <w:t>indefinite</w:t>
            </w:r>
          </w:p>
        </w:tc>
      </w:tr>
      <w:tr>
        <w:trPr/>
        <w:tc>
          <w:tcPr>
            <w:tcW w:w="3560" w:type="dxa"/>
            <w:tcBorders/>
            <w:shd w:fill="CCEEFF" w:val="clear"/>
            <w:vAlign w:val="center"/>
          </w:tcPr>
          <w:p>
            <w:pPr>
              <w:pStyle w:val="TableContents"/>
              <w:bidi w:val="0"/>
              <w:spacing w:before="0" w:after="283"/>
              <w:jc w:val="left"/>
              <w:rPr/>
            </w:pPr>
            <w:r>
              <w:rPr/>
              <w:t>Building and improvements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11,344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11,257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center"/>
              <w:rPr/>
            </w:pPr>
            <w:r>
              <w:rPr/>
              <w:t>10 – 43 years</w:t>
            </w:r>
          </w:p>
        </w:tc>
      </w:tr>
      <w:tr>
        <w:trPr/>
        <w:tc>
          <w:tcPr>
            <w:tcW w:w="3560" w:type="dxa"/>
            <w:tcBorders/>
            <w:shd w:fill="FFFFFF" w:val="clear"/>
            <w:vAlign w:val="center"/>
          </w:tcPr>
          <w:p>
            <w:pPr>
              <w:pStyle w:val="TableContents"/>
              <w:bidi w:val="0"/>
              <w:spacing w:before="0" w:after="283"/>
              <w:jc w:val="left"/>
              <w:rPr/>
            </w:pPr>
            <w:r>
              <w:rPr/>
              <w:t>Electronic data processing equipment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center"/>
              <w:rPr/>
            </w:pPr>
            <w:r>
              <w:rPr/>
              <w:t>5 – 7 years</w:t>
            </w:r>
          </w:p>
        </w:tc>
      </w:tr>
      <w:tr>
        <w:trPr/>
        <w:tc>
          <w:tcPr>
            <w:tcW w:w="3560" w:type="dxa"/>
            <w:tcBorders/>
            <w:shd w:fill="CCEEFF" w:val="clear"/>
            <w:vAlign w:val="center"/>
          </w:tcPr>
          <w:p>
            <w:pPr>
              <w:pStyle w:val="TableContents"/>
              <w:bidi w:val="0"/>
              <w:spacing w:before="0" w:after="283"/>
              <w:jc w:val="left"/>
              <w:rPr/>
            </w:pPr>
            <w:r>
              <w:rPr/>
              <w:t>Furniture and fixtures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center"/>
              <w:rPr/>
            </w:pPr>
            <w:r>
              <w:rPr/>
              <w:t>5 – 7 years</w:t>
            </w:r>
          </w:p>
        </w:tc>
      </w:tr>
      <w:tr>
        <w:trPr/>
        <w:tc>
          <w:tcPr>
            <w:tcW w:w="3560" w:type="dxa"/>
            <w:tcBorders/>
            <w:shd w:fill="FFFFFF" w:val="clear"/>
            <w:vAlign w:val="center"/>
          </w:tcPr>
          <w:p>
            <w:pPr>
              <w:pStyle w:val="TableContents"/>
              <w:bidi w:val="0"/>
              <w:spacing w:before="0" w:after="283"/>
              <w:jc w:val="left"/>
              <w:rPr/>
            </w:pPr>
            <w:r>
              <w:rPr/>
              <w:t>Automobiles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1,161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pPr>
            <w:r>
              <w:rPr/>
              <w:t>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center"/>
              <w:rPr/>
            </w:pPr>
            <w:r>
              <w:rPr/>
              <w:t>2 – 3 years</w:t>
            </w:r>
          </w:p>
        </w:tc>
      </w:tr>
      <w:tr>
        <w:trPr/>
        <w:tc>
          <w:tcPr>
            <w:tcW w:w="3560" w:type="dxa"/>
            <w:tcBorders/>
            <w:shd w:fill="CCEEFF" w:val="clear"/>
            <w:vAlign w:val="center"/>
          </w:tcPr>
          <w:p>
            <w:pPr>
              <w:pStyle w:val="TableContents"/>
              <w:bidi w:val="0"/>
              <w:spacing w:before="0" w:after="283"/>
              <w:jc w:val="left"/>
              <w:rPr/>
            </w:pPr>
            <w:r>
              <w:rPr/>
              <w:t>Gross cost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17,874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17,968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right"/>
              <w:rPr/>
            </w:pPr>
            <w:r>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(11,384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CCEEFF" w:val="clear"/>
            <w:tcMar>
              <w:bottom w:w="28" w:type="dxa"/>
            </w:tcMar>
            <w:vAlign w:val="center"/>
          </w:tcPr>
          <w:p>
            <w:pPr>
              <w:pStyle w:val="TableContents"/>
              <w:bidi w:val="0"/>
              <w:spacing w:before="0" w:after="283"/>
              <w:jc w:val="right"/>
              <w:rPr/>
            </w:pPr>
            <w:r>
              <w:rPr/>
              <w:t>(11,209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283"/>
              <w:jc w:val="right"/>
              <w:rPr/>
            </w:pPr>
            <w:r>
              <w:rPr/>
              <w:t> </w:t>
            </w:r>
          </w:p>
        </w:tc>
      </w:tr>
      <w:tr>
        <w:trPr/>
        <w:tc>
          <w:tcPr>
            <w:tcW w:w="3560" w:type="dxa"/>
            <w:tcBorders/>
            <w:shd w:fill="FFFFFF" w:val="clear"/>
            <w:vAlign w:val="center"/>
          </w:tcPr>
          <w:p>
            <w:pPr>
              <w:pStyle w:val="TableContents"/>
              <w:bidi w:val="0"/>
              <w:spacing w:before="0" w:after="283"/>
              <w:jc w:val="left"/>
              <w:rPr/>
            </w:pPr>
            <w:r>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6,490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FFFFFF" w:val="clear"/>
            <w:tcMar>
              <w:bottom w:w="28" w:type="dxa"/>
            </w:tcMar>
            <w:vAlign w:val="center"/>
          </w:tcPr>
          <w:p>
            <w:pPr>
              <w:pStyle w:val="TableContents"/>
              <w:bidi w:val="0"/>
              <w:spacing w:before="0" w:after="283"/>
              <w:jc w:val="right"/>
              <w:rPr/>
            </w:pPr>
            <w:r>
              <w:rPr/>
              <w:t>6,759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$122 and $171 for the three months ended June 30, 2026 and 2025, respectively, and $290 and $344 for the six months ended June 30, 2026 and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Royalties and Dividends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North Dakota Farm Bureau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$583 and $522 during the three months ended June 30, 2026 and 2025, respectively, and $1,053 and $962 for the six months ended June 30, 2026 and 2025, respectively. Royalty amounts payable of $196 and $152 were accrued as a liability to the NDFB at June 30, 2026, and December 31, 2025, respectively. </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2025, exceeded the amount of statutory capital and surplus necessary to satisfy risk-based capital requirements by a significant margin. For information regarding the availability of subsidiaries to pay dividends to NI Holdings during 2026, see Part II, Item 8, Note 11 “Royalties, Dividends, and Affiliations” section of the 2025 Annual Report.</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Benefit Plans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American West and Battle Creek have no employees. The Company reported expenses related to these plans totaling $510 and $482 during the three months ended June 30, 2026 and 2025, respectively, and $794 and $802 during the six months ended June 30, 2026 and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associated with the plans are deducted from the eligible employee accounts.</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$59 and $24 during the three months ended June 30, 2026 and 2025, respectively, and $407 and $158 during the six months ended June 30, 2026 and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public offering (“IPO”) in March 2017, the Company established its Employee Stock Ownership Plan (the “ESOP”) within the meaning of Internal Revenue Code Section 4975(e)(7) and invests solely in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and Direct Auto do not participate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compensation expense related to the ESOP of $74 and $78 during the three months ended June 30, 2026 and 2025, respectively, and $144 and $167 during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June 30, 2026, and December 31, 2025, the Company had released and allocated 218,835 ESOP shares to participants, with a remainder of 21,165 ESOP shares in suspense at June 30, 2026, and December 31, 2025. Using the Company’s quarter-end market price of $15.71 per share, the fair value of the unearned ESOP shares was $333 at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Line of Credit</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 Holdings has a $3,000 line of credit with Wells Fargo Bank, N.A. The terms of the line of credit include a floating interest rate of 2.25% above the daily simple secured overnight financing rate. There were no outstanding amounts during the six months ended June 30, 2026, or the year ended December 31, 2025. This line of credit is scheduled to expire on December 11, 2026.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Income Taxes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 any change to a previously recorded valuation allowance as a result of re-measuring existing temporary differences and loss carryforwards as a component of income tax expense (benefit). The valuation allowance against certain deferred income tax assets was $2,072 and $2,345 at June 30, 2026 and December 31, 2025, respectively.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2026, and December 31, 2025, we had no unrecognized tax benefits, no accrued interest and penalties, and no significant uncertain tax positions. No interest and penalties on uncertain tax positions were recognized during the six-month period ended June 30, 2026, or the year ended December 31, 2025.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effective tax rate for the six months ended June 30, 2026, was 20.6%, which reflects the impact of tax-exempt investment income on the calculation of the Company’s income tax provision. The effective tax rate was not impacted by the change in valuation allowance noted above. The effective tax rate was 26.2% for the six months ended June 30, 2025, which was impacted by a change in the recorded valuation allowance.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pPr>
      <w:r>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Leases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Primero leases a facility in Spearfish, South Dakota under a non-cancellable operating lease expiring in 2028.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 </w:t>
      </w:r>
    </w:p>
    <w:p>
      <w:pPr>
        <w:pStyle w:val="TextBody"/>
        <w:bidi w:val="0"/>
        <w:spacing w:before="0" w:after="0"/>
        <w:ind w:left="15" w:right="1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expenses of $112 and $114 related to these leases during the three months ended June 30, 2026 and 2025, respectively, and $226 and $230 during the six months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Company’s leases are as follows:</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48"/>
        <w:gridCol w:w="60"/>
        <w:gridCol w:w="202"/>
        <w:gridCol w:w="943"/>
        <w:gridCol w:w="86"/>
        <w:gridCol w:w="86"/>
        <w:gridCol w:w="202"/>
        <w:gridCol w:w="943"/>
        <w:gridCol w:w="60"/>
        <w:gridCol w:w="60"/>
        <w:gridCol w:w="190"/>
        <w:gridCol w:w="876"/>
        <w:gridCol w:w="81"/>
        <w:gridCol w:w="81"/>
        <w:gridCol w:w="190"/>
        <w:gridCol w:w="876"/>
        <w:gridCol w:w="721"/>
      </w:tblGrid>
      <w:tr>
        <w:trPr/>
        <w:tc>
          <w:tcPr>
            <w:tcW w:w="45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w:t>
              <w:b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Six Months </w:t>
              <w:br/>
              <w:t>Ended June 30,</w:t>
            </w:r>
          </w:p>
        </w:tc>
        <w:tc>
          <w:tcPr>
            <w:tcW w:w="721" w:type="dxa"/>
            <w:tcBorders/>
            <w:vAlign w:val="center"/>
          </w:tcPr>
          <w:p>
            <w:pPr>
              <w:pStyle w:val="TableContents"/>
              <w:bidi w:val="0"/>
              <w:spacing w:before="0" w:after="283"/>
              <w:jc w:val="left"/>
              <w:rPr/>
            </w:pPr>
            <w:r>
              <w:rPr/>
              <w:t> </w:t>
            </w:r>
          </w:p>
        </w:tc>
      </w:tr>
      <w:tr>
        <w:trPr/>
        <w:tc>
          <w:tcPr>
            <w:tcW w:w="45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21" w:type="dxa"/>
            <w:tcBorders/>
            <w:vAlign w:val="center"/>
          </w:tcPr>
          <w:p>
            <w:pPr>
              <w:pStyle w:val="TableContents"/>
              <w:bidi w:val="0"/>
              <w:spacing w:before="0" w:after="283"/>
              <w:jc w:val="left"/>
              <w:rPr/>
            </w:pPr>
            <w:r>
              <w:rPr/>
              <w:t> </w:t>
            </w:r>
          </w:p>
        </w:tc>
      </w:tr>
      <w:tr>
        <w:trPr/>
        <w:tc>
          <w:tcPr>
            <w:tcW w:w="4548" w:type="dxa"/>
            <w:tcBorders/>
            <w:shd w:fill="CCEEFF" w:val="clear"/>
            <w:vAlign w:val="center"/>
          </w:tcPr>
          <w:p>
            <w:pPr>
              <w:pStyle w:val="TableContents"/>
              <w:bidi w:val="0"/>
              <w:spacing w:before="0" w:after="283"/>
              <w:jc w:val="left"/>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91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183</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183</w:t>
            </w:r>
          </w:p>
        </w:tc>
        <w:tc>
          <w:tcPr>
            <w:tcW w:w="721" w:type="dxa"/>
            <w:tcBorders/>
            <w:shd w:fill="CCEEFF" w:val="clear"/>
            <w:vAlign w:val="center"/>
          </w:tcPr>
          <w:p>
            <w:pPr>
              <w:pStyle w:val="TableContents"/>
              <w:bidi w:val="0"/>
              <w:spacing w:before="0" w:after="283"/>
              <w:jc w:val="left"/>
              <w:rPr/>
            </w:pPr>
            <w:r>
              <w:rPr/>
              <w:t> </w:t>
            </w:r>
          </w:p>
        </w:tc>
      </w:tr>
      <w:tr>
        <w:trPr/>
        <w:tc>
          <w:tcPr>
            <w:tcW w:w="4548" w:type="dxa"/>
            <w:tcBorders/>
            <w:shd w:fill="FFFFFF" w:val="clear"/>
            <w:vAlign w:val="center"/>
          </w:tcPr>
          <w:p>
            <w:pPr>
              <w:pStyle w:val="TableContents"/>
              <w:bidi w:val="0"/>
              <w:spacing w:before="0" w:after="283"/>
              <w:jc w:val="left"/>
              <w:rPr/>
            </w:pPr>
            <w:r>
              <w:rPr/>
              <w:t>Finance lease cost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ind w:left="0" w:right="0" w:firstLine="187"/>
              <w:jc w:val="left"/>
              <w:rPr/>
            </w:pPr>
            <w:r>
              <w:rPr/>
              <w:t> </w:t>
            </w:r>
          </w:p>
        </w:tc>
      </w:tr>
      <w:tr>
        <w:trPr/>
        <w:tc>
          <w:tcPr>
            <w:tcW w:w="4548"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40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40</w:t>
            </w:r>
          </w:p>
        </w:tc>
        <w:tc>
          <w:tcPr>
            <w:tcW w:w="721" w:type="dxa"/>
            <w:tcBorders/>
            <w:shd w:fill="CCEEFF" w:val="clear"/>
            <w:vAlign w:val="center"/>
          </w:tcPr>
          <w:p>
            <w:pPr>
              <w:pStyle w:val="TableContents"/>
              <w:bidi w:val="0"/>
              <w:spacing w:before="0" w:after="283"/>
              <w:ind w:left="0" w:right="0" w:firstLine="187"/>
              <w:jc w:val="left"/>
              <w:rPr/>
            </w:pPr>
            <w:r>
              <w:rPr/>
              <w:t> </w:t>
            </w:r>
          </w:p>
        </w:tc>
      </w:tr>
      <w:tr>
        <w:trPr/>
        <w:tc>
          <w:tcPr>
            <w:tcW w:w="4548"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721" w:type="dxa"/>
            <w:tcBorders/>
            <w:shd w:fill="FFFFFF" w:val="clear"/>
            <w:vAlign w:val="center"/>
          </w:tcPr>
          <w:p>
            <w:pPr>
              <w:pStyle w:val="TableContents"/>
              <w:bidi w:val="0"/>
              <w:spacing w:before="0" w:after="283"/>
              <w:ind w:left="0" w:right="0" w:firstLine="367"/>
              <w:jc w:val="left"/>
              <w:rPr/>
            </w:pPr>
            <w:r>
              <w:rPr/>
              <w:t> </w:t>
            </w:r>
          </w:p>
        </w:tc>
      </w:tr>
      <w:tr>
        <w:trPr/>
        <w:tc>
          <w:tcPr>
            <w:tcW w:w="4548" w:type="dxa"/>
            <w:tcBorders/>
            <w:shd w:fill="CCEEFF" w:val="clear"/>
            <w:vAlign w:val="center"/>
          </w:tcPr>
          <w:p>
            <w:pPr>
              <w:pStyle w:val="TableContents"/>
              <w:bidi w:val="0"/>
              <w:spacing w:before="0" w:after="283"/>
              <w:jc w:val="left"/>
              <w:rPr/>
            </w:pPr>
            <w:r>
              <w:rPr/>
              <w:t>Finance lease cost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721" w:type="dxa"/>
            <w:tcBorders/>
            <w:shd w:fill="CCEEFF" w:val="clear"/>
            <w:vAlign w:val="center"/>
          </w:tcPr>
          <w:p>
            <w:pPr>
              <w:pStyle w:val="TableContents"/>
              <w:bidi w:val="0"/>
              <w:spacing w:before="0" w:after="283"/>
              <w:ind w:left="0" w:right="0" w:firstLine="637"/>
              <w:jc w:val="left"/>
              <w:rPr/>
            </w:pPr>
            <w:r>
              <w:rPr/>
              <w:t> </w:t>
            </w:r>
          </w:p>
        </w:tc>
      </w:tr>
      <w:tr>
        <w:trPr/>
        <w:tc>
          <w:tcPr>
            <w:tcW w:w="4548" w:type="dxa"/>
            <w:tcBorders/>
            <w:shd w:fill="FFFFFF" w:val="clear"/>
            <w:vAlign w:val="center"/>
          </w:tcPr>
          <w:p>
            <w:pPr>
              <w:pStyle w:val="TableContents"/>
              <w:bidi w:val="0"/>
              <w:spacing w:before="0" w:after="283"/>
              <w:jc w:val="left"/>
              <w:rPr/>
            </w:pPr>
            <w:r>
              <w:rPr/>
              <w:t>Total lease cost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112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jc w:val="right"/>
              <w:rPr/>
            </w:pPr>
            <w:r>
              <w:rPr/>
              <w:t>114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226</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230</w:t>
            </w:r>
          </w:p>
        </w:tc>
        <w:tc>
          <w:tcPr>
            <w:tcW w:w="721" w:type="dxa"/>
            <w:tcBorders/>
            <w:shd w:fill="FFFFFF" w:val="clear"/>
            <w:vAlign w:val="center"/>
          </w:tcPr>
          <w:p>
            <w:pPr>
              <w:pStyle w:val="TableContents"/>
              <w:bidi w:val="0"/>
              <w:spacing w:before="0" w:after="283"/>
              <w:jc w:val="left"/>
              <w:rPr/>
            </w:pPr>
            <w:r>
              <w:rPr/>
              <w:t> </w:t>
            </w:r>
          </w:p>
        </w:tc>
      </w:tr>
      <w:tr>
        <w:trPr/>
        <w:tc>
          <w:tcPr>
            <w:tcW w:w="45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21" w:type="dxa"/>
            <w:tcBorders/>
            <w:shd w:fill="CCEEFF" w:val="clear"/>
            <w:vAlign w:val="center"/>
          </w:tcPr>
          <w:p>
            <w:pPr>
              <w:pStyle w:val="TableContents"/>
              <w:bidi w:val="0"/>
              <w:spacing w:before="0" w:after="283"/>
              <w:jc w:val="left"/>
              <w:rPr/>
            </w:pPr>
            <w:r>
              <w:rPr/>
              <w:t> </w:t>
            </w:r>
          </w:p>
        </w:tc>
      </w:tr>
      <w:tr>
        <w:trPr/>
        <w:tc>
          <w:tcPr>
            <w:tcW w:w="4548" w:type="dxa"/>
            <w:tcBorders/>
            <w:shd w:fill="FFFFFF" w:val="clear"/>
            <w:vAlign w:val="center"/>
          </w:tcPr>
          <w:p>
            <w:pPr>
              <w:pStyle w:val="TableContents"/>
              <w:bidi w:val="0"/>
              <w:spacing w:before="0" w:after="283"/>
              <w:jc w:val="left"/>
              <w:rPr/>
            </w:pPr>
            <w:r>
              <w:rPr/>
              <w:t>Other information on leases: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21" w:type="dxa"/>
            <w:tcBorders/>
            <w:shd w:fill="FFFFFF" w:val="clear"/>
            <w:vAlign w:val="center"/>
          </w:tcPr>
          <w:p>
            <w:pPr>
              <w:pStyle w:val="TableContents"/>
              <w:bidi w:val="0"/>
              <w:spacing w:before="0" w:after="283"/>
              <w:jc w:val="left"/>
              <w:rPr/>
            </w:pPr>
            <w:r>
              <w:rPr/>
              <w:t> </w:t>
            </w:r>
          </w:p>
        </w:tc>
      </w:tr>
      <w:tr>
        <w:trPr/>
        <w:tc>
          <w:tcPr>
            <w:tcW w:w="4548" w:type="dxa"/>
            <w:tcBorders/>
            <w:shd w:fill="CCEEFF" w:val="clear"/>
            <w:vAlign w:val="center"/>
          </w:tcPr>
          <w:p>
            <w:pPr>
              <w:pStyle w:val="TableContents"/>
              <w:bidi w:val="0"/>
              <w:spacing w:before="0" w:after="283"/>
              <w:jc w:val="left"/>
              <w:rPr/>
            </w:pPr>
            <w:r>
              <w:rPr/>
              <w:t> </w:t>
            </w:r>
            <w:r>
              <w:rPr/>
              <w:t>Cash payments included in 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99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198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195</w:t>
            </w:r>
          </w:p>
        </w:tc>
        <w:tc>
          <w:tcPr>
            <w:tcW w:w="721" w:type="dxa"/>
            <w:tcBorders/>
            <w:shd w:fill="CCEEFF" w:val="clear"/>
            <w:vAlign w:val="center"/>
          </w:tcPr>
          <w:p>
            <w:pPr>
              <w:pStyle w:val="TableContents"/>
              <w:bidi w:val="0"/>
              <w:spacing w:before="0" w:after="283"/>
              <w:jc w:val="left"/>
              <w:rPr/>
            </w:pPr>
            <w:r>
              <w:rPr/>
              <w:t> </w:t>
            </w:r>
          </w:p>
        </w:tc>
      </w:tr>
      <w:tr>
        <w:trPr/>
        <w:tc>
          <w:tcPr>
            <w:tcW w:w="4548" w:type="dxa"/>
            <w:tcBorders/>
            <w:shd w:fill="FFFFFF" w:val="clear"/>
            <w:vAlign w:val="center"/>
          </w:tcPr>
          <w:p>
            <w:pPr>
              <w:pStyle w:val="TableContents"/>
              <w:bidi w:val="0"/>
              <w:spacing w:before="0" w:after="283"/>
              <w:jc w:val="left"/>
              <w:rPr/>
            </w:pPr>
            <w:r>
              <w:rPr/>
              <w:t>Cash payments included in 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7</w:t>
            </w:r>
          </w:p>
        </w:tc>
        <w:tc>
          <w:tcPr>
            <w:tcW w:w="721" w:type="dxa"/>
            <w:tcBorders/>
            <w:shd w:fill="FFFFFF" w:val="clear"/>
            <w:vAlign w:val="center"/>
          </w:tcPr>
          <w:p>
            <w:pPr>
              <w:pStyle w:val="TableContents"/>
              <w:bidi w:val="0"/>
              <w:spacing w:before="0" w:after="283"/>
              <w:jc w:val="left"/>
              <w:rPr/>
            </w:pPr>
            <w:r>
              <w:rPr/>
              <w:t> </w:t>
            </w:r>
          </w:p>
        </w:tc>
      </w:tr>
      <w:tr>
        <w:trPr/>
        <w:tc>
          <w:tcPr>
            <w:tcW w:w="4548" w:type="dxa"/>
            <w:tcBorders/>
            <w:shd w:fill="CCEEFF" w:val="clear"/>
            <w:vAlign w:val="center"/>
          </w:tcPr>
          <w:p>
            <w:pPr>
              <w:pStyle w:val="TableContents"/>
              <w:bidi w:val="0"/>
              <w:spacing w:before="0" w:after="283"/>
              <w:jc w:val="left"/>
              <w:rPr/>
            </w:pPr>
            <w:r>
              <w:rPr/>
              <w:t>Cash payments included in financing cash flows from finance leases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57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53</w:t>
            </w:r>
          </w:p>
        </w:tc>
        <w:tc>
          <w:tcPr>
            <w:tcW w:w="721" w:type="dxa"/>
            <w:tcBorders/>
            <w:shd w:fill="CCEEFF" w:val="clear"/>
            <w:vAlign w:val="center"/>
          </w:tcPr>
          <w:p>
            <w:pPr>
              <w:pStyle w:val="TableContents"/>
              <w:bidi w:val="0"/>
              <w:spacing w:before="0" w:after="283"/>
              <w:jc w:val="left"/>
              <w:rPr/>
            </w:pPr>
            <w:r>
              <w:rPr/>
              <w:t> </w:t>
            </w:r>
          </w:p>
        </w:tc>
      </w:tr>
      <w:tr>
        <w:trPr/>
        <w:tc>
          <w:tcPr>
            <w:tcW w:w="4548" w:type="dxa"/>
            <w:tcBorders/>
            <w:shd w:fill="FFFFFF" w:val="clear"/>
            <w:vAlign w:val="center"/>
          </w:tcPr>
          <w:p>
            <w:pPr>
              <w:pStyle w:val="TableContents"/>
              <w:bidi w:val="0"/>
              <w:spacing w:before="0" w:after="283"/>
              <w:jc w:val="left"/>
              <w:rPr/>
            </w:pPr>
            <w:r>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721" w:type="dxa"/>
            <w:tcBorders/>
            <w:shd w:fill="FFFFFF" w:val="clear"/>
            <w:vAlign w:val="center"/>
          </w:tcPr>
          <w:p>
            <w:pPr>
              <w:pStyle w:val="TableContents"/>
              <w:bidi w:val="0"/>
              <w:spacing w:before="0" w:after="283"/>
              <w:jc w:val="left"/>
              <w:rPr/>
            </w:pPr>
            <w:r>
              <w:rPr/>
              <w:t> </w:t>
            </w:r>
          </w:p>
        </w:tc>
      </w:tr>
      <w:tr>
        <w:trPr/>
        <w:tc>
          <w:tcPr>
            <w:tcW w:w="4548" w:type="dxa"/>
            <w:tcBorders/>
            <w:shd w:fill="CCEEFF" w:val="clear"/>
            <w:vAlign w:val="center"/>
          </w:tcPr>
          <w:p>
            <w:pPr>
              <w:pStyle w:val="TableContents"/>
              <w:bidi w:val="0"/>
              <w:spacing w:before="0" w:after="283"/>
              <w:jc w:val="left"/>
              <w:rPr/>
            </w:pPr>
            <w:r>
              <w:rPr/>
              <w:t>Right-of-use assets obtained in exchange for new finance lease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721" w:type="dxa"/>
            <w:tcBorders/>
            <w:shd w:fill="CCEEFF" w:val="clear"/>
            <w:vAlign w:val="center"/>
          </w:tcPr>
          <w:p>
            <w:pPr>
              <w:pStyle w:val="TableContents"/>
              <w:bidi w:val="0"/>
              <w:spacing w:before="0" w:after="283"/>
              <w:jc w:val="left"/>
              <w:rPr/>
            </w:pPr>
            <w:r>
              <w:rPr/>
              <w:t> </w:t>
            </w:r>
          </w:p>
        </w:tc>
      </w:tr>
      <w:tr>
        <w:trPr/>
        <w:tc>
          <w:tcPr>
            <w:tcW w:w="4548" w:type="dxa"/>
            <w:tcBorders/>
            <w:shd w:fill="FFFFFF" w:val="clear"/>
            <w:vAlign w:val="center"/>
          </w:tcPr>
          <w:p>
            <w:pPr>
              <w:pStyle w:val="TableContents"/>
              <w:bidi w:val="0"/>
              <w:spacing w:before="0" w:after="283"/>
              <w:jc w:val="left"/>
              <w:rPr/>
            </w:pPr>
            <w:r>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4.41%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4.41%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4.46%</w:t>
            </w:r>
          </w:p>
        </w:tc>
        <w:tc>
          <w:tcPr>
            <w:tcW w:w="721" w:type="dxa"/>
            <w:tcBorders/>
            <w:shd w:fill="FFFFFF" w:val="clear"/>
            <w:vAlign w:val="center"/>
          </w:tcPr>
          <w:p>
            <w:pPr>
              <w:pStyle w:val="TableContents"/>
              <w:bidi w:val="0"/>
              <w:spacing w:before="0" w:after="283"/>
              <w:jc w:val="left"/>
              <w:rPr/>
            </w:pPr>
            <w:r>
              <w:rPr/>
              <w:t> </w:t>
            </w:r>
          </w:p>
        </w:tc>
      </w:tr>
      <w:tr>
        <w:trPr/>
        <w:tc>
          <w:tcPr>
            <w:tcW w:w="4548" w:type="dxa"/>
            <w:tcBorders/>
            <w:shd w:fill="CCEEFF" w:val="clear"/>
            <w:vAlign w:val="center"/>
          </w:tcPr>
          <w:p>
            <w:pPr>
              <w:pStyle w:val="TableContents"/>
              <w:bidi w:val="0"/>
              <w:spacing w:before="0" w:after="283"/>
              <w:jc w:val="left"/>
              <w:rPr/>
            </w:pPr>
            <w:r>
              <w:rPr/>
              <w:t>Weighted average discount rate – finance leases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8.50%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8.50%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8.50%</w:t>
            </w:r>
          </w:p>
        </w:tc>
        <w:tc>
          <w:tcPr>
            <w:tcW w:w="721" w:type="dxa"/>
            <w:tcBorders/>
            <w:shd w:fill="CCEEFF" w:val="clear"/>
            <w:vAlign w:val="center"/>
          </w:tcPr>
          <w:p>
            <w:pPr>
              <w:pStyle w:val="TableContents"/>
              <w:bidi w:val="0"/>
              <w:spacing w:before="0" w:after="283"/>
              <w:jc w:val="left"/>
              <w:rPr/>
            </w:pPr>
            <w:r>
              <w:rPr/>
              <w:t> </w:t>
            </w:r>
          </w:p>
        </w:tc>
      </w:tr>
      <w:tr>
        <w:trPr/>
        <w:tc>
          <w:tcPr>
            <w:tcW w:w="4548" w:type="dxa"/>
            <w:tcBorders/>
            <w:shd w:fill="FFFFFF" w:val="clear"/>
            <w:vAlign w:val="center"/>
          </w:tcPr>
          <w:p>
            <w:pPr>
              <w:pStyle w:val="TableContents"/>
              <w:bidi w:val="0"/>
              <w:spacing w:before="0" w:after="283"/>
              <w:jc w:val="left"/>
              <w:rPr/>
            </w:pPr>
            <w:r>
              <w:rPr/>
              <w:t>Weighted average remaining lease term in years – operating leases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sz w:val="20"/>
              </w:rPr>
            </w:pPr>
            <w:r>
              <w:rPr>
                <w:sz w:val="20"/>
              </w:rPr>
              <w:t>3.0 years</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sz w:val="20"/>
              </w:rPr>
            </w:pPr>
            <w:r>
              <w:rPr>
                <w:sz w:val="20"/>
              </w:rPr>
              <w:t>4.0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3.0 years</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sz w:val="20"/>
              </w:rPr>
            </w:pPr>
            <w:r>
              <w:rPr>
                <w:sz w:val="20"/>
              </w:rPr>
              <w:t>4.0 years</w:t>
            </w:r>
          </w:p>
        </w:tc>
        <w:tc>
          <w:tcPr>
            <w:tcW w:w="721" w:type="dxa"/>
            <w:tcBorders/>
            <w:shd w:fill="FFFFFF" w:val="clear"/>
            <w:vAlign w:val="center"/>
          </w:tcPr>
          <w:p>
            <w:pPr>
              <w:pStyle w:val="TableContents"/>
              <w:bidi w:val="0"/>
              <w:spacing w:before="0" w:after="283"/>
              <w:jc w:val="left"/>
              <w:rPr/>
            </w:pPr>
            <w:r>
              <w:rPr/>
              <w:t> </w:t>
            </w:r>
          </w:p>
        </w:tc>
      </w:tr>
      <w:tr>
        <w:trPr/>
        <w:tc>
          <w:tcPr>
            <w:tcW w:w="4548" w:type="dxa"/>
            <w:tcBorders/>
            <w:shd w:fill="CCEEFF" w:val="clear"/>
            <w:vAlign w:val="center"/>
          </w:tcPr>
          <w:p>
            <w:pPr>
              <w:pStyle w:val="TableContents"/>
              <w:bidi w:val="0"/>
              <w:spacing w:before="0" w:after="283"/>
              <w:jc w:val="left"/>
              <w:rPr/>
            </w:pPr>
            <w:r>
              <w:rPr/>
              <w:t>Weighted average remaining lease term in years – finance leases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sz w:val="20"/>
              </w:rPr>
            </w:pPr>
            <w:r>
              <w:rPr>
                <w:sz w:val="20"/>
              </w:rPr>
              <w:t>0.3 years</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sz w:val="20"/>
              </w:rPr>
            </w:pPr>
            <w:r>
              <w:rPr>
                <w:sz w:val="20"/>
              </w:rPr>
              <w:t>1.3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sz w:val="20"/>
              </w:rPr>
            </w:pPr>
            <w:r>
              <w:rPr>
                <w:sz w:val="20"/>
              </w:rPr>
              <w:t>0.3 years</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sz w:val="20"/>
              </w:rPr>
            </w:pPr>
            <w:r>
              <w:rPr>
                <w:sz w:val="20"/>
              </w:rPr>
              <w:t>1.3 years</w:t>
            </w:r>
          </w:p>
        </w:tc>
        <w:tc>
          <w:tcPr>
            <w:tcW w:w="721"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contractual maturities of the Company’s lease liabilities for each of the four years in the period ending December 31, 2029, and thereafter, reconciled to our lease liability at June 30, 2026:</w:t>
      </w:r>
    </w:p>
    <w:p>
      <w:pPr>
        <w:pStyle w:val="TextBody"/>
        <w:bidi w:val="0"/>
        <w:spacing w:before="0" w:after="0"/>
        <w:ind w:left="0" w:right="0" w:hanging="0"/>
        <w:jc w:val="left"/>
        <w:rPr>
          <w:caps w:val="false"/>
          <w:smallCaps w:val="false"/>
        </w:rPr>
      </w:pPr>
      <w:r>
        <w:rPr>
          <w:caps w:val="false"/>
          <w:smallCaps w:val="false"/>
        </w:rPr>
        <w:t> </w:t>
      </w:r>
    </w:p>
    <w:tbl>
      <w:tblPr>
        <w:tblW w:w="7764" w:type="dxa"/>
        <w:jc w:val="left"/>
        <w:tblInd w:w="0" w:type="dxa"/>
        <w:tblLayout w:type="fixed"/>
        <w:tblCellMar>
          <w:top w:w="0" w:type="dxa"/>
          <w:left w:w="0" w:type="dxa"/>
          <w:bottom w:w="28" w:type="dxa"/>
          <w:right w:w="0" w:type="dxa"/>
        </w:tblCellMar>
      </w:tblPr>
      <w:tblGrid>
        <w:gridCol w:w="3335"/>
        <w:gridCol w:w="60"/>
        <w:gridCol w:w="358"/>
        <w:gridCol w:w="1432"/>
        <w:gridCol w:w="60"/>
        <w:gridCol w:w="60"/>
        <w:gridCol w:w="546"/>
        <w:gridCol w:w="1018"/>
        <w:gridCol w:w="60"/>
        <w:gridCol w:w="60"/>
        <w:gridCol w:w="140"/>
        <w:gridCol w:w="560"/>
        <w:gridCol w:w="75"/>
      </w:tblGrid>
      <w:tr>
        <w:trPr/>
        <w:tc>
          <w:tcPr>
            <w:tcW w:w="3335" w:type="dxa"/>
            <w:tcBorders>
              <w:bottom w:val="single" w:sz="8"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790" w:type="dxa"/>
            <w:gridSpan w:val="2"/>
            <w:tcBorders>
              <w:bottom w:val="single" w:sz="8" w:space="0" w:color="000000"/>
            </w:tcBorders>
            <w:vAlign w:val="center"/>
          </w:tcPr>
          <w:p>
            <w:pPr>
              <w:pStyle w:val="TableContents"/>
              <w:bidi w:val="0"/>
              <w:spacing w:before="0" w:after="283"/>
              <w:jc w:val="center"/>
              <w:rPr>
                <w:b/>
              </w:rPr>
            </w:pPr>
            <w:r>
              <w:rPr>
                <w:b/>
              </w:rPr>
              <w:t>Operating Leases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b/>
              </w:rPr>
            </w:pPr>
            <w:r>
              <w:rPr>
                <w:b/>
              </w:rPr>
              <w:t>Finance Leases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2026 (six months remaining)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left"/>
              <w:rPr/>
            </w:pPr>
            <w:r>
              <w:rPr/>
              <w:t>$</w:t>
            </w:r>
          </w:p>
        </w:tc>
        <w:tc>
          <w:tcPr>
            <w:tcW w:w="1432" w:type="dxa"/>
            <w:tcBorders/>
            <w:shd w:fill="CCEEFF" w:val="clear"/>
            <w:tcMar>
              <w:bottom w:w="0" w:type="dxa"/>
            </w:tcMar>
            <w:vAlign w:val="center"/>
          </w:tcPr>
          <w:p>
            <w:pPr>
              <w:pStyle w:val="TableContents"/>
              <w:bidi w:val="0"/>
              <w:spacing w:before="0" w:after="283"/>
              <w:jc w:val="right"/>
              <w:rPr/>
            </w:pPr>
            <w:r>
              <w:rPr/>
              <w:t>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shd w:fill="CCEEFF" w:val="clear"/>
            <w:tcMar>
              <w:bottom w:w="0" w:type="dxa"/>
            </w:tcMar>
            <w:vAlign w:val="center"/>
          </w:tcPr>
          <w:p>
            <w:pPr>
              <w:pStyle w:val="TableContents"/>
              <w:bidi w:val="0"/>
              <w:spacing w:before="0" w:after="283"/>
              <w:jc w:val="left"/>
              <w:rPr/>
            </w:pPr>
            <w:r>
              <w:rPr/>
              <w:t>$</w:t>
            </w:r>
          </w:p>
        </w:tc>
        <w:tc>
          <w:tcPr>
            <w:tcW w:w="1018" w:type="dxa"/>
            <w:tcBorders/>
            <w:shd w:fill="CCEEFF" w:val="clear"/>
            <w:tcMar>
              <w:bottom w:w="0" w:type="dxa"/>
            </w:tcM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240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shd w:fill="CCEEFF" w:val="clear"/>
            <w:tcMar>
              <w:bottom w:w="0" w:type="dxa"/>
            </w:tcMar>
            <w:vAlign w:val="center"/>
          </w:tcPr>
          <w:p>
            <w:pPr>
              <w:pStyle w:val="TableContents"/>
              <w:bidi w:val="0"/>
              <w:spacing w:before="0" w:after="283"/>
              <w:jc w:val="left"/>
              <w:rPr/>
            </w:pPr>
            <w:r>
              <w:rPr/>
              <w:t> </w:t>
            </w:r>
          </w:p>
        </w:tc>
        <w:tc>
          <w:tcPr>
            <w:tcW w:w="1432" w:type="dxa"/>
            <w:tcBorders/>
            <w:shd w:fill="CCEEFF" w:val="clear"/>
            <w:tcMar>
              <w:bottom w:w="0" w:type="dxa"/>
            </w:tcMar>
            <w:vAlign w:val="center"/>
          </w:tcPr>
          <w:p>
            <w:pPr>
              <w:pStyle w:val="TableContents"/>
              <w:bidi w:val="0"/>
              <w:spacing w:before="0" w:after="283"/>
              <w:jc w:val="right"/>
              <w:rPr/>
            </w:pPr>
            <w:r>
              <w:rPr/>
              <w:t>376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shd w:fill="CCEEFF" w:val="clear"/>
            <w:tcMar>
              <w:bottom w:w="0" w:type="dxa"/>
            </w:tcMar>
            <w:vAlign w:val="center"/>
          </w:tcPr>
          <w:p>
            <w:pPr>
              <w:pStyle w:val="TableContents"/>
              <w:bidi w:val="0"/>
              <w:spacing w:before="0" w:after="283"/>
              <w:jc w:val="left"/>
              <w:rPr/>
            </w:pPr>
            <w:r>
              <w:rPr/>
              <w:t> </w:t>
            </w:r>
          </w:p>
        </w:tc>
        <w:tc>
          <w:tcPr>
            <w:tcW w:w="101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bottom w:val="single" w:sz="8" w:space="0" w:color="000000"/>
            </w:tcBorders>
            <w:shd w:fill="CCEEFF" w:val="clear"/>
            <w:vAlign w:val="center"/>
          </w:tcPr>
          <w:p>
            <w:pPr>
              <w:pStyle w:val="TableContents"/>
              <w:bidi w:val="0"/>
              <w:spacing w:before="0" w:after="283"/>
              <w:jc w:val="left"/>
              <w:rPr/>
            </w:pPr>
            <w:r>
              <w:rPr/>
              <w:t> </w:t>
            </w:r>
          </w:p>
        </w:tc>
        <w:tc>
          <w:tcPr>
            <w:tcW w:w="1432"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bottom w:val="single" w:sz="8" w:space="0" w:color="000000"/>
            </w:tcBorders>
            <w:shd w:fill="CCEEFF" w:val="clear"/>
            <w:vAlign w:val="center"/>
          </w:tcPr>
          <w:p>
            <w:pPr>
              <w:pStyle w:val="TableContents"/>
              <w:bidi w:val="0"/>
              <w:spacing w:before="0" w:after="283"/>
              <w:jc w:val="left"/>
              <w:rPr/>
            </w:pPr>
            <w:r>
              <w:rPr/>
              <w:t> </w:t>
            </w:r>
          </w:p>
        </w:tc>
        <w:tc>
          <w:tcPr>
            <w:tcW w:w="101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Total undiscounted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shd w:fill="FFFFFF" w:val="clear"/>
            <w:tcMar>
              <w:bottom w:w="0" w:type="dxa"/>
            </w:tcMar>
            <w:vAlign w:val="center"/>
          </w:tcPr>
          <w:p>
            <w:pPr>
              <w:pStyle w:val="TableContents"/>
              <w:bidi w:val="0"/>
              <w:spacing w:before="0" w:after="283"/>
              <w:jc w:val="left"/>
              <w:rPr/>
            </w:pPr>
            <w:r>
              <w:rPr/>
              <w:t> </w:t>
            </w:r>
          </w:p>
        </w:tc>
        <w:tc>
          <w:tcPr>
            <w:tcW w:w="1432" w:type="dxa"/>
            <w:tcBorders/>
            <w:shd w:fill="FFFFFF" w:val="clear"/>
            <w:tcMar>
              <w:bottom w:w="0" w:type="dxa"/>
            </w:tcMar>
            <w:vAlign w:val="center"/>
          </w:tcPr>
          <w:p>
            <w:pPr>
              <w:pStyle w:val="TableContents"/>
              <w:bidi w:val="0"/>
              <w:spacing w:before="0" w:after="283"/>
              <w:jc w:val="right"/>
              <w:rPr/>
            </w:pPr>
            <w:r>
              <w:rPr/>
              <w:t>1,189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shd w:fill="FFFFFF" w:val="clear"/>
            <w:tcMar>
              <w:bottom w:w="0" w:type="dxa"/>
            </w:tcMar>
            <w:vAlign w:val="center"/>
          </w:tcPr>
          <w:p>
            <w:pPr>
              <w:pStyle w:val="TableContents"/>
              <w:bidi w:val="0"/>
              <w:spacing w:before="0" w:after="283"/>
              <w:jc w:val="left"/>
              <w:rPr/>
            </w:pPr>
            <w:r>
              <w:rPr/>
              <w:t> </w:t>
            </w:r>
          </w:p>
        </w:tc>
        <w:tc>
          <w:tcPr>
            <w:tcW w:w="1018" w:type="dxa"/>
            <w:tcBorders/>
            <w:shd w:fill="FFFFFF" w:val="clear"/>
            <w:tcMar>
              <w:bottom w:w="0" w:type="dxa"/>
            </w:tcMar>
            <w:vAlign w:val="center"/>
          </w:tcPr>
          <w:p>
            <w:pPr>
              <w:pStyle w:val="TableContents"/>
              <w:bidi w:val="0"/>
              <w:spacing w:before="0" w:after="283"/>
              <w:jc w:val="right"/>
              <w:rPr/>
            </w:pPr>
            <w:r>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1,229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pPr>
            <w:r>
              <w:rPr/>
              <w:t>Less: present value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8" w:type="dxa"/>
            <w:tcBorders>
              <w:bottom w:val="single" w:sz="8" w:space="0" w:color="000000"/>
            </w:tcBorders>
            <w:shd w:fill="CCEEFF" w:val="clear"/>
            <w:vAlign w:val="center"/>
          </w:tcPr>
          <w:p>
            <w:pPr>
              <w:pStyle w:val="TableContents"/>
              <w:bidi w:val="0"/>
              <w:spacing w:before="0" w:after="283"/>
              <w:jc w:val="left"/>
              <w:rPr/>
            </w:pPr>
            <w:r>
              <w:rPr/>
              <w:t> </w:t>
            </w:r>
          </w:p>
        </w:tc>
        <w:tc>
          <w:tcPr>
            <w:tcW w:w="1432" w:type="dxa"/>
            <w:tcBorders>
              <w:bottom w:val="single" w:sz="8" w:space="0" w:color="000000"/>
            </w:tcBorders>
            <w:shd w:fill="CCEEFF" w:val="cle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 w:type="dxa"/>
            <w:tcBorders>
              <w:bottom w:val="single" w:sz="8" w:space="0" w:color="000000"/>
            </w:tcBorders>
            <w:shd w:fill="CCEEFF" w:val="clear"/>
            <w:vAlign w:val="center"/>
          </w:tcPr>
          <w:p>
            <w:pPr>
              <w:pStyle w:val="TableContents"/>
              <w:bidi w:val="0"/>
              <w:spacing w:before="0" w:after="283"/>
              <w:jc w:val="left"/>
              <w:rPr/>
            </w:pPr>
            <w:r>
              <w:rPr/>
              <w:t> </w:t>
            </w:r>
          </w:p>
        </w:tc>
        <w:tc>
          <w:tcPr>
            <w:tcW w:w="1018"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71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35" w:type="dxa"/>
            <w:tcBorders/>
            <w:shd w:fill="FFFFFF" w:val="clear"/>
            <w:tcMar>
              <w:bottom w:w="0" w:type="dxa"/>
            </w:tcMar>
            <w:vAlign w:val="center"/>
          </w:tcPr>
          <w:p>
            <w:pPr>
              <w:pStyle w:val="TableContents"/>
              <w:bidi w:val="0"/>
              <w:spacing w:before="0" w:after="283"/>
              <w:jc w:val="left"/>
              <w:rPr/>
            </w:pPr>
            <w:r>
              <w:rPr/>
              <w:t>Lease liability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vAlign w:val="center"/>
          </w:tcPr>
          <w:p>
            <w:pPr>
              <w:pStyle w:val="TableContents"/>
              <w:bidi w:val="0"/>
              <w:spacing w:before="0" w:after="283"/>
              <w:jc w:val="left"/>
              <w:rPr/>
            </w:pPr>
            <w:r>
              <w:rPr/>
              <w:t>$</w:t>
            </w:r>
          </w:p>
        </w:tc>
        <w:tc>
          <w:tcPr>
            <w:tcW w:w="1432" w:type="dxa"/>
            <w:tcBorders>
              <w:bottom w:val="double" w:sz="6" w:space="0" w:color="000000"/>
            </w:tcBorders>
            <w:shd w:fill="FFFFFF" w:val="clear"/>
            <w:vAlign w:val="center"/>
          </w:tcPr>
          <w:p>
            <w:pPr>
              <w:pStyle w:val="TableContents"/>
              <w:bidi w:val="0"/>
              <w:spacing w:before="0" w:after="283"/>
              <w:jc w:val="right"/>
              <w:rPr/>
            </w:pPr>
            <w:r>
              <w:rPr/>
              <w:t>1,118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vAlign w:val="center"/>
          </w:tcPr>
          <w:p>
            <w:pPr>
              <w:pStyle w:val="TableContents"/>
              <w:bidi w:val="0"/>
              <w:spacing w:before="0" w:after="283"/>
              <w:jc w:val="left"/>
              <w:rPr/>
            </w:pPr>
            <w:r>
              <w:rPr/>
              <w:t>$</w:t>
            </w:r>
          </w:p>
        </w:tc>
        <w:tc>
          <w:tcPr>
            <w:tcW w:w="1018" w:type="dxa"/>
            <w:tcBorders>
              <w:bottom w:val="double" w:sz="6" w:space="0" w:color="000000"/>
            </w:tcBorders>
            <w:shd w:fill="FFFFFF" w:val="clear"/>
            <w:vAlign w:val="center"/>
          </w:tcPr>
          <w:p>
            <w:pPr>
              <w:pStyle w:val="TableContents"/>
              <w:bidi w:val="0"/>
              <w:spacing w:before="0" w:after="283"/>
              <w:jc w:val="right"/>
              <w:rPr/>
            </w:pPr>
            <w:r>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560" w:type="dxa"/>
            <w:tcBorders>
              <w:bottom w:val="double" w:sz="6" w:space="0" w:color="000000"/>
            </w:tcBorders>
            <w:shd w:fill="FFFFFF" w:val="clear"/>
            <w:vAlign w:val="center"/>
          </w:tcPr>
          <w:p>
            <w:pPr>
              <w:pStyle w:val="TableContents"/>
              <w:bidi w:val="0"/>
              <w:spacing w:before="0" w:after="283"/>
              <w:jc w:val="right"/>
              <w:rPr/>
            </w:pPr>
            <w:r>
              <w:rPr/>
              <w:t>1,158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Contingencies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p>
      <w:pPr>
        <w:pStyle w:val="TextBody"/>
        <w:bidi w:val="0"/>
        <w:spacing w:before="0" w:after="0"/>
        <w:ind w:left="15" w:right="15"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942"/>
        <w:gridCol w:w="9152"/>
      </w:tblGrid>
      <w:tr>
        <w:trPr/>
        <w:tc>
          <w:tcPr>
            <w:tcW w:w="11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b/>
              </w:rPr>
            </w:pPr>
            <w:r>
              <w:rPr>
                <w:b/>
              </w:rPr>
              <w:t>15.</w:t>
            </w:r>
          </w:p>
        </w:tc>
        <w:tc>
          <w:tcPr>
            <w:tcW w:w="9152" w:type="dxa"/>
            <w:tcBorders/>
            <w:vAlign w:val="center"/>
          </w:tcPr>
          <w:p>
            <w:pPr>
              <w:pStyle w:val="TableContents"/>
              <w:bidi w:val="0"/>
              <w:spacing w:before="0" w:after="283"/>
              <w:jc w:val="left"/>
              <w:rPr>
                <w:b/>
              </w:rPr>
            </w:pPr>
            <w:r>
              <w:rPr>
                <w:b/>
              </w:rPr>
              <w:t>Common and Preferred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number of common stock shares outstanding were as follows:</w:t>
      </w:r>
    </w:p>
    <w:p>
      <w:pPr>
        <w:pStyle w:val="TextBody"/>
        <w:bidi w:val="0"/>
        <w:spacing w:before="0" w:after="0"/>
        <w:ind w:left="0" w:right="0" w:hanging="0"/>
        <w:jc w:val="left"/>
        <w:rPr>
          <w:caps w:val="false"/>
          <w:smallCaps w:val="false"/>
        </w:rPr>
      </w:pPr>
      <w:r>
        <w:rPr>
          <w:caps w:val="false"/>
          <w:smallCaps w:val="false"/>
        </w:rPr>
        <w:t> </w:t>
      </w:r>
    </w:p>
    <w:tbl>
      <w:tblPr>
        <w:tblW w:w="9397" w:type="dxa"/>
        <w:jc w:val="left"/>
        <w:tblInd w:w="0" w:type="dxa"/>
        <w:tblLayout w:type="fixed"/>
        <w:tblCellMar>
          <w:top w:w="0" w:type="dxa"/>
          <w:left w:w="0" w:type="dxa"/>
          <w:bottom w:w="0" w:type="dxa"/>
          <w:right w:w="0" w:type="dxa"/>
        </w:tblCellMar>
      </w:tblPr>
      <w:tblGrid>
        <w:gridCol w:w="6440"/>
        <w:gridCol w:w="60"/>
        <w:gridCol w:w="68"/>
        <w:gridCol w:w="1255"/>
        <w:gridCol w:w="108"/>
        <w:gridCol w:w="68"/>
        <w:gridCol w:w="68"/>
        <w:gridCol w:w="1255"/>
        <w:gridCol w:w="75"/>
      </w:tblGrid>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16"/>
              <w:jc w:val="left"/>
              <w:rPr/>
            </w:pPr>
            <w:r>
              <w:rPr/>
              <w:t> </w:t>
            </w:r>
          </w:p>
        </w:tc>
      </w:tr>
      <w:tr>
        <w:trPr/>
        <w:tc>
          <w:tcPr>
            <w:tcW w:w="6440" w:type="dxa"/>
            <w:tcBorders/>
            <w:shd w:fill="CCEEFF" w:val="clear"/>
            <w:vAlign w:val="center"/>
          </w:tcPr>
          <w:p>
            <w:pPr>
              <w:pStyle w:val="TableContents"/>
              <w:bidi w:val="0"/>
              <w:spacing w:before="0" w:after="283"/>
              <w:jc w:val="left"/>
              <w:rPr/>
            </w:pPr>
            <w:r>
              <w:rPr/>
              <w:t>Shares outstanding, beginning of period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20,554,144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20,673,268</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6440" w:type="dxa"/>
            <w:tcBorders/>
            <w:shd w:fill="FFFFFF" w:val="clear"/>
            <w:vAlign w:val="center"/>
          </w:tcPr>
          <w:p>
            <w:pPr>
              <w:pStyle w:val="TableContents"/>
              <w:bidi w:val="0"/>
              <w:spacing w:before="0" w:after="283"/>
              <w:jc w:val="left"/>
              <w:rPr/>
            </w:pPr>
            <w:r>
              <w:rPr/>
              <w:t>Treasury shares repurchased through stock repurchase authorization</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(169,757</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6440" w:type="dxa"/>
            <w:tcBorders/>
            <w:shd w:fill="CCEEFF" w:val="clear"/>
            <w:vAlign w:val="center"/>
          </w:tcPr>
          <w:p>
            <w:pPr>
              <w:pStyle w:val="TableContents"/>
              <w:bidi w:val="0"/>
              <w:spacing w:before="0" w:after="283"/>
              <w:jc w:val="left"/>
              <w:rPr/>
            </w:pPr>
            <w:r>
              <w:rPr/>
              <w:t>Issuance of treasury shares for vesting of restricted stock units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47,432</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40,090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6440" w:type="dxa"/>
            <w:tcBorders/>
            <w:shd w:fill="FFFFFF" w:val="clear"/>
            <w:vAlign w:val="center"/>
          </w:tcPr>
          <w:p>
            <w:pPr>
              <w:pStyle w:val="TableContents"/>
              <w:bidi w:val="0"/>
              <w:spacing w:before="0" w:after="283"/>
              <w:jc w:val="left"/>
              <w:rPr/>
            </w:pPr>
            <w:r>
              <w:rPr/>
              <w:t>Shares outstanding, end of period</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20,431,819</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20,713,358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the number of common shares outstanding excludes certain non-forfeitable stock award shares that are included in the weighted average common shares outstanding used in basic earnings per common share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25, 2025, our Board of Directors approved an authorization for the repurchase of up to approximately $5,000 of the Company’s outstanding common stock in addition to the $2,052 remaining from the May 9, 2022 authorization. During the six months ended June 30, 2025, we did not repurchase any shares of our common stock. During the year ended December 31, 2025, we completed the repurchase of 188,185 shares of our common stock for $2,517, including the effects from applicable excise taxes under these authorizations. As of December 31, 2025, these share repurchases closed out the May 9, 2022 authorization, and $4,549 remained available under the August 25, 2025 authorization. During the six months ended June 30, 2026, we completed the repurchase of 169,757 shares of our common stock for $2,306, including the effects from applicable excise taxes under these authorizations. At June 30, 2026, $2,260 remains available under this authorization.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this treasury stock is a reduction of shareholders’ equity within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Articles of Incorporation provide authority to issue up to five million shares of preferred stock. No preferred shares are issued or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22"/>
        <w:gridCol w:w="886"/>
        <w:gridCol w:w="9197"/>
      </w:tblGrid>
      <w:tr>
        <w:trPr/>
        <w:tc>
          <w:tcPr>
            <w:tcW w:w="1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b/>
                <w:sz w:val="20"/>
              </w:rPr>
            </w:pPr>
            <w:r>
              <w:rPr>
                <w:b/>
                <w:sz w:val="20"/>
              </w:rPr>
              <w:t>16.</w:t>
            </w:r>
          </w:p>
        </w:tc>
        <w:tc>
          <w:tcPr>
            <w:tcW w:w="9197" w:type="dxa"/>
            <w:tcBorders/>
            <w:vAlign w:val="center"/>
          </w:tcPr>
          <w:p>
            <w:pPr>
              <w:pStyle w:val="TableContents"/>
              <w:bidi w:val="0"/>
              <w:spacing w:before="0" w:after="283"/>
              <w:jc w:val="left"/>
              <w:rPr>
                <w:b/>
              </w:rPr>
            </w:pPr>
            <w:r>
              <w:rPr>
                <w:b/>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beginning in 2024, the RSUs vest equally over a three-year period. As approved by the Compensation Committee, all executive share-based compensation granted in 2025 and 2026 was awarded as RSUs. The RSUs granted to non-employee directors vest 100% on the date of the next annual meeting of shareholders following the grant date. If applicable, dividend equivalents on RSUs are accrued during the vesting period and paid in cash at the end of the vesting period but are subject to forfeiture until the underlying shares become vested. Participants do not have voting rights with respect to RSUs.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and unearned RSUs is presented below:</w:t>
      </w:r>
    </w:p>
    <w:p>
      <w:pPr>
        <w:pStyle w:val="TextBody"/>
        <w:bidi w:val="0"/>
        <w:spacing w:before="0" w:after="0"/>
        <w:ind w:left="0" w:right="0" w:hanging="0"/>
        <w:jc w:val="left"/>
        <w:rPr>
          <w:caps w:val="false"/>
          <w:smallCaps w:val="false"/>
        </w:rPr>
      </w:pPr>
      <w:r>
        <w:rPr>
          <w:caps w:val="false"/>
          <w:smallCaps w:val="false"/>
        </w:rPr>
        <w:t> </w:t>
      </w:r>
    </w:p>
    <w:tbl>
      <w:tblPr>
        <w:tblW w:w="8270" w:type="dxa"/>
        <w:jc w:val="left"/>
        <w:tblInd w:w="0" w:type="dxa"/>
        <w:tblLayout w:type="fixed"/>
        <w:tblCellMar>
          <w:top w:w="0" w:type="dxa"/>
          <w:left w:w="0" w:type="dxa"/>
          <w:bottom w:w="0" w:type="dxa"/>
          <w:right w:w="0" w:type="dxa"/>
        </w:tblCellMar>
      </w:tblPr>
      <w:tblGrid>
        <w:gridCol w:w="5195"/>
        <w:gridCol w:w="60"/>
        <w:gridCol w:w="60"/>
        <w:gridCol w:w="800"/>
        <w:gridCol w:w="95"/>
        <w:gridCol w:w="60"/>
        <w:gridCol w:w="385"/>
        <w:gridCol w:w="1540"/>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Grant-Date</w:t>
              <w:br/>
              <w:t>Fair Value</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Units outstanding and unearned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15.11</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RSUs granted during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168,798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14.00</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RSUs earned during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15.02</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sz w:val="20"/>
              </w:rPr>
            </w:pPr>
            <w:r>
              <w:rPr>
                <w:sz w:val="20"/>
              </w:rPr>
              <w:t xml:space="preserve">Forfeitures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(89,140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14.68</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Units outstanding and unearned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132,434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14.02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RSUs granted during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198,105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13.39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RSUs earned during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5195"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14.62</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5195" w:type="dxa"/>
            <w:tcBorders/>
            <w:shd w:fill="FFFFFF" w:val="clear"/>
            <w:vAlign w:val="center"/>
          </w:tcPr>
          <w:p>
            <w:pPr>
              <w:pStyle w:val="TableContents"/>
              <w:bidi w:val="0"/>
              <w:spacing w:before="0" w:after="283"/>
              <w:jc w:val="left"/>
              <w:rPr/>
            </w:pPr>
            <w:r>
              <w:rPr/>
              <w:t>Units outstanding and unearned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247,947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13.56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Represents RSU forfeitures primarily related to the execution of the 2025 separation agreement with the former Chief Executive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RSU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1"/>
        <w:gridCol w:w="60"/>
        <w:gridCol w:w="341"/>
        <w:gridCol w:w="927"/>
        <w:gridCol w:w="231"/>
        <w:gridCol w:w="145"/>
        <w:gridCol w:w="341"/>
        <w:gridCol w:w="927"/>
        <w:gridCol w:w="95"/>
        <w:gridCol w:w="60"/>
        <w:gridCol w:w="277"/>
        <w:gridCol w:w="901"/>
        <w:gridCol w:w="187"/>
        <w:gridCol w:w="118"/>
        <w:gridCol w:w="277"/>
        <w:gridCol w:w="901"/>
        <w:gridCol w:w="116"/>
      </w:tblGrid>
      <w:tr>
        <w:trPr/>
        <w:tc>
          <w:tcPr>
            <w:tcW w:w="4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6" w:type="dxa"/>
            <w:tcBorders/>
            <w:vAlign w:val="center"/>
          </w:tcPr>
          <w:p>
            <w:pPr>
              <w:pStyle w:val="TableContents"/>
              <w:bidi w:val="0"/>
              <w:spacing w:before="0" w:after="283"/>
              <w:jc w:val="left"/>
              <w:rPr/>
            </w:pPr>
            <w:r>
              <w:rPr/>
              <w:t> </w:t>
            </w:r>
          </w:p>
        </w:tc>
      </w:tr>
      <w:tr>
        <w:trPr/>
        <w:tc>
          <w:tcPr>
            <w:tcW w:w="43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r>
      <w:tr>
        <w:trPr/>
        <w:tc>
          <w:tcPr>
            <w:tcW w:w="4301" w:type="dxa"/>
            <w:tcBorders/>
            <w:shd w:fill="CCEEFF" w:val="clear"/>
            <w:vAlign w:val="center"/>
          </w:tcPr>
          <w:p>
            <w:pPr>
              <w:pStyle w:val="TableContents"/>
              <w:bidi w:val="0"/>
              <w:spacing w:before="0" w:after="283"/>
              <w:jc w:val="left"/>
              <w:rPr/>
            </w:pPr>
            <w:r>
              <w:rPr/>
              <w:t>RSU compensation expense</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363</w:t>
            </w:r>
          </w:p>
        </w:tc>
        <w:tc>
          <w:tcPr>
            <w:tcW w:w="23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699</w:t>
            </w:r>
          </w:p>
        </w:tc>
        <w:tc>
          <w:tcPr>
            <w:tcW w:w="18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696</w:t>
            </w:r>
          </w:p>
        </w:tc>
        <w:tc>
          <w:tcPr>
            <w:tcW w:w="116" w:type="dxa"/>
            <w:tcBorders/>
            <w:shd w:fill="CCEEFF" w:val="clear"/>
            <w:vAlign w:val="center"/>
          </w:tcPr>
          <w:p>
            <w:pPr>
              <w:pStyle w:val="TableContents"/>
              <w:bidi w:val="0"/>
              <w:spacing w:before="0" w:after="283"/>
              <w:ind w:left="0" w:right="0" w:hanging="216"/>
              <w:jc w:val="left"/>
              <w:rPr/>
            </w:pPr>
            <w:r>
              <w:rPr/>
              <w:t> </w:t>
            </w:r>
          </w:p>
        </w:tc>
      </w:tr>
      <w:tr>
        <w:trPr/>
        <w:tc>
          <w:tcPr>
            <w:tcW w:w="4301"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pPr>
            <w:r>
              <w:rPr/>
              <w:t>(76</w:t>
            </w:r>
          </w:p>
        </w:tc>
        <w:tc>
          <w:tcPr>
            <w:tcW w:w="231" w:type="dxa"/>
            <w:tcBorders/>
            <w:shd w:fill="FFFFFF" w:val="clear"/>
            <w:vAlign w:val="center"/>
          </w:tcPr>
          <w:p>
            <w:pPr>
              <w:pStyle w:val="TableContents"/>
              <w:bidi w:val="0"/>
              <w:spacing w:before="0" w:after="283"/>
              <w:jc w:val="left"/>
              <w:rPr/>
            </w:pPr>
            <w:r>
              <w:rPr/>
              <w:t>)</w:t>
            </w:r>
          </w:p>
        </w:tc>
        <w:tc>
          <w:tcPr>
            <w:tcW w:w="145" w:type="dxa"/>
            <w:tcBorders/>
            <w:shd w:fill="FFFFFF" w:val="clear"/>
            <w:vAlign w:val="center"/>
          </w:tcPr>
          <w:p>
            <w:pPr>
              <w:pStyle w:val="TableContents"/>
              <w:bidi w:val="0"/>
              <w:spacing w:before="0" w:after="283"/>
              <w:jc w:val="left"/>
              <w:rPr/>
            </w:pPr>
            <w:r>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pPr>
            <w:r>
              <w:rPr/>
              <w:t>(53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(147</w:t>
            </w:r>
          </w:p>
        </w:tc>
        <w:tc>
          <w:tcPr>
            <w:tcW w:w="187" w:type="dxa"/>
            <w:tcBorders/>
            <w:shd w:fill="FFFFFF" w:val="clear"/>
            <w:vAlign w:val="center"/>
          </w:tcPr>
          <w:p>
            <w:pPr>
              <w:pStyle w:val="TableContents"/>
              <w:bidi w:val="0"/>
              <w:spacing w:before="0" w:after="283"/>
              <w:jc w:val="left"/>
              <w:rPr/>
            </w:pPr>
            <w:r>
              <w:rPr/>
              <w:t>)</w:t>
            </w:r>
          </w:p>
        </w:tc>
        <w:tc>
          <w:tcPr>
            <w:tcW w:w="118"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(158</w:t>
            </w:r>
          </w:p>
        </w:tc>
        <w:tc>
          <w:tcPr>
            <w:tcW w:w="116" w:type="dxa"/>
            <w:tcBorders/>
            <w:shd w:fill="FFFFFF" w:val="clear"/>
            <w:vAlign w:val="center"/>
          </w:tcPr>
          <w:p>
            <w:pPr>
              <w:pStyle w:val="TableContents"/>
              <w:bidi w:val="0"/>
              <w:spacing w:before="0" w:after="283"/>
              <w:ind w:left="0" w:right="0" w:hanging="216"/>
              <w:jc w:val="left"/>
              <w:rPr/>
            </w:pPr>
            <w:r>
              <w:rPr/>
              <w:t>)</w:t>
            </w:r>
          </w:p>
        </w:tc>
      </w:tr>
      <w:tr>
        <w:trPr/>
        <w:tc>
          <w:tcPr>
            <w:tcW w:w="4301" w:type="dxa"/>
            <w:tcBorders/>
            <w:shd w:fill="CCEEFF" w:val="clear"/>
            <w:vAlign w:val="center"/>
          </w:tcPr>
          <w:p>
            <w:pPr>
              <w:pStyle w:val="TableContents"/>
              <w:bidi w:val="0"/>
              <w:spacing w:before="0" w:after="283"/>
              <w:jc w:val="left"/>
              <w:rPr/>
            </w:pPr>
            <w:r>
              <w:rPr/>
              <w:t>RSU compensation expense, net of income taxes</w:t>
            </w:r>
          </w:p>
        </w:tc>
        <w:tc>
          <w:tcPr>
            <w:tcW w:w="60"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pPr>
            <w:r>
              <w:rPr/>
              <w:t>287</w:t>
            </w:r>
          </w:p>
        </w:tc>
        <w:tc>
          <w:tcPr>
            <w:tcW w:w="23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pPr>
            <w:r>
              <w:rPr/>
              <w:t>552</w:t>
            </w:r>
          </w:p>
        </w:tc>
        <w:tc>
          <w:tcPr>
            <w:tcW w:w="187"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pPr>
            <w:r>
              <w:rPr/>
              <w:t>538</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2026, there was $2,859 of unrecognized compensation cost related to outstanding RSUs. That cost is expected to be recognized over a weighted-average period of 2.22 years.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For grants made in 2024, the performance metric is calculated based on an adjusted return on equity over a three-year period, with annual resets. There were no PSUs granted in 2025 or 2026. PSUs will vest on the third anniversary of the grant date, subject to the participant’s continuous employment through the vesting date and the level of performance achieved. If applicable,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outstanding PSUs is presented below:</w:t>
      </w:r>
    </w:p>
    <w:p>
      <w:pPr>
        <w:pStyle w:val="TextBody"/>
        <w:bidi w:val="0"/>
        <w:spacing w:before="0" w:after="0"/>
        <w:ind w:left="0" w:right="0" w:hanging="0"/>
        <w:jc w:val="left"/>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3860"/>
        <w:gridCol w:w="60"/>
        <w:gridCol w:w="60"/>
        <w:gridCol w:w="755"/>
        <w:gridCol w:w="95"/>
        <w:gridCol w:w="60"/>
        <w:gridCol w:w="397"/>
        <w:gridCol w:w="1588"/>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Weighted-Average </w:t>
              <w:br/>
              <w:t>Grant-Date</w:t>
              <w:br/>
              <w:t>Fair Value</w:t>
              <w:br/>
              <w:t>Per Share</w:t>
            </w:r>
          </w:p>
        </w:tc>
        <w:tc>
          <w:tcPr>
            <w:tcW w:w="75" w:type="dxa"/>
            <w:tcBorders/>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Units outstanding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17.50</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PSUs granted during 2025 (at target)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PSUs earned during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sz w:val="20"/>
              </w:rPr>
            </w:pPr>
            <w:r>
              <w:rPr>
                <w:sz w:val="20"/>
              </w:rPr>
              <w:t xml:space="preserve">Forfeitures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(11,694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14.19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Units 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20.14</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PSUs granted during 2026 (at target)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PSUs earned during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sz w:val="20"/>
              </w:rPr>
            </w:pPr>
            <w:r>
              <w:rPr>
                <w:sz w:val="20"/>
              </w:rPr>
              <w:t xml:space="preserve">Performance adjustment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14.19</w:t>
            </w:r>
          </w:p>
        </w:tc>
        <w:tc>
          <w:tcPr>
            <w:tcW w:w="75" w:type="dxa"/>
            <w:tcBorders/>
            <w:shd w:fill="FFFFFF" w:val="clear"/>
            <w:vAlign w:val="center"/>
          </w:tcPr>
          <w:p>
            <w:pPr>
              <w:pStyle w:val="TableContents"/>
              <w:bidi w:val="0"/>
              <w:spacing w:before="0" w:after="283"/>
              <w:ind w:left="0" w:right="0" w:hanging="216"/>
              <w:jc w:val="left"/>
              <w:rPr/>
            </w:pPr>
            <w:r>
              <w:rPr/>
              <w:t> </w:t>
            </w:r>
          </w:p>
        </w:tc>
      </w:tr>
      <w:tr>
        <w:trPr/>
        <w:tc>
          <w:tcPr>
            <w:tcW w:w="3860" w:type="dxa"/>
            <w:tcBorders/>
            <w:shd w:fill="CCEEFF" w:val="clear"/>
            <w:vAlign w:val="center"/>
          </w:tcPr>
          <w:p>
            <w:pPr>
              <w:pStyle w:val="TableContents"/>
              <w:bidi w:val="0"/>
              <w:spacing w:before="0" w:after="283"/>
              <w:jc w:val="left"/>
              <w:rPr/>
            </w:pPr>
            <w:r>
              <w:rPr/>
              <w:t>Forfeitures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 </w:t>
            </w:r>
          </w:p>
        </w:tc>
        <w:tc>
          <w:tcPr>
            <w:tcW w:w="1588" w:type="dxa"/>
            <w:tcBorders/>
            <w:shd w:fill="CCEEFF" w:val="clear"/>
            <w:vAlign w:val="center"/>
          </w:tcPr>
          <w:p>
            <w:pPr>
              <w:pStyle w:val="TableContents"/>
              <w:bidi w:val="0"/>
              <w:spacing w:before="0" w:after="283"/>
              <w:jc w:val="right"/>
              <w:rPr/>
            </w:pPr>
            <w:r>
              <w:rPr/>
              <w:t>14.19</w:t>
            </w:r>
          </w:p>
        </w:tc>
        <w:tc>
          <w:tcPr>
            <w:tcW w:w="75" w:type="dxa"/>
            <w:tcBorders/>
            <w:shd w:fill="CCEEFF" w:val="clear"/>
            <w:vAlign w:val="center"/>
          </w:tcPr>
          <w:p>
            <w:pPr>
              <w:pStyle w:val="TableContents"/>
              <w:bidi w:val="0"/>
              <w:spacing w:before="0" w:after="283"/>
              <w:ind w:left="0" w:right="0" w:hanging="216"/>
              <w:jc w:val="left"/>
              <w:rPr/>
            </w:pPr>
            <w:r>
              <w:rPr/>
              <w:t> </w:t>
            </w:r>
          </w:p>
        </w:tc>
      </w:tr>
      <w:tr>
        <w:trPr/>
        <w:tc>
          <w:tcPr>
            <w:tcW w:w="3860" w:type="dxa"/>
            <w:tcBorders/>
            <w:shd w:fill="FFFFFF" w:val="clear"/>
            <w:vAlign w:val="center"/>
          </w:tcPr>
          <w:p>
            <w:pPr>
              <w:pStyle w:val="TableContents"/>
              <w:bidi w:val="0"/>
              <w:spacing w:before="0" w:after="283"/>
              <w:jc w:val="left"/>
              <w:rPr/>
            </w:pPr>
            <w:r>
              <w:rPr/>
              <w:t>Units outstanding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8,688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pPr>
            <w:r>
              <w:rPr/>
              <w:t>24.21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Represents the change in PSUs issued based upon the attainment of performance goals established by the Company.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Represents PSU forfeitures primarily related to the execution of the 2025 separation agreement with the former Chief Executive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impact of PSU activity to the Company’s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9"/>
        <w:gridCol w:w="60"/>
        <w:gridCol w:w="436"/>
        <w:gridCol w:w="791"/>
        <w:gridCol w:w="288"/>
        <w:gridCol w:w="182"/>
        <w:gridCol w:w="436"/>
        <w:gridCol w:w="791"/>
        <w:gridCol w:w="95"/>
        <w:gridCol w:w="60"/>
        <w:gridCol w:w="361"/>
        <w:gridCol w:w="860"/>
        <w:gridCol w:w="243"/>
        <w:gridCol w:w="153"/>
        <w:gridCol w:w="368"/>
        <w:gridCol w:w="668"/>
        <w:gridCol w:w="114"/>
      </w:tblGrid>
      <w:tr>
        <w:trPr/>
        <w:tc>
          <w:tcPr>
            <w:tcW w:w="4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4" w:type="dxa"/>
            <w:tcBorders/>
            <w:vAlign w:val="center"/>
          </w:tcPr>
          <w:p>
            <w:pPr>
              <w:pStyle w:val="TableContents"/>
              <w:bidi w:val="0"/>
              <w:spacing w:before="0" w:after="283"/>
              <w:jc w:val="left"/>
              <w:rPr/>
            </w:pPr>
            <w:r>
              <w:rPr/>
              <w:t> </w:t>
            </w:r>
          </w:p>
        </w:tc>
      </w:tr>
      <w:tr>
        <w:trPr/>
        <w:tc>
          <w:tcPr>
            <w:tcW w:w="4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8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4299" w:type="dxa"/>
            <w:tcBorders/>
            <w:shd w:fill="CCEEFF" w:val="clear"/>
            <w:vAlign w:val="center"/>
          </w:tcPr>
          <w:p>
            <w:pPr>
              <w:pStyle w:val="TableContents"/>
              <w:bidi w:val="0"/>
              <w:spacing w:before="0" w:after="283"/>
              <w:jc w:val="left"/>
              <w:rPr/>
            </w:pPr>
            <w:r>
              <w:rPr/>
              <w:t>PSU compensation expense</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10</w:t>
            </w:r>
          </w:p>
        </w:tc>
        <w:tc>
          <w:tcPr>
            <w:tcW w:w="28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w:t>
            </w:r>
          </w:p>
        </w:tc>
        <w:tc>
          <w:tcPr>
            <w:tcW w:w="243" w:type="dxa"/>
            <w:tcBorders/>
            <w:shd w:fill="CCEEFF" w:val="clear"/>
            <w:vAlign w:val="center"/>
          </w:tcPr>
          <w:p>
            <w:pPr>
              <w:pStyle w:val="TableContents"/>
              <w:bidi w:val="0"/>
              <w:spacing w:before="0" w:after="283"/>
              <w:jc w:val="left"/>
              <w:rPr/>
            </w:pPr>
            <w:r>
              <w:rPr/>
              <w:t>)</w:t>
            </w:r>
          </w:p>
        </w:tc>
        <w:tc>
          <w:tcPr>
            <w:tcW w:w="153"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28</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4299"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288" w:type="dxa"/>
            <w:tcBorders/>
            <w:shd w:fill="FFFFFF" w:val="clear"/>
            <w:vAlign w:val="center"/>
          </w:tcPr>
          <w:p>
            <w:pPr>
              <w:pStyle w:val="TableContents"/>
              <w:bidi w:val="0"/>
              <w:spacing w:before="0" w:after="283"/>
              <w:jc w:val="left"/>
              <w:rPr/>
            </w:pPr>
            <w:r>
              <w:rPr/>
              <w:t>)</w:t>
            </w:r>
          </w:p>
        </w:tc>
        <w:tc>
          <w:tcPr>
            <w:tcW w:w="182" w:type="dxa"/>
            <w:tcBorders/>
            <w:shd w:fill="FFFFFF" w:val="clear"/>
            <w:vAlign w:val="center"/>
          </w:tcPr>
          <w:p>
            <w:pPr>
              <w:pStyle w:val="TableContents"/>
              <w:bidi w:val="0"/>
              <w:spacing w:before="0" w:after="283"/>
              <w:jc w:val="left"/>
              <w:rPr/>
            </w:pPr>
            <w:r>
              <w:rPr/>
              <w:t> </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4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114" w:type="dxa"/>
            <w:tcBorders/>
            <w:shd w:fill="FFFFFF" w:val="clear"/>
            <w:vAlign w:val="center"/>
          </w:tcPr>
          <w:p>
            <w:pPr>
              <w:pStyle w:val="TableContents"/>
              <w:bidi w:val="0"/>
              <w:spacing w:before="0" w:after="283"/>
              <w:ind w:left="0" w:right="0" w:hanging="216"/>
              <w:jc w:val="left"/>
              <w:rPr/>
            </w:pPr>
            <w:r>
              <w:rPr/>
              <w:t>)</w:t>
            </w:r>
          </w:p>
        </w:tc>
      </w:tr>
      <w:tr>
        <w:trPr/>
        <w:tc>
          <w:tcPr>
            <w:tcW w:w="4299" w:type="dxa"/>
            <w:tcBorders/>
            <w:shd w:fill="CCEEFF" w:val="clear"/>
            <w:vAlign w:val="center"/>
          </w:tcPr>
          <w:p>
            <w:pPr>
              <w:pStyle w:val="TableContents"/>
              <w:bidi w:val="0"/>
              <w:spacing w:before="0" w:after="283"/>
              <w:jc w:val="left"/>
              <w:rPr/>
            </w:pPr>
            <w:r>
              <w:rPr/>
              <w:t>PSU compensation expense, net of income taxes</w:t>
            </w:r>
          </w:p>
        </w:tc>
        <w:tc>
          <w:tcPr>
            <w:tcW w:w="60"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8</w:t>
            </w:r>
          </w:p>
        </w:tc>
        <w:tc>
          <w:tcPr>
            <w:tcW w:w="28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(27</w:t>
            </w:r>
          </w:p>
        </w:tc>
        <w:tc>
          <w:tcPr>
            <w:tcW w:w="243" w:type="dxa"/>
            <w:tcBorders/>
            <w:shd w:fill="CCEEFF" w:val="clear"/>
            <w:vAlign w:val="center"/>
          </w:tcPr>
          <w:p>
            <w:pPr>
              <w:pStyle w:val="TableContents"/>
              <w:bidi w:val="0"/>
              <w:spacing w:before="0" w:after="283"/>
              <w:jc w:val="left"/>
              <w:rPr/>
            </w:pPr>
            <w:r>
              <w:rPr/>
              <w:t>)</w:t>
            </w:r>
          </w:p>
        </w:tc>
        <w:tc>
          <w:tcPr>
            <w:tcW w:w="153" w:type="dxa"/>
            <w:tcBorders/>
            <w:shd w:fill="CCEEFF" w:val="clear"/>
            <w:vAlign w:val="center"/>
          </w:tcPr>
          <w:p>
            <w:pPr>
              <w:pStyle w:val="TableContents"/>
              <w:bidi w:val="0"/>
              <w:spacing w:before="0" w:after="283"/>
              <w:jc w:val="left"/>
              <w:rPr/>
            </w:pPr>
            <w:r>
              <w:rPr/>
              <w:t> </w:t>
            </w:r>
          </w:p>
        </w:tc>
        <w:tc>
          <w:tcPr>
            <w:tcW w:w="3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200% of the initial target awards. During the six months ended June 30, 2026, a performance adjustment was recorded to compensation expense related to the PSU awards granted during 2024 due to the Company's expectations regarding performance goals. During the year ended December 31, 2025, no performance adjustments were made to previously recognized compensation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2026, there was $26 of unrecognized compensation cost related to outstanding PSUs. That cost is expected to be recognized over a weighted-average period of 0.67 years.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1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Allowance for Expected Credit Losses</w:t>
      </w:r>
    </w:p>
    <w:p>
      <w:pPr>
        <w:pStyle w:val="TextBody"/>
        <w:bidi w:val="0"/>
        <w:spacing w:before="0" w:after="0"/>
        <w:ind w:left="14" w:right="1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balances of premiums and agents’ balances receivable, net of the allowance for expected credit losses as of June 30, 2026 and 2025, and the changes in the allowance for expected credit losses for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7"/>
        <w:gridCol w:w="60"/>
        <w:gridCol w:w="318"/>
        <w:gridCol w:w="1287"/>
        <w:gridCol w:w="107"/>
        <w:gridCol w:w="107"/>
        <w:gridCol w:w="402"/>
        <w:gridCol w:w="1056"/>
        <w:gridCol w:w="95"/>
        <w:gridCol w:w="60"/>
        <w:gridCol w:w="312"/>
        <w:gridCol w:w="1283"/>
        <w:gridCol w:w="104"/>
        <w:gridCol w:w="104"/>
        <w:gridCol w:w="371"/>
        <w:gridCol w:w="1125"/>
        <w:gridCol w:w="117"/>
      </w:tblGrid>
      <w:tr>
        <w:trPr/>
        <w:tc>
          <w:tcPr>
            <w:tcW w:w="3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Three Months</w:t>
              <w:br/>
              <w:t>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As of and For the Three Months </w:t>
              <w:br/>
              <w:t>Ended June 30, 2025</w:t>
            </w:r>
          </w:p>
        </w:tc>
        <w:tc>
          <w:tcPr>
            <w:tcW w:w="117" w:type="dxa"/>
            <w:tcBorders/>
            <w:vAlign w:val="center"/>
          </w:tcPr>
          <w:p>
            <w:pPr>
              <w:pStyle w:val="TableContents"/>
              <w:bidi w:val="0"/>
              <w:spacing w:before="0" w:after="283"/>
              <w:jc w:val="left"/>
              <w:rPr/>
            </w:pPr>
            <w:r>
              <w:rPr/>
              <w:t> </w:t>
            </w:r>
          </w:p>
        </w:tc>
      </w:tr>
      <w:tr>
        <w:trPr/>
        <w:tc>
          <w:tcPr>
            <w:tcW w:w="3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 xml:space="preserve">Agents’ Balances </w:t>
              <w:br/>
              <w:t>Receivable, Net of</w:t>
              <w:br/>
              <w:t xml:space="preserve">Allowance for </w:t>
              <w:br/>
              <w:t xml:space="preserve">Expected Credit </w:t>
              <w:br/>
              <w:t>Losses</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Expected Credit</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Agents’ Balances</w:t>
              <w:br/>
              <w:t>Receivable, Net of</w:t>
              <w:br/>
              <w:t xml:space="preserve">Allowance for </w:t>
              <w:br/>
              <w:t>Expected Credit</w:t>
              <w:br/>
              <w:t>Losses</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117" w:type="dxa"/>
            <w:tcBorders/>
            <w:vAlign w:val="center"/>
          </w:tcPr>
          <w:p>
            <w:pPr>
              <w:pStyle w:val="TableContents"/>
              <w:bidi w:val="0"/>
              <w:spacing w:before="0" w:after="283"/>
              <w:jc w:val="left"/>
              <w:rPr/>
            </w:pPr>
            <w:r>
              <w:rPr/>
              <w:t> </w:t>
            </w:r>
          </w:p>
        </w:tc>
      </w:tr>
      <w:tr>
        <w:trPr/>
        <w:tc>
          <w:tcPr>
            <w:tcW w:w="3297"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7" w:type="dxa"/>
            <w:tcBorders>
              <w:bottom w:val="double" w:sz="6" w:space="0" w:color="000000"/>
            </w:tcBorders>
            <w:shd w:fill="CCEEFF" w:val="clear"/>
            <w:tcMar>
              <w:bottom w:w="28" w:type="dxa"/>
            </w:tcMar>
            <w:vAlign w:val="center"/>
          </w:tcPr>
          <w:p>
            <w:pPr>
              <w:pStyle w:val="TableContents"/>
              <w:bidi w:val="0"/>
              <w:spacing w:before="0" w:after="283"/>
              <w:jc w:val="right"/>
              <w:rPr/>
            </w:pPr>
            <w:r>
              <w:rPr/>
              <w:t>40,210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pPr>
            <w:r>
              <w:rPr/>
              <w:t>49,220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232</w:t>
            </w:r>
          </w:p>
        </w:tc>
        <w:tc>
          <w:tcPr>
            <w:tcW w:w="117" w:type="dxa"/>
            <w:tcBorders/>
            <w:shd w:fill="CCEEFF" w:val="clear"/>
            <w:vAlign w:val="center"/>
          </w:tcPr>
          <w:p>
            <w:pPr>
              <w:pStyle w:val="TableContents"/>
              <w:bidi w:val="0"/>
              <w:spacing w:before="0" w:after="283"/>
              <w:jc w:val="left"/>
              <w:rPr/>
            </w:pPr>
            <w:r>
              <w:rPr/>
              <w:t> </w:t>
            </w:r>
          </w:p>
        </w:tc>
      </w:tr>
      <w:tr>
        <w:trPr/>
        <w:tc>
          <w:tcPr>
            <w:tcW w:w="3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297" w:type="dxa"/>
            <w:tcBorders/>
            <w:shd w:fill="CCEEFF" w:val="clear"/>
            <w:vAlign w:val="center"/>
          </w:tcPr>
          <w:p>
            <w:pPr>
              <w:pStyle w:val="TableContents"/>
              <w:bidi w:val="0"/>
              <w:spacing w:before="0" w:after="283"/>
              <w:jc w:val="left"/>
              <w:rPr/>
            </w:pPr>
            <w:r>
              <w:rPr/>
              <w:t>Current period charge for expected credit losses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376</w:t>
            </w:r>
          </w:p>
        </w:tc>
        <w:tc>
          <w:tcPr>
            <w:tcW w:w="117" w:type="dxa"/>
            <w:tcBorders/>
            <w:shd w:fill="CCEEFF" w:val="clear"/>
            <w:vAlign w:val="center"/>
          </w:tcPr>
          <w:p>
            <w:pPr>
              <w:pStyle w:val="TableContents"/>
              <w:bidi w:val="0"/>
              <w:spacing w:before="0" w:after="283"/>
              <w:jc w:val="left"/>
              <w:rPr/>
            </w:pPr>
            <w:r>
              <w:rPr/>
              <w:t> </w:t>
            </w:r>
          </w:p>
        </w:tc>
      </w:tr>
      <w:tr>
        <w:trPr/>
        <w:tc>
          <w:tcPr>
            <w:tcW w:w="3297" w:type="dxa"/>
            <w:tcBorders/>
            <w:shd w:fill="FFFFFF" w:val="clear"/>
            <w:vAlign w:val="center"/>
          </w:tcPr>
          <w:p>
            <w:pPr>
              <w:pStyle w:val="TableContents"/>
              <w:bidi w:val="0"/>
              <w:spacing w:before="0" w:after="283"/>
              <w:jc w:val="left"/>
              <w:rPr/>
            </w:pPr>
            <w:r>
              <w:rPr/>
              <w:t>Write-offs of uncollectible premiums receivable</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3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(295</w:t>
            </w:r>
          </w:p>
        </w:tc>
        <w:tc>
          <w:tcPr>
            <w:tcW w:w="117" w:type="dxa"/>
            <w:tcBorders/>
            <w:shd w:fill="FFFFFF" w:val="clear"/>
            <w:vAlign w:val="center"/>
          </w:tcPr>
          <w:p>
            <w:pPr>
              <w:pStyle w:val="TableContents"/>
              <w:bidi w:val="0"/>
              <w:spacing w:before="0" w:after="283"/>
              <w:jc w:val="left"/>
              <w:rPr/>
            </w:pPr>
            <w:r>
              <w:rPr/>
              <w:t>)</w:t>
            </w:r>
          </w:p>
        </w:tc>
      </w:tr>
      <w:tr>
        <w:trPr/>
        <w:tc>
          <w:tcPr>
            <w:tcW w:w="32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3297"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pPr>
            <w:r>
              <w:rPr/>
              <w:t>77,789</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pPr>
            <w:r>
              <w:rPr/>
              <w:t>85,604</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313</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3"/>
        <w:gridCol w:w="60"/>
        <w:gridCol w:w="300"/>
        <w:gridCol w:w="1297"/>
        <w:gridCol w:w="96"/>
        <w:gridCol w:w="96"/>
        <w:gridCol w:w="359"/>
        <w:gridCol w:w="1138"/>
        <w:gridCol w:w="95"/>
        <w:gridCol w:w="60"/>
        <w:gridCol w:w="300"/>
        <w:gridCol w:w="1297"/>
        <w:gridCol w:w="96"/>
        <w:gridCol w:w="96"/>
        <w:gridCol w:w="359"/>
        <w:gridCol w:w="1138"/>
        <w:gridCol w:w="115"/>
      </w:tblGrid>
      <w:tr>
        <w:trPr/>
        <w:tc>
          <w:tcPr>
            <w:tcW w:w="3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Six Months</w:t>
              <w:br/>
              <w:t>Ended 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and For the Six Months</w:t>
              <w:br/>
              <w:t>Ended June 30, 2025</w:t>
            </w:r>
          </w:p>
        </w:tc>
        <w:tc>
          <w:tcPr>
            <w:tcW w:w="115" w:type="dxa"/>
            <w:tcBorders/>
            <w:vAlign w:val="center"/>
          </w:tcPr>
          <w:p>
            <w:pPr>
              <w:pStyle w:val="TableContents"/>
              <w:bidi w:val="0"/>
              <w:spacing w:before="0" w:after="283"/>
              <w:jc w:val="left"/>
              <w:rPr/>
            </w:pPr>
            <w:r>
              <w:rPr/>
              <w:t> </w:t>
            </w:r>
          </w:p>
        </w:tc>
      </w:tr>
      <w:tr>
        <w:trPr/>
        <w:tc>
          <w:tcPr>
            <w:tcW w:w="3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Premiums and</w:t>
              <w:br/>
              <w:t>Agents’ Balances</w:t>
              <w:br/>
              <w:t>Receivable, Net of</w:t>
              <w:br/>
              <w:t>Allowance for</w:t>
              <w:br/>
              <w:t>Expected Credit</w:t>
              <w:br/>
              <w:t>Losses</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Allowance for </w:t>
              <w:br/>
              <w:t xml:space="preserve">Expected Credit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Premiums and </w:t>
              <w:br/>
              <w:t>Agents’ Balances</w:t>
              <w:br/>
              <w:t>Receivable, Net of</w:t>
              <w:br/>
              <w:t xml:space="preserve">Allowance for </w:t>
              <w:br/>
              <w:t xml:space="preserve">Expected Credit </w:t>
              <w:br/>
              <w:t>Losses</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Allowance for</w:t>
              <w:br/>
              <w:t xml:space="preserve">Expected Credit </w:t>
              <w:br/>
              <w:t>Losses</w:t>
            </w:r>
          </w:p>
        </w:tc>
        <w:tc>
          <w:tcPr>
            <w:tcW w:w="115" w:type="dxa"/>
            <w:tcBorders/>
            <w:vAlign w:val="center"/>
          </w:tcPr>
          <w:p>
            <w:pPr>
              <w:pStyle w:val="TableContents"/>
              <w:bidi w:val="0"/>
              <w:spacing w:before="0" w:after="283"/>
              <w:jc w:val="left"/>
              <w:rPr/>
            </w:pPr>
            <w:r>
              <w:rPr/>
              <w:t> </w:t>
            </w:r>
          </w:p>
        </w:tc>
      </w:tr>
      <w:tr>
        <w:trPr/>
        <w:tc>
          <w:tcPr>
            <w:tcW w:w="3303"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CCEEFF" w:val="clear"/>
            <w:tcMar>
              <w:bottom w:w="28" w:type="dxa"/>
            </w:tcMar>
            <w:vAlign w:val="center"/>
          </w:tcPr>
          <w:p>
            <w:pPr>
              <w:pStyle w:val="TableContents"/>
              <w:bidi w:val="0"/>
              <w:spacing w:before="0" w:after="283"/>
              <w:jc w:val="right"/>
              <w:rPr/>
            </w:pPr>
            <w:r>
              <w:rPr/>
              <w:t>41,575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CCEEFF" w:val="clear"/>
            <w:tcMar>
              <w:bottom w:w="28" w:type="dxa"/>
            </w:tcMar>
            <w:vAlign w:val="center"/>
          </w:tcPr>
          <w:p>
            <w:pPr>
              <w:pStyle w:val="TableContents"/>
              <w:bidi w:val="0"/>
              <w:spacing w:before="0" w:after="283"/>
              <w:jc w:val="right"/>
              <w:rPr/>
            </w:pPr>
            <w:r>
              <w:rPr/>
              <w:t>52,907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337</w:t>
            </w:r>
          </w:p>
        </w:tc>
        <w:tc>
          <w:tcPr>
            <w:tcW w:w="115" w:type="dxa"/>
            <w:tcBorders/>
            <w:shd w:fill="CCEEFF" w:val="clear"/>
            <w:vAlign w:val="center"/>
          </w:tcPr>
          <w:p>
            <w:pPr>
              <w:pStyle w:val="TableContents"/>
              <w:bidi w:val="0"/>
              <w:spacing w:before="0" w:after="283"/>
              <w:jc w:val="left"/>
              <w:rPr/>
            </w:pPr>
            <w:r>
              <w:rPr/>
              <w:t> </w:t>
            </w:r>
          </w:p>
        </w:tc>
      </w:tr>
      <w:tr>
        <w:trPr/>
        <w:tc>
          <w:tcPr>
            <w:tcW w:w="3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3303" w:type="dxa"/>
            <w:tcBorders/>
            <w:shd w:fill="CCEEFF" w:val="clear"/>
            <w:vAlign w:val="center"/>
          </w:tcPr>
          <w:p>
            <w:pPr>
              <w:pStyle w:val="TableContents"/>
              <w:bidi w:val="0"/>
              <w:spacing w:before="0" w:after="283"/>
              <w:jc w:val="left"/>
              <w:rPr/>
            </w:pPr>
            <w:r>
              <w:rPr/>
              <w:t>Current period charge for expected credit losses</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332</w:t>
            </w:r>
          </w:p>
        </w:tc>
        <w:tc>
          <w:tcPr>
            <w:tcW w:w="115" w:type="dxa"/>
            <w:tcBorders/>
            <w:shd w:fill="CCEEFF" w:val="clear"/>
            <w:vAlign w:val="center"/>
          </w:tcPr>
          <w:p>
            <w:pPr>
              <w:pStyle w:val="TableContents"/>
              <w:bidi w:val="0"/>
              <w:spacing w:before="0" w:after="283"/>
              <w:jc w:val="left"/>
              <w:rPr/>
            </w:pPr>
            <w:r>
              <w:rPr/>
              <w:t> </w:t>
            </w:r>
          </w:p>
        </w:tc>
      </w:tr>
      <w:tr>
        <w:trPr/>
        <w:tc>
          <w:tcPr>
            <w:tcW w:w="3303" w:type="dxa"/>
            <w:tcBorders/>
            <w:shd w:fill="FFFFFF" w:val="clear"/>
            <w:vAlign w:val="center"/>
          </w:tcPr>
          <w:p>
            <w:pPr>
              <w:pStyle w:val="TableContents"/>
              <w:bidi w:val="0"/>
              <w:spacing w:before="0" w:after="283"/>
              <w:jc w:val="left"/>
              <w:rPr/>
            </w:pPr>
            <w:r>
              <w:rPr/>
              <w:t>Write-offs of uncollectible premiums receivable</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pPr>
            <w:r>
              <w:rPr/>
              <w:t>(356</w:t>
            </w:r>
          </w:p>
        </w:tc>
        <w:tc>
          <w:tcPr>
            <w:tcW w:w="115" w:type="dxa"/>
            <w:tcBorders/>
            <w:shd w:fill="FFFFFF" w:val="clear"/>
            <w:vAlign w:val="center"/>
          </w:tcPr>
          <w:p>
            <w:pPr>
              <w:pStyle w:val="TableContents"/>
              <w:bidi w:val="0"/>
              <w:spacing w:before="0" w:after="283"/>
              <w:jc w:val="left"/>
              <w:rPr/>
            </w:pPr>
            <w:r>
              <w:rPr/>
              <w:t>)</w:t>
            </w:r>
          </w:p>
        </w:tc>
      </w:tr>
      <w:tr>
        <w:trPr/>
        <w:tc>
          <w:tcPr>
            <w:tcW w:w="3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3303"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FFFFFF" w:val="clear"/>
            <w:tcMar>
              <w:bottom w:w="28" w:type="dxa"/>
            </w:tcMar>
            <w:vAlign w:val="center"/>
          </w:tcPr>
          <w:p>
            <w:pPr>
              <w:pStyle w:val="TableContents"/>
              <w:bidi w:val="0"/>
              <w:spacing w:before="0" w:after="283"/>
              <w:jc w:val="right"/>
              <w:rPr/>
            </w:pPr>
            <w:r>
              <w:rPr/>
              <w:t>77,789</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pPr>
            <w:r>
              <w:rPr/>
              <w:t>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FFFFFF" w:val="clear"/>
            <w:tcMar>
              <w:bottom w:w="28" w:type="dxa"/>
            </w:tcMar>
            <w:vAlign w:val="center"/>
          </w:tcPr>
          <w:p>
            <w:pPr>
              <w:pStyle w:val="TableContents"/>
              <w:bidi w:val="0"/>
              <w:spacing w:before="0" w:after="283"/>
              <w:jc w:val="right"/>
              <w:rPr/>
            </w:pPr>
            <w:r>
              <w:rPr/>
              <w:t>85,604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pPr>
            <w:r>
              <w:rPr/>
              <w:t>313</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1"/>
        <w:gridCol w:w="1279"/>
        <w:gridCol w:w="8775"/>
      </w:tblGrid>
      <w:tr>
        <w:trPr/>
        <w:tc>
          <w:tcPr>
            <w:tcW w:w="15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b/>
              </w:rPr>
            </w:pPr>
            <w:r>
              <w:rPr>
                <w:b/>
              </w:rPr>
              <w:t>18.</w:t>
            </w:r>
          </w:p>
        </w:tc>
        <w:tc>
          <w:tcPr>
            <w:tcW w:w="8775" w:type="dxa"/>
            <w:tcBorders/>
            <w:vAlign w:val="center"/>
          </w:tcPr>
          <w:p>
            <w:pPr>
              <w:pStyle w:val="TableContents"/>
              <w:bidi w:val="0"/>
              <w:spacing w:before="0" w:after="283"/>
              <w:jc w:val="left"/>
              <w:rPr>
                <w:b/>
              </w:rPr>
            </w:pPr>
            <w:r>
              <w:rPr>
                <w:b/>
              </w:rPr>
              <w:t>Segment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five reportable operating segments, which consist of Private Passenger Auto, Non-Standard Auto, Home and Farm, Crop, and All Other (which primarily consists of commercial, assumed reinsurance, and our excess liability business). We operate only in the U.S., and no single customer or agent provides 10 percent or more of our revenues. The following tables provide available information of these segments for the three- and six-month periods ended June 30,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operating decision maker is our President and Chief Executive Officer (“CEO”). The primary profitability measurement used by the CEO to review segment operating results is underwriting gain (loss). The CEO uses segment underwriting gain (loss) to allocate resources (including employee, financial, and capital resources) for each segment predominantly in the annual planning process. Segment underwriting gain (loss) is used to monitor segment results compared to prior period, forecasted results, and the annual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assign or allocate all line items in our Consolidated Statement of Operations or Consolidated Balance Sheets to our operating segments. Those line items include fee and other income, net investment income, net investment gains (losses), and income tax expense (benefit) within the Consolidated Statement of Operations. For the Consolidated Balance Sheets, those items include cash and investments, reinsurance premiums receivable or payable, income taxes recoverable or payable, accrued investment income, property and equipment, deferred income taxes, other assets, accrued expenses and other liabilities, and shareholders’ equity.</w:t>
      </w:r>
    </w:p>
    <w:p>
      <w:pPr>
        <w:pStyle w:val="TextBody"/>
        <w:bidi w:val="0"/>
        <w:spacing w:before="0" w:after="0"/>
        <w:ind w:left="0" w:right="0" w:hanging="0"/>
        <w:jc w:val="left"/>
        <w:rPr>
          <w:caps w:val="false"/>
          <w:smallCaps w:val="false"/>
        </w:rPr>
      </w:pPr>
      <w:r>
        <w:rPr>
          <w:caps w:val="false"/>
          <w:smallCaps w:val="false"/>
        </w:rPr>
        <w:t> </w:t>
      </w:r>
    </w:p>
    <w:tbl>
      <w:tblPr>
        <w:tblW w:w="10001" w:type="dxa"/>
        <w:jc w:val="left"/>
        <w:tblInd w:w="0" w:type="dxa"/>
        <w:tblLayout w:type="fixed"/>
        <w:tblCellMar>
          <w:top w:w="0" w:type="dxa"/>
          <w:left w:w="0" w:type="dxa"/>
          <w:bottom w:w="0" w:type="dxa"/>
          <w:right w:w="0" w:type="dxa"/>
        </w:tblCellMar>
      </w:tblPr>
      <w:tblGrid>
        <w:gridCol w:w="3800"/>
        <w:gridCol w:w="60"/>
        <w:gridCol w:w="214"/>
        <w:gridCol w:w="1005"/>
        <w:gridCol w:w="80"/>
        <w:gridCol w:w="60"/>
        <w:gridCol w:w="208"/>
        <w:gridCol w:w="981"/>
        <w:gridCol w:w="80"/>
        <w:gridCol w:w="60"/>
        <w:gridCol w:w="138"/>
        <w:gridCol w:w="721"/>
        <w:gridCol w:w="80"/>
        <w:gridCol w:w="60"/>
        <w:gridCol w:w="110"/>
        <w:gridCol w:w="515"/>
        <w:gridCol w:w="80"/>
        <w:gridCol w:w="60"/>
        <w:gridCol w:w="130"/>
        <w:gridCol w:w="609"/>
        <w:gridCol w:w="80"/>
        <w:gridCol w:w="60"/>
        <w:gridCol w:w="110"/>
        <w:gridCol w:w="605"/>
        <w:gridCol w:w="95"/>
      </w:tblGrid>
      <w:tr>
        <w:trPr/>
        <w:tc>
          <w:tcPr>
            <w:tcW w:w="3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6"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Three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Private</w:t>
              <w:br/>
              <w:t>Passenger 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Non-Standard </w:t>
              <w:br/>
              <w:t>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Home and </w:t>
              <w:br/>
              <w:t>Farm</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Crop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22,652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71,104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65,017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29,129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49,836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28,333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48,417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Amortization of deferred policy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12,236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underwriting and general expenses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and general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21,587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(11,612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gains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Fee and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146</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Ratios: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and loss adjustment expense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74.5%</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Expense ratio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33.2%</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Combined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107.7%</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Balances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Premiums and agents’ balances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26,595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77,789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Deferred policy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21,895</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Reinsurance recoverables on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6,812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12,441</w:t>
            </w:r>
          </w:p>
        </w:tc>
        <w:tc>
          <w:tcPr>
            <w:tcW w:w="95" w:type="dxa"/>
            <w:tcBorders/>
            <w:shd w:fill="FFFF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Receivable from Federal Crop Insurance Corporation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16,380</w:t>
            </w:r>
          </w:p>
        </w:tc>
        <w:tc>
          <w:tcPr>
            <w:tcW w:w="95" w:type="dxa"/>
            <w:tcBorders/>
            <w:shd w:fill="CCEE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Unpaid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45,688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35,826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134,757</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Unearned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61,393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132,424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(1) Other underwriting and general expenses for each segment include expenses related to compensation, vendor services, and other administrative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pPr>
      <w:r>
        <w:rPr/>
        <w:t> </w:t>
      </w:r>
    </w:p>
    <w:tbl>
      <w:tblPr>
        <w:tblW w:w="9912" w:type="dxa"/>
        <w:jc w:val="left"/>
        <w:tblInd w:w="0" w:type="dxa"/>
        <w:tblLayout w:type="fixed"/>
        <w:tblCellMar>
          <w:top w:w="0" w:type="dxa"/>
          <w:left w:w="0" w:type="dxa"/>
          <w:bottom w:w="0" w:type="dxa"/>
          <w:right w:w="0" w:type="dxa"/>
        </w:tblCellMar>
      </w:tblPr>
      <w:tblGrid>
        <w:gridCol w:w="3800"/>
        <w:gridCol w:w="60"/>
        <w:gridCol w:w="214"/>
        <w:gridCol w:w="1005"/>
        <w:gridCol w:w="80"/>
        <w:gridCol w:w="60"/>
        <w:gridCol w:w="201"/>
        <w:gridCol w:w="944"/>
        <w:gridCol w:w="80"/>
        <w:gridCol w:w="60"/>
        <w:gridCol w:w="130"/>
        <w:gridCol w:w="684"/>
        <w:gridCol w:w="80"/>
        <w:gridCol w:w="60"/>
        <w:gridCol w:w="110"/>
        <w:gridCol w:w="515"/>
        <w:gridCol w:w="80"/>
        <w:gridCol w:w="60"/>
        <w:gridCol w:w="130"/>
        <w:gridCol w:w="609"/>
        <w:gridCol w:w="80"/>
        <w:gridCol w:w="60"/>
        <w:gridCol w:w="110"/>
        <w:gridCol w:w="605"/>
        <w:gridCol w:w="95"/>
      </w:tblGrid>
      <w:tr>
        <w:trPr/>
        <w:tc>
          <w:tcPr>
            <w:tcW w:w="3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7"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Three Months Ended June 30,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Private </w:t>
              <w:br/>
              <w:t>Passenger 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Non-Standard</w:t>
              <w:br/>
              <w:t>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Home and</w:t>
              <w:br/>
              <w:t>Farm</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Crop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82,542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14,505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73,005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16,860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109,382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(38,913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(43,059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13,700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16,860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27,011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66,607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Amortization of deferred policy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underwriting and general expenses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and general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24,774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(18,376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gains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Fee and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(12,051</w:t>
            </w:r>
          </w:p>
        </w:tc>
        <w:tc>
          <w:tcPr>
            <w:tcW w:w="95" w:type="dxa"/>
            <w:tcBorders/>
            <w:shd w:fill="CCEE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Ratios: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and loss adjustment expense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91.2%</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Expense ratio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Combined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125.1%</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Balances at 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Premiums and agents’ balances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85,604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Deferred policy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26,320</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Reinsurance recoverables on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51,278</w:t>
            </w:r>
          </w:p>
        </w:tc>
        <w:tc>
          <w:tcPr>
            <w:tcW w:w="95" w:type="dxa"/>
            <w:tcBorders/>
            <w:shd w:fill="FFFF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Receivable from Federal Crop Insurance Corporation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11,332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11,332</w:t>
            </w:r>
          </w:p>
        </w:tc>
        <w:tc>
          <w:tcPr>
            <w:tcW w:w="95" w:type="dxa"/>
            <w:tcBorders/>
            <w:shd w:fill="CCEE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Unpaid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72,399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203,530</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Unearned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40,510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17,341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55,544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142,889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pPr>
      <w:r>
        <w:rPr/>
        <w:t> </w:t>
      </w:r>
    </w:p>
    <w:tbl>
      <w:tblPr>
        <w:tblW w:w="9717" w:type="dxa"/>
        <w:jc w:val="left"/>
        <w:tblInd w:w="0" w:type="dxa"/>
        <w:tblLayout w:type="fixed"/>
        <w:tblCellMar>
          <w:top w:w="0" w:type="dxa"/>
          <w:left w:w="0" w:type="dxa"/>
          <w:bottom w:w="0" w:type="dxa"/>
          <w:right w:w="0" w:type="dxa"/>
        </w:tblCellMar>
      </w:tblPr>
      <w:tblGrid>
        <w:gridCol w:w="3605"/>
        <w:gridCol w:w="60"/>
        <w:gridCol w:w="214"/>
        <w:gridCol w:w="1005"/>
        <w:gridCol w:w="80"/>
        <w:gridCol w:w="60"/>
        <w:gridCol w:w="235"/>
        <w:gridCol w:w="910"/>
        <w:gridCol w:w="80"/>
        <w:gridCol w:w="60"/>
        <w:gridCol w:w="130"/>
        <w:gridCol w:w="684"/>
        <w:gridCol w:w="80"/>
        <w:gridCol w:w="60"/>
        <w:gridCol w:w="110"/>
        <w:gridCol w:w="515"/>
        <w:gridCol w:w="80"/>
        <w:gridCol w:w="60"/>
        <w:gridCol w:w="130"/>
        <w:gridCol w:w="609"/>
        <w:gridCol w:w="80"/>
        <w:gridCol w:w="60"/>
        <w:gridCol w:w="110"/>
        <w:gridCol w:w="605"/>
        <w:gridCol w:w="95"/>
      </w:tblGrid>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7"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Six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Private </w:t>
              <w:br/>
              <w:t>Passenger 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Non-Standard</w:t>
              <w:br/>
              <w:t>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Home and</w:t>
              <w:br/>
              <w:t>Farm</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Crop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129,495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51,812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120,130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73,905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(4,641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71,773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21,408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Amortization of deferred policy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24,122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underwriting and general expenses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and general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18,895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42,123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gains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Fee and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12,654</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Ratios: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and loss adjustment expense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59.7%</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Expense ratio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35.1%</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Combined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29 </w:t>
      </w:r>
    </w:p>
    <w:p>
      <w:pPr>
        <w:pStyle w:val="TextBody"/>
        <w:bidi w:val="0"/>
        <w:spacing w:before="0" w:after="0"/>
        <w:ind w:left="0" w:right="0" w:hanging="0"/>
        <w:jc w:val="left"/>
        <w:rPr/>
      </w:pPr>
      <w:r>
        <w:rPr/>
        <w:t> </w:t>
      </w:r>
    </w:p>
    <w:tbl>
      <w:tblPr>
        <w:tblW w:w="9806" w:type="dxa"/>
        <w:jc w:val="left"/>
        <w:tblInd w:w="0" w:type="dxa"/>
        <w:tblLayout w:type="fixed"/>
        <w:tblCellMar>
          <w:top w:w="0" w:type="dxa"/>
          <w:left w:w="0" w:type="dxa"/>
          <w:bottom w:w="0" w:type="dxa"/>
          <w:right w:w="0" w:type="dxa"/>
        </w:tblCellMar>
      </w:tblPr>
      <w:tblGrid>
        <w:gridCol w:w="3605"/>
        <w:gridCol w:w="60"/>
        <w:gridCol w:w="214"/>
        <w:gridCol w:w="1005"/>
        <w:gridCol w:w="80"/>
        <w:gridCol w:w="60"/>
        <w:gridCol w:w="190"/>
        <w:gridCol w:w="999"/>
        <w:gridCol w:w="80"/>
        <w:gridCol w:w="60"/>
        <w:gridCol w:w="138"/>
        <w:gridCol w:w="721"/>
        <w:gridCol w:w="80"/>
        <w:gridCol w:w="60"/>
        <w:gridCol w:w="110"/>
        <w:gridCol w:w="515"/>
        <w:gridCol w:w="80"/>
        <w:gridCol w:w="60"/>
        <w:gridCol w:w="136"/>
        <w:gridCol w:w="603"/>
        <w:gridCol w:w="80"/>
        <w:gridCol w:w="60"/>
        <w:gridCol w:w="110"/>
        <w:gridCol w:w="605"/>
        <w:gridCol w:w="95"/>
      </w:tblGrid>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46"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Six Months Ended June 30,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Private</w:t>
              <w:br/>
              <w:t>Passenger 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Non-Standard </w:t>
              <w:br/>
              <w:t>Auto</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Home and </w:t>
              <w:br/>
              <w:t>Farm</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Crop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All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154,704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premiums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(14,937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premiums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45,581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140,502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149,761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Assumed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Ceded losses and loss adjustment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(39,058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(44,680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losses and loss adjustment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27,195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31,397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105,132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35,370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Amortization of deferred policy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32,902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underwriting and general expenses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17,032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and general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14,724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16,295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49,934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Underwriting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(14,564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investment gains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Fee and 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(5,591</w:t>
            </w:r>
          </w:p>
        </w:tc>
        <w:tc>
          <w:tcPr>
            <w:tcW w:w="95" w:type="dxa"/>
            <w:tcBorders/>
            <w:shd w:fill="CCEE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6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Ratios: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firstLine="18"/>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and loss adjustment expense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74.8%</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Expense ratio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35.5%</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Combined ratio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 Other underwriting and general expenses for each segment include expenses related to compensation, vendor services, and other administrative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intended to provide a more comprehensive review of our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2025 Annual Report should also be reviewed for a discussion of important factors that could cause actual results to differ materially from the results described, or implied by, the forward-looking statements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except per share data,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Second Quarter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Net income of $146, or $0.01 per share basic and $0.01 per share diluted</w:t>
            </w:r>
          </w:p>
        </w:tc>
      </w:tr>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Net premiums earned of $65,017</w:t>
            </w:r>
          </w:p>
        </w:tc>
      </w:tr>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Net investment income of $2,810</w:t>
            </w:r>
          </w:p>
        </w:tc>
      </w:tr>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Net favorable prior year reserve development of $6,077</w:t>
            </w:r>
          </w:p>
        </w:tc>
      </w:tr>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Underwriting loss of $4,987</w:t>
            </w:r>
          </w:p>
        </w:tc>
      </w:tr>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Combined ratio of 107.7%</w:t>
            </w:r>
          </w:p>
        </w:tc>
      </w:tr>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left"/>
              <w:rPr/>
            </w:pPr>
            <w:r>
              <w:rPr/>
              <w:t>Operating cash flows of ($955)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Second Quarter Consolidated Financial Condition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6" w:type="dxa"/>
            <w:tcBorders/>
            <w:vAlign w:val="center"/>
          </w:tcPr>
          <w:p>
            <w:pPr>
              <w:pStyle w:val="TableContents"/>
              <w:bidi w:val="0"/>
              <w:spacing w:before="0" w:after="283"/>
              <w:jc w:val="left"/>
              <w:rPr/>
            </w:pPr>
            <w:r>
              <w:rPr/>
              <w:t xml:space="preserve">Total cash and </w:t>
            </w:r>
            <w:r>
              <w:rPr>
                <w:sz w:val="20"/>
              </w:rPr>
              <w:t>investments of $376,475</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Total assets of $543,134</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Unpaid losses and loss adjustment expenses of $134,757</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left"/>
              <w:rPr/>
            </w:pPr>
            <w:r>
              <w:rPr/>
              <w:t>Total liabilities of $293,758</w:t>
            </w:r>
          </w:p>
        </w:tc>
      </w:tr>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6" w:type="dxa"/>
            <w:tcBorders/>
            <w:vAlign w:val="center"/>
          </w:tcPr>
          <w:p>
            <w:pPr>
              <w:pStyle w:val="TableContents"/>
              <w:bidi w:val="0"/>
              <w:spacing w:before="0" w:after="283"/>
              <w:jc w:val="left"/>
              <w:rPr/>
            </w:pPr>
            <w:r>
              <w:rPr>
                <w:sz w:val="20"/>
              </w:rPr>
              <w:t>Shareholders’ e</w:t>
            </w:r>
            <w:r>
              <w:rPr/>
              <w:t>quity of $249,376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net income (loss) was $146 and ($12,051) for the three months ended June 30, 2026 and 2025, respectively. Our consolidated net income (loss) was $12,654 and ($5,591)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components of our revenues and net loss are shown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0"/>
        <w:gridCol w:w="60"/>
        <w:gridCol w:w="154"/>
        <w:gridCol w:w="752"/>
        <w:gridCol w:w="105"/>
        <w:gridCol w:w="65"/>
        <w:gridCol w:w="154"/>
        <w:gridCol w:w="836"/>
        <w:gridCol w:w="95"/>
        <w:gridCol w:w="60"/>
        <w:gridCol w:w="140"/>
        <w:gridCol w:w="800"/>
        <w:gridCol w:w="60"/>
        <w:gridCol w:w="60"/>
        <w:gridCol w:w="140"/>
        <w:gridCol w:w="800"/>
        <w:gridCol w:w="114"/>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4"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9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65,017</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36" w:type="dxa"/>
            <w:tcBorders/>
            <w:shd w:fill="CCEEFF" w:val="clear"/>
            <w:vAlign w:val="center"/>
          </w:tcPr>
          <w:p>
            <w:pPr>
              <w:pStyle w:val="TableContents"/>
              <w:bidi w:val="0"/>
              <w:spacing w:before="0" w:after="283"/>
              <w:jc w:val="right"/>
              <w:rPr/>
            </w:pPr>
            <w:r>
              <w:rPr/>
              <w:t>73,005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120,130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140,502</w:t>
            </w:r>
          </w:p>
        </w:tc>
        <w:tc>
          <w:tcPr>
            <w:tcW w:w="114"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2,810</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3,146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5,984</w:t>
            </w:r>
          </w:p>
        </w:tc>
        <w:tc>
          <w:tcPr>
            <w:tcW w:w="114"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2,063</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459</w:t>
            </w:r>
          </w:p>
        </w:tc>
        <w:tc>
          <w:tcPr>
            <w:tcW w:w="114"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Fee and other income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344</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pPr>
            <w:r>
              <w:rPr/>
              <w:t>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546</w:t>
            </w:r>
          </w:p>
        </w:tc>
        <w:tc>
          <w:tcPr>
            <w:tcW w:w="114"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pPr>
            <w:r>
              <w:rPr/>
              <w:t>70,234</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76,057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129,836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147,491</w:t>
            </w:r>
          </w:p>
        </w:tc>
        <w:tc>
          <w:tcPr>
            <w:tcW w:w="114" w:type="dxa"/>
            <w:tcBorders/>
            <w:shd w:fill="CCEEFF" w:val="clear"/>
            <w:vAlign w:val="center"/>
          </w:tcPr>
          <w:p>
            <w:pPr>
              <w:pStyle w:val="TableContents"/>
              <w:bidi w:val="0"/>
              <w:spacing w:before="0" w:after="283"/>
              <w:ind w:left="0" w:right="0" w:hanging="216"/>
              <w:jc w:val="left"/>
              <w:rPr/>
            </w:pPr>
            <w:r>
              <w:rPr/>
              <w:t> </w:t>
            </w:r>
          </w:p>
        </w:tc>
      </w:tr>
      <w:tr>
        <w:trPr/>
        <w:tc>
          <w:tcPr>
            <w:tcW w:w="5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Components of net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Net premiums earned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65,017</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73,005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140,502</w:t>
            </w:r>
          </w:p>
        </w:tc>
        <w:tc>
          <w:tcPr>
            <w:tcW w:w="114"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Losses and loss adjustment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48,417</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66,607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105,132</w:t>
            </w:r>
          </w:p>
        </w:tc>
        <w:tc>
          <w:tcPr>
            <w:tcW w:w="114"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Amortization of deferred policy acquisition costs and other underwriting and general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21,587</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pPr>
            <w:r>
              <w:rPr/>
              <w:t>24,774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42,123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49,934</w:t>
            </w:r>
          </w:p>
        </w:tc>
        <w:tc>
          <w:tcPr>
            <w:tcW w:w="114"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Underwriting loss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pPr>
            <w:r>
              <w:rPr/>
              <w:t>(4,987</w:t>
            </w:r>
          </w:p>
        </w:tc>
        <w:tc>
          <w:tcPr>
            <w:tcW w:w="105"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(18,376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(14,564</w:t>
            </w:r>
          </w:p>
        </w:tc>
        <w:tc>
          <w:tcPr>
            <w:tcW w:w="114" w:type="dxa"/>
            <w:tcBorders/>
            <w:shd w:fill="CCEEFF" w:val="clear"/>
            <w:vAlign w:val="center"/>
          </w:tcPr>
          <w:p>
            <w:pPr>
              <w:pStyle w:val="TableContents"/>
              <w:bidi w:val="0"/>
              <w:spacing w:before="0" w:after="283"/>
              <w:ind w:left="0" w:right="0" w:hanging="216"/>
              <w:jc w:val="left"/>
              <w:rPr/>
            </w:pPr>
            <w:r>
              <w:rPr/>
              <w:t>)</w:t>
            </w:r>
          </w:p>
        </w:tc>
      </w:tr>
      <w:tr>
        <w:trPr/>
        <w:tc>
          <w:tcPr>
            <w:tcW w:w="5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16"/>
              <w:jc w:val="left"/>
              <w:rPr/>
            </w:pPr>
            <w:r>
              <w:rPr/>
              <w:t> </w:t>
            </w:r>
          </w:p>
        </w:tc>
      </w:tr>
      <w:tr>
        <w:trPr/>
        <w:tc>
          <w:tcPr>
            <w:tcW w:w="5810" w:type="dxa"/>
            <w:tcBorders/>
            <w:shd w:fill="CCEEFF" w:val="clear"/>
            <w:vAlign w:val="center"/>
          </w:tcPr>
          <w:p>
            <w:pPr>
              <w:pStyle w:val="TableContents"/>
              <w:bidi w:val="0"/>
              <w:spacing w:before="0" w:after="283"/>
              <w:jc w:val="left"/>
              <w:rPr/>
            </w:pPr>
            <w:r>
              <w:rPr/>
              <w:t>Net investment income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2,810</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3,146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5,984</w:t>
            </w:r>
          </w:p>
        </w:tc>
        <w:tc>
          <w:tcPr>
            <w:tcW w:w="114"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Net investment gains (losses)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2,063</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(410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459</w:t>
            </w:r>
          </w:p>
        </w:tc>
        <w:tc>
          <w:tcPr>
            <w:tcW w:w="114"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Fee and other income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pPr>
            <w:r>
              <w:rPr/>
              <w:t>344</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546</w:t>
            </w:r>
          </w:p>
        </w:tc>
        <w:tc>
          <w:tcPr>
            <w:tcW w:w="114"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230</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(15,324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(7,575</w:t>
            </w:r>
          </w:p>
        </w:tc>
        <w:tc>
          <w:tcPr>
            <w:tcW w:w="114" w:type="dxa"/>
            <w:tcBorders/>
            <w:shd w:fill="FFFFFF" w:val="clear"/>
            <w:vAlign w:val="center"/>
          </w:tcPr>
          <w:p>
            <w:pPr>
              <w:pStyle w:val="TableContents"/>
              <w:bidi w:val="0"/>
              <w:spacing w:before="0" w:after="283"/>
              <w:jc w:val="left"/>
              <w:rPr/>
            </w:pPr>
            <w:r>
              <w:rPr/>
              <w:t>)</w:t>
            </w:r>
          </w:p>
        </w:tc>
      </w:tr>
      <w:tr>
        <w:trPr/>
        <w:tc>
          <w:tcPr>
            <w:tcW w:w="5810"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10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(1,984</w:t>
            </w:r>
          </w:p>
        </w:tc>
        <w:tc>
          <w:tcPr>
            <w:tcW w:w="114" w:type="dxa"/>
            <w:tcBorders/>
            <w:shd w:fill="CCEEFF" w:val="clear"/>
            <w:vAlign w:val="center"/>
          </w:tcPr>
          <w:p>
            <w:pPr>
              <w:pStyle w:val="TableContents"/>
              <w:bidi w:val="0"/>
              <w:spacing w:before="0" w:after="283"/>
              <w:jc w:val="left"/>
              <w:rPr/>
            </w:pPr>
            <w:r>
              <w:rPr/>
              <w:t>)</w:t>
            </w:r>
          </w:p>
        </w:tc>
      </w:tr>
      <w:tr>
        <w:trPr/>
        <w:tc>
          <w:tcPr>
            <w:tcW w:w="581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2" w:type="dxa"/>
            <w:tcBorders>
              <w:bottom w:val="double" w:sz="6" w:space="0" w:color="000000"/>
            </w:tcBorders>
            <w:shd w:fill="FFFFFF" w:val="clear"/>
            <w:tcMar>
              <w:bottom w:w="28" w:type="dxa"/>
            </w:tcMar>
            <w:vAlign w:val="center"/>
          </w:tcPr>
          <w:p>
            <w:pPr>
              <w:pStyle w:val="TableContents"/>
              <w:bidi w:val="0"/>
              <w:spacing w:before="0" w:after="283"/>
              <w:jc w:val="right"/>
              <w:rPr/>
            </w:pPr>
            <w:r>
              <w:rPr/>
              <w:t>146</w:t>
            </w:r>
          </w:p>
        </w:tc>
        <w:tc>
          <w:tcPr>
            <w:tcW w:w="10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pPr>
            <w:r>
              <w:rPr/>
              <w:t>(12,051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12,654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(5,591</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Premiums Earned</w:t>
      </w:r>
    </w:p>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2555"/>
        <w:gridCol w:w="60"/>
        <w:gridCol w:w="233"/>
        <w:gridCol w:w="1136"/>
        <w:gridCol w:w="158"/>
        <w:gridCol w:w="100"/>
        <w:gridCol w:w="233"/>
        <w:gridCol w:w="1261"/>
        <w:gridCol w:w="95"/>
        <w:gridCol w:w="60"/>
        <w:gridCol w:w="194"/>
        <w:gridCol w:w="1110"/>
        <w:gridCol w:w="131"/>
        <w:gridCol w:w="83"/>
        <w:gridCol w:w="194"/>
        <w:gridCol w:w="1110"/>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216"/>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Direct premium</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1136" w:type="dxa"/>
            <w:tcBorders/>
            <w:shd w:fill="FFFFFF" w:val="clear"/>
            <w:vAlign w:val="center"/>
          </w:tcPr>
          <w:p>
            <w:pPr>
              <w:pStyle w:val="TableContents"/>
              <w:bidi w:val="0"/>
              <w:spacing w:before="0" w:after="283"/>
              <w:jc w:val="right"/>
              <w:rPr/>
            </w:pPr>
            <w:r>
              <w:rPr/>
              <w:t>71,104</w:t>
            </w:r>
          </w:p>
        </w:tc>
        <w:tc>
          <w:tcPr>
            <w:tcW w:w="15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1261" w:type="dxa"/>
            <w:tcBorders/>
            <w:shd w:fill="FFFFFF" w:val="clear"/>
            <w:vAlign w:val="center"/>
          </w:tcPr>
          <w:p>
            <w:pPr>
              <w:pStyle w:val="TableContents"/>
              <w:bidi w:val="0"/>
              <w:spacing w:before="0" w:after="283"/>
              <w:jc w:val="right"/>
              <w:rPr/>
            </w:pPr>
            <w:r>
              <w:rPr/>
              <w:t>82,542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110" w:type="dxa"/>
            <w:tcBorders/>
            <w:shd w:fill="FFFFFF" w:val="clear"/>
            <w:vAlign w:val="center"/>
          </w:tcPr>
          <w:p>
            <w:pPr>
              <w:pStyle w:val="TableContents"/>
              <w:bidi w:val="0"/>
              <w:spacing w:before="0" w:after="283"/>
              <w:jc w:val="right"/>
              <w:rPr/>
            </w:pPr>
            <w:r>
              <w:rPr/>
              <w:t>129,495</w:t>
            </w:r>
          </w:p>
        </w:tc>
        <w:tc>
          <w:tcPr>
            <w:tcW w:w="13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110" w:type="dxa"/>
            <w:tcBorders/>
            <w:shd w:fill="FFFFFF" w:val="clear"/>
            <w:vAlign w:val="center"/>
          </w:tcPr>
          <w:p>
            <w:pPr>
              <w:pStyle w:val="TableContents"/>
              <w:bidi w:val="0"/>
              <w:spacing w:before="0" w:after="283"/>
              <w:jc w:val="right"/>
              <w:rPr/>
            </w:pPr>
            <w:r>
              <w:rPr/>
              <w:t>154,704</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Assumed premium</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2,619</w:t>
            </w:r>
          </w:p>
        </w:tc>
        <w:tc>
          <w:tcPr>
            <w:tcW w:w="1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4,602</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735</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Ceded premium</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(8,706</w:t>
            </w:r>
          </w:p>
        </w:tc>
        <w:tc>
          <w:tcPr>
            <w:tcW w:w="158"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8" w:space="0" w:color="000000"/>
            </w:tcBorders>
            <w:shd w:fill="FFFFFF" w:val="clear"/>
            <w:tcMar>
              <w:bottom w:w="28" w:type="dxa"/>
            </w:tcMar>
            <w:vAlign w:val="center"/>
          </w:tcPr>
          <w:p>
            <w:pPr>
              <w:pStyle w:val="TableContents"/>
              <w:bidi w:val="0"/>
              <w:spacing w:before="0" w:after="283"/>
              <w:jc w:val="right"/>
              <w:rPr/>
            </w:pPr>
            <w:r>
              <w:rPr/>
              <w:t>(10,233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(13,967</w:t>
            </w:r>
          </w:p>
        </w:tc>
        <w:tc>
          <w:tcPr>
            <w:tcW w:w="131"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(14,937</w:t>
            </w:r>
          </w:p>
        </w:tc>
        <w:tc>
          <w:tcPr>
            <w:tcW w:w="110" w:type="dxa"/>
            <w:tcBorders/>
            <w:shd w:fill="FFFFFF" w:val="clear"/>
            <w:vAlign w:val="center"/>
          </w:tcPr>
          <w:p>
            <w:pPr>
              <w:pStyle w:val="TableContents"/>
              <w:bidi w:val="0"/>
              <w:spacing w:before="0" w:after="283"/>
              <w:jc w:val="left"/>
              <w:rPr/>
            </w:pPr>
            <w:r>
              <w:rPr/>
              <w:t>)</w:t>
            </w:r>
          </w:p>
        </w:tc>
      </w:tr>
      <w:tr>
        <w:trPr/>
        <w:tc>
          <w:tcPr>
            <w:tcW w:w="2555" w:type="dxa"/>
            <w:tcBorders/>
            <w:shd w:fill="CCEEFF" w:val="clear"/>
            <w:vAlign w:val="center"/>
          </w:tcPr>
          <w:p>
            <w:pPr>
              <w:pStyle w:val="TableContents"/>
              <w:bidi w:val="0"/>
              <w:spacing w:before="0" w:after="283"/>
              <w:jc w:val="left"/>
              <w:rPr/>
            </w:pPr>
            <w:r>
              <w:rPr/>
              <w:t>Total net premiums earned</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pPr>
            <w:r>
              <w:rPr/>
              <w:t>65,017</w:t>
            </w:r>
          </w:p>
        </w:tc>
        <w:tc>
          <w:tcPr>
            <w:tcW w:w="1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283"/>
              <w:jc w:val="right"/>
              <w:rPr/>
            </w:pPr>
            <w:r>
              <w:rPr/>
              <w:t>73,005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pPr>
            <w:r>
              <w:rPr/>
              <w:t>120,130</w:t>
            </w:r>
          </w:p>
        </w:tc>
        <w:tc>
          <w:tcPr>
            <w:tcW w:w="13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pPr>
            <w:r>
              <w:rPr/>
              <w:t>140,502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premiums earned for the three months ended June 30, 2026, decreased $7,988, or 10.9%, compared to the three months ended June 30, 2025. Net premiums earned for the six months ended June 30, 2026, decreased 20,372, or 14.5%, compared to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8754" w:type="dxa"/>
        <w:jc w:val="left"/>
        <w:tblInd w:w="0" w:type="dxa"/>
        <w:tblLayout w:type="fixed"/>
        <w:tblCellMar>
          <w:top w:w="0" w:type="dxa"/>
          <w:left w:w="0" w:type="dxa"/>
          <w:bottom w:w="0" w:type="dxa"/>
          <w:right w:w="0" w:type="dxa"/>
        </w:tblCellMar>
      </w:tblPr>
      <w:tblGrid>
        <w:gridCol w:w="2555"/>
        <w:gridCol w:w="60"/>
        <w:gridCol w:w="248"/>
        <w:gridCol w:w="1207"/>
        <w:gridCol w:w="106"/>
        <w:gridCol w:w="106"/>
        <w:gridCol w:w="248"/>
        <w:gridCol w:w="1207"/>
        <w:gridCol w:w="60"/>
        <w:gridCol w:w="60"/>
        <w:gridCol w:w="197"/>
        <w:gridCol w:w="1130"/>
        <w:gridCol w:w="84"/>
        <w:gridCol w:w="84"/>
        <w:gridCol w:w="197"/>
        <w:gridCol w:w="1130"/>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16"/>
              <w:jc w:val="left"/>
              <w:rPr/>
            </w:pPr>
            <w:r>
              <w:rPr/>
              <w:t> </w:t>
            </w:r>
          </w:p>
        </w:tc>
      </w:tr>
      <w:tr>
        <w:trPr/>
        <w:tc>
          <w:tcPr>
            <w:tcW w:w="2555" w:type="dxa"/>
            <w:tcBorders/>
            <w:shd w:fill="CCEEFF" w:val="clear"/>
            <w:vAlign w:val="center"/>
          </w:tcPr>
          <w:p>
            <w:pPr>
              <w:pStyle w:val="TableContents"/>
              <w:bidi w:val="0"/>
              <w:spacing w:before="0" w:after="283"/>
              <w:jc w:val="left"/>
              <w:rPr/>
            </w:pPr>
            <w:r>
              <w:rPr/>
              <w:t>Net premiums earned:</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22,094</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22,923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44,390</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45,581</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942</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14,505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3,546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32,758</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26,118</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21,311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51,812</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45,031</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10,507</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10,711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9,837</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10,335</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5,356</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3,555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10,545</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6,797</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Total net premiums earned</w:t>
            </w:r>
          </w:p>
        </w:tc>
        <w:tc>
          <w:tcPr>
            <w:tcW w:w="60"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pPr>
            <w:r>
              <w:rPr/>
              <w:t>65,017</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pPr>
            <w:r>
              <w:rPr/>
              <w:t>73,005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120,130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140,502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net premiums earned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Net premiums earned for the second quarter of 2026 decreased $829, or 3.6%, compared to the same period in 2025. Net premiums earned for the first six months of 2026 decreased $1,191, or 2.6% from the first six months of 2025. Results were driven by lower new business and renewal premiums in South Dakota and Nebraska, partially offset by new business growth in North Dakota.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Net premiums earned for the second quarter of 2026 decreased $13,563, or 93.5%, compared to the same period in 2025. Net premiums earned for the first six months of 2026 decreased $29,212, or 89.2% from the first six months of 2025. These decreases were driven by the strategic decision during the third quarter of 2025 to stop writing non-standard auto business in Illinois, Arizona, and South Dakota, with existing policies being non-renewed. We anticipate further reductions in net premiums earned in the near term as a result of the decisions to run off these non-standard auto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Net premiums earned for the second quarter of 2026 increased $4,807, or 22.6%, compared to the same period in 2025. Net premiums earned for the first six months of 2026 increased $6,781, or 15.1% from the first six months of 2025. Results were driven by higher renewal premiums, increased new business and rate increases in North Dakota, as well as lower ceded premiums earned compared to the prior year due to the significant catastrophe event in North Dakota during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Crop </w:t>
      </w:r>
      <w:r>
        <w:rPr>
          <w:rFonts w:ascii="Times New Roman;Times;Serif" w:hAnsi="Times New Roman;Times;Serif"/>
          <w:b w:val="false"/>
          <w:i w:val="false"/>
          <w:caps w:val="false"/>
          <w:smallCaps w:val="false"/>
          <w:sz w:val="20"/>
        </w:rPr>
        <w:t>– Net premiums earned for the second quarter of 2026, decreased $204, or 1.9%, compared to the same period in 2025. Net premiums earned for the first six months of 2026 decreased $498, or 4.8% from the first six months of 2025. The decrease in both periods was primarily the result of prior crop year premium adjustments that correspond to the current year settlement of prior crop year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Net premiums earned for the second quarter of 2026, increased $1,801, or 50.7%, compared to the same period in 2025. Net premiums earned for the first six months of 2026 increased $3,748, or 55.1%, from the first six months of 2025. Results were primarily driven by the Company’s decision to participate on the catastrophe reinsurance programs of certain farm bureau insurance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Losses and Loss Adjustment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9"/>
        <w:gridCol w:w="60"/>
        <w:gridCol w:w="221"/>
        <w:gridCol w:w="1075"/>
        <w:gridCol w:w="150"/>
        <w:gridCol w:w="94"/>
        <w:gridCol w:w="221"/>
        <w:gridCol w:w="1265"/>
        <w:gridCol w:w="95"/>
        <w:gridCol w:w="60"/>
        <w:gridCol w:w="200"/>
        <w:gridCol w:w="977"/>
        <w:gridCol w:w="136"/>
        <w:gridCol w:w="85"/>
        <w:gridCol w:w="200"/>
        <w:gridCol w:w="1150"/>
        <w:gridCol w:w="117"/>
      </w:tblGrid>
      <w:tr>
        <w:trPr/>
        <w:tc>
          <w:tcPr>
            <w:tcW w:w="4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7" w:type="dxa"/>
            <w:tcBorders/>
            <w:vAlign w:val="center"/>
          </w:tcPr>
          <w:p>
            <w:pPr>
              <w:pStyle w:val="TableContents"/>
              <w:bidi w:val="0"/>
              <w:spacing w:before="0" w:after="283"/>
              <w:jc w:val="left"/>
              <w:rPr/>
            </w:pPr>
            <w:r>
              <w:rPr/>
              <w:t> </w:t>
            </w:r>
          </w:p>
        </w:tc>
      </w:tr>
      <w:tr>
        <w:trPr/>
        <w:tc>
          <w:tcPr>
            <w:tcW w:w="4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6"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7" w:type="dxa"/>
            <w:tcBorders/>
            <w:vAlign w:val="center"/>
          </w:tcPr>
          <w:p>
            <w:pPr>
              <w:pStyle w:val="TableContents"/>
              <w:bidi w:val="0"/>
              <w:spacing w:before="0" w:after="283"/>
              <w:ind w:left="0" w:right="0" w:hanging="216"/>
              <w:jc w:val="left"/>
              <w:rPr/>
            </w:pPr>
            <w:r>
              <w:rPr/>
              <w:t> </w:t>
            </w:r>
          </w:p>
        </w:tc>
      </w:tr>
      <w:tr>
        <w:trPr/>
        <w:tc>
          <w:tcPr>
            <w:tcW w:w="4099"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4099" w:type="dxa"/>
            <w:tcBorders/>
            <w:shd w:fill="FFFFFF" w:val="clear"/>
            <w:vAlign w:val="center"/>
          </w:tcPr>
          <w:p>
            <w:pPr>
              <w:pStyle w:val="TableContents"/>
              <w:bidi w:val="0"/>
              <w:spacing w:before="0" w:after="283"/>
              <w:jc w:val="left"/>
              <w:rPr/>
            </w:pPr>
            <w:r>
              <w:rPr/>
              <w:t>Direct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075" w:type="dxa"/>
            <w:tcBorders/>
            <w:shd w:fill="FFFFFF" w:val="clear"/>
            <w:vAlign w:val="center"/>
          </w:tcPr>
          <w:p>
            <w:pPr>
              <w:pStyle w:val="TableContents"/>
              <w:bidi w:val="0"/>
              <w:spacing w:before="0" w:after="283"/>
              <w:jc w:val="right"/>
              <w:rPr/>
            </w:pPr>
            <w:r>
              <w:rPr/>
              <w:t>49,836</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pPr>
            <w:r>
              <w:rPr/>
              <w:t>109,382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77" w:type="dxa"/>
            <w:tcBorders/>
            <w:shd w:fill="FFFFFF" w:val="clear"/>
            <w:vAlign w:val="center"/>
          </w:tcPr>
          <w:p>
            <w:pPr>
              <w:pStyle w:val="TableContents"/>
              <w:bidi w:val="0"/>
              <w:spacing w:before="0" w:after="283"/>
              <w:jc w:val="right"/>
              <w:rPr/>
            </w:pPr>
            <w:r>
              <w:rPr/>
              <w:t>73,905</w:t>
            </w:r>
          </w:p>
        </w:tc>
        <w:tc>
          <w:tcPr>
            <w:tcW w:w="13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1150" w:type="dxa"/>
            <w:tcBorders/>
            <w:shd w:fill="FFFFFF" w:val="clear"/>
            <w:vAlign w:val="center"/>
          </w:tcPr>
          <w:p>
            <w:pPr>
              <w:pStyle w:val="TableContents"/>
              <w:bidi w:val="0"/>
              <w:spacing w:before="0" w:after="283"/>
              <w:jc w:val="right"/>
              <w:rPr/>
            </w:pPr>
            <w:r>
              <w:rPr/>
              <w:t>149,761</w:t>
            </w:r>
          </w:p>
        </w:tc>
        <w:tc>
          <w:tcPr>
            <w:tcW w:w="117" w:type="dxa"/>
            <w:tcBorders/>
            <w:shd w:fill="FFFFFF" w:val="clear"/>
            <w:vAlign w:val="center"/>
          </w:tcPr>
          <w:p>
            <w:pPr>
              <w:pStyle w:val="TableContents"/>
              <w:bidi w:val="0"/>
              <w:spacing w:before="0" w:after="283"/>
              <w:jc w:val="left"/>
              <w:rPr/>
            </w:pPr>
            <w:r>
              <w:rPr/>
              <w:t> </w:t>
            </w:r>
          </w:p>
        </w:tc>
      </w:tr>
      <w:tr>
        <w:trPr/>
        <w:tc>
          <w:tcPr>
            <w:tcW w:w="4099" w:type="dxa"/>
            <w:tcBorders/>
            <w:shd w:fill="CCEEFF" w:val="clear"/>
            <w:vAlign w:val="center"/>
          </w:tcPr>
          <w:p>
            <w:pPr>
              <w:pStyle w:val="TableContents"/>
              <w:bidi w:val="0"/>
              <w:spacing w:before="0" w:after="283"/>
              <w:jc w:val="left"/>
              <w:rPr/>
            </w:pPr>
            <w:r>
              <w:rPr/>
              <w:t>Assumed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2,388</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2,509</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51</w:t>
            </w:r>
          </w:p>
        </w:tc>
        <w:tc>
          <w:tcPr>
            <w:tcW w:w="117" w:type="dxa"/>
            <w:tcBorders/>
            <w:shd w:fill="CCEEFF" w:val="clear"/>
            <w:vAlign w:val="center"/>
          </w:tcPr>
          <w:p>
            <w:pPr>
              <w:pStyle w:val="TableContents"/>
              <w:bidi w:val="0"/>
              <w:spacing w:before="0" w:after="283"/>
              <w:jc w:val="left"/>
              <w:rPr/>
            </w:pPr>
            <w:r>
              <w:rPr/>
              <w:t> </w:t>
            </w:r>
          </w:p>
        </w:tc>
      </w:tr>
      <w:tr>
        <w:trPr/>
        <w:tc>
          <w:tcPr>
            <w:tcW w:w="4099" w:type="dxa"/>
            <w:tcBorders/>
            <w:shd w:fill="FFFFFF" w:val="clear"/>
            <w:vAlign w:val="center"/>
          </w:tcPr>
          <w:p>
            <w:pPr>
              <w:pStyle w:val="TableContents"/>
              <w:bidi w:val="0"/>
              <w:spacing w:before="0" w:after="283"/>
              <w:jc w:val="left"/>
              <w:rPr/>
            </w:pPr>
            <w:r>
              <w:rPr/>
              <w:t>Ceded losses and loss adjustment expenses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8" w:space="0" w:color="000000"/>
            </w:tcBorders>
            <w:shd w:fill="FFFFFF" w:val="clear"/>
            <w:tcMar>
              <w:bottom w:w="28" w:type="dxa"/>
            </w:tcMar>
            <w:vAlign w:val="center"/>
          </w:tcPr>
          <w:p>
            <w:pPr>
              <w:pStyle w:val="TableContents"/>
              <w:bidi w:val="0"/>
              <w:spacing w:before="0" w:after="283"/>
              <w:jc w:val="right"/>
              <w:rPr/>
            </w:pPr>
            <w:r>
              <w:rPr/>
              <w:t>(3,807</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(43,059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8" w:space="0" w:color="000000"/>
            </w:tcBorders>
            <w:shd w:fill="FFFFFF" w:val="clear"/>
            <w:tcMar>
              <w:bottom w:w="28" w:type="dxa"/>
            </w:tcMar>
            <w:vAlign w:val="center"/>
          </w:tcPr>
          <w:p>
            <w:pPr>
              <w:pStyle w:val="TableContents"/>
              <w:bidi w:val="0"/>
              <w:spacing w:before="0" w:after="283"/>
              <w:jc w:val="right"/>
              <w:rPr/>
            </w:pPr>
            <w:r>
              <w:rPr/>
              <w:t>(4,641</w:t>
            </w:r>
          </w:p>
        </w:tc>
        <w:tc>
          <w:tcPr>
            <w:tcW w:w="136"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FFFFFF" w:val="clear"/>
            <w:tcMar>
              <w:bottom w:w="28" w:type="dxa"/>
            </w:tcMar>
            <w:vAlign w:val="center"/>
          </w:tcPr>
          <w:p>
            <w:pPr>
              <w:pStyle w:val="TableContents"/>
              <w:bidi w:val="0"/>
              <w:spacing w:before="0" w:after="283"/>
              <w:jc w:val="right"/>
              <w:rPr/>
            </w:pPr>
            <w:r>
              <w:rPr/>
              <w:t>(44,680</w:t>
            </w:r>
          </w:p>
        </w:tc>
        <w:tc>
          <w:tcPr>
            <w:tcW w:w="117" w:type="dxa"/>
            <w:tcBorders/>
            <w:shd w:fill="FFFFFF" w:val="clear"/>
            <w:vAlign w:val="center"/>
          </w:tcPr>
          <w:p>
            <w:pPr>
              <w:pStyle w:val="TableContents"/>
              <w:bidi w:val="0"/>
              <w:spacing w:before="0" w:after="283"/>
              <w:jc w:val="left"/>
              <w:rPr/>
            </w:pPr>
            <w:r>
              <w:rPr/>
              <w:t>)</w:t>
            </w:r>
          </w:p>
        </w:tc>
      </w:tr>
      <w:tr>
        <w:trPr/>
        <w:tc>
          <w:tcPr>
            <w:tcW w:w="4099" w:type="dxa"/>
            <w:tcBorders/>
            <w:shd w:fill="CCEEFF" w:val="clear"/>
            <w:vAlign w:val="center"/>
          </w:tcPr>
          <w:p>
            <w:pPr>
              <w:pStyle w:val="TableContents"/>
              <w:bidi w:val="0"/>
              <w:spacing w:before="0" w:after="283"/>
              <w:jc w:val="left"/>
              <w:rPr/>
            </w:pPr>
            <w:r>
              <w:rPr/>
              <w:t>Total 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283"/>
              <w:jc w:val="right"/>
              <w:rPr/>
            </w:pPr>
            <w:r>
              <w:rPr/>
              <w:t>48,417</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66,607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jc w:val="right"/>
              <w:rPr/>
            </w:pPr>
            <w:r>
              <w:rPr/>
              <w:t>71,773</w:t>
            </w:r>
          </w:p>
        </w:tc>
        <w:tc>
          <w:tcPr>
            <w:tcW w:w="13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105,132</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losses and loss adjustment expenses for the three months ended June 30, 2026, decreased $18,190, or 27.3%, compared to the three months ended June 30, 2025. Our net losses and loss adjustment expenses for the six months ended June 30, 2026, decreased $33,359, or 31.7%, compared to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38"/>
        <w:gridCol w:w="60"/>
        <w:gridCol w:w="236"/>
        <w:gridCol w:w="1153"/>
        <w:gridCol w:w="160"/>
        <w:gridCol w:w="101"/>
        <w:gridCol w:w="236"/>
        <w:gridCol w:w="1153"/>
        <w:gridCol w:w="60"/>
        <w:gridCol w:w="60"/>
        <w:gridCol w:w="205"/>
        <w:gridCol w:w="1001"/>
        <w:gridCol w:w="88"/>
        <w:gridCol w:w="88"/>
        <w:gridCol w:w="205"/>
        <w:gridCol w:w="1178"/>
        <w:gridCol w:w="83"/>
      </w:tblGrid>
      <w:tr>
        <w:trPr/>
        <w:tc>
          <w:tcPr>
            <w:tcW w:w="4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3" w:type="dxa"/>
            <w:tcBorders/>
            <w:vAlign w:val="center"/>
          </w:tcPr>
          <w:p>
            <w:pPr>
              <w:pStyle w:val="TableContents"/>
              <w:bidi w:val="0"/>
              <w:spacing w:before="0" w:after="283"/>
              <w:jc w:val="left"/>
              <w:rPr/>
            </w:pPr>
            <w:r>
              <w:rPr/>
              <w:t> </w:t>
            </w:r>
          </w:p>
        </w:tc>
      </w:tr>
      <w:tr>
        <w:trPr/>
        <w:tc>
          <w:tcPr>
            <w:tcW w:w="4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3" w:type="dxa"/>
            <w:tcBorders/>
            <w:vAlign w:val="center"/>
          </w:tcPr>
          <w:p>
            <w:pPr>
              <w:pStyle w:val="TableContents"/>
              <w:bidi w:val="0"/>
              <w:spacing w:before="0" w:after="283"/>
              <w:ind w:left="0" w:right="0" w:hanging="216"/>
              <w:jc w:val="left"/>
              <w:rPr/>
            </w:pPr>
            <w:r>
              <w:rPr/>
              <w:t> </w:t>
            </w:r>
          </w:p>
        </w:tc>
      </w:tr>
      <w:tr>
        <w:trPr/>
        <w:tc>
          <w:tcPr>
            <w:tcW w:w="4138" w:type="dxa"/>
            <w:tcBorders/>
            <w:shd w:fill="CCEEFF" w:val="clear"/>
            <w:vAlign w:val="center"/>
          </w:tcPr>
          <w:p>
            <w:pPr>
              <w:pStyle w:val="TableContents"/>
              <w:bidi w:val="0"/>
              <w:spacing w:before="0" w:after="283"/>
              <w:jc w:val="left"/>
              <w:rPr/>
            </w:pPr>
            <w:r>
              <w:rPr/>
              <w:t>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4138"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12,690</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13,700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1001" w:type="dxa"/>
            <w:tcBorders/>
            <w:shd w:fill="FFFFFF" w:val="clear"/>
            <w:vAlign w:val="center"/>
          </w:tcPr>
          <w:p>
            <w:pPr>
              <w:pStyle w:val="TableContents"/>
              <w:bidi w:val="0"/>
              <w:spacing w:before="0" w:after="283"/>
              <w:jc w:val="right"/>
              <w:rPr/>
            </w:pPr>
            <w:r>
              <w:rPr/>
              <w:t>22,982</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1178" w:type="dxa"/>
            <w:tcBorders/>
            <w:shd w:fill="FFFFFF" w:val="clear"/>
            <w:vAlign w:val="center"/>
          </w:tcPr>
          <w:p>
            <w:pPr>
              <w:pStyle w:val="TableContents"/>
              <w:bidi w:val="0"/>
              <w:spacing w:before="0" w:after="283"/>
              <w:jc w:val="right"/>
              <w:rPr/>
            </w:pPr>
            <w:r>
              <w:rPr/>
              <w:t>27,195</w:t>
            </w:r>
          </w:p>
        </w:tc>
        <w:tc>
          <w:tcPr>
            <w:tcW w:w="83" w:type="dxa"/>
            <w:tcBorders/>
            <w:shd w:fill="FFFFFF" w:val="clear"/>
            <w:vAlign w:val="center"/>
          </w:tcPr>
          <w:p>
            <w:pPr>
              <w:pStyle w:val="TableContents"/>
              <w:bidi w:val="0"/>
              <w:spacing w:before="0" w:after="283"/>
              <w:jc w:val="left"/>
              <w:rPr/>
            </w:pPr>
            <w:r>
              <w:rPr/>
              <w:t> </w:t>
            </w:r>
          </w:p>
        </w:tc>
      </w:tr>
      <w:tr>
        <w:trPr/>
        <w:tc>
          <w:tcPr>
            <w:tcW w:w="4138"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(1,524</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16,860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1,058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31,397</w:t>
            </w:r>
          </w:p>
        </w:tc>
        <w:tc>
          <w:tcPr>
            <w:tcW w:w="83" w:type="dxa"/>
            <w:tcBorders/>
            <w:shd w:fill="CCEEFF" w:val="clear"/>
            <w:vAlign w:val="center"/>
          </w:tcPr>
          <w:p>
            <w:pPr>
              <w:pStyle w:val="TableContents"/>
              <w:bidi w:val="0"/>
              <w:spacing w:before="0" w:after="283"/>
              <w:jc w:val="left"/>
              <w:rPr/>
            </w:pPr>
            <w:r>
              <w:rPr/>
              <w:t> </w:t>
            </w:r>
          </w:p>
        </w:tc>
      </w:tr>
      <w:tr>
        <w:trPr/>
        <w:tc>
          <w:tcPr>
            <w:tcW w:w="4138"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28,333</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27,011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38,694</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36,799</w:t>
            </w:r>
          </w:p>
        </w:tc>
        <w:tc>
          <w:tcPr>
            <w:tcW w:w="83" w:type="dxa"/>
            <w:tcBorders/>
            <w:shd w:fill="FFFFFF" w:val="clear"/>
            <w:vAlign w:val="center"/>
          </w:tcPr>
          <w:p>
            <w:pPr>
              <w:pStyle w:val="TableContents"/>
              <w:bidi w:val="0"/>
              <w:spacing w:before="0" w:after="283"/>
              <w:jc w:val="left"/>
              <w:rPr/>
            </w:pPr>
            <w:r>
              <w:rPr/>
              <w:t> </w:t>
            </w:r>
          </w:p>
        </w:tc>
      </w:tr>
      <w:tr>
        <w:trPr/>
        <w:tc>
          <w:tcPr>
            <w:tcW w:w="4138"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7,672</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8,468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6,979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7,967</w:t>
            </w:r>
          </w:p>
        </w:tc>
        <w:tc>
          <w:tcPr>
            <w:tcW w:w="83" w:type="dxa"/>
            <w:tcBorders/>
            <w:shd w:fill="CCEEFF" w:val="clear"/>
            <w:vAlign w:val="center"/>
          </w:tcPr>
          <w:p>
            <w:pPr>
              <w:pStyle w:val="TableContents"/>
              <w:bidi w:val="0"/>
              <w:spacing w:before="0" w:after="283"/>
              <w:jc w:val="left"/>
              <w:rPr/>
            </w:pPr>
            <w:r>
              <w:rPr/>
              <w:t> </w:t>
            </w:r>
          </w:p>
        </w:tc>
      </w:tr>
      <w:tr>
        <w:trPr/>
        <w:tc>
          <w:tcPr>
            <w:tcW w:w="4138"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pPr>
            <w:r>
              <w:rPr/>
              <w:t>1,246</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8" w:space="0" w:color="000000"/>
            </w:tcBorders>
            <w:shd w:fill="FFFFFF" w:val="clear"/>
            <w:tcMar>
              <w:bottom w:w="28" w:type="dxa"/>
            </w:tcMar>
            <w:vAlign w:val="center"/>
          </w:tcPr>
          <w:p>
            <w:pPr>
              <w:pStyle w:val="TableContents"/>
              <w:bidi w:val="0"/>
              <w:spacing w:before="0" w:after="283"/>
              <w:jc w:val="right"/>
              <w:rPr/>
            </w:pPr>
            <w:r>
              <w:rPr/>
              <w:t>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pPr>
            <w:r>
              <w:rPr/>
              <w:t>2,060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1,774</w:t>
            </w:r>
          </w:p>
        </w:tc>
        <w:tc>
          <w:tcPr>
            <w:tcW w:w="83" w:type="dxa"/>
            <w:tcBorders/>
            <w:shd w:fill="FFFFFF" w:val="clear"/>
            <w:vAlign w:val="center"/>
          </w:tcPr>
          <w:p>
            <w:pPr>
              <w:pStyle w:val="TableContents"/>
              <w:bidi w:val="0"/>
              <w:spacing w:before="0" w:after="283"/>
              <w:jc w:val="left"/>
              <w:rPr/>
            </w:pPr>
            <w:r>
              <w:rPr/>
              <w:t> </w:t>
            </w:r>
          </w:p>
        </w:tc>
      </w:tr>
      <w:tr>
        <w:trPr/>
        <w:tc>
          <w:tcPr>
            <w:tcW w:w="4138" w:type="dxa"/>
            <w:tcBorders/>
            <w:shd w:fill="CCEEFF" w:val="clear"/>
            <w:vAlign w:val="center"/>
          </w:tcPr>
          <w:p>
            <w:pPr>
              <w:pStyle w:val="TableContents"/>
              <w:bidi w:val="0"/>
              <w:spacing w:before="0" w:after="283"/>
              <w:jc w:val="left"/>
              <w:rPr/>
            </w:pPr>
            <w:r>
              <w:rPr/>
              <w:t>Total net losses and loss adjustment expenses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3" w:type="dxa"/>
            <w:tcBorders>
              <w:bottom w:val="double" w:sz="6" w:space="0" w:color="000000"/>
            </w:tcBorders>
            <w:shd w:fill="CCEEFF" w:val="clear"/>
            <w:tcMar>
              <w:bottom w:w="28" w:type="dxa"/>
            </w:tcMar>
            <w:vAlign w:val="center"/>
          </w:tcPr>
          <w:p>
            <w:pPr>
              <w:pStyle w:val="TableContents"/>
              <w:bidi w:val="0"/>
              <w:spacing w:before="0" w:after="283"/>
              <w:jc w:val="right"/>
              <w:rPr/>
            </w:pPr>
            <w:r>
              <w:rPr/>
              <w:t>48,417</w:t>
            </w:r>
          </w:p>
        </w:tc>
        <w:tc>
          <w:tcPr>
            <w:tcW w:w="1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3" w:type="dxa"/>
            <w:tcBorders>
              <w:bottom w:val="double" w:sz="6" w:space="0" w:color="000000"/>
            </w:tcBorders>
            <w:shd w:fill="CCEEFF" w:val="clear"/>
            <w:tcMar>
              <w:bottom w:w="28" w:type="dxa"/>
            </w:tcMar>
            <w:vAlign w:val="center"/>
          </w:tcPr>
          <w:p>
            <w:pPr>
              <w:pStyle w:val="TableContents"/>
              <w:bidi w:val="0"/>
              <w:spacing w:before="0" w:after="283"/>
              <w:jc w:val="right"/>
              <w:rPr/>
            </w:pPr>
            <w:r>
              <w:rPr/>
              <w:t>66,607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jc w:val="right"/>
              <w:rPr/>
            </w:pPr>
            <w:r>
              <w:rPr/>
              <w:t>71,773</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105,132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090"/>
        <w:gridCol w:w="60"/>
        <w:gridCol w:w="99"/>
        <w:gridCol w:w="1375"/>
        <w:gridCol w:w="157"/>
        <w:gridCol w:w="99"/>
        <w:gridCol w:w="99"/>
        <w:gridCol w:w="1250"/>
        <w:gridCol w:w="60"/>
        <w:gridCol w:w="60"/>
        <w:gridCol w:w="110"/>
        <w:gridCol w:w="1168"/>
        <w:gridCol w:w="110"/>
        <w:gridCol w:w="110"/>
        <w:gridCol w:w="110"/>
        <w:gridCol w:w="1168"/>
        <w:gridCol w:w="80"/>
      </w:tblGrid>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0" w:type="dxa"/>
            <w:tcBorders/>
            <w:vAlign w:val="center"/>
          </w:tcPr>
          <w:p>
            <w:pPr>
              <w:pStyle w:val="TableContents"/>
              <w:bidi w:val="0"/>
              <w:spacing w:before="0" w:after="283"/>
              <w:jc w:val="left"/>
              <w:rPr/>
            </w:pPr>
            <w:r>
              <w:rPr/>
              <w:t> </w:t>
            </w:r>
          </w:p>
        </w:tc>
      </w:tr>
      <w:tr>
        <w:trPr/>
        <w:tc>
          <w:tcPr>
            <w:tcW w:w="4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ind w:left="0" w:right="0" w:hanging="216"/>
              <w:jc w:val="left"/>
              <w:rPr/>
            </w:pPr>
            <w:r>
              <w:rPr/>
              <w:t> </w:t>
            </w:r>
          </w:p>
        </w:tc>
      </w:tr>
      <w:tr>
        <w:trPr/>
        <w:tc>
          <w:tcPr>
            <w:tcW w:w="4090" w:type="dxa"/>
            <w:tcBorders/>
            <w:shd w:fill="CCEEFF" w:val="clear"/>
            <w:vAlign w:val="center"/>
          </w:tcPr>
          <w:p>
            <w:pPr>
              <w:pStyle w:val="TableContents"/>
              <w:bidi w:val="0"/>
              <w:spacing w:before="0" w:after="283"/>
              <w:jc w:val="left"/>
              <w:rPr/>
            </w:pPr>
            <w:r>
              <w:rPr/>
              <w:t>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57.4%</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51.8%</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59.7%</w:t>
            </w:r>
          </w:p>
        </w:tc>
        <w:tc>
          <w:tcPr>
            <w:tcW w:w="80" w:type="dxa"/>
            <w:tcBorders/>
            <w:shd w:fill="FFFFFF" w:val="clear"/>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(161.8%</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95.8%</w:t>
            </w:r>
          </w:p>
        </w:tc>
        <w:tc>
          <w:tcPr>
            <w:tcW w:w="80"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108.5%</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74.7%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81.7%</w:t>
            </w:r>
          </w:p>
        </w:tc>
        <w:tc>
          <w:tcPr>
            <w:tcW w:w="80" w:type="dxa"/>
            <w:tcBorders/>
            <w:shd w:fill="FFFFFF" w:val="clear"/>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73.0%</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70.9%</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77.1%</w:t>
            </w:r>
          </w:p>
        </w:tc>
        <w:tc>
          <w:tcPr>
            <w:tcW w:w="80" w:type="dxa"/>
            <w:tcBorders/>
            <w:shd w:fill="CCEEFF" w:val="clear"/>
            <w:vAlign w:val="center"/>
          </w:tcPr>
          <w:p>
            <w:pPr>
              <w:pStyle w:val="TableContents"/>
              <w:bidi w:val="0"/>
              <w:spacing w:before="0" w:after="283"/>
              <w:jc w:val="left"/>
              <w:rPr/>
            </w:pPr>
            <w:r>
              <w:rPr/>
              <w:t> </w:t>
            </w:r>
          </w:p>
        </w:tc>
      </w:tr>
      <w:tr>
        <w:trPr/>
        <w:tc>
          <w:tcPr>
            <w:tcW w:w="409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5" w:type="dxa"/>
            <w:tcBorders>
              <w:bottom w:val="single" w:sz="8" w:space="0" w:color="000000"/>
            </w:tcBorders>
            <w:shd w:fill="FFFFFF" w:val="clear"/>
            <w:tcMar>
              <w:bottom w:w="28" w:type="dxa"/>
            </w:tcMar>
            <w:vAlign w:val="center"/>
          </w:tcPr>
          <w:p>
            <w:pPr>
              <w:pStyle w:val="TableContents"/>
              <w:bidi w:val="0"/>
              <w:spacing w:before="0" w:after="283"/>
              <w:jc w:val="right"/>
              <w:rPr/>
            </w:pPr>
            <w:r>
              <w:rPr/>
              <w:t>23.3%</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19.5%</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26.1%</w:t>
            </w:r>
          </w:p>
        </w:tc>
        <w:tc>
          <w:tcPr>
            <w:tcW w:w="80" w:type="dxa"/>
            <w:tcBorders/>
            <w:shd w:fill="FFFFFF" w:val="clear"/>
            <w:vAlign w:val="center"/>
          </w:tcPr>
          <w:p>
            <w:pPr>
              <w:pStyle w:val="TableContents"/>
              <w:bidi w:val="0"/>
              <w:spacing w:before="0" w:after="283"/>
              <w:jc w:val="left"/>
              <w:rPr/>
            </w:pPr>
            <w:r>
              <w:rPr/>
              <w:t> </w:t>
            </w:r>
          </w:p>
        </w:tc>
      </w:tr>
      <w:tr>
        <w:trPr/>
        <w:tc>
          <w:tcPr>
            <w:tcW w:w="4090" w:type="dxa"/>
            <w:tcBorders/>
            <w:shd w:fill="CCEEFF" w:val="clear"/>
            <w:vAlign w:val="center"/>
          </w:tcPr>
          <w:p>
            <w:pPr>
              <w:pStyle w:val="TableContents"/>
              <w:bidi w:val="0"/>
              <w:spacing w:before="0" w:after="283"/>
              <w:jc w:val="left"/>
              <w:rPr/>
            </w:pPr>
            <w:r>
              <w:rPr/>
              <w:t>Total loss and loss adjustment expense ratio</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5" w:type="dxa"/>
            <w:tcBorders>
              <w:bottom w:val="double" w:sz="6" w:space="0" w:color="000000"/>
            </w:tcBorders>
            <w:shd w:fill="CCEEFF" w:val="clear"/>
            <w:tcMar>
              <w:bottom w:w="28" w:type="dxa"/>
            </w:tcMar>
            <w:vAlign w:val="center"/>
          </w:tcPr>
          <w:p>
            <w:pPr>
              <w:pStyle w:val="TableContents"/>
              <w:bidi w:val="0"/>
              <w:spacing w:before="0" w:after="283"/>
              <w:jc w:val="right"/>
              <w:rPr/>
            </w:pPr>
            <w:r>
              <w:rPr/>
              <w:t>74.5%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59.7%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74.8%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comments regarding significant changes in the net losses and loss adjustment expenses, and the net loss and loss adjustment expense ratios, by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Private Passenger Auto</w:t>
      </w:r>
      <w:r>
        <w:rPr>
          <w:rFonts w:ascii="Times New Roman;Times;Serif" w:hAnsi="Times New Roman;Times;Serif"/>
          <w:b w:val="false"/>
          <w:i w:val="false"/>
          <w:caps w:val="false"/>
          <w:smallCaps w:val="false"/>
          <w:sz w:val="20"/>
        </w:rPr>
        <w:t xml:space="preserve"> – The net loss and loss adjustment expense ratio decreased 2.4 percentage points and 7.9 percentage points in the three- and six-month periods ended June 30, 2026, respectively, compared to the same periods in 2025. The decrease in the three-month period was driven by lower weather-related losses in North Dakota due to the significant catastrophe event in North Dakota during the second quarter of 2025. The decrease over the six-month period also benefited from lower frequency of losses as well as favorable prior year development during the first quarter of the year. Both periods were partially offset by lower net premiums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Non-Standard Auto</w:t>
      </w:r>
      <w:r>
        <w:rPr>
          <w:rFonts w:ascii="Times New Roman;Times;Serif" w:hAnsi="Times New Roman;Times;Serif"/>
          <w:b w:val="false"/>
          <w:i w:val="false"/>
          <w:caps w:val="false"/>
          <w:smallCaps w:val="false"/>
          <w:sz w:val="20"/>
        </w:rPr>
        <w:t xml:space="preserve"> – The net loss and loss adjustment expense ratio decreased 278.0 percentage points and 66.0 percentage points in the three- and six-month periods ended June 30, 2026, respectively, compared to the same period in 2025. These decreases were primarily driven by favorable prior year development on loss reserves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and Farm</w:t>
      </w:r>
      <w:r>
        <w:rPr>
          <w:rFonts w:ascii="Times New Roman;Times;Serif" w:hAnsi="Times New Roman;Times;Serif"/>
          <w:b w:val="false"/>
          <w:i w:val="false"/>
          <w:caps w:val="false"/>
          <w:smallCaps w:val="false"/>
          <w:sz w:val="20"/>
        </w:rPr>
        <w:t xml:space="preserve"> – The net loss and loss adjustment expense ratio decreased 18.2 percentage points and 7.0 percentage points in the three- and six-month periods ended June 30, 2026, respectively, compared to the same periods in 2025. These decreases were primarily driven by lower catastrophe losses and corresponding ceded premiums earned, favorable prior year development on loss reserves in the current year, and growth in net premiums earned, partially offset by increased non-catastrophe weather-related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Crop</w:t>
      </w:r>
      <w:r>
        <w:rPr>
          <w:rFonts w:ascii="Times New Roman;Times;Serif" w:hAnsi="Times New Roman;Times;Serif"/>
          <w:b w:val="false"/>
          <w:i w:val="false"/>
          <w:caps w:val="false"/>
          <w:smallCaps w:val="false"/>
          <w:sz w:val="20"/>
        </w:rPr>
        <w:t xml:space="preserve"> – The net loss and loss adjustment expense ratio decreased 6.1 percentage points and 6.2 percentage points in the three- and six-month periods ended June 30, 2026, respectively, compared to the same periods in 2025. These decreases were primarily driven by expected improved growing conditions for multi-peril crop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Other</w:t>
      </w:r>
      <w:r>
        <w:rPr>
          <w:rFonts w:ascii="Times New Roman;Times;Serif" w:hAnsi="Times New Roman;Times;Serif"/>
          <w:b w:val="false"/>
          <w:i w:val="false"/>
          <w:caps w:val="false"/>
          <w:smallCaps w:val="false"/>
          <w:sz w:val="20"/>
        </w:rPr>
        <w:t xml:space="preserve"> – The net loss and loss adjustment expense ratio increased 7.3 percentage points and decreased 6.6 percentage points in the three- and six-month period ended June 30, 2026, compared to the same period in 2025. The current quarter increase was driven by favorable development on loss reserves in the prior year related to the run-off of our participation in an assumed domestic and international reinsurance pool of business. The year-to-date decrease was driven by increased net premiums earned due to the Company’s participation on reinsurance pools of certain farm bureau reinsurance companies as well as favorable development on loss reserves in the current year for the commercial lines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and General Expenses and Expense Ratio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7"/>
        <w:gridCol w:w="60"/>
        <w:gridCol w:w="236"/>
        <w:gridCol w:w="1150"/>
        <w:gridCol w:w="101"/>
        <w:gridCol w:w="101"/>
        <w:gridCol w:w="236"/>
        <w:gridCol w:w="1150"/>
        <w:gridCol w:w="60"/>
        <w:gridCol w:w="60"/>
        <w:gridCol w:w="214"/>
        <w:gridCol w:w="1046"/>
        <w:gridCol w:w="92"/>
        <w:gridCol w:w="92"/>
        <w:gridCol w:w="214"/>
        <w:gridCol w:w="1046"/>
        <w:gridCol w:w="80"/>
      </w:tblGrid>
      <w:tr>
        <w:trPr/>
        <w:tc>
          <w:tcPr>
            <w:tcW w:w="4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0" w:type="dxa"/>
            <w:tcBorders/>
            <w:vAlign w:val="center"/>
          </w:tcPr>
          <w:p>
            <w:pPr>
              <w:pStyle w:val="TableContents"/>
              <w:bidi w:val="0"/>
              <w:spacing w:before="0" w:after="283"/>
              <w:jc w:val="left"/>
              <w:rPr/>
            </w:pPr>
            <w:r>
              <w:rPr/>
              <w:t> </w:t>
            </w:r>
          </w:p>
        </w:tc>
      </w:tr>
      <w:tr>
        <w:trPr/>
        <w:tc>
          <w:tcPr>
            <w:tcW w:w="42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ind w:left="0" w:right="0" w:hanging="216"/>
              <w:jc w:val="left"/>
              <w:rPr/>
            </w:pPr>
            <w:r>
              <w:rPr/>
              <w:t> </w:t>
            </w:r>
          </w:p>
        </w:tc>
      </w:tr>
      <w:tr>
        <w:trPr/>
        <w:tc>
          <w:tcPr>
            <w:tcW w:w="4267" w:type="dxa"/>
            <w:tcBorders/>
            <w:shd w:fill="CCEEFF" w:val="clear"/>
            <w:vAlign w:val="center"/>
          </w:tcPr>
          <w:p>
            <w:pPr>
              <w:pStyle w:val="TableContents"/>
              <w:bidi w:val="0"/>
              <w:spacing w:before="0" w:after="283"/>
              <w:jc w:val="left"/>
              <w:rPr/>
            </w:pPr>
            <w:r>
              <w:rPr/>
              <w:t>Underwriting and general expenses: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7" w:type="dxa"/>
            <w:tcBorders/>
            <w:shd w:fill="FFFFFF" w:val="clear"/>
            <w:vAlign w:val="center"/>
          </w:tcPr>
          <w:p>
            <w:pPr>
              <w:pStyle w:val="TableContents"/>
              <w:bidi w:val="0"/>
              <w:spacing w:before="0" w:after="283"/>
              <w:jc w:val="left"/>
              <w:rPr/>
            </w:pPr>
            <w:r>
              <w:rPr/>
              <w:t>Amortization of deferred policy acquisition costs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150" w:type="dxa"/>
            <w:tcBorders/>
            <w:shd w:fill="FFFFFF" w:val="clear"/>
            <w:vAlign w:val="center"/>
          </w:tcPr>
          <w:p>
            <w:pPr>
              <w:pStyle w:val="TableContents"/>
              <w:bidi w:val="0"/>
              <w:spacing w:before="0" w:after="283"/>
              <w:jc w:val="right"/>
              <w:rPr/>
            </w:pPr>
            <w:r>
              <w:rPr/>
              <w:t>12,236</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150" w:type="dxa"/>
            <w:tcBorders/>
            <w:shd w:fill="FFFFFF" w:val="clear"/>
            <w:vAlign w:val="center"/>
          </w:tcPr>
          <w:p>
            <w:pPr>
              <w:pStyle w:val="TableContents"/>
              <w:bidi w:val="0"/>
              <w:spacing w:before="0" w:after="283"/>
              <w:jc w:val="right"/>
              <w:rPr/>
            </w:pPr>
            <w:r>
              <w:rPr/>
              <w:t>16,374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046" w:type="dxa"/>
            <w:tcBorders/>
            <w:shd w:fill="FFFFFF" w:val="clear"/>
            <w:vAlign w:val="center"/>
          </w:tcPr>
          <w:p>
            <w:pPr>
              <w:pStyle w:val="TableContents"/>
              <w:bidi w:val="0"/>
              <w:spacing w:before="0" w:after="283"/>
              <w:jc w:val="right"/>
              <w:rPr/>
            </w:pPr>
            <w:r>
              <w:rPr/>
              <w:t>24,122</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046" w:type="dxa"/>
            <w:tcBorders/>
            <w:shd w:fill="FFFFFF" w:val="clear"/>
            <w:vAlign w:val="center"/>
          </w:tcPr>
          <w:p>
            <w:pPr>
              <w:pStyle w:val="TableContents"/>
              <w:bidi w:val="0"/>
              <w:spacing w:before="0" w:after="283"/>
              <w:jc w:val="right"/>
              <w:rPr/>
            </w:pPr>
            <w:r>
              <w:rPr/>
              <w:t>32,902</w:t>
            </w:r>
          </w:p>
        </w:tc>
        <w:tc>
          <w:tcPr>
            <w:tcW w:w="80" w:type="dxa"/>
            <w:tcBorders/>
            <w:shd w:fill="FFFFFF" w:val="clear"/>
            <w:vAlign w:val="center"/>
          </w:tcPr>
          <w:p>
            <w:pPr>
              <w:pStyle w:val="TableContents"/>
              <w:bidi w:val="0"/>
              <w:spacing w:before="0" w:after="283"/>
              <w:jc w:val="left"/>
              <w:rPr/>
            </w:pPr>
            <w:r>
              <w:rPr/>
              <w:t> </w:t>
            </w:r>
          </w:p>
        </w:tc>
      </w:tr>
      <w:tr>
        <w:trPr/>
        <w:tc>
          <w:tcPr>
            <w:tcW w:w="4267" w:type="dxa"/>
            <w:tcBorders/>
            <w:shd w:fill="CCEEFF" w:val="clear"/>
            <w:vAlign w:val="center"/>
          </w:tcPr>
          <w:p>
            <w:pPr>
              <w:pStyle w:val="TableContents"/>
              <w:bidi w:val="0"/>
              <w:spacing w:before="0" w:after="283"/>
              <w:jc w:val="left"/>
              <w:rPr/>
            </w:pPr>
            <w:r>
              <w:rPr/>
              <w:t>Other underwriting and general expenses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CCEEFF" w:val="clear"/>
            <w:tcMar>
              <w:bottom w:w="28" w:type="dxa"/>
            </w:tcMar>
            <w:vAlign w:val="center"/>
          </w:tcPr>
          <w:p>
            <w:pPr>
              <w:pStyle w:val="TableContents"/>
              <w:bidi w:val="0"/>
              <w:spacing w:before="0" w:after="283"/>
              <w:jc w:val="right"/>
              <w:rPr/>
            </w:pPr>
            <w:r>
              <w:rPr/>
              <w:t>9,351</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8" w:space="0" w:color="000000"/>
            </w:tcBorders>
            <w:shd w:fill="CCEEFF" w:val="clear"/>
            <w:tcMar>
              <w:bottom w:w="28" w:type="dxa"/>
            </w:tcMar>
            <w:vAlign w:val="center"/>
          </w:tcPr>
          <w:p>
            <w:pPr>
              <w:pStyle w:val="TableContents"/>
              <w:bidi w:val="0"/>
              <w:spacing w:before="0" w:after="283"/>
              <w:jc w:val="right"/>
              <w:rPr/>
            </w:pPr>
            <w:r>
              <w:rPr/>
              <w:t>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pPr>
            <w:r>
              <w:rPr/>
              <w:t>18,001</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pPr>
            <w:r>
              <w:rPr/>
              <w:t>17,032</w:t>
            </w:r>
          </w:p>
        </w:tc>
        <w:tc>
          <w:tcPr>
            <w:tcW w:w="80" w:type="dxa"/>
            <w:tcBorders/>
            <w:shd w:fill="CCEEFF" w:val="clear"/>
            <w:vAlign w:val="center"/>
          </w:tcPr>
          <w:p>
            <w:pPr>
              <w:pStyle w:val="TableContents"/>
              <w:bidi w:val="0"/>
              <w:spacing w:before="0" w:after="283"/>
              <w:jc w:val="left"/>
              <w:rPr/>
            </w:pPr>
            <w:r>
              <w:rPr/>
              <w:t> </w:t>
            </w:r>
          </w:p>
        </w:tc>
      </w:tr>
      <w:tr>
        <w:trPr/>
        <w:tc>
          <w:tcPr>
            <w:tcW w:w="4267" w:type="dxa"/>
            <w:tcBorders/>
            <w:shd w:fill="FFFFFF" w:val="clear"/>
            <w:vAlign w:val="center"/>
          </w:tcPr>
          <w:p>
            <w:pPr>
              <w:pStyle w:val="TableContents"/>
              <w:bidi w:val="0"/>
              <w:spacing w:before="0" w:after="283"/>
              <w:jc w:val="left"/>
              <w:rPr/>
            </w:pPr>
            <w:r>
              <w:rPr/>
              <w:t>Total underwriting and general expenses</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pPr>
            <w:r>
              <w:rPr/>
              <w:t>21,587</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pPr>
            <w:r>
              <w:rPr/>
              <w:t>24,774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pPr>
            <w:r>
              <w:rPr/>
              <w:t>42,123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pPr>
            <w:r>
              <w:rPr/>
              <w:t>49,934</w:t>
            </w:r>
          </w:p>
        </w:tc>
        <w:tc>
          <w:tcPr>
            <w:tcW w:w="80" w:type="dxa"/>
            <w:tcBorders/>
            <w:shd w:fill="FFFFFF" w:val="clear"/>
            <w:vAlign w:val="center"/>
          </w:tcPr>
          <w:p>
            <w:pPr>
              <w:pStyle w:val="TableContents"/>
              <w:bidi w:val="0"/>
              <w:spacing w:before="0" w:after="283"/>
              <w:jc w:val="left"/>
              <w:rPr/>
            </w:pPr>
            <w:r>
              <w:rPr/>
              <w:t> </w:t>
            </w:r>
          </w:p>
        </w:tc>
      </w:tr>
      <w:tr>
        <w:trPr/>
        <w:tc>
          <w:tcPr>
            <w:tcW w:w="4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7" w:type="dxa"/>
            <w:tcBorders/>
            <w:shd w:fill="FFFFFF" w:val="clear"/>
            <w:vAlign w:val="center"/>
          </w:tcPr>
          <w:p>
            <w:pPr>
              <w:pStyle w:val="TableContents"/>
              <w:bidi w:val="0"/>
              <w:spacing w:before="0" w:after="283"/>
              <w:jc w:val="left"/>
              <w:rPr/>
            </w:pPr>
            <w:r>
              <w:rPr/>
              <w:t>Expense Ratio</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pPr>
            <w:r>
              <w:rPr/>
              <w:t>33.2%</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double" w:sz="6" w:space="0" w:color="000000"/>
            </w:tcBorders>
            <w:shd w:fill="FFFFFF" w:val="clear"/>
            <w:tcMar>
              <w:bottom w:w="28" w:type="dxa"/>
            </w:tcMar>
            <w:vAlign w:val="center"/>
          </w:tcPr>
          <w:p>
            <w:pPr>
              <w:pStyle w:val="TableContents"/>
              <w:bidi w:val="0"/>
              <w:spacing w:before="0" w:after="283"/>
              <w:jc w:val="right"/>
              <w:rPr/>
            </w:pPr>
            <w:r>
              <w:rPr/>
              <w:t>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pPr>
            <w:r>
              <w:rPr/>
              <w:t>35.1%</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bottom w:w="28" w:type="dxa"/>
            </w:tcMar>
            <w:vAlign w:val="center"/>
          </w:tcPr>
          <w:p>
            <w:pPr>
              <w:pStyle w:val="TableContents"/>
              <w:bidi w:val="0"/>
              <w:spacing w:before="0" w:after="283"/>
              <w:jc w:val="right"/>
              <w:rPr/>
            </w:pPr>
            <w:r>
              <w:rPr/>
              <w:t>35.5%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decreased 0.7 percentage points and decreased 0.4 percentage points in the three-and six-month periods ended June 30, 2026, respectively, compared to the same periods in 2025. The decrease in the amortization of deferred policy acquisition costs is due to lower deferrable costs resulting from the strategic reduction in premium for the Non-Standard Auto segment, which generally pays higher agent commissions than our other segments. Other underwriting and general expenses increased year-over-year, primarily due to strategic investments in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Underwriting Gain (Loss) and Combined Ratio</w:t>
      </w:r>
    </w:p>
    <w:p>
      <w:pPr>
        <w:pStyle w:val="TextBody"/>
        <w:bidi w:val="0"/>
        <w:spacing w:before="0" w:after="0"/>
        <w:ind w:left="0" w:right="0" w:hanging="0"/>
        <w:jc w:val="left"/>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2405"/>
        <w:gridCol w:w="60"/>
        <w:gridCol w:w="224"/>
        <w:gridCol w:w="1213"/>
        <w:gridCol w:w="152"/>
        <w:gridCol w:w="96"/>
        <w:gridCol w:w="224"/>
        <w:gridCol w:w="1213"/>
        <w:gridCol w:w="95"/>
        <w:gridCol w:w="60"/>
        <w:gridCol w:w="216"/>
        <w:gridCol w:w="982"/>
        <w:gridCol w:w="147"/>
        <w:gridCol w:w="92"/>
        <w:gridCol w:w="216"/>
        <w:gridCol w:w="1168"/>
        <w:gridCol w:w="11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216"/>
              <w:jc w:val="left"/>
              <w:rPr/>
            </w:pPr>
            <w:r>
              <w:rPr/>
              <w:t> </w:t>
            </w:r>
          </w:p>
        </w:tc>
      </w:tr>
      <w:tr>
        <w:trPr/>
        <w:tc>
          <w:tcPr>
            <w:tcW w:w="2405" w:type="dxa"/>
            <w:tcBorders/>
            <w:shd w:fill="CCEEFF" w:val="clear"/>
            <w:vAlign w:val="center"/>
          </w:tcPr>
          <w:p>
            <w:pPr>
              <w:pStyle w:val="TableContents"/>
              <w:bidi w:val="0"/>
              <w:spacing w:before="0" w:after="283"/>
              <w:jc w:val="left"/>
              <w:rPr/>
            </w:pPr>
            <w:r>
              <w:rPr/>
              <w:t>Underwriting gain (loss):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213" w:type="dxa"/>
            <w:tcBorders/>
            <w:shd w:fill="FFFFFF" w:val="clear"/>
            <w:vAlign w:val="center"/>
          </w:tcPr>
          <w:p>
            <w:pPr>
              <w:pStyle w:val="TableContents"/>
              <w:bidi w:val="0"/>
              <w:spacing w:before="0" w:after="283"/>
              <w:jc w:val="right"/>
              <w:rPr/>
            </w:pPr>
            <w:r>
              <w:rPr/>
              <w:t>1,822</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213" w:type="dxa"/>
            <w:tcBorders/>
            <w:shd w:fill="FFFFFF" w:val="clear"/>
            <w:vAlign w:val="center"/>
          </w:tcPr>
          <w:p>
            <w:pPr>
              <w:pStyle w:val="TableContents"/>
              <w:bidi w:val="0"/>
              <w:spacing w:before="0" w:after="283"/>
              <w:jc w:val="right"/>
              <w:rPr/>
            </w:pPr>
            <w:r>
              <w:rPr/>
              <w:t>1,832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w:t>
            </w:r>
          </w:p>
        </w:tc>
        <w:tc>
          <w:tcPr>
            <w:tcW w:w="982" w:type="dxa"/>
            <w:tcBorders/>
            <w:shd w:fill="FFFFFF" w:val="clear"/>
            <w:vAlign w:val="center"/>
          </w:tcPr>
          <w:p>
            <w:pPr>
              <w:pStyle w:val="TableContents"/>
              <w:bidi w:val="0"/>
              <w:spacing w:before="0" w:after="283"/>
              <w:jc w:val="right"/>
              <w:rPr/>
            </w:pPr>
            <w:r>
              <w:rPr/>
              <w:t>6,131</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w:t>
            </w:r>
          </w:p>
        </w:tc>
        <w:tc>
          <w:tcPr>
            <w:tcW w:w="1168" w:type="dxa"/>
            <w:tcBorders/>
            <w:shd w:fill="FFFFFF" w:val="clear"/>
            <w:vAlign w:val="center"/>
          </w:tcPr>
          <w:p>
            <w:pPr>
              <w:pStyle w:val="TableContents"/>
              <w:bidi w:val="0"/>
              <w:spacing w:before="0" w:after="283"/>
              <w:jc w:val="right"/>
              <w:rPr/>
            </w:pPr>
            <w:r>
              <w:rPr/>
              <w:t>3,617</w:t>
            </w:r>
          </w:p>
        </w:tc>
        <w:tc>
          <w:tcPr>
            <w:tcW w:w="11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1,547</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(8,798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(76</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(13,363</w:t>
            </w:r>
          </w:p>
        </w:tc>
        <w:tc>
          <w:tcPr>
            <w:tcW w:w="110" w:type="dxa"/>
            <w:tcBorders/>
            <w:shd w:fill="CCEEFF" w:val="clear"/>
            <w:vAlign w:val="center"/>
          </w:tcPr>
          <w:p>
            <w:pPr>
              <w:pStyle w:val="TableContents"/>
              <w:bidi w:val="0"/>
              <w:spacing w:before="0" w:after="283"/>
              <w:jc w:val="left"/>
              <w:rPr/>
            </w:pPr>
            <w:r>
              <w:rPr/>
              <w:t>)</w:t>
            </w:r>
          </w:p>
        </w:tc>
      </w:tr>
      <w:tr>
        <w:trPr/>
        <w:tc>
          <w:tcPr>
            <w:tcW w:w="2405"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(11,612</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(14,162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(5,777</w:t>
            </w:r>
          </w:p>
        </w:tc>
        <w:tc>
          <w:tcPr>
            <w:tcW w:w="147"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(8,063</w:t>
            </w:r>
          </w:p>
        </w:tc>
        <w:tc>
          <w:tcPr>
            <w:tcW w:w="110" w:type="dxa"/>
            <w:tcBorders/>
            <w:shd w:fill="FFFFFF" w:val="clear"/>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856</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862</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727</w:t>
            </w:r>
          </w:p>
        </w:tc>
        <w:tc>
          <w:tcPr>
            <w:tcW w:w="11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2,400</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2,126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5,094</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2,518</w:t>
            </w:r>
          </w:p>
        </w:tc>
        <w:tc>
          <w:tcPr>
            <w:tcW w:w="11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Total underwriting loss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pPr>
            <w:r>
              <w:rPr/>
              <w:t>(4,987</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pPr>
            <w:r>
              <w:rPr/>
              <w:t>(18,376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6,234</w:t>
            </w:r>
          </w:p>
        </w:tc>
        <w:tc>
          <w:tcPr>
            <w:tcW w:w="147"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(14,564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8438" w:type="dxa"/>
        <w:jc w:val="left"/>
        <w:tblInd w:w="0" w:type="dxa"/>
        <w:tblLayout w:type="fixed"/>
        <w:tblCellMar>
          <w:top w:w="0" w:type="dxa"/>
          <w:left w:w="0" w:type="dxa"/>
          <w:bottom w:w="0" w:type="dxa"/>
          <w:right w:w="0" w:type="dxa"/>
        </w:tblCellMar>
      </w:tblPr>
      <w:tblGrid>
        <w:gridCol w:w="2240"/>
        <w:gridCol w:w="60"/>
        <w:gridCol w:w="105"/>
        <w:gridCol w:w="1321"/>
        <w:gridCol w:w="166"/>
        <w:gridCol w:w="105"/>
        <w:gridCol w:w="105"/>
        <w:gridCol w:w="1321"/>
        <w:gridCol w:w="60"/>
        <w:gridCol w:w="60"/>
        <w:gridCol w:w="96"/>
        <w:gridCol w:w="1218"/>
        <w:gridCol w:w="96"/>
        <w:gridCol w:w="96"/>
        <w:gridCol w:w="96"/>
        <w:gridCol w:w="1218"/>
        <w:gridCol w:w="75"/>
      </w:tblGrid>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6"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216"/>
              <w:jc w:val="left"/>
              <w:rPr/>
            </w:pPr>
            <w:r>
              <w:rPr/>
              <w:t> </w:t>
            </w:r>
          </w:p>
        </w:tc>
      </w:tr>
      <w:tr>
        <w:trPr/>
        <w:tc>
          <w:tcPr>
            <w:tcW w:w="224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Private Passenger Auto</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91.7%</w:t>
            </w:r>
          </w:p>
        </w:tc>
        <w:tc>
          <w:tcPr>
            <w:tcW w:w="166"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86.2%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92.1%</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Non-Standard Auto</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(64.2%</w:t>
            </w:r>
          </w:p>
        </w:tc>
        <w:tc>
          <w:tcPr>
            <w:tcW w:w="166"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102.1%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140.7%</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Home and Farm</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144.5%</w:t>
            </w:r>
          </w:p>
        </w:tc>
        <w:tc>
          <w:tcPr>
            <w:tcW w:w="166"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right"/>
              <w:rPr/>
            </w:pPr>
            <w:r>
              <w:rPr/>
              <w:t>166.4%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111.2%</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117.9%</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Crop</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91.8%</w:t>
            </w:r>
          </w:p>
        </w:tc>
        <w:tc>
          <w:tcPr>
            <w:tcW w:w="166"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91.2%</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93.0%</w:t>
            </w:r>
          </w:p>
        </w:tc>
        <w:tc>
          <w:tcPr>
            <w:tcW w:w="75"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All Other</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pPr>
            <w:r>
              <w:rPr/>
              <w:t>55.2%</w:t>
            </w:r>
          </w:p>
        </w:tc>
        <w:tc>
          <w:tcPr>
            <w:tcW w:w="166"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8" w:space="0" w:color="000000"/>
            </w:tcBorders>
            <w:shd w:fill="FFFFFF" w:val="clear"/>
            <w:tcMar>
              <w:bottom w:w="28" w:type="dxa"/>
            </w:tcMar>
            <w:vAlign w:val="center"/>
          </w:tcPr>
          <w:p>
            <w:pPr>
              <w:pStyle w:val="TableContents"/>
              <w:bidi w:val="0"/>
              <w:spacing w:before="0" w:after="283"/>
              <w:jc w:val="right"/>
              <w:rPr/>
            </w:pPr>
            <w:r>
              <w:rPr/>
              <w:t>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bidi w:val="0"/>
              <w:spacing w:before="0" w:after="283"/>
              <w:jc w:val="right"/>
              <w:rPr/>
            </w:pPr>
            <w:r>
              <w:rPr/>
              <w:t>51.7%</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bidi w:val="0"/>
              <w:spacing w:before="0" w:after="283"/>
              <w:jc w:val="right"/>
              <w:rPr/>
            </w:pPr>
            <w:r>
              <w:rPr/>
              <w:t>63.0%</w:t>
            </w:r>
          </w:p>
        </w:tc>
        <w:tc>
          <w:tcPr>
            <w:tcW w:w="7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Combined ratio</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107.7%</w:t>
            </w:r>
          </w:p>
        </w:tc>
        <w:tc>
          <w:tcPr>
            <w:tcW w:w="166"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283"/>
              <w:jc w:val="right"/>
              <w:rPr/>
            </w:pPr>
            <w:r>
              <w:rPr/>
              <w:t>125.1%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pPr>
            <w:r>
              <w:rPr/>
              <w:t>94.8%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pPr>
            <w:r>
              <w:rPr/>
              <w:t>110.3%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underwriting loss decreased $13,389 for the three-month period ended June 30, 2026, compared to the same period in 2025. The total underwriting income increased $20,798 for the six-month period ended June 30, 2026, compared to the same period in 2025. These results were driven by the factors discussed in the Loss and Loss Adjustment Expenses as well as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combined ratio decreased 17.4 percentage points in the three-month period ended June 30, 2026, compared to the same period in 2025. The overall combined ratio decreased 15.5 percentage points in the six-month period ended June 30, 2026, compared to the same period in 2025. These results were driven by the factors discussed in the Loss and Loss Adjustment Expenses as well as the Underwriting and General Expenses and Expense Ratio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average cash and invested assets, net investment income, and return on average cash and invested assets for the reported periods: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4"/>
        <w:gridCol w:w="60"/>
        <w:gridCol w:w="209"/>
        <w:gridCol w:w="1199"/>
        <w:gridCol w:w="89"/>
        <w:gridCol w:w="89"/>
        <w:gridCol w:w="209"/>
        <w:gridCol w:w="1199"/>
        <w:gridCol w:w="60"/>
        <w:gridCol w:w="60"/>
        <w:gridCol w:w="190"/>
        <w:gridCol w:w="1092"/>
        <w:gridCol w:w="81"/>
        <w:gridCol w:w="81"/>
        <w:gridCol w:w="190"/>
        <w:gridCol w:w="1092"/>
        <w:gridCol w:w="81"/>
      </w:tblGrid>
      <w:tr>
        <w:trPr/>
        <w:tc>
          <w:tcPr>
            <w:tcW w:w="4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1" w:type="dxa"/>
            <w:tcBorders/>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ind w:left="0" w:right="0" w:hanging="216"/>
              <w:jc w:val="left"/>
              <w:rPr/>
            </w:pPr>
            <w:r>
              <w:rPr/>
              <w:t> </w:t>
            </w:r>
          </w:p>
        </w:tc>
      </w:tr>
      <w:tr>
        <w:trPr/>
        <w:tc>
          <w:tcPr>
            <w:tcW w:w="4224" w:type="dxa"/>
            <w:tcBorders/>
            <w:shd w:fill="CCEEFF" w:val="clear"/>
            <w:vAlign w:val="center"/>
          </w:tcPr>
          <w:p>
            <w:pPr>
              <w:pStyle w:val="TableContents"/>
              <w:bidi w:val="0"/>
              <w:spacing w:before="0" w:after="283"/>
              <w:jc w:val="left"/>
              <w:rPr/>
            </w:pPr>
            <w:r>
              <w:rPr/>
              <w:t>Average cash and invested assets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375,692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402,499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376,688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396,697</w:t>
            </w:r>
          </w:p>
        </w:tc>
        <w:tc>
          <w:tcPr>
            <w:tcW w:w="81" w:type="dxa"/>
            <w:tcBorders/>
            <w:shd w:fill="CCEEFF" w:val="clear"/>
            <w:vAlign w:val="center"/>
          </w:tcPr>
          <w:p>
            <w:pPr>
              <w:pStyle w:val="TableContents"/>
              <w:bidi w:val="0"/>
              <w:spacing w:before="0" w:after="283"/>
              <w:jc w:val="left"/>
              <w:rPr/>
            </w:pPr>
            <w:r>
              <w:rPr/>
              <w:t> </w:t>
            </w:r>
          </w:p>
        </w:tc>
      </w:tr>
      <w:tr>
        <w:trPr/>
        <w:tc>
          <w:tcPr>
            <w:tcW w:w="4224" w:type="dxa"/>
            <w:tcBorders/>
            <w:shd w:fill="FFFFFF" w:val="clear"/>
            <w:vAlign w:val="center"/>
          </w:tcPr>
          <w:p>
            <w:pPr>
              <w:pStyle w:val="TableContents"/>
              <w:bidi w:val="0"/>
              <w:spacing w:before="0" w:after="283"/>
              <w:jc w:val="left"/>
              <w:rPr/>
            </w:pPr>
            <w:r>
              <w:rPr/>
              <w:t>Net investment income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2,810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199" w:type="dxa"/>
            <w:tcBorders/>
            <w:shd w:fill="FFFFFF" w:val="clear"/>
            <w:vAlign w:val="center"/>
          </w:tcPr>
          <w:p>
            <w:pPr>
              <w:pStyle w:val="TableContents"/>
              <w:bidi w:val="0"/>
              <w:spacing w:before="0" w:after="283"/>
              <w:jc w:val="right"/>
              <w:rPr/>
            </w:pPr>
            <w:r>
              <w:rPr/>
              <w:t>3,146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092" w:type="dxa"/>
            <w:tcBorders/>
            <w:shd w:fill="FFFFFF" w:val="clear"/>
            <w:vAlign w:val="center"/>
          </w:tcPr>
          <w:p>
            <w:pPr>
              <w:pStyle w:val="TableContents"/>
              <w:bidi w:val="0"/>
              <w:spacing w:before="0" w:after="283"/>
              <w:jc w:val="right"/>
              <w:rPr/>
            </w:pPr>
            <w:r>
              <w:rPr/>
              <w:t>5,465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092" w:type="dxa"/>
            <w:tcBorders/>
            <w:shd w:fill="FFFFFF" w:val="clear"/>
            <w:vAlign w:val="center"/>
          </w:tcPr>
          <w:p>
            <w:pPr>
              <w:pStyle w:val="TableContents"/>
              <w:bidi w:val="0"/>
              <w:spacing w:before="0" w:after="283"/>
              <w:jc w:val="right"/>
              <w:rPr/>
            </w:pPr>
            <w:r>
              <w:rPr/>
              <w:t>5,984</w:t>
            </w:r>
          </w:p>
        </w:tc>
        <w:tc>
          <w:tcPr>
            <w:tcW w:w="81" w:type="dxa"/>
            <w:tcBorders/>
            <w:shd w:fill="FFFFFF" w:val="cle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224" w:type="dxa"/>
            <w:tcBorders/>
            <w:shd w:fill="FFFFFF" w:val="clear"/>
            <w:vAlign w:val="center"/>
          </w:tcPr>
          <w:p>
            <w:pPr>
              <w:pStyle w:val="TableContents"/>
              <w:bidi w:val="0"/>
              <w:spacing w:before="0" w:after="283"/>
              <w:jc w:val="left"/>
              <w:rPr/>
            </w:pPr>
            <w:r>
              <w:rPr/>
              <w:t>Gross return on average cash and invested assets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3.8%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3.9%</w:t>
            </w:r>
          </w:p>
        </w:tc>
        <w:tc>
          <w:tcPr>
            <w:tcW w:w="81" w:type="dxa"/>
            <w:tcBorders/>
            <w:shd w:fill="FFFFFF" w:val="clear"/>
            <w:vAlign w:val="center"/>
          </w:tcPr>
          <w:p>
            <w:pPr>
              <w:pStyle w:val="TableContents"/>
              <w:bidi w:val="0"/>
              <w:spacing w:before="0" w:after="283"/>
              <w:jc w:val="left"/>
              <w:rPr/>
            </w:pPr>
            <w:r>
              <w:rPr/>
              <w:t> </w:t>
            </w:r>
          </w:p>
        </w:tc>
      </w:tr>
      <w:tr>
        <w:trPr/>
        <w:tc>
          <w:tcPr>
            <w:tcW w:w="4224" w:type="dxa"/>
            <w:tcBorders/>
            <w:shd w:fill="CCEEFF" w:val="clear"/>
            <w:vAlign w:val="center"/>
          </w:tcPr>
          <w:p>
            <w:pPr>
              <w:pStyle w:val="TableContents"/>
              <w:bidi w:val="0"/>
              <w:spacing w:before="0" w:after="283"/>
              <w:jc w:val="left"/>
              <w:rPr/>
            </w:pPr>
            <w:r>
              <w:rPr/>
              <w:t>Net return on average cash and invested assets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2.9%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3.0%</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 decreased $336 for the three months ended June 30, 2026, compared to the three months ended June 30, 2025. Net investment income decreased $519 for the six months ended June 30, 2026, compared to the six months ended June 30, 2025. These decreases were primarily the result of a lower averaged fixed income asset base and a small decrease in yield.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return on average cash and invested assets decreased year-over-year and net return on average cash and invested assets was flat, primarily driven by consistent yields on a lower average fixed income securities balance (measured at fair value) and lower returns on cash and other short-term investments, partially offset by lower investment expenses. The decrease in average cash and invested assets was driven by a decrease in the fixed income securities balance in 2026 as proceeds from maturities and sales were used to fund operating cash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Gains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gains (losses) consisted of the following:</w:t>
      </w:r>
    </w:p>
    <w:p>
      <w:pPr>
        <w:pStyle w:val="TextBody"/>
        <w:bidi w:val="0"/>
        <w:spacing w:before="0" w:after="0"/>
        <w:ind w:left="15" w:right="15"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4"/>
        <w:gridCol w:w="60"/>
        <w:gridCol w:w="269"/>
        <w:gridCol w:w="1079"/>
        <w:gridCol w:w="182"/>
        <w:gridCol w:w="115"/>
        <w:gridCol w:w="269"/>
        <w:gridCol w:w="876"/>
        <w:gridCol w:w="95"/>
        <w:gridCol w:w="60"/>
        <w:gridCol w:w="246"/>
        <w:gridCol w:w="986"/>
        <w:gridCol w:w="167"/>
        <w:gridCol w:w="104"/>
        <w:gridCol w:w="246"/>
        <w:gridCol w:w="801"/>
        <w:gridCol w:w="116"/>
      </w:tblGrid>
      <w:tr>
        <w:trPr/>
        <w:tc>
          <w:tcPr>
            <w:tcW w:w="4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6" w:type="dxa"/>
            <w:tcBorders/>
            <w:vAlign w:val="center"/>
          </w:tcPr>
          <w:p>
            <w:pPr>
              <w:pStyle w:val="TableContents"/>
              <w:bidi w:val="0"/>
              <w:spacing w:before="0" w:after="283"/>
              <w:jc w:val="left"/>
              <w:rPr/>
            </w:pPr>
            <w:r>
              <w:rPr/>
              <w:t> </w:t>
            </w:r>
          </w:p>
        </w:tc>
      </w:tr>
      <w:tr>
        <w:trPr/>
        <w:tc>
          <w:tcPr>
            <w:tcW w:w="45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2"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7"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ind w:left="0" w:right="0" w:hanging="216"/>
              <w:jc w:val="left"/>
              <w:rPr/>
            </w:pPr>
            <w:r>
              <w:rPr/>
              <w:t> </w:t>
            </w:r>
          </w:p>
        </w:tc>
      </w:tr>
      <w:tr>
        <w:trPr/>
        <w:tc>
          <w:tcPr>
            <w:tcW w:w="4534" w:type="dxa"/>
            <w:tcBorders/>
            <w:shd w:fill="CCEEFF" w:val="clear"/>
            <w:vAlign w:val="center"/>
          </w:tcPr>
          <w:p>
            <w:pPr>
              <w:pStyle w:val="TableContents"/>
              <w:bidi w:val="0"/>
              <w:spacing w:before="0" w:after="283"/>
              <w:jc w:val="left"/>
              <w:rPr/>
            </w:pPr>
            <w:r>
              <w:rPr/>
              <w:t>Gross realized gains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1,705</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2,124</w:t>
            </w:r>
          </w:p>
        </w:tc>
        <w:tc>
          <w:tcPr>
            <w:tcW w:w="167"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749</w:t>
            </w:r>
          </w:p>
        </w:tc>
        <w:tc>
          <w:tcPr>
            <w:tcW w:w="116" w:type="dxa"/>
            <w:tcBorders/>
            <w:shd w:fill="CCEEFF" w:val="clear"/>
            <w:vAlign w:val="center"/>
          </w:tcPr>
          <w:p>
            <w:pPr>
              <w:pStyle w:val="TableContents"/>
              <w:bidi w:val="0"/>
              <w:spacing w:before="0" w:after="283"/>
              <w:jc w:val="left"/>
              <w:rPr/>
            </w:pPr>
            <w:r>
              <w:rPr/>
              <w:t> </w:t>
            </w:r>
          </w:p>
        </w:tc>
      </w:tr>
      <w:tr>
        <w:trPr/>
        <w:tc>
          <w:tcPr>
            <w:tcW w:w="4534" w:type="dxa"/>
            <w:tcBorders/>
            <w:shd w:fill="FFFFFF" w:val="clear"/>
            <w:vAlign w:val="center"/>
          </w:tcPr>
          <w:p>
            <w:pPr>
              <w:pStyle w:val="TableContents"/>
              <w:bidi w:val="0"/>
              <w:spacing w:before="0" w:after="283"/>
              <w:jc w:val="left"/>
              <w:rPr/>
            </w:pPr>
            <w:r>
              <w:rPr/>
              <w:t>Gross realized losses, excluding credit impairment losses</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182"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(453</w:t>
            </w:r>
          </w:p>
        </w:tc>
        <w:tc>
          <w:tcPr>
            <w:tcW w:w="167"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(316</w:t>
            </w:r>
          </w:p>
        </w:tc>
        <w:tc>
          <w:tcPr>
            <w:tcW w:w="116" w:type="dxa"/>
            <w:tcBorders/>
            <w:shd w:fill="FFFFFF" w:val="clear"/>
            <w:vAlign w:val="center"/>
          </w:tcPr>
          <w:p>
            <w:pPr>
              <w:pStyle w:val="TableContents"/>
              <w:bidi w:val="0"/>
              <w:spacing w:before="0" w:after="283"/>
              <w:jc w:val="left"/>
              <w:rPr/>
            </w:pPr>
            <w:r>
              <w:rPr/>
              <w:t>)</w:t>
            </w:r>
          </w:p>
        </w:tc>
      </w:tr>
      <w:tr>
        <w:trPr/>
        <w:tc>
          <w:tcPr>
            <w:tcW w:w="4534" w:type="dxa"/>
            <w:tcBorders/>
            <w:shd w:fill="CCEEFF" w:val="clear"/>
            <w:vAlign w:val="center"/>
          </w:tcPr>
          <w:p>
            <w:pPr>
              <w:pStyle w:val="TableContents"/>
              <w:bidi w:val="0"/>
              <w:spacing w:before="0" w:after="283"/>
              <w:jc w:val="left"/>
              <w:rPr/>
            </w:pPr>
            <w:r>
              <w:rPr/>
              <w:t>Net realized gains (losses)</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1,530</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1,671</w:t>
            </w:r>
          </w:p>
        </w:tc>
        <w:tc>
          <w:tcPr>
            <w:tcW w:w="167"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433</w:t>
            </w:r>
          </w:p>
        </w:tc>
        <w:tc>
          <w:tcPr>
            <w:tcW w:w="116" w:type="dxa"/>
            <w:tcBorders/>
            <w:shd w:fill="CCEEFF" w:val="clear"/>
            <w:vAlign w:val="center"/>
          </w:tcPr>
          <w:p>
            <w:pPr>
              <w:pStyle w:val="TableContents"/>
              <w:bidi w:val="0"/>
              <w:spacing w:before="0" w:after="283"/>
              <w:jc w:val="left"/>
              <w:rPr/>
            </w:pPr>
            <w:r>
              <w:rPr/>
              <w:t> </w:t>
            </w:r>
          </w:p>
        </w:tc>
      </w:tr>
      <w:tr>
        <w:trPr/>
        <w:tc>
          <w:tcPr>
            <w:tcW w:w="4534" w:type="dxa"/>
            <w:tcBorders/>
            <w:shd w:fill="FFFFFF" w:val="clear"/>
            <w:vAlign w:val="center"/>
          </w:tcPr>
          <w:p>
            <w:pPr>
              <w:pStyle w:val="TableContents"/>
              <w:bidi w:val="0"/>
              <w:spacing w:before="0" w:after="283"/>
              <w:jc w:val="left"/>
              <w:rPr/>
            </w:pPr>
            <w:r>
              <w:rPr/>
              <w:t>Change in net unrealized gains on equity securities</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533</w:t>
            </w:r>
          </w:p>
        </w:tc>
        <w:tc>
          <w:tcPr>
            <w:tcW w:w="18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(517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2,096</w:t>
            </w:r>
          </w:p>
        </w:tc>
        <w:tc>
          <w:tcPr>
            <w:tcW w:w="167"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116" w:type="dxa"/>
            <w:tcBorders/>
            <w:shd w:fill="FFFFFF" w:val="clear"/>
            <w:vAlign w:val="center"/>
          </w:tcPr>
          <w:p>
            <w:pPr>
              <w:pStyle w:val="TableContents"/>
              <w:bidi w:val="0"/>
              <w:spacing w:before="0" w:after="283"/>
              <w:jc w:val="left"/>
              <w:rPr/>
            </w:pPr>
            <w:r>
              <w:rPr/>
              <w:t> </w:t>
            </w:r>
          </w:p>
        </w:tc>
      </w:tr>
      <w:tr>
        <w:trPr/>
        <w:tc>
          <w:tcPr>
            <w:tcW w:w="4534" w:type="dxa"/>
            <w:tcBorders/>
            <w:shd w:fill="CCEEFF" w:val="clear"/>
            <w:vAlign w:val="center"/>
          </w:tcPr>
          <w:p>
            <w:pPr>
              <w:pStyle w:val="TableContents"/>
              <w:bidi w:val="0"/>
              <w:spacing w:before="0" w:after="283"/>
              <w:jc w:val="left"/>
              <w:rPr/>
            </w:pPr>
            <w:r>
              <w:rPr/>
              <w:t>Net investment gains (losses)</w:t>
            </w:r>
          </w:p>
        </w:tc>
        <w:tc>
          <w:tcPr>
            <w:tcW w:w="60"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pPr>
            <w:r>
              <w:rPr/>
              <w:t>2,063</w:t>
            </w:r>
          </w:p>
        </w:tc>
        <w:tc>
          <w:tcPr>
            <w:tcW w:w="18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(410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pPr>
            <w:r>
              <w:rPr/>
              <w:t>3,767</w:t>
            </w:r>
          </w:p>
        </w:tc>
        <w:tc>
          <w:tcPr>
            <w:tcW w:w="167"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459</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realized gains of $1,530 and $1,671 for the three and six months ended June 30, 2026, respectively, compared to net realized gains of $107 and $433 for the three and six months ended June 30, 2025, respectively. The elevated net realized gains in the six months ended June 30, 2026, were driven by sales of fixed income securities that were executed to raise cash for operational liquidity related to claim payments in the Non-Standard Auto segment. No credit impairment losses were reported during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an increase of $533 and $2,096 in net unrealized gains on equity securities during the three and six months ended June 30, 2026, respectively. We experienced a decrease of net unrealized gains on equity securities of $517 and an increase of $26 during the three and six months ended June 30, 2025, respectively. These results were driven by the impact of changes in fair value attributable to overall favorable equity markets during those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fixed income securities are classified as available for sale because we will, from time to time, execute sales of securities that are not impaired, consistent with our investment goals and policies. The fixed income portion of the portfolio experienced net unrealized gains of $141 and net unrealized losses of $2,270 during the three and six months ended June 30, 2026, respectively, compared to net unrealized gains of $1,469 and $4,782 during the three and six months ended June 30, 2025, respectively. The changes were primarily the result of changes in U.S. interest rates. The change in the fair value of fixed income securities is not reflected in net income; rather it is reflected as a separate component (net of income taxes) of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Fee and 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fee and other income of $344 and $474 for the three and six months ended June 30, 2026, respectively, compared to $316 and $546 for the three and six months ended June 30, 2025, respectively. These decreases were driven by strategic reductions in the premiums that generate fee income and write-offs of uncollectable 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had a pre-tax income of $230 compared to a pre-tax loss of $15,324 for the three months ended June 30, 2025. For the six months ended June 30, 2026, we had a pre-tax income of $15,940 compared to pre-tax loss of $7,575 for the six months ended June 30, 2025. These year-over-year changes were largely attributable to favorable prior year development on loss reserves for Non-Standard Auto and Home and Farm in the current year compared to unfavorable prior year development on loss reserves for Non-Standard Auto in the prior year, lower catastrophe losses and corresponding ceded premiums earned, strong results for the assumed business with certain farm bureau insurance companies within All Other, and higher net investment gains. These were partially offset by increased non-catastrophe weather-related losses in Home and Farm.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expense of $84 for the three months ended June 30, 2026, compared to income tax benefit of $3,273 for the three months ended June 30, 2025. Our effective tax rate for the second quarter of 2026 was 36.5% compared to an effective tax rate of 21.4% for the second quarter of 2025. The current quarter effective tax rate was impacted by a slight increase in the year-to-date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income tax expense of $3,286 for the six months ended June 30, 2026, compared to income tax benefit of $1,984 for the six months ended June 30, 2025. Our effective tax rate for the six months ended June 30, 2026 was 20.6%, which reflects the impact of tax-exempt investment income on the calculation of the Company’s income tax provision. The effective tax rate was 26.2% for the six months ended June 30, 2025, which was impacted by a change in the recorded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had a net income of $146 compared to net loss of $12,051 for the three months ended June 30, 2025. For the six months ended June 30, 2026, we had a net income of $12,654 compared to net loss of $5,591 for the six months ended June 30, 2025. These year-over-year changes were largely attributable to favorable prior year development on loss reserves for Non-Standard Auto and Home and Farm in the current year compared to unfavorable prior year development on loss reserves for Non-Standard Auto in the prior year, lower catastrophe losses and corresponding ceded premiums earned, strong results for the assumed business with certain farm bureau insurance companies within All Other, and higher net investment gains. These were partially offset by increased non-catastrophe weather-related losses in Home and Farm.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Return on Average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we had annualized return on average equity of 0.2% compared to (19.4)%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we had annualized return on average equity of 10.3% compared to (4.6)%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equity is calculated as the average between beginning and ending equity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2025 Annual Report. There have been no changes in our critical accounting policies from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 $3,000 line of credit with Wells Fargo Bank, N.A. The terms of the line of credit include a floating interest rate of 2.25% above the daily simple secured overnight financing rate. There were no outstanding amounts during the six months ended June 30, 2026, or the year ended December 31, 2025. This line of credit is scheduled to expire on December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cash and cash equivalents for the six months ended June 30,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6836" w:type="dxa"/>
        <w:jc w:val="left"/>
        <w:tblInd w:w="0" w:type="dxa"/>
        <w:tblLayout w:type="fixed"/>
        <w:tblCellMar>
          <w:top w:w="0" w:type="dxa"/>
          <w:left w:w="0" w:type="dxa"/>
          <w:bottom w:w="0" w:type="dxa"/>
          <w:right w:w="0" w:type="dxa"/>
        </w:tblCellMar>
      </w:tblPr>
      <w:tblGrid>
        <w:gridCol w:w="3845"/>
        <w:gridCol w:w="60"/>
        <w:gridCol w:w="216"/>
        <w:gridCol w:w="982"/>
        <w:gridCol w:w="147"/>
        <w:gridCol w:w="92"/>
        <w:gridCol w:w="216"/>
        <w:gridCol w:w="1168"/>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216"/>
              <w:jc w:val="left"/>
              <w:rPr/>
            </w:pPr>
            <w:r>
              <w:rPr/>
              <w:t> </w:t>
            </w:r>
          </w:p>
        </w:tc>
      </w:tr>
      <w:tr>
        <w:trPr/>
        <w:tc>
          <w:tcPr>
            <w:tcW w:w="3845"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(955</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16,289</w:t>
            </w:r>
          </w:p>
        </w:tc>
        <w:tc>
          <w:tcPr>
            <w:tcW w:w="110" w:type="dxa"/>
            <w:tcBorders/>
            <w:shd w:fill="CCEEFF" w:val="clear"/>
            <w:vAlign w:val="center"/>
          </w:tcPr>
          <w:p>
            <w:pPr>
              <w:pStyle w:val="TableContents"/>
              <w:bidi w:val="0"/>
              <w:spacing w:before="0" w:after="283"/>
              <w:ind w:left="0" w:right="0" w:hanging="216"/>
              <w:jc w:val="left"/>
              <w:rPr/>
            </w:pPr>
            <w:r>
              <w:rPr/>
              <w:t> </w:t>
            </w:r>
          </w:p>
        </w:tc>
      </w:tr>
      <w:tr>
        <w:trPr/>
        <w:tc>
          <w:tcPr>
            <w:tcW w:w="3845" w:type="dxa"/>
            <w:tcBorders/>
            <w:shd w:fill="FFFFFF" w:val="clear"/>
            <w:vAlign w:val="center"/>
          </w:tcPr>
          <w:p>
            <w:pPr>
              <w:pStyle w:val="TableContents"/>
              <w:bidi w:val="0"/>
              <w:spacing w:before="0" w:after="283"/>
              <w:jc w:val="left"/>
              <w:rPr/>
            </w:pPr>
            <w:r>
              <w:rPr/>
              <w:t>Net 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3,362</w:t>
            </w:r>
          </w:p>
        </w:tc>
        <w:tc>
          <w:tcPr>
            <w:tcW w:w="147"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(10,246</w:t>
            </w:r>
          </w:p>
        </w:tc>
        <w:tc>
          <w:tcPr>
            <w:tcW w:w="110" w:type="dxa"/>
            <w:tcBorders/>
            <w:shd w:fill="FFFFFF" w:val="clear"/>
            <w:vAlign w:val="center"/>
          </w:tcPr>
          <w:p>
            <w:pPr>
              <w:pStyle w:val="TableContents"/>
              <w:bidi w:val="0"/>
              <w:spacing w:before="0" w:after="283"/>
              <w:ind w:left="0" w:right="0" w:hanging="216"/>
              <w:jc w:val="left"/>
              <w:rPr/>
            </w:pPr>
            <w:r>
              <w:rPr/>
              <w:t>)</w:t>
            </w:r>
          </w:p>
        </w:tc>
      </w:tr>
      <w:tr>
        <w:trPr/>
        <w:tc>
          <w:tcPr>
            <w:tcW w:w="3845"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(2,513</w:t>
            </w:r>
          </w:p>
        </w:tc>
        <w:tc>
          <w:tcPr>
            <w:tcW w:w="147"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(189</w:t>
            </w:r>
          </w:p>
        </w:tc>
        <w:tc>
          <w:tcPr>
            <w:tcW w:w="110" w:type="dxa"/>
            <w:tcBorders/>
            <w:shd w:fill="CCEEFF" w:val="clear"/>
            <w:vAlign w:val="center"/>
          </w:tcPr>
          <w:p>
            <w:pPr>
              <w:pStyle w:val="TableContents"/>
              <w:bidi w:val="0"/>
              <w:spacing w:before="0" w:after="283"/>
              <w:ind w:left="0" w:right="0" w:hanging="216"/>
              <w:jc w:val="left"/>
              <w:rPr/>
            </w:pPr>
            <w:r>
              <w:rPr/>
              <w:t>)</w:t>
            </w:r>
          </w:p>
        </w:tc>
      </w:tr>
      <w:tr>
        <w:trPr/>
        <w:tc>
          <w:tcPr>
            <w:tcW w:w="3845"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(106</w:t>
            </w:r>
          </w:p>
        </w:tc>
        <w:tc>
          <w:tcPr>
            <w:tcW w:w="147"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5,854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by operating activities totaled $955 compared to net cash provided of $16,289 a year ago. This change was primarily driven by lower levels of premium collections in the current year, partially offset by higher levels of net investment gains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provided by investing activities totaled $3,362 compared to net cash used of $10,246 a year ago. The net cash provided in the current year was driven by cash inflows from net sales of equity securities. The net cash used in the prior year was attributable to cash outflows for net purchases of fixed income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by financing activities totaled $2,513 compared to net cash used of $189 a year ago. This change was primary driven by net cash outflows for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a principal source of long-term liquidity will be dividend payments from our directly-owned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Nodak Insurance to NI Holdings during 2026 without the prior approval of the North Dakota Insurance Department is approximately $6,730 as of December 31, 2025. No dividends were declared or paid by Nodak Insurance during the six months ended June 30, 2026, 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available for payment of dividends from Direct Auto to NI Holdings during 2026 without the prior approval of the North Dakota Insurance Department is approximately $3,829 as of December 31, 2025. No dividends were declared or paid by Direct Auto during the six months ended June 30, 2026, 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3. -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assessment of market risk as of June 30, 2026, indicates there have been no material changes in the quantitative and qualitative disclosures from those in Part II, Item 7A, “Quantitative and Qualitative Disclosures About Market Risk”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4. -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periodically review our system of internal control over financial reporting to identify opportunities to improve our controls and increase efficiency, while ensuring that we maintain an effective internal control environment. During the quarter ended June 30, 2026, we completed the implementation of a new general ledger system which constituted a change in the Company’s internal control over financial reporting. Management has taken the necessary steps to implement appropriate controls associated with the new system. There have been no other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Part II. -</w:t>
        <w:br/>
        <w:t>OTHER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 -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1A. -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our assessment of our risk factors from those set forth in Part I, Item 1A, “Risk Factors”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2. -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included in Item 2 herein, except per share data, are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unregistered securities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repurchase its own stock. To date, the Company has used the net proceeds from the IPO to fund these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year ended December 31, 2024, we did not repurchase any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2025, our Board of Directors approved an authorization for the repurchase of up to approximately $5,000 of the Company’s outstanding common stock in addition to the $2,052 remaining from the May 9, 2022 authorization. During the year ended December 31, 2025, we completed the repurchase of 188,185 shares of our common stock for $2,517, including the effects from applicable excise taxes under these authorizations. As of December 31, 2025, these share repurchases closed out the May 9, 2022 authorization, and $4,549 remained available under the August 25, 2025 authorization. During the six months ended June 30, 2026, we completed the repurchase of 169,757 shares of our common stock for $2,306, including the effects from applicable excise taxes under these authorizations. At June 30, 2026, $2,260 remains available under this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 activity during the three months ended June 30, 2026, is presented below:</w:t>
      </w:r>
    </w:p>
    <w:p>
      <w:pPr>
        <w:pStyle w:val="TextBody"/>
        <w:bidi w:val="0"/>
        <w:spacing w:before="0" w:after="0"/>
        <w:ind w:left="0" w:right="0" w:hanging="0"/>
        <w:jc w:val="left"/>
        <w:rPr>
          <w:caps w:val="false"/>
          <w:smallCaps w:val="false"/>
        </w:rPr>
      </w:pPr>
      <w:r>
        <w:rPr>
          <w:caps w:val="false"/>
          <w:smallCaps w:val="false"/>
        </w:rPr>
        <w:t> </w:t>
      </w:r>
    </w:p>
    <w:tbl>
      <w:tblPr>
        <w:tblW w:w="8948" w:type="dxa"/>
        <w:jc w:val="left"/>
        <w:tblInd w:w="0" w:type="dxa"/>
        <w:tblLayout w:type="fixed"/>
        <w:tblCellMar>
          <w:top w:w="0" w:type="dxa"/>
          <w:left w:w="0" w:type="dxa"/>
          <w:bottom w:w="28" w:type="dxa"/>
          <w:right w:w="0" w:type="dxa"/>
        </w:tblCellMar>
      </w:tblPr>
      <w:tblGrid>
        <w:gridCol w:w="1625"/>
        <w:gridCol w:w="60"/>
        <w:gridCol w:w="115"/>
        <w:gridCol w:w="1554"/>
        <w:gridCol w:w="60"/>
        <w:gridCol w:w="60"/>
        <w:gridCol w:w="229"/>
        <w:gridCol w:w="916"/>
        <w:gridCol w:w="60"/>
        <w:gridCol w:w="60"/>
        <w:gridCol w:w="106"/>
        <w:gridCol w:w="1428"/>
        <w:gridCol w:w="60"/>
        <w:gridCol w:w="60"/>
        <w:gridCol w:w="496"/>
        <w:gridCol w:w="1984"/>
        <w:gridCol w:w="75"/>
      </w:tblGrid>
      <w:tr>
        <w:trPr/>
        <w:tc>
          <w:tcPr>
            <w:tcW w:w="1625" w:type="dxa"/>
            <w:tcBorders>
              <w:bottom w:val="single" w:sz="8" w:space="0" w:color="000000"/>
            </w:tcBorders>
            <w:vAlign w:val="center"/>
          </w:tcPr>
          <w:p>
            <w:pPr>
              <w:pStyle w:val="TableContents"/>
              <w:bidi w:val="0"/>
              <w:spacing w:before="0" w:after="283"/>
              <w:jc w:val="left"/>
              <w:rPr/>
            </w:pPr>
            <w:r>
              <w:rPr/>
              <w:t>Period in 2026</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8" w:space="0" w:color="000000"/>
            </w:tcBorders>
            <w:vAlign w:val="center"/>
          </w:tcPr>
          <w:p>
            <w:pPr>
              <w:pStyle w:val="TableContents"/>
              <w:bidi w:val="0"/>
              <w:spacing w:before="0" w:after="283"/>
              <w:jc w:val="center"/>
              <w:rPr/>
            </w:pPr>
            <w:r>
              <w:rPr/>
              <w:t xml:space="preserve">Total Number of </w:t>
              <w:br/>
              <w:t>Shares</w:t>
              <w:br/>
              <w:t>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Price</w:t>
              <w:br/>
              <w:t>Paid</w:t>
              <w:br/>
              <w:t xml:space="preserve">Per Share </w:t>
            </w:r>
            <w:r>
              <w:rPr>
                <w:rFonts w:ascii="Times New Roman;Times;Serif" w:hAnsi="Times New Roman;Times;Serif"/>
                <w:b w:val="false"/>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sz w:val="20"/>
              </w:rPr>
            </w:pPr>
            <w:r>
              <w:rPr>
                <w:sz w:val="20"/>
              </w:rPr>
              <w:t xml:space="preserve">Total Number of </w:t>
              <w:br/>
              <w:t>Shares Purchased</w:t>
              <w:br/>
              <w:t xml:space="preserve">as Part of Publicly </w:t>
              <w:br/>
              <w:t xml:space="preserve">Announced Plans </w:t>
              <w:br/>
              <w:t xml:space="preserve">or Programs </w:t>
            </w:r>
            <w:r>
              <w:rPr>
                <w:position w:val="7"/>
                <w:sz w:val="16"/>
                <w:sz w:val="20"/>
              </w:rPr>
              <w:t>(1)(2)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gridSpan w:val="2"/>
            <w:tcBorders>
              <w:bottom w:val="single" w:sz="8" w:space="0" w:color="000000"/>
            </w:tcBorders>
            <w:vAlign w:val="center"/>
          </w:tcPr>
          <w:p>
            <w:pPr>
              <w:pStyle w:val="TableContents"/>
              <w:bidi w:val="0"/>
              <w:spacing w:before="0" w:after="283"/>
              <w:jc w:val="center"/>
              <w:rPr/>
            </w:pPr>
            <w:r>
              <w:rPr/>
              <w:t xml:space="preserve">Maximum Approximate </w:t>
              <w:br/>
              <w:t>Dollar Value of Shares</w:t>
              <w:br/>
              <w:t xml:space="preserve">That May Yet Be </w:t>
              <w:br/>
              <w:t xml:space="preserve">Purchased Under the </w:t>
              <w:br/>
              <w:t xml:space="preserve">Plans or Programs </w:t>
            </w:r>
            <w:r>
              <w:rPr>
                <w:position w:val="8"/>
                <w:sz w:val="19"/>
              </w:rPr>
              <w:t>(1)(2)(3)</w:t>
              <w:br/>
            </w:r>
            <w:r>
              <w:rPr/>
              <w:t>(in thousands)</w:t>
            </w:r>
          </w:p>
        </w:tc>
        <w:tc>
          <w:tcPr>
            <w:tcW w:w="7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April 1-30,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554" w:type="dxa"/>
            <w:tcBorders/>
            <w:shd w:fill="CCEEFF" w:val="clear"/>
            <w:tcMar>
              <w:bottom w:w="0" w:type="dxa"/>
            </w:tcMar>
            <w:vAlign w:val="center"/>
          </w:tcPr>
          <w:p>
            <w:pPr>
              <w:pStyle w:val="TableContents"/>
              <w:bidi w:val="0"/>
              <w:spacing w:before="0" w:after="283"/>
              <w:jc w:val="right"/>
              <w:rPr/>
            </w:pPr>
            <w:r>
              <w:rPr/>
              <w:t>38,591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283"/>
              <w:jc w:val="right"/>
              <w:rPr/>
            </w:pPr>
            <w:r>
              <w:rPr/>
              <w:t>12.96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before="0" w:after="283"/>
              <w:jc w:val="right"/>
              <w:rPr/>
            </w:pPr>
            <w:r>
              <w:rPr/>
              <w:t>38,591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6" w:type="dxa"/>
            <w:tcBorders/>
            <w:shd w:fill="CCEEFF" w:val="clear"/>
            <w:tcMar>
              <w:bottom w:w="0" w:type="dxa"/>
            </w:tcMar>
            <w:vAlign w:val="center"/>
          </w:tcPr>
          <w:p>
            <w:pPr>
              <w:pStyle w:val="TableContents"/>
              <w:bidi w:val="0"/>
              <w:spacing w:before="0" w:after="283"/>
              <w:jc w:val="left"/>
              <w:rPr/>
            </w:pPr>
            <w:r>
              <w:rPr/>
              <w:t>$</w:t>
            </w:r>
          </w:p>
        </w:tc>
        <w:tc>
          <w:tcPr>
            <w:tcW w:w="1984" w:type="dxa"/>
            <w:tcBorders/>
            <w:shd w:fill="CCEEFF" w:val="clear"/>
            <w:tcMar>
              <w:bottom w:w="0" w:type="dxa"/>
            </w:tcMar>
            <w:vAlign w:val="center"/>
          </w:tcPr>
          <w:p>
            <w:pPr>
              <w:pStyle w:val="TableContents"/>
              <w:bidi w:val="0"/>
              <w:spacing w:before="0" w:after="283"/>
              <w:jc w:val="right"/>
              <w:rPr/>
            </w:pPr>
            <w:r>
              <w:rPr/>
              <w:t>3,192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May 1-31,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554" w:type="dxa"/>
            <w:tcBorders/>
            <w:shd w:fill="FFFFFF" w:val="clear"/>
            <w:tcMar>
              <w:bottom w:w="0" w:type="dxa"/>
            </w:tcMar>
            <w:vAlign w:val="center"/>
          </w:tcPr>
          <w:p>
            <w:pPr>
              <w:pStyle w:val="TableContents"/>
              <w:bidi w:val="0"/>
              <w:spacing w:before="0" w:after="283"/>
              <w:jc w:val="right"/>
              <w:rPr/>
            </w:pPr>
            <w:r>
              <w:rPr/>
              <w:t>31,827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13.58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31,827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6" w:type="dxa"/>
            <w:tcBorders/>
            <w:shd w:fill="FFFFFF" w:val="clear"/>
            <w:tcMar>
              <w:bottom w:w="0" w:type="dxa"/>
            </w:tcMar>
            <w:vAlign w:val="center"/>
          </w:tcPr>
          <w:p>
            <w:pPr>
              <w:pStyle w:val="TableContents"/>
              <w:bidi w:val="0"/>
              <w:spacing w:before="0" w:after="283"/>
              <w:jc w:val="left"/>
              <w:rPr/>
            </w:pPr>
            <w:r>
              <w:rPr/>
              <w:t> </w:t>
            </w:r>
          </w:p>
        </w:tc>
        <w:tc>
          <w:tcPr>
            <w:tcW w:w="1984" w:type="dxa"/>
            <w:tcBorders/>
            <w:shd w:fill="FFFFFF" w:val="clear"/>
            <w:tcMar>
              <w:bottom w:w="0" w:type="dxa"/>
            </w:tcMar>
            <w:vAlign w:val="center"/>
          </w:tcPr>
          <w:p>
            <w:pPr>
              <w:pStyle w:val="TableContents"/>
              <w:bidi w:val="0"/>
              <w:spacing w:before="0" w:after="283"/>
              <w:jc w:val="right"/>
              <w:rPr/>
            </w:pPr>
            <w:r>
              <w:rPr/>
              <w:t>2,760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June 1-30,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p>
        </w:tc>
        <w:tc>
          <w:tcPr>
            <w:tcW w:w="1554" w:type="dxa"/>
            <w:tcBorders>
              <w:bottom w:val="single" w:sz="8" w:space="0" w:color="000000"/>
            </w:tcBorders>
            <w:shd w:fill="CCEEFF" w:val="clear"/>
            <w:vAlign w:val="center"/>
          </w:tcPr>
          <w:p>
            <w:pPr>
              <w:pStyle w:val="TableContents"/>
              <w:bidi w:val="0"/>
              <w:spacing w:before="0" w:after="283"/>
              <w:jc w:val="right"/>
              <w:rPr/>
            </w:pPr>
            <w:r>
              <w:rPr/>
              <w:t>34,671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single" w:sz="8" w:space="0" w:color="000000"/>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vAlign w:val="center"/>
          </w:tcPr>
          <w:p>
            <w:pPr>
              <w:pStyle w:val="TableContents"/>
              <w:bidi w:val="0"/>
              <w:spacing w:before="0" w:after="283"/>
              <w:jc w:val="right"/>
              <w:rPr/>
            </w:pPr>
            <w:r>
              <w:rPr/>
              <w:t>14.42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8" w:space="0" w:color="000000"/>
            </w:tcBorders>
            <w:shd w:fill="CCEEFF" w:val="clear"/>
            <w:vAlign w:val="center"/>
          </w:tcPr>
          <w:p>
            <w:pPr>
              <w:pStyle w:val="TableContents"/>
              <w:bidi w:val="0"/>
              <w:spacing w:before="0" w:after="283"/>
              <w:jc w:val="left"/>
              <w:rPr/>
            </w:pPr>
            <w:r>
              <w:rPr/>
              <w:t> </w:t>
            </w:r>
          </w:p>
        </w:tc>
        <w:tc>
          <w:tcPr>
            <w:tcW w:w="1428" w:type="dxa"/>
            <w:tcBorders>
              <w:bottom w:val="single" w:sz="8" w:space="0" w:color="000000"/>
            </w:tcBorders>
            <w:shd w:fill="CCEEFF" w:val="clear"/>
            <w:vAlign w:val="center"/>
          </w:tcPr>
          <w:p>
            <w:pPr>
              <w:pStyle w:val="TableContents"/>
              <w:bidi w:val="0"/>
              <w:spacing w:before="0" w:after="283"/>
              <w:jc w:val="right"/>
              <w:rPr/>
            </w:pPr>
            <w:r>
              <w:rPr/>
              <w:t>34,671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6" w:type="dxa"/>
            <w:tcBorders>
              <w:bottom w:val="single" w:sz="8" w:space="0" w:color="000000"/>
            </w:tcBorders>
            <w:shd w:fill="CCEEFF" w:val="clear"/>
            <w:vAlign w:val="center"/>
          </w:tcPr>
          <w:p>
            <w:pPr>
              <w:pStyle w:val="TableContents"/>
              <w:bidi w:val="0"/>
              <w:spacing w:before="0" w:after="283"/>
              <w:jc w:val="left"/>
              <w:rPr/>
            </w:pPr>
            <w:r>
              <w:rPr/>
              <w:t> </w:t>
            </w:r>
          </w:p>
        </w:tc>
        <w:tc>
          <w:tcPr>
            <w:tcW w:w="1984" w:type="dxa"/>
            <w:tcBorders>
              <w:bottom w:val="single" w:sz="8" w:space="0" w:color="000000"/>
            </w:tcBorders>
            <w:shd w:fill="CCEEFF" w:val="clear"/>
            <w:vAlign w:val="center"/>
          </w:tcPr>
          <w:p>
            <w:pPr>
              <w:pStyle w:val="TableContents"/>
              <w:bidi w:val="0"/>
              <w:spacing w:before="0" w:after="283"/>
              <w:jc w:val="right"/>
              <w:rPr/>
            </w:pPr>
            <w:r>
              <w:rPr/>
              <w:t>2,260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double" w:sz="6" w:space="0" w:color="000000"/>
            </w:tcBorders>
            <w:shd w:fill="FFFFFF" w:val="clear"/>
            <w:vAlign w:val="center"/>
          </w:tcPr>
          <w:p>
            <w:pPr>
              <w:pStyle w:val="TableContents"/>
              <w:bidi w:val="0"/>
              <w:spacing w:before="0" w:after="283"/>
              <w:jc w:val="left"/>
              <w:rPr/>
            </w:pPr>
            <w:r>
              <w:rPr/>
              <w:t> </w:t>
            </w:r>
          </w:p>
        </w:tc>
        <w:tc>
          <w:tcPr>
            <w:tcW w:w="1554" w:type="dxa"/>
            <w:tcBorders>
              <w:bottom w:val="double" w:sz="6" w:space="0" w:color="000000"/>
            </w:tcBorders>
            <w:shd w:fill="FFFFFF" w:val="clear"/>
            <w:vAlign w:val="center"/>
          </w:tcPr>
          <w:p>
            <w:pPr>
              <w:pStyle w:val="TableContents"/>
              <w:bidi w:val="0"/>
              <w:spacing w:before="0" w:after="283"/>
              <w:jc w:val="right"/>
              <w:rPr/>
            </w:pPr>
            <w:r>
              <w:rPr/>
              <w:t>105,089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vAlign w:val="center"/>
          </w:tcPr>
          <w:p>
            <w:pPr>
              <w:pStyle w:val="TableContents"/>
              <w:bidi w:val="0"/>
              <w:spacing w:before="0" w:after="283"/>
              <w:jc w:val="right"/>
              <w:rPr/>
            </w:pPr>
            <w:r>
              <w:rPr/>
              <w:t>13.63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bottom w:val="double" w:sz="6" w:space="0" w:color="000000"/>
            </w:tcBorders>
            <w:shd w:fill="FFFFFF" w:val="clear"/>
            <w:vAlign w:val="center"/>
          </w:tcPr>
          <w:p>
            <w:pPr>
              <w:pStyle w:val="TableContents"/>
              <w:bidi w:val="0"/>
              <w:spacing w:before="0" w:after="283"/>
              <w:jc w:val="left"/>
              <w:rPr/>
            </w:pPr>
            <w:r>
              <w:rPr/>
              <w:t> </w:t>
            </w:r>
          </w:p>
        </w:tc>
        <w:tc>
          <w:tcPr>
            <w:tcW w:w="1428" w:type="dxa"/>
            <w:tcBorders>
              <w:bottom w:val="double" w:sz="6" w:space="0" w:color="000000"/>
            </w:tcBorders>
            <w:shd w:fill="FFFFFF" w:val="clear"/>
            <w:vAlign w:val="center"/>
          </w:tcPr>
          <w:p>
            <w:pPr>
              <w:pStyle w:val="TableContents"/>
              <w:bidi w:val="0"/>
              <w:spacing w:before="0" w:after="283"/>
              <w:jc w:val="right"/>
              <w:rPr/>
            </w:pPr>
            <w:r>
              <w:rPr/>
              <w:t>105,089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vAlign w:val="center"/>
          </w:tcPr>
          <w:p>
            <w:pPr>
              <w:pStyle w:val="TableContents"/>
              <w:bidi w:val="0"/>
              <w:spacing w:before="0" w:after="283"/>
              <w:jc w:val="left"/>
              <w:rPr/>
            </w:pPr>
            <w:r>
              <w:rPr/>
              <w:t>$</w:t>
            </w:r>
          </w:p>
        </w:tc>
        <w:tc>
          <w:tcPr>
            <w:tcW w:w="1984" w:type="dxa"/>
            <w:tcBorders>
              <w:bottom w:val="double" w:sz="6" w:space="0" w:color="000000"/>
            </w:tcBorders>
            <w:shd w:fill="FFFFFF" w:val="clear"/>
            <w:vAlign w:val="center"/>
          </w:tcPr>
          <w:p>
            <w:pPr>
              <w:pStyle w:val="TableContents"/>
              <w:bidi w:val="0"/>
              <w:spacing w:before="0" w:after="283"/>
              <w:jc w:val="right"/>
              <w:rPr/>
            </w:pPr>
            <w:r>
              <w:rPr/>
              <w:t>2,260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5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42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6" w:type="dxa"/>
            <w:tcBorders/>
            <w:shd w:fill="FFFFFF" w:val="clear"/>
            <w:tcMar>
              <w:bottom w:w="0" w:type="dxa"/>
            </w:tcMar>
            <w:vAlign w:val="center"/>
          </w:tcPr>
          <w:p>
            <w:pPr>
              <w:pStyle w:val="TableContents"/>
              <w:bidi w:val="0"/>
              <w:spacing w:before="0" w:after="283"/>
              <w:jc w:val="left"/>
              <w:rPr/>
            </w:pPr>
            <w:r>
              <w:rPr/>
              <w:t> </w:t>
            </w:r>
          </w:p>
        </w:tc>
        <w:tc>
          <w:tcPr>
            <w:tcW w:w="19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osition w:val="8"/>
                <w:sz w:val="19"/>
              </w:rPr>
            </w:pPr>
            <w:r>
              <w:rPr>
                <w:position w:val="8"/>
                <w:sz w:val="19"/>
              </w:rPr>
              <w:t>(1)</w:t>
            </w:r>
          </w:p>
        </w:tc>
        <w:tc>
          <w:tcPr>
            <w:tcW w:w="9951" w:type="dxa"/>
            <w:tcBorders/>
            <w:vAlign w:val="center"/>
          </w:tcPr>
          <w:p>
            <w:pPr>
              <w:pStyle w:val="TableContents"/>
              <w:bidi w:val="0"/>
              <w:spacing w:before="0" w:after="283"/>
              <w:jc w:val="left"/>
              <w:rPr/>
            </w:pPr>
            <w:r>
              <w:rPr/>
              <w:t>Shares purchased pursuant to the August 25, 2025 publicly announced share repurchase authorization of up to approximately $5,000 of the Company’s outstanding common stock.</w:t>
            </w:r>
          </w:p>
        </w:tc>
      </w:tr>
    </w:tbl>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osition w:val="8"/>
                <w:sz w:val="19"/>
              </w:rPr>
            </w:pPr>
            <w:r>
              <w:rPr>
                <w:position w:val="8"/>
                <w:sz w:val="19"/>
              </w:rPr>
              <w:t>(2)</w:t>
            </w:r>
          </w:p>
        </w:tc>
        <w:tc>
          <w:tcPr>
            <w:tcW w:w="9947" w:type="dxa"/>
            <w:tcBorders/>
            <w:vAlign w:val="center"/>
          </w:tcPr>
          <w:p>
            <w:pPr>
              <w:pStyle w:val="TableContents"/>
              <w:bidi w:val="0"/>
              <w:spacing w:before="0" w:after="283"/>
              <w:jc w:val="left"/>
              <w:rPr/>
            </w:pPr>
            <w:r>
              <w:rPr/>
              <w:t>Maximum dollar value of shares that may yet be purchased consist of up to $2,260 under the August 25, 2025, publicly announced share repurchase authorization.</w:t>
            </w:r>
          </w:p>
        </w:tc>
      </w:tr>
    </w:tbl>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osition w:val="8"/>
                <w:sz w:val="19"/>
              </w:rPr>
            </w:pPr>
            <w:r>
              <w:rPr>
                <w:position w:val="8"/>
                <w:sz w:val="19"/>
              </w:rPr>
              <w:t>(3)</w:t>
            </w:r>
          </w:p>
        </w:tc>
        <w:tc>
          <w:tcPr>
            <w:tcW w:w="9955" w:type="dxa"/>
            <w:tcBorders/>
            <w:vAlign w:val="center"/>
          </w:tcPr>
          <w:p>
            <w:pPr>
              <w:pStyle w:val="TableContents"/>
              <w:bidi w:val="0"/>
              <w:spacing w:before="0" w:after="283"/>
              <w:jc w:val="left"/>
              <w:rPr/>
            </w:pPr>
            <w:r>
              <w:rPr/>
              <w:t>The Inflation Reduction Act of 2022 imposed a 1% excise tax on the net value of certain share repurchases made after December 31, 2022. All dollar amounts presented exclude such excise taxes,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3. -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4. -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5.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During the second quarter of 2026, none of our directors or executive officers (as defined in Rule 16a-1(f) under the Exchange Act) adopted or terminated any “Rule 10b5-1 trading arrangement” or “non-Rule 10b5-1 trading arrangement” (as each term is defined in Item 408(a) of Regulation S-K).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6. -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00" w:type="dxa"/>
          <w:right w:w="108" w:type="dxa"/>
        </w:tblCellMar>
      </w:tblPr>
      <w:tblGrid>
        <w:gridCol w:w="1210"/>
        <w:gridCol w:w="8995"/>
      </w:tblGrid>
      <w:tr>
        <w:trPr/>
        <w:tc>
          <w:tcPr>
            <w:tcW w:w="1210" w:type="dxa"/>
            <w:tcBorders>
              <w:top w:val="double" w:sz="4" w:space="0" w:color="000000"/>
              <w:left w:val="double" w:sz="4" w:space="0" w:color="000000"/>
              <w:bottom w:val="double" w:sz="4" w:space="0" w:color="000000"/>
              <w:right w:val="double" w:sz="4" w:space="0" w:color="000000"/>
            </w:tcBorders>
            <w:vAlign w:val="center"/>
          </w:tcPr>
          <w:p>
            <w:pPr>
              <w:pStyle w:val="TableContents"/>
              <w:bidi w:val="0"/>
              <w:spacing w:before="0" w:after="283"/>
              <w:jc w:val="left"/>
              <w:rPr/>
            </w:pPr>
            <w:r>
              <w:rPr/>
              <w:t>EXHIBIT NO.</w:t>
            </w:r>
          </w:p>
        </w:tc>
        <w:tc>
          <w:tcPr>
            <w:tcW w:w="8995" w:type="dxa"/>
            <w:tcBorders>
              <w:top w:val="double" w:sz="4" w:space="0" w:color="000000"/>
              <w:bottom w:val="double" w:sz="4" w:space="0" w:color="000000"/>
              <w:right w:val="double" w:sz="4" w:space="0" w:color="000000"/>
            </w:tcBorders>
            <w:tcMar>
              <w:left w:w="0" w:type="dxa"/>
              <w:bottom w:w="28" w:type="dxa"/>
            </w:tcMar>
            <w:vAlign w:val="center"/>
          </w:tcPr>
          <w:p>
            <w:pPr>
              <w:pStyle w:val="TableContents"/>
              <w:bidi w:val="0"/>
              <w:spacing w:before="0" w:after="283"/>
              <w:jc w:val="left"/>
              <w:rPr/>
            </w:pPr>
            <w:r>
              <w:rPr/>
              <w:t>DESCRIPTION OF EXHIBIT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31.1*</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1-1.htm">
              <w:r>
                <w:rPr>
                  <w:rStyle w:val="InternetLink"/>
                </w:rPr>
                <w:t>Certification of Principal Executive Officer Pursuant to Rules 13a-14(a) and 15d-14(a) under the Securities Exchange Act of 1934, as Adopted Pursuant to Section 302 of the Sarbanes-Oxley Act of 2002.</w:t>
              </w:r>
            </w:hyperlink>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31.2*</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1-2.htm">
              <w:r>
                <w:rPr>
                  <w:rStyle w:val="InternetLink"/>
                </w:rPr>
                <w:t>Certification of Principal Financial Officer Pursuant to Rules 13a-14(a) and 15d-14(a) under the Securities Exchange Act of 1934, as Adopted Pursuant to Section 302 of the Sarbanes-Oxley Act of 2002.</w:t>
              </w:r>
            </w:hyperlink>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32**</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hyperlink w:anchor="ex32.htm">
              <w:r>
                <w:rPr>
                  <w:rStyle w:val="InternetLink"/>
                </w:rPr>
                <w:t>Certification of Principal Executive Officer and Principal Financial Officer Pursuant to 18 U.S.C. Section 1350, as Adopted Pursuant to Section 906 of the Sarbanes-Oxley Act of 2002.</w:t>
              </w:r>
            </w:hyperlink>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101.INS***</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101.SCH**</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Schema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101.CAL**</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Calculation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101.DEF**</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Definition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101.LAB**</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Label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101.PRE**</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Inline XBRL Taxonomy Extension Presentation Linkbase Document</w:t>
            </w:r>
          </w:p>
        </w:tc>
      </w:tr>
      <w:tr>
        <w:trPr/>
        <w:tc>
          <w:tcPr>
            <w:tcW w:w="1210" w:type="dxa"/>
            <w:tcBorders>
              <w:left w:val="double" w:sz="4" w:space="0" w:color="000000"/>
              <w:bottom w:val="double" w:sz="4" w:space="0" w:color="000000"/>
              <w:right w:val="double" w:sz="4" w:space="0" w:color="000000"/>
            </w:tcBorders>
            <w:tcMar>
              <w:top w:w="0" w:type="dxa"/>
            </w:tcMar>
            <w:vAlign w:val="center"/>
          </w:tcPr>
          <w:p>
            <w:pPr>
              <w:pStyle w:val="TableContents"/>
              <w:bidi w:val="0"/>
              <w:spacing w:before="0" w:after="283"/>
              <w:jc w:val="left"/>
              <w:rPr/>
            </w:pPr>
            <w:r>
              <w:rPr/>
              <w:t>104</w:t>
            </w:r>
          </w:p>
        </w:tc>
        <w:tc>
          <w:tcPr>
            <w:tcW w:w="8995" w:type="dxa"/>
            <w:tcBorders>
              <w:bottom w:val="double" w:sz="4" w:space="0" w:color="000000"/>
              <w:right w:val="double" w:sz="4" w:space="0" w:color="000000"/>
            </w:tcBorders>
            <w:tcMar>
              <w:top w:w="0" w:type="dxa"/>
              <w:left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sz w:val="20"/>
        </w:rPr>
      </w:pPr>
      <w:bookmarkStart w:id="22" w:name="a_021"/>
      <w:bookmarkEnd w:id="22"/>
      <w:r>
        <w:rPr>
          <w:rFonts w:ascii="Times New Roman;Times;Serif" w:hAnsi="Times New Roman;Times;Serif"/>
          <w:b w:val="false"/>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on August 7, 2026.</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75"/>
        <w:gridCol w:w="3095"/>
      </w:tblGrid>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 HOLDINGS, INC.</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Cindy L. Launer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Cindy L. Launer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Matthew J. Maki</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Matthew J. Maki</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bl>
    <w:p>
      <w:pPr>
        <w:pStyle w:val="TextBody"/>
        <w:bidi w:val="0"/>
        <w:spacing w:before="0" w:after="0"/>
        <w:ind w:left="0" w:right="0" w:firstLine="60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x31-1.htm"/>
      <w:bookmarkStart w:id="24" w:name="ksex311"/>
      <w:bookmarkEnd w:id="23"/>
      <w:bookmarkEnd w:id="2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Cindy L. Launer,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490"/>
        <w:gridCol w:w="3695"/>
      </w:tblGrid>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7, 2026</w:t>
            </w:r>
          </w:p>
        </w:tc>
        <w:tc>
          <w:tcPr>
            <w:tcW w:w="3695" w:type="dxa"/>
            <w:tcBorders/>
            <w:vAlign w:val="center"/>
          </w:tcPr>
          <w:p>
            <w:pPr>
              <w:pStyle w:val="TableContents"/>
              <w:bidi w:val="0"/>
              <w:spacing w:before="0" w:after="283"/>
              <w:jc w:val="left"/>
              <w:rPr>
                <w:u w:val="single"/>
              </w:rPr>
            </w:pPr>
            <w:r>
              <w:rPr>
                <w:u w:val="single"/>
              </w:rPr>
              <w:t>/s/ Cindy L. Launer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95" w:type="dxa"/>
            <w:tcBorders/>
            <w:vAlign w:val="center"/>
          </w:tcPr>
          <w:p>
            <w:pPr>
              <w:pStyle w:val="TableContents"/>
              <w:bidi w:val="0"/>
              <w:spacing w:before="0" w:after="283"/>
              <w:jc w:val="left"/>
              <w:rPr/>
            </w:pPr>
            <w:r>
              <w:rPr/>
              <w:t>Cindy L. Launer</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95"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95" w:type="dxa"/>
            <w:tcBorders/>
            <w:vAlign w:val="center"/>
          </w:tcPr>
          <w:p>
            <w:pPr>
              <w:pStyle w:val="TableContents"/>
              <w:bidi w:val="0"/>
              <w:spacing w:before="0" w:after="283"/>
              <w:jc w:val="left"/>
              <w:rPr/>
            </w:pPr>
            <w:r>
              <w:rPr/>
              <w:t>(</w:t>
            </w:r>
            <w:r>
              <w:rPr>
                <w:i/>
              </w:rPr>
              <w:t>Principal Executive Officer</w:t>
            </w:r>
            <w:r>
              <w:rPr/>
              <w: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x31-2.htm"/>
      <w:bookmarkStart w:id="26" w:name="ksex312"/>
      <w:bookmarkEnd w:id="25"/>
      <w:bookmarkEnd w:id="2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PERIODIC REPORT UNDER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Matthew J. Maki,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283"/>
              <w:jc w:val="left"/>
              <w:rPr/>
            </w:pPr>
            <w:r>
              <w:rPr/>
              <w:t>I have reviewed this quarterly report on Form 10-Q of NI Holdings, Inc.;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490"/>
        <w:gridCol w:w="2930"/>
      </w:tblGrid>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7, 2026</w:t>
            </w:r>
          </w:p>
        </w:tc>
        <w:tc>
          <w:tcPr>
            <w:tcW w:w="2930" w:type="dxa"/>
            <w:tcBorders/>
            <w:vAlign w:val="center"/>
          </w:tcPr>
          <w:p>
            <w:pPr>
              <w:pStyle w:val="TableContents"/>
              <w:bidi w:val="0"/>
              <w:spacing w:before="0" w:after="283"/>
              <w:jc w:val="left"/>
              <w:rPr>
                <w:u w:val="single"/>
              </w:rPr>
            </w:pPr>
            <w:r>
              <w:rPr>
                <w:u w:val="single"/>
              </w:rPr>
              <w:t>/s/ Matthew J. Maki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jc w:val="left"/>
              <w:rPr/>
            </w:pPr>
            <w:r>
              <w:rPr/>
              <w:t>Matthew J. Maki</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jc w:val="left"/>
              <w:rPr/>
            </w:pPr>
            <w:r>
              <w:rPr/>
              <w:t xml:space="preserve">Chief Financial Officer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jc w:val="left"/>
              <w:rPr/>
            </w:pPr>
            <w:r>
              <w:rPr/>
              <w:t>(</w:t>
            </w:r>
            <w:r>
              <w:rPr>
                <w:i/>
              </w:rPr>
              <w:t>Principal Financial Officer</w:t>
            </w: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x32.htm"/>
      <w:bookmarkStart w:id="28" w:name="ksex32"/>
      <w:bookmarkEnd w:id="27"/>
      <w:bookmarkEnd w:id="28"/>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w:t>
        <w:br/>
        <w:t>18 U.S.C. SECTION 1350,</w:t>
        <w:br/>
        <w:t>AS ADOPTED PURSUANT TO</w:t>
        <w:b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NI Holdings, Inc. (the “Company”) on Form 10-Q for the period ended June 30, 2026, as filed with the Securities and Exchange Commission on the date hereof (the “Report”), we, Cindy L. Launer, President and Chief Executive Officer, and Matthew J. Maki, Chief Financial Officer, of the Company, certify, pursuant to 18 U.S.C. Section 1350, as adopted pursuant to Section 906 of the Sarbanes-Oxley Act of 2002, that, to our knowledge: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283"/>
              <w:jc w:val="left"/>
              <w:rPr/>
            </w:pPr>
            <w:r>
              <w:rPr/>
              <w:t>The Report fully complies with the requirements of Section 13(a) or 15(d) of the Securities Exchange Act of 1934;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490"/>
        <w:gridCol w:w="3695"/>
      </w:tblGrid>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7, 2026</w:t>
            </w:r>
          </w:p>
        </w:tc>
        <w:tc>
          <w:tcPr>
            <w:tcW w:w="3695" w:type="dxa"/>
            <w:tcBorders/>
            <w:vAlign w:val="center"/>
          </w:tcPr>
          <w:p>
            <w:pPr>
              <w:pStyle w:val="TableContents"/>
              <w:bidi w:val="0"/>
              <w:spacing w:before="0" w:after="283"/>
              <w:jc w:val="left"/>
              <w:rPr>
                <w:u w:val="single"/>
              </w:rPr>
            </w:pPr>
            <w:r>
              <w:rPr>
                <w:u w:val="single"/>
              </w:rPr>
              <w:t>/s/ Cindy L. Launer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95" w:type="dxa"/>
            <w:tcBorders/>
            <w:vAlign w:val="center"/>
          </w:tcPr>
          <w:p>
            <w:pPr>
              <w:pStyle w:val="TableContents"/>
              <w:bidi w:val="0"/>
              <w:spacing w:before="0" w:after="283"/>
              <w:jc w:val="left"/>
              <w:rPr/>
            </w:pPr>
            <w:r>
              <w:rPr/>
              <w:t>Cindy L. Launer</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95"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3695" w:type="dxa"/>
            <w:tcBorders/>
            <w:vAlign w:val="center"/>
          </w:tcPr>
          <w:p>
            <w:pPr>
              <w:pStyle w:val="TableContents"/>
              <w:bidi w:val="0"/>
              <w:spacing w:before="0" w:after="283"/>
              <w:jc w:val="left"/>
              <w:rPr/>
            </w:pPr>
            <w:r>
              <w:rPr/>
              <w:t>(</w:t>
            </w:r>
            <w:r>
              <w:rPr>
                <w:i/>
              </w:rPr>
              <w:t>Principal Executive Officer</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tbl>
      <w:tblPr>
        <w:tblW w:w="4495" w:type="dxa"/>
        <w:jc w:val="left"/>
        <w:tblInd w:w="0" w:type="dxa"/>
        <w:tblLayout w:type="fixed"/>
        <w:tblCellMar>
          <w:top w:w="0" w:type="dxa"/>
          <w:left w:w="0" w:type="dxa"/>
          <w:bottom w:w="0" w:type="dxa"/>
          <w:right w:w="0" w:type="dxa"/>
        </w:tblCellMar>
      </w:tblPr>
      <w:tblGrid>
        <w:gridCol w:w="75"/>
        <w:gridCol w:w="1490"/>
        <w:gridCol w:w="2930"/>
      </w:tblGrid>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August 7, 2026</w:t>
            </w:r>
          </w:p>
        </w:tc>
        <w:tc>
          <w:tcPr>
            <w:tcW w:w="2930" w:type="dxa"/>
            <w:tcBorders/>
            <w:vAlign w:val="center"/>
          </w:tcPr>
          <w:p>
            <w:pPr>
              <w:pStyle w:val="TableContents"/>
              <w:bidi w:val="0"/>
              <w:spacing w:before="0" w:after="283"/>
              <w:jc w:val="left"/>
              <w:rPr>
                <w:u w:val="single"/>
              </w:rPr>
            </w:pPr>
            <w:r>
              <w:rPr>
                <w:u w:val="single"/>
              </w:rPr>
              <w:t>/s/ Matthew J. Maki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jc w:val="left"/>
              <w:rPr/>
            </w:pPr>
            <w:r>
              <w:rPr/>
              <w:t>Matthew J. Maki</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jc w:val="left"/>
              <w:rPr/>
            </w:pPr>
            <w:r>
              <w:rPr/>
              <w:t xml:space="preserve">Chief Financial Officer </w:t>
            </w:r>
          </w:p>
        </w:tc>
      </w:tr>
      <w:tr>
        <w:trPr/>
        <w:tc>
          <w:tcPr>
            <w:tcW w:w="75" w:type="dxa"/>
            <w:tcBorders/>
            <w:vAlign w:val="center"/>
          </w:tcPr>
          <w:p>
            <w:pPr>
              <w:pStyle w:val="TableContents"/>
              <w:bidi w:val="0"/>
              <w:spacing w:before="0" w:after="283"/>
              <w:ind w:left="0" w:right="0" w:hanging="0"/>
              <w:jc w:val="left"/>
              <w:rPr/>
            </w:pPr>
            <w:r>
              <w:rPr/>
              <w:t> </w:t>
            </w:r>
          </w:p>
        </w:tc>
        <w:tc>
          <w:tcPr>
            <w:tcW w:w="14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jc w:val="left"/>
              <w:rPr/>
            </w:pPr>
            <w:r>
              <w:rPr/>
              <w:t>(</w:t>
            </w:r>
            <w:r>
              <w:rPr>
                <w:i/>
              </w:rPr>
              <w:t>Principal Financial Officer</w:t>
            </w: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20445</Words>
  <Characters>110124</Characters>
  <CharactersWithSpaces>135680</CharactersWithSpaces>
  <Paragraphs>12322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