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right="1980" w:firstLine="8"/>
        <w:spacing w:after="0" w:line="258"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 or</w:t>
      </w: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 to 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NI HOLDINGS, INC.</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34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634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34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34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1480" w:type="dxa"/>
            <w:vAlign w:val="bottom"/>
          </w:tcPr>
          <w:p>
            <w:pPr>
              <w:spacing w:after="0"/>
              <w:rPr>
                <w:sz w:val="24"/>
                <w:szCs w:val="24"/>
                <w:color w:val="auto"/>
              </w:rPr>
            </w:pPr>
          </w:p>
        </w:tc>
      </w:tr>
      <w:tr>
        <w:trPr>
          <w:trHeight w:val="216"/>
        </w:trPr>
        <w:tc>
          <w:tcPr>
            <w:tcW w:w="634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rPr>
              <w:t>Fargo, North Dakota</w:t>
            </w: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16"/>
        </w:trPr>
        <w:tc>
          <w:tcPr>
            <w:tcW w:w="634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16"/>
        </w:trPr>
        <w:tc>
          <w:tcPr>
            <w:tcW w:w="634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(701) 298-4200</w:t>
            </w:r>
          </w:p>
        </w:tc>
        <w:tc>
          <w:tcPr>
            <w:tcW w:w="1480" w:type="dxa"/>
            <w:vAlign w:val="bottom"/>
          </w:tcPr>
          <w:p>
            <w:pPr>
              <w:spacing w:after="0"/>
              <w:rPr>
                <w:sz w:val="18"/>
                <w:szCs w:val="18"/>
                <w:color w:val="auto"/>
              </w:rPr>
            </w:pPr>
          </w:p>
        </w:tc>
      </w:tr>
      <w:tr>
        <w:trPr>
          <w:trHeight w:val="238"/>
        </w:trPr>
        <w:tc>
          <w:tcPr>
            <w:tcW w:w="634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80" w:type="dxa"/>
            <w:vAlign w:val="bottom"/>
          </w:tcPr>
          <w:p>
            <w:pPr>
              <w:spacing w:after="0"/>
              <w:rPr>
                <w:sz w:val="20"/>
                <w:szCs w:val="20"/>
                <w:color w:val="auto"/>
              </w:rPr>
            </w:pPr>
          </w:p>
        </w:tc>
      </w:tr>
    </w:tbl>
    <w:p>
      <w:pPr>
        <w:spacing w:after="0" w:line="1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5"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0" w:type="dxa"/>
            <w:vAlign w:val="bottom"/>
          </w:tcPr>
          <w:p>
            <w:pPr>
              <w:spacing w:after="0"/>
              <w:rPr>
                <w:sz w:val="17"/>
                <w:szCs w:val="17"/>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10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48" w:lineRule="exact"/>
        <w:rPr>
          <w:sz w:val="24"/>
          <w:szCs w:val="24"/>
          <w:color w:val="auto"/>
        </w:rPr>
      </w:pPr>
    </w:p>
    <w:p>
      <w:pPr>
        <w:ind w:right="1600"/>
        <w:spacing w:after="0" w:line="347"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No </w:t>
      </w:r>
      <w:r>
        <w:rPr>
          <w:rFonts w:ascii="MS PGothic" w:cs="MS PGothic" w:eastAsia="MS PGothic" w:hAnsi="MS PGothic"/>
          <w:sz w:val="17"/>
          <w:szCs w:val="17"/>
          <w:color w:val="auto"/>
        </w:rPr>
        <w:t>☒</w:t>
      </w:r>
    </w:p>
    <w:p>
      <w:pPr>
        <w:spacing w:after="0" w:line="143"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8"/>
          <w:szCs w:val="18"/>
          <w:color w:val="auto"/>
        </w:rPr>
        <w:t>☐</w:t>
      </w:r>
    </w:p>
    <w:p>
      <w:pPr>
        <w:spacing w:after="0" w:line="17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30" w:lineRule="exact"/>
        <w:rPr>
          <w:sz w:val="24"/>
          <w:szCs w:val="24"/>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bookmarkStart w:id="1" w:name="page2"/>
    <w:bookmarkEnd w:id="1"/>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0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the closing sales price of the common stock on the Nasdaq on June 30, 2024, the last business day of the Registrant’s second fiscal quarter, the aggregate market value of the voting stock held by non-affiliates of the Registrant was approximately $119 million. All executive officers and directors of the Registrant, and all shareholders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the Registrant’s common shares outstanding on February 28, 2025 was 20,681,546. No preferred shares are issued or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Portions of the definitive proxy statement relating to the annual meeting of shareholders to be held May 20, 2025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80" w:type="dxa"/>
            <w:vAlign w:val="bottom"/>
            <w:gridSpan w:val="12"/>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4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2"/>
        </w:trPr>
        <w:tc>
          <w:tcPr>
            <w:tcW w:w="102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6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71"/>
        </w:trPr>
        <w:tc>
          <w:tcPr>
            <w:tcW w:w="21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72"/>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480" w:type="dxa"/>
            <w:vAlign w:val="bottom"/>
            <w:gridSpan w:val="21"/>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220" w:type="dxa"/>
            <w:vAlign w:val="bottom"/>
            <w:gridSpan w:val="18"/>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080" w:type="dxa"/>
            <w:vAlign w:val="bottom"/>
            <w:gridSpan w:val="12"/>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120" w:type="dxa"/>
            <w:vAlign w:val="bottom"/>
            <w:gridSpan w:val="17"/>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372"/>
        </w:trPr>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Shareholder Matters, and Issuer Purchases of Equity Securities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60" w:type="dxa"/>
            <w:vAlign w:val="bottom"/>
            <w:gridSpan w:val="3"/>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760" w:type="dxa"/>
            <w:vAlign w:val="bottom"/>
            <w:gridSpan w:val="6"/>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640" w:type="dxa"/>
            <w:vAlign w:val="bottom"/>
            <w:gridSpan w:val="2"/>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360" w:type="dxa"/>
            <w:vAlign w:val="bottom"/>
            <w:gridSpan w:val="14"/>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372"/>
        </w:trPr>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1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7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4040" w:type="dxa"/>
            <w:vAlign w:val="bottom"/>
            <w:gridSpan w:val="8"/>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840" w:type="dxa"/>
            <w:vAlign w:val="bottom"/>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680" w:type="dxa"/>
            <w:vAlign w:val="bottom"/>
            <w:gridSpan w:val="4"/>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372"/>
        </w:trPr>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1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7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960" w:type="dxa"/>
            <w:vAlign w:val="bottom"/>
            <w:gridSpan w:val="10"/>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Schedule I – Condensed financial information of registrant – NI Holdings, Inc.</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statements made by NI Holdings, Inc. (“NI Holdings,” “the Company,” “we,” “us,” and “our”) about:</w:t>
      </w:r>
    </w:p>
    <w:p>
      <w:pPr>
        <w:spacing w:after="0" w:line="1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and financial performance, business plans, and prospects;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reviews, capital allocation objectives, dividends, and share repurchases;</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future pandemic and related economic conditions, including the potential impact on the Company's investments;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distribution network;</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changes in the insurance industry, competition, and innovation and emerging technologies;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impact of, or changes to, existing or new government regulations or laws;</w:t>
      </w:r>
    </w:p>
    <w:p>
      <w:pPr>
        <w:spacing w:after="0" w:line="18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general economic conditions, domestic and global financial markets, interest rates, unemployment, or inflation, that could affect the performance of our insurance operations and/or investment portfolio;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this section and in the Part I, Item 1A, “Risk Factors” section in this Annual Report on Form 10-K for the year ended December 31, 2024 (“2024 Annual Report”). The occurrence of any of the risks identified in the Part I, Item 1A, “Risk Factors” section in this 2024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2024 Annual Report.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except per share amounts, are in thousands.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Company and became such in connection with the conversion of Nodak Mutual Insurance Company (“Nodak Mutual”) from a mutual to stock form of organization and the creation of a mutual holding company. The conversion was completed on March 13, 2017. Immediately following the conversion, all of the outstanding shares of common stock of Nodak Insurance Company (“Nodak Insurance,” the successor to Nodak Mutual Insurance Company) were issued to Nodak Mutual Group, Inc.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 Concurrent with the conversion, on March 13, 2017, the Company completed an initial public offering (“IPO”) of 10,350,000 shares of common stock at a price of $10.00 per share. The Company received net proceeds of $93,145 from the offering, after deducting the underwriting discounts and offering expenses. The newly issued shares of NI Holdings were available for public trading on March 16, 2017.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include the financial position and results of operations of NI Holdings and the following other entities:</w:t>
      </w:r>
    </w:p>
    <w:p>
      <w:pPr>
        <w:spacing w:after="0" w:line="27"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 a wholly-owned subsidiary of NI Holdings;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Inc. (“Nodak Agency”) – a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Insurance Company (“American West”) – a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Insurance Company (“Primero”) – an indirect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Insurance Company (“Battle Creek”) – a wholly-owned subsidiary of Nodak Insurance, formerly Battle Creek Mutual Insurance Company.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p>
      <w:pPr>
        <w:spacing w:after="0" w:line="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Insurance Company (“Direct Auto”) – a wholly-owned subsidiary of NI Holdings; and</w:t>
      </w:r>
    </w:p>
    <w:p>
      <w:pPr>
        <w:spacing w:after="0" w:line="9" w:lineRule="exact"/>
        <w:rPr>
          <w:rFonts w:ascii="Times New Roman" w:cs="Times New Roman" w:eastAsia="Times New Roman" w:hAnsi="Times New Roman"/>
          <w:sz w:val="18"/>
          <w:szCs w:val="18"/>
          <w:color w:val="auto"/>
        </w:rPr>
      </w:pPr>
    </w:p>
    <w:p>
      <w:pPr>
        <w:ind w:left="1300" w:right="460" w:hanging="320"/>
        <w:spacing w:after="0" w:line="26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American Insurance Company (“Westminster”) – a wholly-owned subsidiary of NI Holdings until it was sold to Scott Insurance Holdings, LLC (“Scott Insurance Holdings”) on June 30, 2024.</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 chart of the corporate structure as of December 31, 2024, and a more complete description of each of the NI Holdings subsidiaries, is included below.</w:t>
      </w:r>
    </w:p>
    <w:p>
      <w:pPr>
        <w:spacing w:after="0" w:line="1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411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ORGANIZATIONAL CHART</w:t>
      </w:r>
    </w:p>
    <w:p>
      <w:pPr>
        <w:spacing w:after="0" w:line="2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Nodak Mutual Group, Inc.</w:t>
      </w:r>
    </w:p>
    <w:p>
      <w:pPr>
        <w:spacing w:after="0" w:line="239" w:lineRule="exact"/>
        <w:rPr>
          <w:sz w:val="20"/>
          <w:szCs w:val="20"/>
          <w:color w:val="auto"/>
        </w:rPr>
      </w:pPr>
    </w:p>
    <w:p>
      <w:pPr>
        <w:ind w:left="5360" w:hanging="141"/>
        <w:spacing w:after="0"/>
        <w:tabs>
          <w:tab w:leader="none" w:pos="5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w:t>
      </w:r>
    </w:p>
    <w:p>
      <w:pPr>
        <w:spacing w:after="0" w:line="27"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w:t>
      </w:r>
    </w:p>
    <w:p>
      <w:pPr>
        <w:spacing w:after="0" w:line="9" w:lineRule="exact"/>
        <w:rPr>
          <w:rFonts w:ascii="Times New Roman" w:cs="Times New Roman" w:eastAsia="Times New Roman" w:hAnsi="Times New Roman"/>
          <w:sz w:val="18"/>
          <w:szCs w:val="18"/>
          <w:color w:val="auto"/>
        </w:rPr>
      </w:pPr>
    </w:p>
    <w:p>
      <w:pPr>
        <w:ind w:left="5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Inc.</w:t>
      </w:r>
    </w:p>
    <w:p>
      <w:pPr>
        <w:spacing w:after="0" w:line="23" w:lineRule="exact"/>
        <w:rPr>
          <w:sz w:val="20"/>
          <w:szCs w:val="20"/>
          <w:color w:val="auto"/>
        </w:rPr>
      </w:pPr>
    </w:p>
    <w:tbl>
      <w:tblPr>
        <w:tblLayout w:type="fixed"/>
        <w:tblInd w:w="27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gridSpan w:val="2"/>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1480" w:type="dxa"/>
            <w:vAlign w:val="bottom"/>
            <w:gridSpan w:val="2"/>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ownership</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 Auto Insurance Company</w:t>
            </w:r>
          </w:p>
        </w:tc>
        <w:tc>
          <w:tcPr>
            <w:tcW w:w="260" w:type="dxa"/>
            <w:vAlign w:val="bottom"/>
            <w:tcBorders>
              <w:right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3820" w:type="dxa"/>
            <w:vAlign w:val="bottom"/>
            <w:tcBorders>
              <w:top w:val="single" w:sz="8" w:color="auto"/>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Nodak Insurance Company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1480" w:type="dxa"/>
            <w:vAlign w:val="bottom"/>
            <w:gridSpan w:val="2"/>
          </w:tcPr>
          <w:p>
            <w:pPr>
              <w:spacing w:after="0"/>
              <w:rPr>
                <w:sz w:val="20"/>
                <w:szCs w:val="20"/>
                <w:color w:val="auto"/>
              </w:rPr>
            </w:pPr>
          </w:p>
        </w:tc>
        <w:tc>
          <w:tcPr>
            <w:tcW w:w="14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ownership</w:t>
            </w:r>
          </w:p>
        </w:tc>
        <w:tc>
          <w:tcPr>
            <w:tcW w:w="3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1260" w:type="dxa"/>
            <w:vAlign w:val="bottom"/>
            <w:gridSpan w:val="2"/>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80" w:type="dxa"/>
            <w:vAlign w:val="bottom"/>
            <w:tcBorders>
              <w:top w:val="single" w:sz="8" w:color="auto"/>
              <w:left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Nodak Agency, Inc.</w:t>
            </w:r>
          </w:p>
        </w:tc>
        <w:tc>
          <w:tcPr>
            <w:tcW w:w="260" w:type="dxa"/>
            <w:vAlign w:val="bottom"/>
            <w:tcBorders>
              <w:right w:val="single" w:sz="8" w:color="auto"/>
            </w:tcBorders>
          </w:tcPr>
          <w:p>
            <w:pPr>
              <w:spacing w:after="0"/>
              <w:rPr>
                <w:sz w:val="16"/>
                <w:szCs w:val="16"/>
                <w:color w:val="auto"/>
              </w:rPr>
            </w:pPr>
          </w:p>
        </w:tc>
        <w:tc>
          <w:tcPr>
            <w:tcW w:w="2920" w:type="dxa"/>
            <w:vAlign w:val="bottom"/>
            <w:tcBorders>
              <w:top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260" w:type="dxa"/>
            <w:vAlign w:val="bottom"/>
            <w:tcBorders>
              <w:right w:val="single" w:sz="8" w:color="auto"/>
            </w:tcBorders>
          </w:tcPr>
          <w:p>
            <w:pPr>
              <w:spacing w:after="0"/>
              <w:rPr>
                <w:sz w:val="16"/>
                <w:szCs w:val="16"/>
                <w:color w:val="auto"/>
              </w:rPr>
            </w:pPr>
          </w:p>
        </w:tc>
        <w:tc>
          <w:tcPr>
            <w:tcW w:w="2100" w:type="dxa"/>
            <w:vAlign w:val="bottom"/>
            <w:tcBorders>
              <w:top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9"/>
              </w:rPr>
              <w:t>Battle Creek Insurance</w:t>
            </w:r>
          </w:p>
        </w:tc>
        <w:tc>
          <w:tcPr>
            <w:tcW w:w="260" w:type="dxa"/>
            <w:vAlign w:val="bottom"/>
            <w:tcBorders>
              <w:right w:val="single" w:sz="8" w:color="auto"/>
            </w:tcBorders>
          </w:tcPr>
          <w:p>
            <w:pPr>
              <w:spacing w:after="0"/>
              <w:rPr>
                <w:sz w:val="16"/>
                <w:szCs w:val="16"/>
                <w:color w:val="auto"/>
              </w:rPr>
            </w:pPr>
          </w:p>
        </w:tc>
        <w:tc>
          <w:tcPr>
            <w:tcW w:w="234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Tri-State, Ltd</w:t>
            </w:r>
          </w:p>
        </w:tc>
        <w:tc>
          <w:tcPr>
            <w:tcW w:w="0" w:type="dxa"/>
            <w:vAlign w:val="bottom"/>
          </w:tcPr>
          <w:p>
            <w:pPr>
              <w:spacing w:after="0"/>
              <w:rPr>
                <w:sz w:val="1"/>
                <w:szCs w:val="1"/>
                <w:color w:val="auto"/>
              </w:rPr>
            </w:pPr>
          </w:p>
        </w:tc>
      </w:tr>
      <w:tr>
        <w:trPr>
          <w:trHeight w:val="126"/>
        </w:trPr>
        <w:tc>
          <w:tcPr>
            <w:tcW w:w="2580" w:type="dxa"/>
            <w:vAlign w:val="bottom"/>
            <w:tcBorders>
              <w:left w:val="single" w:sz="8" w:color="auto"/>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920" w:type="dxa"/>
            <w:vAlign w:val="bottom"/>
            <w:tcBorders>
              <w:right w:val="single" w:sz="8" w:color="auto"/>
            </w:tcBorders>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Company</w:t>
            </w:r>
          </w:p>
        </w:tc>
        <w:tc>
          <w:tcPr>
            <w:tcW w:w="26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10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Primero Insurance Company</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executive offices of NI Holdings and Nodak Insurance are located at 1101 First Avenue North, Fargo, North Dakota 58102, and the main office phone number is 701-298-4200. NI Holdings’ website address is </w:t>
      </w:r>
      <w:r>
        <w:rPr>
          <w:rFonts w:ascii="Times New Roman" w:cs="Times New Roman" w:eastAsia="Times New Roman" w:hAnsi="Times New Roman"/>
          <w:sz w:val="18"/>
          <w:szCs w:val="18"/>
          <w:i w:val="1"/>
          <w:iCs w:val="1"/>
          <w:color w:val="auto"/>
        </w:rPr>
        <w:t>www.niholdingsinc.com</w:t>
      </w:r>
      <w:r>
        <w:rPr>
          <w:rFonts w:ascii="Times New Roman" w:cs="Times New Roman" w:eastAsia="Times New Roman" w:hAnsi="Times New Roman"/>
          <w:sz w:val="18"/>
          <w:szCs w:val="18"/>
          <w:color w:val="auto"/>
        </w:rPr>
        <w:t>. The Company makes available on its website, free of charge, its Annual Reports on Form 10-K, Quarterly Reports on Form 10-Q, Current Reports on Form 8-K, and amendments to those reports filed or furnished pursuant to Section 13(a) or 15(d) of the Securities Exchange Act of 1934 (the “Exchange Act”) as soon as reasonably practicable after it electronically files such material with, or furnish it to, the United States Securities and Exchange Commission (“SEC”). Information contained on such website is not incorporated by reference into this 2024 Annual Report, and such information should not be considered to be part of this 2024 Annual Report.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Subsidiary and Affiliate Companies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Reinsurance Pooling Arrangement</w:t>
      </w:r>
    </w:p>
    <w:p>
      <w:pPr>
        <w:spacing w:after="0" w:line="187" w:lineRule="exact"/>
        <w:rPr>
          <w:sz w:val="20"/>
          <w:szCs w:val="20"/>
          <w:color w:val="auto"/>
        </w:rPr>
      </w:pPr>
    </w:p>
    <w:p>
      <w:pPr>
        <w:ind w:left="20" w:right="100"/>
        <w:spacing w:after="0" w:line="254"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four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Company, Inc.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Insurance Company</w:t>
      </w:r>
    </w:p>
    <w:p>
      <w:pPr>
        <w:spacing w:after="0" w:line="20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Nodak Insurance is the largest domestic property and casualty insurance company based in North Dakota, offering private passenger auto, homeowners, farmowners, commercial multi-peril, crop hail, and Federal multi-peril crop insurance coverages through its captive agents in the state.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Nodak Insurance was formed in 1946 to offer property and casualty insurance to members of the North Dakota Farm Bureau (“NDFB”), and benefits from a strong marketing affiliation with that organization. Nodak Insurance’s bylaws provide that a person must be a member and remain a member of the NDFB in order to become and remain a policyholder of Nodak Insurance. Nodak Insurance’s bylaws also require that four members of the Board of Directors of Nodak Insurance must be members of the NDFB. Similarly, one-third of the members of the Board of Directors of Nodak Mutual Group must be persons designated by the NDFB.</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NDFB has granted Nodak Insurance a nonexclusive, nontransferable license to use the name “Farm Bureau” and the “FB” logo and associated trademarks to market Nodak Insurance products. Nodak Insurance has held this license since the insurance company’s inception in 1946, and the current version of the license agreement has been in place since 2002. The current license agreement between the NDFB and Nodak Insurance renewed on October 1, 2024, with an expiration date of September 30, 2025. The agreement has historically been renewed annually by a vote of the Nodak Insurance Board of Directors. Under the current license agreement, Nodak Insurance is required to pay to the NDFB an annual royalty payment equal to 1.3% of Nodak Insurance’s written premiums (excluding multi-peril crop insurance premiums), subject to a minimum annual payment of $900 and a maximum annual payment of $1,672. The maximum royalty payment is adjusted annually based upon the June index month for the Consumer Price Index.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Nodak Insurance distributed its insurance products through 63 exclusive agents appointed by Nodak Insurance.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Agency,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Tri-State, Ltd.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Tri-State, Ltd. is an inactive shell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American West Insurance Company</w:t>
      </w:r>
    </w:p>
    <w:p>
      <w:pPr>
        <w:spacing w:after="0" w:line="20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 As of December 31, 2024, American West distributed its products through independent agents in 63 contracted agencies.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Primero Insurance Company</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during 2024. Primero was acquired by Nodak Insurance in 2014. As of December 31, 2024, Primero no longer writes coverage in the state of Nevada. Primero distributed its policies through independent agents in 216 contracted agencies in the three remaining states.</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Battle Creek Insurance Company</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As of December 31, 2024, Battle Creek distributed its policies through independent agents in 113 contracted agencies. Battle Creek became affiliated with Nodak Insurance in 2011, and Nodak Insurance provides underwriting, claims management, policy administration, and other administrative services to Battle Creek.</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for NI Holdings (“Consolidated Balance Sheets”) and its net income or loss was excluded from net income or loss attributed to NI Holdings in our Consolidated Statements of Operations for NI Holdings (“Consolidated Statements of Operations”). Subsequent to January 2, 2024, Battle Creek is fully consolidated in our Consolidated Balance Sheets and Consolidated Statements of Operations and, as such, no longer reflected as a non-controlling interest.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Auto Insurance Company</w:t>
      </w:r>
    </w:p>
    <w:p>
      <w:pPr>
        <w:spacing w:after="0" w:line="20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automobile coverage in 2007, and was acquired by NI Holdings on August 31, 2018, via a stock purchase agreement. As of December 31, 2024, Direct Auto distributed its policies through independent agents in 156 contracted agencies, concentrated primarily in the Chicago area.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Westminster American Insurance Company</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II, Item 8, Note 20 “Discontinued Operations” of this 2024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187" w:lineRule="exact"/>
        <w:rPr>
          <w:sz w:val="20"/>
          <w:szCs w:val="20"/>
          <w:color w:val="auto"/>
        </w:rPr>
      </w:pPr>
    </w:p>
    <w:p>
      <w:pPr>
        <w:ind w:left="20" w:right="620"/>
        <w:spacing w:after="0" w:line="282"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Westminster personnel managed the day-to-day operations of their company prior to the date of sale.</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NI Holdings presented herein include the financial position and results of operations of NI Holdings, Direct Auto, Westminster (as discontinued operations), and Nodak Insurance, including Nodak Insurance’s subsidiaries of American West, Primero and Battle Creek. Each of the insurance companies is subject to examination and comprehensive regulation by the insurance department of its state of domicile, North Dakota.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 for Continuing Operations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market our personal lines products in the upper Midwest states of North Dakota, Nebraska, South Dakota, and Minnesota. We offer non-standard auto insurance in the states of Illinois, Arizona, Nevada, South Dakota, and North Dakota. We offer commercial multi-peril insurance in the states of North Dakota and South Dakota. The following chart shows our direct premiums written during the last two years and our relative market share within each of our states during the year ended December 31, 2023:</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9"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gridSpan w:val="8"/>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187"/>
        </w:trPr>
        <w:tc>
          <w:tcPr>
            <w:tcW w:w="5240" w:type="dxa"/>
            <w:vAlign w:val="bottom"/>
          </w:tcPr>
          <w:p>
            <w:pPr>
              <w:spacing w:after="0"/>
              <w:rPr>
                <w:sz w:val="16"/>
                <w:szCs w:val="16"/>
                <w:color w:val="auto"/>
              </w:rPr>
            </w:pPr>
          </w:p>
        </w:tc>
        <w:tc>
          <w:tcPr>
            <w:tcW w:w="146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Direct Premiums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tcBorders>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 Premiums</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Rank in</w:t>
            </w:r>
          </w:p>
        </w:tc>
      </w:tr>
      <w:tr>
        <w:trPr>
          <w:trHeight w:val="238"/>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Market Size</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State</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3,827,000</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5th</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35,939,000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59th</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Nebraska</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53,244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7,573,000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32nd</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3,970,000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30th</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17,959,000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163rd</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17,081,000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140th</w:t>
            </w: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8,562,000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139th</w:t>
            </w:r>
          </w:p>
        </w:tc>
      </w:tr>
      <w:tr>
        <w:trPr>
          <w:trHeight w:val="22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direct premiums written</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341,234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size information is not yet available for the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many opportunities to grow our business. Strategies we employ to achieve this growth include:</w:t>
      </w:r>
    </w:p>
    <w:p>
      <w:pPr>
        <w:spacing w:after="0" w:line="185" w:lineRule="exact"/>
        <w:rPr>
          <w:sz w:val="20"/>
          <w:szCs w:val="20"/>
          <w:color w:val="auto"/>
        </w:rPr>
      </w:pPr>
    </w:p>
    <w:p>
      <w:pPr>
        <w:ind w:left="1300" w:right="3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emphasis on our relationship with the NDFB, a key advocacy group for agricultural and rural interests which enjoys a high profile and favorable reputation throughout North Dakota;</w:t>
      </w:r>
    </w:p>
    <w:p>
      <w:pPr>
        <w:spacing w:after="0" w:line="12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enhancement of independent agency relationships, including the use of technology such as mobile apps, online quoting, and policy issuance initiatives to make it easy for agents and insureds to do business with us;</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capitalizing on our excellent claims service for all insureds;</w:t>
      </w:r>
    </w:p>
    <w:p>
      <w:pPr>
        <w:spacing w:after="0" w:line="184"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expansion of our insurance products in states where we currently operate, as well as those states where we hold insurance licenses; and</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strategic acquisitions and investment opportunities in businesses that align with our growth objectives.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Capital Strategy</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philosophy is to deploy capital in a manner that provides long-term protection for our policyholders and creates long-term value for our shareholders. This philosophy is supported by a number of underlying strategies implemented across the organization that are focused on preservation of capital, including:</w:t>
      </w:r>
    </w:p>
    <w:p>
      <w:pPr>
        <w:spacing w:after="0" w:line="135" w:lineRule="exact"/>
        <w:rPr>
          <w:sz w:val="20"/>
          <w:szCs w:val="20"/>
          <w:color w:val="auto"/>
        </w:rPr>
      </w:pPr>
    </w:p>
    <w:p>
      <w:pPr>
        <w:ind w:left="1340" w:hanging="320"/>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the use of data and modeling tools to help estimate the frequency and severity of risks within our insurance portfolio;</w:t>
      </w:r>
    </w:p>
    <w:p>
      <w:pPr>
        <w:spacing w:after="0" w:line="198" w:lineRule="exact"/>
        <w:rPr>
          <w:rFonts w:ascii="Times New Roman" w:cs="Times New Roman" w:eastAsia="Times New Roman" w:hAnsi="Times New Roman"/>
          <w:sz w:val="18"/>
          <w:szCs w:val="18"/>
          <w:color w:val="auto"/>
        </w:rPr>
      </w:pPr>
    </w:p>
    <w:p>
      <w:pPr>
        <w:ind w:left="1340" w:right="180" w:hanging="320"/>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conservatively managed investment portfolio that supports our insurance operations under a wide range of operating and market conditions;</w:t>
      </w:r>
    </w:p>
    <w:p>
      <w:pPr>
        <w:spacing w:after="0" w:line="121" w:lineRule="exact"/>
        <w:rPr>
          <w:rFonts w:ascii="Times New Roman" w:cs="Times New Roman" w:eastAsia="Times New Roman" w:hAnsi="Times New Roman"/>
          <w:sz w:val="18"/>
          <w:szCs w:val="18"/>
          <w:color w:val="auto"/>
        </w:rPr>
      </w:pPr>
    </w:p>
    <w:p>
      <w:pPr>
        <w:ind w:left="1340" w:right="340" w:hanging="320"/>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our reinsurance program is designed to provide sufficient protection against material insurance exposures including, but not limited to, catastrophes caused by weather-related events; and</w:t>
      </w:r>
    </w:p>
    <w:p>
      <w:pPr>
        <w:spacing w:after="0" w:line="121" w:lineRule="exact"/>
        <w:rPr>
          <w:rFonts w:ascii="Times New Roman" w:cs="Times New Roman" w:eastAsia="Times New Roman" w:hAnsi="Times New Roman"/>
          <w:sz w:val="18"/>
          <w:szCs w:val="18"/>
          <w:color w:val="auto"/>
        </w:rPr>
      </w:pPr>
    </w:p>
    <w:p>
      <w:pPr>
        <w:ind w:left="1340" w:right="940" w:hanging="320"/>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relying upon our Enterprise Risk Management framework to identify, quantify, and manage a broad range of risks across the organization.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view our capital position to consist of three layers, each of which has a specific size and purpose:</w:t>
      </w:r>
    </w:p>
    <w:p>
      <w:pPr>
        <w:spacing w:after="0" w:line="185" w:lineRule="exact"/>
        <w:rPr>
          <w:sz w:val="20"/>
          <w:szCs w:val="20"/>
          <w:color w:val="auto"/>
        </w:rPr>
      </w:pPr>
    </w:p>
    <w:p>
      <w:pPr>
        <w:ind w:left="1300" w:right="26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layer of capital, which we refer to as “regulatory capital,” is the amount of capital needed to satisfy state insurance regulatory requirements while supporting our growth objectives. This capital is held by each of our insurance company subsidiaries.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ind w:left="1300" w:right="120" w:hanging="320"/>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layer of capital is considered “contingency capital.” While our regulatory capital is, by definition, a cushion for absorbing financial consequences of adverse events, such as loss reserve development, litigation, weather catastrophes, and investment market corrections, we view that as a base and hold additional capital for even more extreme operating conditions. This capital is generally also held by each of our insurance company subsidiaries.</w:t>
      </w:r>
    </w:p>
    <w:p>
      <w:pPr>
        <w:spacing w:after="0" w:line="139"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layer of capital is classified as “excess capital” and represents the excess of the sum of the first two layers. This capital is available for deployment by NI Holdings in conjunction with our excess capital deployment priorities.</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excess capital deployment priorities are to (1) invest in existing businesses where we see opportunities for profitable growth, (2) make strategic investments and acquisitions that enhance our businesses and achieve appropriate risk-adjusted returns over time, and (3) return capital to shareholders through share repurchases or shareholder dividends.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Products by Segment</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consolidated financial results from continuing operations include our Private Passenger Auto, Non-Standard Auto, Home and Farm, Crop, and All Other reporting segments. Information regarding products and services offered in each segment is included below. Additionally, revenues, underwriting results, and identifiable assets and liabilities for each segment are shown in Part II, Item 8, Note 21 “Segment Information.” The financial performance of each segment is discussed in Part II, Item 7, “Management’s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Passenger Auto</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Nodak Insurance, Battle Creek, and American West each write private passenger auto insurance to provide protection against liability for bodily injury and property damage arising from automobile accidents as well as protection against loss from damage to automobiles owned by the insured. Private passenger auto accounted for $97,209 (28.4%) of direct premiums written by the Company on a consolidated basis during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Non-Standard Auto</w:t>
      </w:r>
    </w:p>
    <w:p>
      <w:pPr>
        <w:spacing w:after="0" w:line="20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Primero and Direct Auto write non-standard auto insurance with a focus on minimum-limit auto liability coverage. Non-standard auto insurance accounted for $87,467 (25.6%) of direct premiums written by the Company on a consolidated basis during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and Farm</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Nodak Insurance, Battle Creek, and American West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$107,203 (31.3%) of direct premiums written by the Company on a consolidated basis during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Crop</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Nodak Insurance, American West, and Battle Creek offer crop hail and multi-peril crop insurance policies. Multi-peril crop insurance is a federal program that protects against crop yield losses from all types of natural causes and loss of revenue due to declines in the prices of agricultural products. Crop hail insurance is a private insurance product designed to provide protection against losses to farmers’ crops due primarily to hail damage. Collectively, crop insurance accounted for $36,421 (10.6%) of direct premiums written by the Company on a consolidated basis during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products described above, Nodak Insurance, American West, and Battle Creek write commercial and excess liability coverages. Collectively, these other coverages accounted for $14,002 (4.1%) of the direct premiums written by the Company on a consolidated basis during 2024. This segment also includes an assumed reinsurance book of business, with $820 of assumed premiums written on a consolidated basis during 2024. The majority of these assumed premiums written are related to a domestic and international reinsurance pool for which the Company made the decision to non-renew its participation as of January 1, 2022, and the associated assumed premiums represent run-off of this business.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Crop Insurance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Crop insurance is purchased by agricultural producers, including farmers, ranchers, and others to protect themselves against either the loss of their crops (yield) due to natural disasters such as hail, freezing, plant disease, drought, and floods, or the loss of revenue due to declines in the prices of agricultural products. The two general categories of crop insurance are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 subsidy for the farmers and ranchers. As a result, there was a rapid increase in the acres insured from approximately 26 million acres in 1980 to 100 million acres in 1990. The Federal Crop Insurance Reform Act of 1994 made participation in the crop insurance program mandatory for farmers to be eligible to participate in other government support programs and provided a minimum level of free catastrophic risk coverage for insured and noninsured crops.</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American Farm Bureau Insurance Services (“AFBIS”) underwrites all of our, as well as several other state Farm Bureau affiliated insurers, multi-peril crop and crop hail insurance policies. AFBIS also processes and administers all claims made by policyholders under such policies. We reimburse AFBIS for its actual loss adjustment expense with respect to the policies issued by us and pay AFBIS a percentage of the premiums we receive with respect to such policies.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marketing philosophy is to sell profitable business using a focused, cost-effective distribution system. Nodak Insurance distributes its insurance products through exclusive agents in North Dakota, while American West, Battle Creek, Primero, and Direct Auto rely on independent agents.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review our agents with respect to both premium volume and profitability. Our captive agents for Nodak Insurance are hired and trained by our sales staff in North Dakota, while the independent agents for our other companies are appointed by the underwriting or marketing staff for each respective company. We hold regular training sessions when we introduce new products or product changes, and we identify specific topics that may help our agents more effectively market our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no individual agent was responsible for more than 5% of the Company’s direct premiums written.</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Agents are compensated through a fixed base commission structure. Agents receive commission as a percentage of premiums as their primary compensation from us. The Risk Management Agency of the U.S. Department of Agriculture (“RMA”) establishes the maximum commission that can be paid to agents with respect to crop insurance policies. Nodak Insurance, Battle Creek, American West, and Direct Auto pay annual profit-sharing commissions with respect to all property and casualty (non-crop) business based on company-specific production metrics related to premiums and profitability.</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marketing efforts are further supported by our claims philosophy, which is designed to provide prompt and efficient service and claims processing, resulting in a positive experience for agents and policyholders. We believe that these positive experiences contribute to achieving higher policyholder retention and new business growth over time. While we rely on our captive and independent agents for distribution and customer support, underwriting and claim handling responsibilities are retained by us. Many of our agents have had direct relationships with us for a number of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Risk Assessment, and Pricing</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strive to be disciplined in our pricing by pursuing rate increases to maintain or improve our underwriting profitability while still being able to attract and retain customers. We utilize pricing reviews that we believe will help us price risks more accurately, maintain appropriate policyholder retention, and support the production of profitable new business. These pricing reviews involve</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1" w:name="page12"/>
    <w:bookmarkEnd w:id="11"/>
    <w:p>
      <w:pPr>
        <w:ind w:right="460"/>
        <w:spacing w:after="0" w:line="282" w:lineRule="auto"/>
        <w:rPr>
          <w:sz w:val="20"/>
          <w:szCs w:val="20"/>
          <w:color w:val="auto"/>
        </w:rPr>
      </w:pPr>
      <w:r>
        <w:rPr>
          <w:rFonts w:ascii="Times New Roman" w:cs="Times New Roman" w:eastAsia="Times New Roman" w:hAnsi="Times New Roman"/>
          <w:sz w:val="18"/>
          <w:szCs w:val="18"/>
          <w:color w:val="auto"/>
        </w:rPr>
        <w:t>evaluating our claims experience and loss trends on a periodic basis to identify changes in the frequency and severity of our claims. We then consider whether our premium rates are adequate relative to the level of underwriting risk as well as the sufficiency of our underwriting guidelines.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nature of our business requires that we remain sensitive to the marketplace and the pricing strategies of our competitors. Using the market information as a reference point, we typically set our prices based on our estimated future costs. From time to time, we may reduce our discounts or apply a premium surcharge to achieve an appropriate return. Pricing flexibility allows us to provide a fair rate commensurate with the assumed risk. If our pricing strategy cannot yield sufficient premium to cover our costs on a particular type of risk, we may choose not to underwrite that risk. It is our philosophy not to sacrifice profitability for premium growth.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Company is subject to significant risks, including the normal risks of a property and casualty insurance company. These risks are discussed in more detail in Part I, Item 1A, “Risk Factors.”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an enterprise-wide risk management program to be an integral part of managing our business and a key element in our approach to corporate governance. Our Enterprise Risk Management Committee (the “ERMC”) is responsible for the alignment of operational risk management strategies as the coordination point for enterprise-level direction setting with regard to risk management issues. The multi-disciplinary ERMC regularly monitors risk reports and metrics regarding a variety of continuing and emerging risks that may adversely affect the Company, its shareholders, its policyholders, or other stakeholders. The Audit Committee of the Board of Directors oversees risk management and regularly receives reports from the ERMC.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cede and assume certain premiums and losses to and from various companies and associations under a variety of reinsurance agreements. We seek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Reinsurance contracts do not relieve us from our obligation to policyholders. Additionally, failure of reinsurers to honor their obligations could result in significant losses to us. There can be no assurance that reinsurance will continue to be available to us to the same extent, and at the same cost, as it has in the past. We may choose in the future to reevaluate the use of reinsurance to increase or decrease the amounts of risk ceded to reinsurers.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Part II, Item 8, Note 6 “Reinsurance.”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Unpaid Losses and Loss Adjustment Expenses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reserves for unpaid losses and loss adjustment expenses. Our liability for unpaid losses and loss adjustment expenses consists of (1) case reserves, which are reserves for claims that have been reported to us, and (2) reserves for claims that have been incurred but not yet been reported and for the future development of case reserves (“IBNR”). We determine a provision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loss adjustment expenses is set based on facts and circumstances then known, estimates of future trends in claims severity, and other variable factors such as inflation and changing judicial theories of liability. Our liability for unpaid losses and loss adjustment expenses is not discounted.</w:t>
      </w:r>
    </w:p>
    <w:p>
      <w:pPr>
        <w:spacing w:after="0" w:line="162" w:lineRule="exact"/>
        <w:rPr>
          <w:sz w:val="20"/>
          <w:szCs w:val="20"/>
          <w:color w:val="auto"/>
        </w:rPr>
      </w:pPr>
    </w:p>
    <w:p>
      <w:pPr>
        <w:ind w:right="100"/>
        <w:spacing w:after="0" w:line="453" w:lineRule="auto"/>
        <w:rPr>
          <w:sz w:val="20"/>
          <w:szCs w:val="20"/>
          <w:color w:val="auto"/>
        </w:rPr>
      </w:pPr>
      <w:r>
        <w:rPr>
          <w:rFonts w:ascii="Times New Roman" w:cs="Times New Roman" w:eastAsia="Times New Roman" w:hAnsi="Times New Roman"/>
          <w:sz w:val="18"/>
          <w:szCs w:val="18"/>
          <w:color w:val="auto"/>
        </w:rPr>
        <w:t xml:space="preserve">For additional information, see Part II, Item 7, “Critical Accounting Policies” and Part II, Item 8, Note 8 “Unpaid Losses and Loss Adjustment Expenses.” </w:t>
      </w:r>
      <w:r>
        <w:rPr>
          <w:rFonts w:ascii="Times New Roman" w:cs="Times New Roman" w:eastAsia="Times New Roman" w:hAnsi="Times New Roman"/>
          <w:sz w:val="18"/>
          <w:szCs w:val="18"/>
          <w:b w:val="1"/>
          <w:bCs w:val="1"/>
          <w:color w:val="auto"/>
        </w:rPr>
        <w:t>Investments</w:t>
      </w:r>
    </w:p>
    <w:p>
      <w:pPr>
        <w:spacing w:after="0" w:line="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majority of funds available for investments are deployed in a widely diversified portfolio of high quality, liquid taxable U.S. government, tax-exempt and taxable U.S. municipal, taxable corporate, and U.S. agency mortgage-backed bonds. We regularly monitor the effective duration of our fixed income investments, and our investment purchases and sales are executed with the objective of having adequate funds available to satisfy our insurance and other obligations. Generally, the expected principal and</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 w:name="page13"/>
    <w:bookmarkEnd w:id="12"/>
    <w:p>
      <w:pPr>
        <w:ind w:right="80"/>
        <w:spacing w:after="0" w:line="261" w:lineRule="auto"/>
        <w:rPr>
          <w:sz w:val="20"/>
          <w:szCs w:val="20"/>
          <w:color w:val="auto"/>
        </w:rPr>
      </w:pPr>
      <w:r>
        <w:rPr>
          <w:rFonts w:ascii="Times New Roman" w:cs="Times New Roman" w:eastAsia="Times New Roman" w:hAnsi="Times New Roman"/>
          <w:sz w:val="18"/>
          <w:szCs w:val="18"/>
          <w:color w:val="auto"/>
        </w:rPr>
        <w:t>interest payments produced by our fixed income portfolio adequately fund the estimated runoff of the Company’s insurance reserves. The substantial amount by which the fair value of the fixed income portfolio exceeds the value of the net insurance liabilities, as well as the positive cash flow from newly sold policies and the large amount of high-quality liquid bonds, contribute to the Company’s ability to fund claim payments without having to sell illiquid assets or access its credit facilities.</w:t>
      </w:r>
    </w:p>
    <w:p>
      <w:pPr>
        <w:spacing w:after="0" w:line="13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also invest a much smaller percentage of the portfolio in private placement debt offerings and equity securities, which have the potential for higher returns but also involve varying degrees of risk, including higher volatility and/or less liquidity.</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Investment Committee of NI Holdings’ Board of Directors reviews and approves the Company’s investment policy periodically. The investment portfolio is managed by Conning, Inc.</w:t>
      </w:r>
    </w:p>
    <w:p>
      <w:pPr>
        <w:spacing w:after="0" w:line="121" w:lineRule="exact"/>
        <w:rPr>
          <w:sz w:val="20"/>
          <w:szCs w:val="20"/>
          <w:color w:val="auto"/>
        </w:rPr>
      </w:pPr>
    </w:p>
    <w:p>
      <w:pPr>
        <w:ind w:right="2620"/>
        <w:spacing w:after="0" w:line="461" w:lineRule="auto"/>
        <w:rPr>
          <w:sz w:val="20"/>
          <w:szCs w:val="20"/>
          <w:color w:val="auto"/>
        </w:rPr>
      </w:pPr>
      <w:r>
        <w:rPr>
          <w:rFonts w:ascii="Times New Roman" w:cs="Times New Roman" w:eastAsia="Times New Roman" w:hAnsi="Times New Roman"/>
          <w:sz w:val="18"/>
          <w:szCs w:val="18"/>
          <w:color w:val="auto"/>
        </w:rPr>
        <w:t xml:space="preserve">For additional information, see Part II, Item 7, “Critical Accounting Policies” and Part II, Item 8, Note 4 “Investments.” </w:t>
      </w:r>
      <w:r>
        <w:rPr>
          <w:rFonts w:ascii="Times New Roman" w:cs="Times New Roman" w:eastAsia="Times New Roman" w:hAnsi="Times New Roman"/>
          <w:sz w:val="18"/>
          <w:szCs w:val="18"/>
          <w:b w:val="1"/>
          <w:bCs w:val="1"/>
          <w:color w:val="auto"/>
        </w:rPr>
        <w:t>Financial Strength</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Ratings are an important factor in assessing the Company’s competitive position in the insurance industry. The Company is reviewed regularly by the independent rating agency AM Best, who assigns a financial strength rating to the Company, which reflects its assessment of an insurer’s ability to meet its financial obligations to policyholders. An insurer’s financial strength rating is one of the primary factors evaluated by those in the market to purchase insurance. A poor rating indicates that there is an increased likelihood that the insurer could become insolvent and therefore not able to fulfill its obligations under the insurance policies it issues. This rating can also affect an insurer’s level of written premiums, the lines of business it can write, and, for insurers like us that are also public registrants, the market value of its securities.</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of the Company’s insurance subsidiaries and affiliate companies are rated “A” Excellent by AM Best, which is the third highest out of 15 possible ratings, under a group rating due to the intercompany pooling reinsurance agreement. Effective May 10, 2024, AM Best affirmed a stable financial strength outlook to the group.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property casualty and crop insurance markets are competitive. We compete with stock insurance companies, mutual insurance companies, and other underwriting organizations. Our largest competitors in North Dakota for private passenger auto and homeowners include Progressive, State Farm, American Family, National General, Farmers Union, and Auto-Owners insurance companies. In South Dakota and Nebraska, we have small market shares and our competitors are the large national and regional companies as well as Farmers Mutual of Nebraska. In our non-standard auto markets, which are primarily Illinois and Arizona, our primary competitors are regional carriers.</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2023 data, Nodak Insurance is the second largest writer of farmowners insurance in North Dakota. Our largest competitors include Farmers Union, North Star Mutual, American Family, and Liberty Mutual insurance companies. In Nebraska and South Dakota, we have a small farmowners market share, which is dominated by the large national and regional carriers.</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principal competitors in our markets for multi-peril crop insurance include Chubb, QBE Insurance Group, Zurich, AgriSompo, and Great American Insurance Group. The premium rates for multi-peril crop insurance are established by the RMA and, accordingly, we compete with other insurance companies on factors such as agency relationships, claim service, and market reputation in the crop insurance market. We believe that our relationship with the NDFB and our leading market share are significant factors in maintaining our market share of the crop insurance business in North Dakota. The Company’s multi-peril crop insurance premiums for North Dakota were $30,641, $39,073, and $45,465 for the years ended December 31, 2024, 2023, and 2022, respectively. Total North Dakota multi-peril crop premiums for the industry were $1,231,110, $1,491,650, and $1,537,758 for the years ended December 31, 2024, 2023, and 2022,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writing property and casualty insurance, competitive factors include pricing, agency relationships, policy support, claim service, and market reputation. Like other writers of property and casualty insurance, our policy terms vary from state to state based on state regulations, competition, pricing, and other factors including the prescribed minimum liability limits in each state. We believe our Company differentiates itself from many larger companies competing for this business by focusing on ease of doing business and providing excellent claims service with local, knowledgeable employees.</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compete successfully in the property and casualty insurance market, we utilize data-driven insights and a disciplined underwriting approach to assess and price risks, practice prudent claims management, reserve appropriately for unpaid claims, and provide quality service and competitive commissions to our independent and captive agents.</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subject to extensive regulation, particularly at the state level. This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 company licensure, claims procedures, corporate governance, examinations, investing practices, policy forms, pricing, trade practices, reserve adequacy, and underwriting standards.</w:t>
      </w:r>
    </w:p>
    <w:p>
      <w:pPr>
        <w:spacing w:after="0" w:line="1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State insurance laws and regulations require our insurance company subsidiaries to file financial statements with state insurance departments everywhere they do business, and they are subject to examination by the departments they are domiciled in at any time. Our insurance company subsidiaries prepare statutory-basis financial statements in accordance with accounting practices and procedures prescribed or permitted by the state in which they are domiciled. Our domiciliary states generally conform to National Association of Insurance Commissioners (“NAIC”) accounting practices and procedures, so our examination reports and other filings generally are accepted by other states. As of December 31, 2024, all of our insurance subsidiaries are domiciled in North Dakota.</w:t>
      </w:r>
    </w:p>
    <w:p>
      <w:pPr>
        <w:spacing w:after="0" w:line="16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NAIC provides guidance to the states with respect to standardized laws and regulations (including the accounting practices and procedures discussed above), which represent an effort to standardize insurance industry practices across state lines, oftentimes referred to as “Model Regulations.” It should be noted that these “model” laws are regulations that have no authority until the individual states pass them as part of the state legislative process, which may, or may not, be done as suggested, or with modifications.</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For additional information, see Part I, Item 1, “Crop Insurance.”</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Crop Insurance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Federal Crop Insurance Corporation (“FCIC”), the RMA provides premium subsidies to farmers and sets the commission percentages that can be paid to agents. 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 procedures set by the RMA without modification and are required to issue a policy to any eligible applicant regardless of risk or profitability. The RMA conducts audits of AIPs with respect to claims and loss adjustment procedures.</w:t>
      </w:r>
    </w:p>
    <w:p>
      <w:pPr>
        <w:spacing w:after="0" w:line="1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American Agricultural Insurance Company is the AIP through which we issue multi-peril crop insurance policies and is the holder of the SRA with the FCIC.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NAIC Risk-Based Capital Requirements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North Dakota and most other states have adopted the NAIC system of risk-based capital requirements that require insurance companies to calculate and report information under a risk-based formula. These risk-based capital requirements attempt to measure 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 other items as the risk-based capital instructions may provide. The formula is designed to allow state insurance regulators to identify insufficiently capitalized companies.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14" w:name="page15"/>
    <w:bookmarkEnd w:id="14"/>
    <w:p>
      <w:pPr>
        <w:ind w:right="40"/>
        <w:spacing w:after="0" w:line="253" w:lineRule="auto"/>
        <w:rPr>
          <w:sz w:val="20"/>
          <w:szCs w:val="20"/>
          <w:color w:val="auto"/>
        </w:rPr>
      </w:pPr>
      <w:r>
        <w:rPr>
          <w:rFonts w:ascii="Times New Roman" w:cs="Times New Roman" w:eastAsia="Times New Roman" w:hAnsi="Times New Roman"/>
          <w:sz w:val="18"/>
          <w:szCs w:val="18"/>
          <w:color w:val="auto"/>
        </w:rPr>
        <w:t>The requirements provide for four different levels of regulatory attention. The “company action level” is triggered if a company’s total adjusted capital is less than 2.0 times its authorized control level but greater than or equal to 1.5 times its authorized control level. 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 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subsidiary and affiliate companies all exceed the authorized control level and have never triggered any of these regulatory capital levels. We cannot guarantee, however, that the capital requirements applicable to such companies will not increase in the future, or that the underlying ratios will not erode.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NAIC Ratios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NAIC has also developed a set of 13 financial ratios referred to as the Insurance Regulatory Information System (“IRIS”). Based on statutory-basis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 insurance company may receive inquiries from individual state insurance departments. However, a ratio falling outside the usual range may not necessarily be considered adverse. In some years, it may not be unusual for financially sound companies to have several ratios with results outside the usual ranges. During the years ended December 31, 2024 and 2023, none of our insurance company subsidiaries produced results outside the acceptable range for more than three of the IRIS tests. During the year ended December 31, 2022, our insurance company subsidiaries produced results outside the acceptable range for as many as six of the IRIS tests, primarily driven by our significant net loss for the year that negatively impacted IRIS ratios related to the operating ratio and certain ratios based on policyholders’ surplus.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Risk Assessment</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2012, the NAIC adopted various changes to its Model Regulations (the “NAIC Amendments”). The NAIC Amendments, when adopted by the various states, are designed to respond to perceived gaps in the regulation of insurance holding company systems in the U.S. The NAIC Amendments include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The Company files a Form F Enterprise Report annually with each domiciliary state in support of this requirement.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we intend to incorporate those elements of ORSA that we believe constitute “best practices” into our internal enterprise risk assessment.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Conduct Regulation</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Guaranty Fund Laws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2024, 2023, and 2022, we paid only minimal assessments pursuant to state insurance guaranty association laws. We establish reserves relating to insurance companies that are subject to insolvency proceedings</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15" w:name="page16"/>
    <w:bookmarkEnd w:id="15"/>
    <w:p>
      <w:pPr>
        <w:ind w:right="20"/>
        <w:spacing w:after="0" w:line="282" w:lineRule="auto"/>
        <w:rPr>
          <w:sz w:val="20"/>
          <w:szCs w:val="20"/>
          <w:color w:val="auto"/>
        </w:rPr>
      </w:pPr>
      <w:r>
        <w:rPr>
          <w:rFonts w:ascii="Times New Roman" w:cs="Times New Roman" w:eastAsia="Times New Roman" w:hAnsi="Times New Roman"/>
          <w:sz w:val="18"/>
          <w:szCs w:val="18"/>
          <w:color w:val="auto"/>
        </w:rPr>
        <w:t>when it becomes probable that we will be subject to an assessment and the amount of such assessment can be estimated. We cannot predict the amount and timing of any future assessments under these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 federal government generally does not directly regulate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U.S., including by increasing national uniformity through either a federal charter or effective action by the states. Changes to federal legislation and administrative policies in several areas, including changes in federal taxation, can also significantly affect the insurance industry and us.</w:t>
      </w:r>
    </w:p>
    <w:p>
      <w:pPr>
        <w:spacing w:after="0" w:line="1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also subject to the Fair and Accurate Credit Transactions Act of 2003 and the Health Insurance Portability and Accountability Act of 1996, both of which require us to protect the privacy of our customers’ information, including health and credit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numerous U.S. federal and state laws governing the collection, disclosure, and protection of personal and confidential information of our clients or employees. These laws and regulations are increasing in complexity and number, change frequently, and may conflict. Congress, state legislatures, and regulatory authorities are expected to consider additional regulation relating to privacy and other aspects of customer information.</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mandated by the Gramm-Leach-Bliley Act (“GLBA”), states have promulgated laws and regulations that require financial institutions, including insurance companies, to take steps to protect the privacy of certain consumer and customer information. The NAIC has adopted several provisions to facilitate the implementation of the GLBA, including the Privacy of Consumer Financial and Health Information Model Regulation and the Standards for Safeguarding Customer Information Model Regulation. Several states adopted similar provisions regarding the safeguarding of customer information. We have implemented procedures to comply with the GLBA’s related privacy requirements.</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October 2017, the NAIC adopted the Insurance Data Security Model Law (“IDSML”), which requires insurers, insurance agents, and other entities required to be licensed under state insurance laws to develop and maintain a written information security program, conduct risk assessments, oversee the data security practices of third-party service providers, and other related requirements. Several states in which we operate, including North Dakota, have adopted the IDSML. Such enactments and regulations could raise compliance costs and subject us to the risk of regulatory enforcement actions, penalties, and reputational harm. Any such events could potentially have an adverse impact on our business,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of Foreign Asset Control</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Jumpstart Our Business Startups Act of 2012</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Until December 31, 2022, we were an emerging growth company (“EGC”), as defined in the Jumpstart Our Business Startups Act of 2012 (the “JOBS Act”). We previously took advantage of certain exemptions from various reporting requirements that are applicable to other public companies that are not EGCs, such as reduced public company reporting, accounting, and corporate governance requirements. However, beginning on December 31, 2022, we are no longer an EGC and no longer have the ability to delay adoption of these new or revised accounting standards or to take advantage of reduced corporate governance disclosures.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an insurance holding company with no independent operations or source of revenue, our capacity to pay dividends to our shareholders is based on the ability of our insurance company subsidiaries to pay dividends to us. The ability of our subsidiaries to pay dividends to us is regulated by the laws of their state of domicile. Under these laws, insurance companies must provide advance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6" w:name="page17"/>
    <w:bookmarkEnd w:id="16"/>
    <w:p>
      <w:pPr>
        <w:ind w:right="60"/>
        <w:spacing w:after="0" w:line="261" w:lineRule="auto"/>
        <w:rPr>
          <w:sz w:val="20"/>
          <w:szCs w:val="20"/>
          <w:color w:val="auto"/>
        </w:rPr>
      </w:pPr>
      <w:r>
        <w:rPr>
          <w:rFonts w:ascii="Times New Roman" w:cs="Times New Roman" w:eastAsia="Times New Roman" w:hAnsi="Times New Roman"/>
          <w:sz w:val="18"/>
          <w:szCs w:val="18"/>
          <w:color w:val="auto"/>
        </w:rPr>
        <w:t>informational notice to the domicile state insurance regulatory authority prior to payment of any dividend or distribution to its shareholders. Prior approval from the state insurance regulatory authority must be obtained before payment of an “extraordinary dividend” as defined under the state’s insurance code. For additional information, see Part II, Item 7, “Management’s Discussion and Analysis of Financial Condition and Results of Operations - Liquidity and Capital Resources,” and Part II, Item 8, Note 22 “Statutory Net Income (Loss), Capital and Surplus, and Dividend Restrictions.”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Laws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materially affect the operations, management, or financial condition of the insurers within the group. Pursuant to these laws, the North Dakota Insurance Department requires prior disclosure of material transactions involving an insurance company and its affiliates. Under these laws, the North Dakota Insurance Department will have the right to examine us at any time.</w:t>
      </w:r>
    </w:p>
    <w:p>
      <w:pPr>
        <w:spacing w:after="0" w:line="1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transactions within our consolidated group affecting our insurance company subsidiaries must be fair and equitable. Notice of certain material transactions between NI Holdings and any person or entity in our holding company system will be required to be given to the Department of Insurance of the applicable domiciliary state. Certain transactions cannot be completed without the prior approval of the various Departments of Insurance.</w:t>
      </w:r>
    </w:p>
    <w:p>
      <w:pPr>
        <w:spacing w:after="0" w:line="13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key human capital management objectives are to attract, retain, and develop talent to deliver on the Company’s strategy. To support these objectives, our human resources programs are designed to recruit and retain talented individuals; provide training and development within the Company and the insurance industry; reward and support employees through competitive pay and benefit programs; keep employees safe and healthy; and provide opportunities for community involvement.</w:t>
      </w:r>
    </w:p>
    <w:p>
      <w:pPr>
        <w:spacing w:after="0" w:line="1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offer comprehensive compensation and benefits packages to our employees including a 401(k) Plan, Employee Stock Ownership Plan (“ESOP”), healthcare and insurance benefits, health savings and flexible spending accounts, paid time off, and flexible work arrangements. We also offer stock-based compensation to certain management personnel as a way to attract and retain key talent. For additional information, see Part II, Item 8, Note 12 “Benefit Plans” and Note 18 “Share-Based Compensation” for further discussion of our benefit plans and stock-based compensation.</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NI Holdings and its subsidiaries had 216 total employees, of which 202 were full-time employees. Employee turnover averaged 29.0% during 2024, compared to 22.7% during 2023, and 25.2% during 2022. A significant portion of this turnover is related to Direct Auto, which generally experiences higher turnover.</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An investment in the Company’s common shares involves certain risks. The following is a discussion of material risks and uncertainties that may affect the Company’s business, financial condition, and future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Catastrophic or other significant natural or man-made losses may negatively affect our financial condition and operating results.</w:t>
      </w:r>
    </w:p>
    <w:p>
      <w:pPr>
        <w:spacing w:after="0" w:line="20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a property and casualty insurer, we are subject to claims from catastrophes or other natural perils that may have a significant negative impact on our operating and financial results. We have experienced catastrophe losses and can be expected to experience catastrophe losses in the future. Catastrophe losses can be caused by various events, including snow storms, ice storms, freezing temperatures, tropical storms and hurricanes, earthquakes, tornadoes, wind, hail, fires, and other natural or man-made disasters. In addition, 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Climate change may also impact insurability by impairing our ability to identify and quantify potential hazards that will result in losses and offer our customers products at an affordable price.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the reliance of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Our investment portfolio is also subject to the effects of climate change as economic shifts alter the return dynamic of long-term investments and reduce valuations.</w:t>
      </w:r>
    </w:p>
    <w:p>
      <w:pPr>
        <w:spacing w:after="0" w:line="14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write a significant amount of business in North Dakota. As a result, adverse developments from severe weather events in North Dakota would have a greater effect on our financial condition and results of operations than if our business was less geographically concentrated. The incidence and severity of such events are inherently unpredictable.</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attempt to reduce our exposure to catastrophe losses through a disciplined underwriting and risk management approach that emphasizes long-term profitability over short-term gains in premiums or market share, geographical diversification of our operations, and the use of reinsurance. However, there can be no guarantee that our underwriting and risk management efforts will be successful in mitigating our exposure to catastrophe losses or the impact of such losses when they occur. In addition, while we maintain reinsurance coverage with a catastrophe excess of loss program, such coverage may be insufficient to cover our losses. Our reinsurance coverage includes a catastrophe excess of loss program, which in 2024 limited our catastrophe exposure to $20 million retention per event, with $133 million of reinsurance coverage placed in excess of this retention. For 2025, we expect our catastrophe excess of loss program will limit our catastrophe exposure to $20 million retention per event, with $117 million of reinsurance coverage placed in excess of this retention. If we are not able to effectively mitigate our exposure to catastrophe losses, whether through our underwriting process or reinsurance coverage, in the event of such losses our business and results of operations could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Part II, Item 8, Note 3 “Summary of Significant Accounting Policies and Basis of Presentation” and Note 6 “Reinsurance.”</w:t>
      </w:r>
    </w:p>
    <w:p>
      <w:pPr>
        <w:spacing w:after="0" w:line="18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If actual losses exceed our loss and loss adjustment expense reserves or if changes in the estimated level of loss and loss adjustment expense reserves are necessary as a result of changes in the legal, regulatory, and economic environments in which we operate, our financial results could be materially and adversely affected.</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The process of estimating loss reserves involves a high degree of judgment and is subject to a number of variables. While we believe that our reserves for unpaid losses and loss adjustment expenses are appropriate, to the extent that such reserves prove to be inadequate or excessive in the future, we would adjust them and recognize the change in earnings in the period the reserves are adjusted. There can be no assurance that the estimates of such liabilities will not change in the future and any such adjustment could have a material impact on our financial condition and results of operations. For additional information, see Part II, Item 7, “Management’s Discussion and Analysis of Financial Condition and Results of Operations,” “Losses and Loss Adjustment Expenses,” and Part II, Item 8, Note 8 “Unpaid Losses and Loss Adjustment Expenses.”</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8"/>
          <w:szCs w:val="18"/>
          <w:color w:val="auto"/>
        </w:rPr>
        <w:t>It is possible that, among other things, past or future steps taken by the federal government and the Federal Reserve to manage the U.S. economy, including fiscal and monetary policy measures, could lead to higher than anticipated levels of inflation, which generally leads to increased loss costs and other operating expenses. However, our relatively high concentration in short tail lines of business limits the potential impact of this exposure long-term and allows us to price for those increases in future policy periods.</w:t>
      </w:r>
    </w:p>
    <w:p>
      <w:pPr>
        <w:spacing w:after="0" w:line="14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Any downgrade in our financial strength rating could affect our ability to write new business or renew our existing business, which would lead to a decrease in revenue and net income.</w:t>
      </w:r>
    </w:p>
    <w:p>
      <w:pPr>
        <w:spacing w:after="0" w:line="11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spacing w:after="0" w:line="1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of the Company’s insurance subsidiaries hold a financial strength rating of “A” (Excellent) by AM Best, the third highest rating out of 15 rating classifications. Our most recent rating by AM Best was affirmed on May 10, 2024. Financial strength ratings are used by agents, customers, lenders, and other insurance carriers as a means of assessing the financial strength and quality of insurance companies.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agents to choose other more highly rated competitors or reduce our ability to obtain reinsurance. For additional information, see Part I, Item 1, “Business” and “Financial Strength.”</w:t>
      </w:r>
    </w:p>
    <w:p>
      <w:pPr>
        <w:spacing w:after="0" w:line="15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may fluctuate as a result of many factors, including cyclical changes in the insurance industry, competition, and innovation and emerging technologies.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property and casualty insurance industry has historically been characterized by soft markets (periods of relatively high levels of price competition, less restrictive underwriting practices, and generally low premium rates) followed by hard markets (periods of capital shortages resulting in a lack of insurance availability, relatively low levels of price competition, more selective underwriting of risks, and relatively high premium rates). During soft markets, we may lose business to other carriers offering competitive insurance at lower rates. We may also choose to reduce our premiums or limit premium increases leading to a reduction in profit margins and revenues. Our industry is also influenced by general economic conditions, which could reduce overall premium volume for us and our competitors. Additionally, the industry could be impacted by changes in customer preferences, including customer demand for direct, point-of-sale, or other non-traditional distribution channels. Consolidation within the industry could also influence future growth and profit potential.</w:t>
      </w:r>
    </w:p>
    <w:p>
      <w:pPr>
        <w:spacing w:after="0" w:line="1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Innovation and emerging technologies continue to greatly impact the insurance industry. If we are unable to keep pace with the technological changes that our competitors implement, we may not be able to attract and retain customers, adequately price risks, or operate as efficiently as our competitors. In addition, emerging technologies in the automotive industry such as autonomous vehicles, driver-assistance and accident-avoidance features, sensor technology, and other forms of automation may reduce the future need for, or decrease the future pricing of, our auto insurance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depends primarily on our ability to underwrite risks effectively and price our insurance products appropriately.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nature of the insurance business is such that pricing must be determined before the underlying costs are fully known. This requires significant reliance on estimates and assumptions used in pricing our policies. If we fail to appropriately price the risks we insure or if our claims experience is more frequent or severe than our underlying risk assumptions, our profitability may be negatively affected. If we overestimate the risks we are exposed to, we may overprice our products, and new business growth and retention of existing business may be adversely affected. The ability to effectively underwrite risks and price products appropriately is subject to a number of uncertainties, including:</w:t>
      </w:r>
    </w:p>
    <w:p>
      <w:pPr>
        <w:spacing w:after="0" w:line="143" w:lineRule="exact"/>
        <w:rPr>
          <w:sz w:val="20"/>
          <w:szCs w:val="20"/>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sufficient reliable data and our ability to properly analyze available data;</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competitive conditions;</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legislative changes;</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application of appropriate pricing techniques; and</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claims experience, such as distracted driving or a more aggressive tort environment.</w:t>
      </w:r>
    </w:p>
    <w:p>
      <w:pPr>
        <w:spacing w:after="0" w:line="18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19" w:name="page20"/>
    <w:bookmarkEnd w:id="19"/>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Unlike the multi-peril crop business, we have the ability to underwrite and price crop hail insurance. We rely on AFBIS to underwrite our crop hail insurance line of business. If we believe the policy will expose us to too much risk in a particular geographic area or if we are unwilling to insure the crop, we have the ability to decline to issue the policy.</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Volatility in crop prices and yields, as a result of weather conditions, trade policies, or other events, could adversely impact our financial condition and operating results.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Unpredictable weather conditions and other events such as excessive rain, flooding, droughts, hail, pests, and plant diseases can significantly impact crop prices and yields, creating volatility in our crop insurance business. Additionally, international trade policies, including the imposition of tariffs between major trading partners such as the United States and China, can create significant fluctuations in crop prices. We are unable to predict the ultimate result and duration of any tariff actions by the U.S. government, or countermeasures that may be taken by other nations. These trade tensions and retaliatory tariffs may affect agricultural commodity prices and create additional market uncertainty in our crop insurance business. In addition, the amount of multi-peril crop insurance business we retain is subject to the terms of the SRA and is dependent on the actual direct loss ratio experience. A significant decrease in crop prices and variability in the loss experience, whether caused by weather events, trade policies, or other events, could have a material negative effect on our business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manage our exposure to underwriting risks depends on the availability and cost of reinsurance coverage.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use reinsurance arrangements to manage the amount of risk we retain, stabilize underwriting results, and increase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and/or at favorable rates. If we are unable to maintain appropriate reinsurance coverage, it may be difficult for us to manage our underwriting risks and operate our business profitably. For additional information, see Part II, Item 8, Note 6 “Reinsurance.”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cannot collect loss recoveries from our reinsurers in accordance with our reinsurance agreements, we may incur additional losses.</w:t>
      </w:r>
    </w:p>
    <w:p>
      <w:pPr>
        <w:spacing w:after="0" w:line="18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Although reinsurance creates a contractual liability for reinsurers to the extent the risk is transferred, it does not eliminate our liability to policyholders because we remain liable as the primary insurer on all reinsured risks. Our reinsurance program strategically spreads exposure among a group of highly-rated, geographically diverse, and well-capitalized reinsurers. All of our significant reinsurance partners are rated “A-” (Excellent) or better by AM Best. However, we remain subject to credit risk relating to our ability to collect these recoverables. Our reinsurance recoveries are also subject to the underlying losses meeting the qualifying conditions and specified limits within the respective contracts. Additionally, we are subject to the risk that reinsurers may dispute their obligations to pay our claims. Our inability to collect a material recovery from a reinsurer on a timely basis, or at all, could have a material adverse effect on our liquidity, operating results, and financial condition. For additional information, see Part II, Item 8, Note 6 “Reinsurance.”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Risks</w:t>
      </w:r>
    </w:p>
    <w:p>
      <w:pPr>
        <w:spacing w:after="0" w:line="1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a future pandemic, and related economic conditions, could materially affect our results of operations, financial position, and/or liquidity.</w:t>
      </w:r>
    </w:p>
    <w:p>
      <w:pPr>
        <w:spacing w:after="0" w:line="11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face risks associated with pandemics, including the impact of reduced economic activity and unemployment, government actions, and capital markets disruption. These risks are unpredictable and difficult to quantify, and could vary significantly depending on the extent and duration of the pandemic and related economic conditions, along with potentially impacting each of our business segments and geographic markets differently.</w:t>
      </w:r>
    </w:p>
    <w:p>
      <w:pPr>
        <w:spacing w:after="0" w:line="13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Any future federal, state, and local government actions to address the impact of a pandemic may adversely affect us. Regulatory restrictions or requirements could impact pricing, risk selection, and our rights and obligations with respect to our policies and insureds, including our ability to cancel policies or our right to collect premiums. It is also possible that changes in economic conditions and steps taken by federal, state, and local governments could require an increase in taxes at the federal, state, and local levels, which would adversely impact our results of operations. Additionally, potential capital markets disruption could lead to our fixed income portfolio being adversely impacted by ratings downgrades, increased bankruptcies, declines in real estate valuations, and/or declines in fixed income yields, along with increased volatility in our equity portfolio.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0" w:name="page21"/>
    <w:bookmarkEnd w:id="20"/>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grow our business if we cannot retain and expand our captive and independent agent relationships, we cannot provide competitive products for these agents to sell, and/or consumers seek other distribution methods offered by our competitors.</w:t>
      </w:r>
    </w:p>
    <w:p>
      <w:pPr>
        <w:spacing w:after="0" w:line="1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retain existing agents, and to attract new agents, is essential to the continued growth of our business. Nodak Insurance utilizes captive agents who only sell our Company’s products. Outside of North Dakota, we write business through the independent agent distribution model. If we are not able to offer competitive products and a competitive compensation structure to our captive agents and/or if our independent agents find it easier to do business with our competitors, we may be unable to retain existing business or generate sufficient new business.</w:t>
      </w:r>
    </w:p>
    <w:p>
      <w:pPr>
        <w:spacing w:after="0" w:line="1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products are sold through either independent or captive agents, our competitors may sell insurance through other distribution models, including the internet, direct marketing, or other emerging forms of distribution. To the extent that current and potential policyholders change their insurance shopping preferences, this may have an adverse effect on our ability to grow, financial position,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could disrupt our business and harm our financial condition or results of operations.</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part of our growth strategy, we will continue to evaluate acquisition opportunities. Any acquisitions involve a number of risks that could materially adversely affect our business and operating results, including:</w:t>
      </w:r>
    </w:p>
    <w:p>
      <w:pPr>
        <w:spacing w:after="0" w:line="121" w:lineRule="exact"/>
        <w:rPr>
          <w:sz w:val="20"/>
          <w:szCs w:val="20"/>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operations into our existing business;</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underwriting results of the acquired operations not meeting our expectations;</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existing business;</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capital requirements;</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business relationships with agents and policyholders of the acquired company;</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lack extensive prior experience;</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acquisitions;</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disputes, including disputes over contingent consideration and escrows;</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of the acquired company;</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related goodwill and intangible assets; and</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resulting in the sale of an acquired business which may result in a capital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access to capital may be limited or may not be available on favorable terms.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rating agency and regulatory requirements, the performance of our investment portfolio, strategic initiatives, acquisition opportunities, and the ability to write business successfully at rate levels sufficient to cover losses. We may need to raise additional capital in the future through debt or equity financings. However, we can provide no assurance that we will be successful in raising funds pursuant to additional equity or debt financings or that such funds will be raised at prices that do not create substantial dilution for our existing stockholders. Any debt financing obtained by us in the future would cause us to incur debt service expenses and could include restrictive covenants relating to our capital raising activities and other financial and operational matters, which may make it more difficult for us to obtain additional capital and pursue business opportunities. Macroeconomic challenges and volatility in capital markets could limit our ability to raise capital when needed on terms favorable to us, or at all. If we cannot obtain adequate capital or sources of credit on favorable terms, or at all, our business, financial condition, results of operations, and strategic initiatives could be adversely affected.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We may be unable to attract, retain or effectively manage the succession of key personnel.</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success of our business is dependent, to a large extent, on our ability to attract and retain key employees, in particular our senior officers and key management of our insurance subsidiaries. Our business may be adversely affected if labor market conditions make it difficult for us to retain or, if needed, replace our current key officers with individuals having equivalent qualifications and experience at compensation levels competitive for our industry. While we believe we offer competitive compensation and benefit arrangements, there can be no guarantee that we will be able to retain our key employees. There is significant competition from within the property and casualty insurance industry and from businesses outside the industry for those in key management positions, as well as others possessing highly specialized knowledge in areas such as actuarial, accounting, information technology, and data and analytics. In addition, our employment and other agreements with our key officers do not include non-compete covenants or non-solicitation provisions because they are unenforceable under North Dakota law. If we are not able to successfully attract, retain, and motivate our employees, our business, financial results, and reputation could be materially and adversely affected.</w:t>
      </w:r>
    </w:p>
    <w:p>
      <w:pPr>
        <w:spacing w:after="0" w:line="14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A failure in our operational systems or infrastructure, or those of our third-party service providers, including operational errors, could disrupt business, damage our reputation, and cause losses.</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operations rely on the secure processing, storage, and transmission of confidential information, including in our computer systems and networks and those of third-party service providers. We rely heavily on our operating systems in connection with issuing policies, paying claims, and providing the information we need to conduct our business. We also rely on the operating systems of AFBIS in connection with various processes with respect to our crop lines of business. Our business depends on effective information security and systems, and we place significant reliance on the integrity and timeliness of the data our information systems process to support our business. A breakdown or disruption of any of these systems could materially adversely affect our ability to conduct our business and our results of operations.</w:t>
      </w:r>
    </w:p>
    <w:p>
      <w:pPr>
        <w:spacing w:after="0" w:line="16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are exposed to many other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spacing w:after="0" w:line="12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Cyberattacks, security breaches, or similar events affecting the technologies and systems we rely on to operate our business and to maintain and protect sensitive Company and customer data could disrupt our operations, harm our reputation, and result in material losses.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implemented administrative and technical controls, have taken actions to reduce the risk of cyber incidents and to protect our information technology and assets, and will continue to modify such procedures as circumstances warrant and negotiate appropriate terms in our agreements with third-party providers to protect our assets. However, such measures may be insufficient to prevent unauthorized access, computer viruses, malware or other malicious code or cyberattack, business compromise attacks, catastrophic events, system failures and disruptions, employee errors or malfeasance, third-party (including outsourced service providers) errors or malfeasance, loss of assets, and other events that could have security consequences. Such an event may result in data loss or loss of assets which could result in significant losses, reputational damage, or other adverse effects on our operations.</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third-parties’ business operations, which in turn may result in legal claims, regulatory scrutiny and liability, reputational damage, the incurrence of costs to eliminate or mitigate further exposure, and the loss of customers. Although to date we are not aware of any information security breaches or losses relating to cyberattacks, there can be no assurance that we will not suffer such losses in the future. Our risk and exposure to these matters remains heightened because of, among other things, the evolving nature and increasing frequency and sophistication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 threats continue to evolve, we may be required to expend significant additional resources to continue to modify or enhance our protective measures or to investigate and remediate any information security vulnerabilities.</w:t>
      </w:r>
    </w:p>
    <w:p>
      <w:pPr>
        <w:spacing w:after="0" w:line="1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compromise of personal, confidential, or proprietary information could also subject us to legal liability or regulatory action, including fines, penalties, or intervention, under evolving cybersecurity, data protection, and privacy laws and regulations enacted by the U.S. federal and state governments. Such laws and regulations have become increasingly widespread and demanding in recent</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2" w:name="page23"/>
    <w:bookmarkEnd w:id="22"/>
    <w:p>
      <w:pPr>
        <w:ind w:right="160"/>
        <w:spacing w:after="0" w:line="282" w:lineRule="auto"/>
        <w:rPr>
          <w:sz w:val="20"/>
          <w:szCs w:val="20"/>
          <w:color w:val="auto"/>
        </w:rPr>
      </w:pPr>
      <w:r>
        <w:rPr>
          <w:rFonts w:ascii="Times New Roman" w:cs="Times New Roman" w:eastAsia="Times New Roman" w:hAnsi="Times New Roman"/>
          <w:sz w:val="18"/>
          <w:szCs w:val="18"/>
          <w:color w:val="auto"/>
        </w:rPr>
        <w:t>years and may result in increased compliance costs and risk of regulatory actions or penalties. If incurred, such regulatory actions or penalties could harm our reputation. Any such events could have an adverse impact on our business, financial condition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198"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A portion of our written premiums and net profits are generated from multi-peril crop insurance business, and the loss of such business as a result of a termination of or substantial changes to the federal crop insurance program could have an adverse effect on our revenues and net income.</w:t>
      </w:r>
    </w:p>
    <w:p>
      <w:pPr>
        <w:spacing w:after="0" w:line="95"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2024, 2023, and 2022, our direct premiums written generated from the multi-peril crop insurance line of business were 9.8%, 10.2%, and 12.8%, respectively, of total written premiums. Through the FCIC, the U.S. government subsidizes insurance companies by assuming an increasingly higher portion of losses incurred by farmers as a result of weather-related and other perils as well as commodity price fluctuations. The U.S. government also subsidizes the premium cost to farmers for multi-peril crop yield and revenue insurance. Without this risk assumption, losses incurred by insurance companies would be higher.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 would increase and purchases of multi-peril crop insurance could experience a significant decline nationwide and in our market area. Such changes could have an adverse effect on our revenues and income.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are heavily regulated by the jurisdictions in which we conduct business and changes in regulation, including required participation in pools, premium surcharges, and higher tax rates, may reduce our profitability and limit our growth.</w:t>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 levied on us may increase as we increase our written premiums. For additional information, see Part I, Item 1, “Business” and “Regulation.”</w:t>
      </w:r>
    </w:p>
    <w:p>
      <w:pPr>
        <w:spacing w:after="0" w:line="1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assessments and premium surcharges or increases in such assessments or surcharges could reduce our profitability in any given period or limit our ability to grow our business. In addition, state tax laws that specifically impact the insurance industry, such as premium taxes, or more general tax laws, such as U.S. federal corporate income taxes, could be enacted or changed and could have a material adverse impact on us.</w:t>
      </w:r>
    </w:p>
    <w:p>
      <w:pPr>
        <w:spacing w:after="0" w:line="14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insurance industry laws and regulations, as well as claims and legal proceedings, which if determined unfavorably, could have a material adverse effect on our profitability.</w:t>
      </w:r>
    </w:p>
    <w:p>
      <w:pPr>
        <w:spacing w:after="0" w:line="1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subject to extensive supervision and regulation by the states in which we operate. The failure to comply with these regulations could subject the Company to sanctions and fines, including the cancellation or suspension of our licenses, which could significantly impact our financial condition and results of operations. State insurance departments also conduct periodic examinations of the affairs of insurance companies and require the filing of annual and other reports relating to financial condition, holding company issues, and other matters.</w:t>
      </w:r>
    </w:p>
    <w:p>
      <w:pPr>
        <w:spacing w:after="0" w:line="1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Additionally, changes in the level of regulation of the insurance industry or changes in laws or regulations themselves or interpretations by regulatory authorities could adversely affect our ability to operate our business. Federal laws and regulations, and</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t>the influence of international laws and regulations, may have adverse effects on our business, potentially including a change from a state-based system of regulation to a system of federal regulation, the repeal of the McCarran Ferguson Act, and/or measures under the Dodd-Frank Act that establish the Federal Insurance Office and provide for a determination that a non-bank financial company presents systemic risk and therefore should be subject to heightened supervision by the Federal Reserve Board. It is not known how this federal office will coordinate and interact with the NAIC and state insurance regulators. Adoption or implementation of any of these measures may restrict our ability to conduct our insurance business, govern our corporate affairs, or effectively manage our cost of doing business.</w:t>
      </w:r>
    </w:p>
    <w:p>
      <w:pPr>
        <w:spacing w:after="0" w:line="14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also face a risk of litigation in the ordinary course of operating our businesses including the risk of class action lawsuits. We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large or indeterminate amounts of damages, including punitive and treble damages, which may remain unknown for substantial periods of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or changes to existing accounting rules and standards could adversely impact our reported results of operations.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(“GAAP”), as promulgated by the Financial Accounting Standards Board (“FASB”), subject to the accounting-related rules and interpretations of the SEC. New accounting rules or changes in accounting standards or how they apply to our business may impact our reported financial condition or results of operations, and could cause increased volatility in reported earnings, which could affect the trading price of our common stock or our credit ratings.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9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Nodak Mutual Group’s majority control of our common stock will enable it to exercise voting control over most matters put to a vote of shareholders.</w:t>
      </w:r>
    </w:p>
    <w:p>
      <w:pPr>
        <w:spacing w:after="0" w:line="11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Nodak Mutual Group owns a majority of our outstanding common stock and, through its Board of Directors, is able to exercise voting control over most matters put to a vote of shareholders. The votes cast by Nodak Mutual Group may not be in the best interests of all shareholders. For example, Nodak Mutual Group may exercise its voting control to defeat a shareholder nominee for election to the Board of Directors of NI Holdings.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certain provisions of our Articles of Incorporation, such as the prohibition of cumulative voting for the election of directors and the prohibition on any person or group acquiring and having the right to vote in excess of 10% of our outstanding stock without the prior approval of the Board of Directors will make removal of the Company’s management difficult.</w:t>
      </w:r>
    </w:p>
    <w:p>
      <w:pPr>
        <w:spacing w:after="0" w:line="1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status as an insurance holding company with no direct operations could adversely affect our ability to fund operations, execute future share repurchases, or meet potential future shareholder dividend and/or debt obligations.</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NI Holdings is an insurance holding company that transacts substantially all of its business through its subsidiaries. A significant source of funds available to us for the payment of operating expenses, share repurchases, and potential future dividends to shareholders and/or debt servicing are management fees, dividends from our subsidiaries, or other sources of capital. The payment of dividends by our subsidiaries are restricted by North Dakota’s insurance law. If we are unable to obtain dividends from our subsidiaries as needed to fund our operations, our business and financial results could be adversely affected.</w:t>
      </w:r>
    </w:p>
    <w:p>
      <w:pPr>
        <w:spacing w:after="0" w:line="13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Statutory provisions and provisions of our Articles of Incorporation and Bylaws may discourage takeover attempts of NI Holdings that shareholders may believe are in their best interests.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Articles of Incorporation and Bylaws also contain provisions that may discourage a change in control. These provisions may serve to entrench management and may discourage a takeover attempt that shareholders may consider to be in their best interest or in which they would receive a substantial premium over the current market price. These provisions may make it extremely difficult for any one person, entity, or group of affiliated persons or entities to acquire voting control of NI Holdings, with the result that it may be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ind w:right="220"/>
        <w:spacing w:after="0" w:line="266" w:lineRule="auto"/>
        <w:rPr>
          <w:sz w:val="20"/>
          <w:szCs w:val="20"/>
          <w:color w:val="auto"/>
        </w:rPr>
      </w:pPr>
      <w:r>
        <w:rPr>
          <w:rFonts w:ascii="Times New Roman" w:cs="Times New Roman" w:eastAsia="Times New Roman" w:hAnsi="Times New Roman"/>
          <w:sz w:val="18"/>
          <w:szCs w:val="18"/>
          <w:color w:val="auto"/>
        </w:rPr>
        <w:t>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investment portfolio is subject to credit and interest rate risk, and therefore our revenues and financial results may fluctuate with interest rates, investment results, equity market fluctuations, and developments in the capital markets.</w:t>
      </w:r>
    </w:p>
    <w:p>
      <w:pPr>
        <w:spacing w:after="0" w:line="11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Investment income is an important component of our net income and overall profitability. We invest premiums received from policyholders and other available cash to generate investment income and capital appreciation, while also maintaining sufficient liquidity to pay claims and operating expenses. Changes in interest rates and credit quality may result in fluctuations in the income derived from, the valuation of, and in the case of declines in credit quality, payment defaults on our fixed income securities. Such conditions could give rise to significant realized and unrealized investment losses or the impairment of securities. Potential higher interest rates could reduce the carrying value of our fixed income and short-term investments, negatively impacting the Company’s carrying value in the short-term. Over the long-term, however, higher interest rates would provide an incremental benefit to our net investment income as excess cash and the proceeds of maturing bonds are reinvested at higher rates. We manage our exposure to interest rate increases by monitoring the duration within our investment portfolio and maintaining maturities that minimize any forced sales within the portfolio. However, even with such monitoring efforts, we may be forced to sell securities at a loss, which would adversely affect our results of operations.</w:t>
      </w:r>
    </w:p>
    <w:p>
      <w:pPr>
        <w:spacing w:after="0" w:line="16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invest a portion of our assets in equity securities, which are subject to greater volatility in their investment returns than fixed income investments. Unlike fixed income securities, the changes in the fair value of our equity securities are recognized in net income. General economic conditions, stock market volatility, changes in tax laws, and many other factors beyond our control can adversely affect the value of these securities and potentially reduce our net investment income and/or lead to net investment losses.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Any significant or long-running negative changes in the fixed income or equity markets could have a material adverse effect on our financial condition, results of operations, or cash flows. Our investment portfolio is also subject to credit and cash flow risk, including risks associated with our investments in asset-backed and mortgage-backed securities. Because our investment portfolio is the largest component of our assets and a multiple of our shareholders’ equity, adverse changes in economic conditions could result in impairments that are material to our financial condition and operating results. Such economic changes could arise from overall changes in the financial markets or specific changes to industries, companies, or municipalities in which we maintain investment holdings. See Part II, Item 7A, “Quantitative and Qualitative Disclosures About Market Risk.”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manage our growth effectively.</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continue to grow our business in the future, which could require additional capital, systems development, and skilled personnel. However, there are inherent risks associated with this strategy, including the risks of unsuccessfully identifying profitable business opportunities, managing capital requirements, expanding systems and internal controls, maintaining innovative products and technologies, allocating human capital resources, identifying qualified employees and/or agents, and integrating future acquisitions. The failure to manage our growth effectively could have a material adverse effect on our business, financial condition, and results of operations.</w:t>
      </w:r>
    </w:p>
    <w:p>
      <w:pPr>
        <w:spacing w:after="0" w:line="139"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adversely affected by a future unexpected business interruption involving our office buildings, operational systems and infrastructure, key external vendors, and/or workforce.</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operations could be substantially interrupted by flooding, snow, ice, wind, and other weather-related incidents, or from fire, pandemics, power loss, telecommunications failures, terrorism, or other such events. Our business continuity plans may not sufficiently remediate all risks associated with future significant business interruptions. Any damage caused by such a failure or loss may cause interruptions in our business operations that may adversely affect our service levels and business.</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20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Cybersecurity risk is an important and evolving focus for the Company. The increased sophistication and activities of unauthorized parties attempting to access our systems is an ever-present risk. Cybersecurity risks may also arise from human error, fraud, or malice on the part of employees or third parties who have authorized access to our systems or information.</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information security program is directly managed by a dedicated Director of Information Systems, whose team is responsible for enterprise-wide cybersecurity strategy, policy, standards, architecture, and processes. Company employees are periodically required to affirm their understanding of several policies and standards, including those related to cybersecurity. Our cybersecurity strategy is primarily focused on network security, data security, vulnerability management, incident management, and disaster recovery. We utilize internal resources as well as third-party consultants and vendors to periodically conduct cybersecurity vulnerability testing, facilitate employee training, perform system assessments, and provide recommendations based on industry best practices.</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Director of Information Systems provides periodic reports to our ERMC related to cybersecurity risks and threats, the status of projects to strengthen our information security systems and controls, assessments of the information security program and related third-party service providers, and the emerging threat landscape. The ERMC provides oversight and support related to our cybersecurity program and consists of our Chief Executive Officer, Chief Financial Officer, Director of Information Systems, and other appropriate members of senior management who possess the relevant expertise to assess and manage cybersecurity risks as part of the broader enterprise risk management process. Periodic reports are also provided to appropriate members of senior management that include information regarding prevention, detection, mitigation, and remediation efforts related to cybersecurity incidents.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Chief Executive Officer and Director of Information Systems also provide periodic reports to the Audit Committee of the Board of Directors regarding ERMC activities and assessments, including those related to cybersecurity and cybersecurity incidents. The Audit Committee of the board oversees our risk management program, which focuses on the most significant risks we face in the short-, intermediate-, and long-term timeframes. Audit Committee meetings include discussions of specific risk areas throughout the year, including, among others, those relating to cybersecurity threats, and reports from management on our enterprise risk profile on an annual basis.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date of this 2024 Annual Report, we are not aware of any risks from cybersecurity threats that have materially affected or are reasonably likely to materially affect the Company, including our business strategy, results of operations, or financial condition. Refer to the risk factor captioned “Cyberattacks, security breaches, or similar events affecting the technologies and systems we rely on to operate our business and to maintain and protect sensitive Company and customer data could disrupt our operations, harm our reputation, and result in material losses” in Part I, Item 1A, “Risk Factors” for additional details regarding cybersecurity risks and potential impacts on our business.</w:t>
      </w:r>
    </w:p>
    <w:p>
      <w:pPr>
        <w:spacing w:after="0" w:line="1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headquarters is located at 1101 First Avenue North, Fargo, North Dakota, which is also the headquarters of Nodak Insurance. Nodak Insurance owns this building and leases a portion of the building to the NDFB and to AFBIS.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Battle Creek owns the building in which its offices are located at 603 South Preece Street, Battle Creek, Nebraska.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Tri-State Ltd. leases the building at 506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Spearfish, South Dakota.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Auto leases office space at 8700 West Bryn Mawr Avenue, Chicago, Illinois under a lease that expires on August 31, 2029.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offices currently occupied by each of our subsidiaries are sufficient for their needs and any expected internal growth in the near future.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6" w:name="page27"/>
    <w:bookmarkEnd w:id="2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17" w:right="1440"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Shareholder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common shares trade on the Nasdaq Capital Market (“Nasdaq”) under the symbol “NODK.” As of February 28, 2025, there were approximately 502 shareholders of record for the Company’s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graph shows the cumulative total shareholder return (stock price increase plus dividends) on our common stock from December 31, 2019 through December 31, 2024, along with the corresponding returns for the Russell 2000 Index (as the broad stock market index) and the Standard &amp; Poor’s (S&amp;P) 1500 US P&amp;C Insurance Index (as the published industry index). The graph assumes that the value of the investment in the common stock and each index was $100 on December 31, 2019,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125730</wp:posOffset>
            </wp:positionV>
            <wp:extent cx="6249035" cy="4560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49035"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continues to evaluate a potential policy of paying regular cash dividends but has not decided on the amounts that may be paid, the frequency of any payment, or when any payments may begin.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We cannot guarantee that we will pay dividends or that, if paid, we will not reduce or eliminate dividends in the future.</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However, because the Board of Directors of Nodak Mutual Group includes persons who are not members of our Board of Directors, we cannot provide any assurance that they will take such action with respect to any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spacing w:after="0" w:line="1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not currently subject to regulatory restrictions on the payment of dividends to our shareholders. However, any future dividends may be restricted to those received from our insurance subsidiaries. North Dakota law limits the amount of dividends and other distributions that Nodak Insurance and Direct Auto may pay to us. For information regarding the regulatory restrictions on dividends our insurance subsidiaries can pay, refer to Part II, Item 7, “Management’s Discussion and Analysis of Financial Condition and Results of Operations,” “Liquidity and Capital Resources,” and Part II, Item 8, Note 22 “Statutory Net Income (Loss), Capital and Surplus, and Dividend Restrictions.”</w:t>
      </w:r>
    </w:p>
    <w:p>
      <w:pPr>
        <w:spacing w:after="0" w:line="1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receive dividends from Nodak Insurance or Direct Auto, we may not declare any dividends to our shareholders due to working capital requirements. We are not subject to regulatory restrictions on the payment of dividends to shareholders, but we are subject to the requirements of the North Dakota Business Corporation Act. This law generally permits dividends or distributions to be paid, to the extent we still have the ability to pay our debts in the ordinary course of business after making the dividend or distribution payments. This law requires our total assets to exceed our total liabilities plus the amount that would be needed to satisfy the preferential rights upon dissolution of holders of stock with senior liquidation rights if we were to be dissolved at the time the dividend or distribution is paid.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Issuer Stock Purchases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common shares outstanding prior to March 13, 2017.</w:t>
      </w:r>
    </w:p>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new authorization. During the year ended December 31, 2022, we completed the repurchase of 214,937 shares of our common stock for $3,446 to close out this authorization.</w:t>
      </w:r>
    </w:p>
    <w:p>
      <w:pPr>
        <w:spacing w:after="0" w:line="1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year ended December 31, 2024, we did not repurchase any shares of our common stock. At December 31, 2024, $2,052 remains available under this authorization.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December 31, 2024,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Maximum Approximate</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9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Dollar Value of Shares</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That May Yet Be</w:t>
            </w:r>
          </w:p>
        </w:tc>
      </w:tr>
      <w:tr>
        <w:trPr>
          <w:trHeight w:val="221"/>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Average Price</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Part of Publicly</w:t>
            </w:r>
          </w:p>
        </w:tc>
        <w:tc>
          <w:tcPr>
            <w:tcW w:w="120" w:type="dxa"/>
            <w:vAlign w:val="bottom"/>
          </w:tcPr>
          <w:p>
            <w:pPr>
              <w:spacing w:after="0"/>
              <w:rPr>
                <w:sz w:val="19"/>
                <w:szCs w:val="19"/>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Paid</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900" w:type="dxa"/>
            <w:vAlign w:val="bottom"/>
            <w:gridSpan w:val="3"/>
          </w:tcPr>
          <w:p>
            <w:pPr>
              <w:jc w:val="center"/>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5"/>
                <w:szCs w:val="25"/>
                <w:color w:val="auto"/>
                <w:vertAlign w:val="superscript"/>
              </w:rPr>
              <w:t>(2)(3)</w:t>
            </w:r>
          </w:p>
        </w:tc>
      </w:tr>
      <w:tr>
        <w:trPr>
          <w:trHeight w:val="270"/>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Period in 2024</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Purchased</w:t>
            </w:r>
          </w:p>
        </w:tc>
        <w:tc>
          <w:tcPr>
            <w:tcW w:w="160" w:type="dxa"/>
            <w:vAlign w:val="bottom"/>
          </w:tcPr>
          <w:p>
            <w:pPr>
              <w:spacing w:after="0"/>
              <w:rPr>
                <w:sz w:val="23"/>
                <w:szCs w:val="23"/>
                <w:color w:val="auto"/>
              </w:rPr>
            </w:pPr>
          </w:p>
        </w:tc>
        <w:tc>
          <w:tcPr>
            <w:tcW w:w="1480" w:type="dxa"/>
            <w:vAlign w:val="bottom"/>
            <w:gridSpan w:val="2"/>
          </w:tcPr>
          <w:p>
            <w:pPr>
              <w:jc w:val="center"/>
              <w:ind w:right="360"/>
              <w:spacing w:after="0" w:line="270" w:lineRule="exact"/>
              <w:rPr>
                <w:sz w:val="20"/>
                <w:szCs w:val="20"/>
                <w:color w:val="auto"/>
              </w:rPr>
            </w:pPr>
            <w:r>
              <w:rPr>
                <w:rFonts w:ascii="Times New Roman" w:cs="Times New Roman" w:eastAsia="Times New Roman" w:hAnsi="Times New Roman"/>
                <w:sz w:val="18"/>
                <w:szCs w:val="18"/>
                <w:color w:val="auto"/>
                <w:w w:val="95"/>
              </w:rPr>
              <w:t xml:space="preserve">Per Share </w:t>
            </w:r>
            <w:r>
              <w:rPr>
                <w:rFonts w:ascii="Times New Roman" w:cs="Times New Roman" w:eastAsia="Times New Roman" w:hAnsi="Times New Roman"/>
                <w:sz w:val="29"/>
                <w:szCs w:val="29"/>
                <w:color w:val="auto"/>
                <w:w w:val="95"/>
                <w:vertAlign w:val="superscript"/>
              </w:rPr>
              <w:t>(3)</w:t>
            </w:r>
          </w:p>
        </w:tc>
        <w:tc>
          <w:tcPr>
            <w:tcW w:w="166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color w:val="auto"/>
                <w:w w:val="95"/>
              </w:rPr>
              <w:t xml:space="preserve">or Programs </w:t>
            </w:r>
            <w:r>
              <w:rPr>
                <w:rFonts w:ascii="Times New Roman" w:cs="Times New Roman" w:eastAsia="Times New Roman" w:hAnsi="Times New Roman"/>
                <w:sz w:val="29"/>
                <w:szCs w:val="29"/>
                <w:color w:val="auto"/>
                <w:w w:val="95"/>
                <w:vertAlign w:val="superscript"/>
              </w:rPr>
              <w:t>(1)</w:t>
            </w:r>
          </w:p>
        </w:tc>
        <w:tc>
          <w:tcPr>
            <w:tcW w:w="120" w:type="dxa"/>
            <w:vAlign w:val="bottom"/>
          </w:tcPr>
          <w:p>
            <w:pPr>
              <w:spacing w:after="0"/>
              <w:rPr>
                <w:sz w:val="23"/>
                <w:szCs w:val="23"/>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 2024</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2024</w:t>
            </w: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r>
      <w:tr>
        <w:trPr>
          <w:trHeight w:val="230"/>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31, 2024</w:t>
            </w: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r>
      <w:tr>
        <w:trPr>
          <w:trHeight w:val="237"/>
        </w:trPr>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4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0</wp:posOffset>
            </wp:positionV>
            <wp:extent cx="11315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 w:lineRule="exact"/>
        <w:rPr>
          <w:sz w:val="20"/>
          <w:szCs w:val="20"/>
          <w:color w:val="auto"/>
        </w:rPr>
      </w:pPr>
    </w:p>
    <w:p>
      <w:pPr>
        <w:ind w:left="660" w:right="780" w:hanging="328"/>
        <w:spacing w:after="0" w:line="195"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May 9, 2022 publicly announced share repurchase authorization of up to approximately $10,000 of the Company’s outstanding common stock.</w:t>
      </w:r>
    </w:p>
    <w:p>
      <w:pPr>
        <w:spacing w:after="0" w:line="1" w:lineRule="exact"/>
        <w:rPr>
          <w:rFonts w:ascii="Times New Roman" w:cs="Times New Roman" w:eastAsia="Times New Roman" w:hAnsi="Times New Roman"/>
          <w:sz w:val="30"/>
          <w:szCs w:val="30"/>
          <w:color w:val="auto"/>
          <w:vertAlign w:val="superscript"/>
        </w:rPr>
      </w:pPr>
    </w:p>
    <w:p>
      <w:pPr>
        <w:ind w:left="660" w:right="360" w:hanging="328"/>
        <w:spacing w:after="0" w:line="187"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dollar value of shares that may yet be purchased consist of up to approximately $2,052 under the May 9, 2022, publicly announced share repurchase authorization.</w:t>
      </w:r>
    </w:p>
    <w:p>
      <w:pPr>
        <w:spacing w:after="0" w:line="1" w:lineRule="exact"/>
        <w:rPr>
          <w:rFonts w:ascii="Times New Roman" w:cs="Times New Roman" w:eastAsia="Times New Roman" w:hAnsi="Times New Roman"/>
          <w:sz w:val="30"/>
          <w:szCs w:val="30"/>
          <w:color w:val="auto"/>
          <w:vertAlign w:val="superscript"/>
        </w:rPr>
      </w:pPr>
    </w:p>
    <w:p>
      <w:pPr>
        <w:ind w:left="660" w:right="300" w:hanging="328"/>
        <w:spacing w:after="0" w:line="187"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Inflation Reduction Act of 2022 imposed a 1% excise tax on the net value of certain share repurchases made after December 31, 2022. All dollar amounts presented exclude such excise taxes,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-829945</wp:posOffset>
            </wp:positionV>
            <wp:extent cx="11315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our operating results and financial condition than can be obtained from reading the consolidated financial statements alone. Unless otherwise noted, the information in the following discussion is being presented for our continuing operations. The discussion should be read in conjunction with the consolidated financial statements and the notes thereto included in Part II, Item 8, “Financial Statements and Supplementary Data.” Some of the information contained in this discussion and analysis or set forth elsewhere in this 2024 Annual Report constitutes forward-looking information that involves risks and uncertainties. Please see “Forward-Looking Statements” and Part I, Item 1A, “Risk Factors” for a discussion of important factors that could cause actual results to differ materially from the results described, or implied by, the forward-looking statements contained herein.</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included in this document discusses 2024 and 2023 items and year-over-year comparisons between 2024 and 2023 as well as discussions of 2022 items and year-over-year comparisons between 2023 and 2022, which were included due to the impacts of discontinued operations for those prior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except per share amounts, are in thousands.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Consolidated Results of Continuing Operations</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$6,600, or $0.31 per share basic and diluted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earned of $310,110</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of $10,943</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prior year reserve development of $13,517</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loss of $2,321</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ratio of 100.7%</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of $15,082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Consolidated Financial Condition</w:t>
      </w:r>
    </w:p>
    <w:p>
      <w:pPr>
        <w:spacing w:after="0" w:line="20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and investments of $385,094</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of $526,545</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losses and loss adjustment expenses of $137,288</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of $281,914</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$244,631</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49"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Management evaluates our operations by monitoring key measures of growth and profitability, which may include the disclosure of certain non-GAAP financial measures. Our results of operations are influenced by numerous factors affecting the U.S. property and casualty insurance industry including competition, weather, catastrophic events, innovation and emerging technologies, changes in regulations, inflation, general economic conditions, judicial trends, fluctuations in interest rates, and other changes in the financial markets.</w:t>
      </w:r>
    </w:p>
    <w:p>
      <w:pPr>
        <w:spacing w:after="0" w:line="13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premium levels and underwriting results have been, and will continue to be, influenced by market conditions. The property and casualty insurance industry has historically been characterized by soft markets (periods of relatively high levels of price competition, less restrictive underwriting practices, and generally low premium rates) followed by hard markets (periods of capital shortages resulting in a lack of insurance availability, relatively low levels of price competition, more selective underwriting of risks, and relatively high premium rates). During soft markets, we may lose business to other carriers offering competitive insurance at lower rates. We may also choose to reduce our premiums or limit premium increases leading to a reduction in profit margins and revenues. Our industry is also influenced by general economic conditions, which could reduce overall premium volume for us and our competitors. Additionally, the industry is impacted by changes in customer preferences, including customer demand for direct, point-of-sale, or other non-traditional distribution channels. We regularly monitor our performance and competitive position by line of business and geographic market to determine appropriate rate actions.</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Premiums in the multi-peril crop insurance business are primarily influenced by the types of crops planted, number of acres insured, and commodity prices because the rates are established by the RMA rather than individual insurance carriers. The expected experience of this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generally extends into the fourth quarter. Premiums in the crop hail insurance business are also generally written in the second quarter and earned ratably until the end of the third quarter.</w:t>
      </w:r>
    </w:p>
    <w:p>
      <w:pPr>
        <w:spacing w:after="0" w:line="14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Premiums in our other lines of business are written and earned throughout the year based on their coverage periods. Losses on this business are also incurred throughout the year but are usually more frequent and/or severe during periods of elevated weather-related activity.</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Property Claims Service (“PCS”), a division of the Insurance Services Office, maintains industry loss data related to catastrophe loss events. PCS defines a catastrophe as an event that causes damage of $25 million or more in insured property losses and affects a significant number of insureds. When reporting on our losses from catastrophe events, we may include losses from those events that were defined as a catastrophe by PCS or those events which may include losses that we believe are, or will be, material to our operations, either in amount or in number of claims made. The frequency and severity of catastrophic losses we experience in any year may significantly affect our results of operations and financial position. In analyzing the underwriting performance of our property and casualty insurance business, we evaluate performance both including and excluding catastrophe losses. Portions of our catastrophe losses may be recoverable under our catastrophe reinsurance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Company’s results of operations by segment, see Part II, Item 8, Note 21 “Segment Information.”</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Years ended December 31, 2024, 2023, and 2022</w:t>
      </w:r>
    </w:p>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consolidated net income from continuing operations for the Company was $6,600 for the year ended December 31, 2024, compared to net income of $19,831 for the year ended December 31, 2023, and a net loss of $38,685 for the year ended December 31,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our revenues and net income (loss) for the three periods are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310,110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292,117</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271,740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10,943</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2,213</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325,204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income (loss):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310,110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292,117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271,740</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207,465</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186,516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241,750</w:t>
            </w: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104,966</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78,908</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Underwriting gain (loss)</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10,943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2,213</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0" w:type="dxa"/>
            <w:vAlign w:val="bottom"/>
          </w:tcPr>
          <w:p>
            <w:pPr>
              <w:spacing w:after="0"/>
              <w:rPr>
                <w:sz w:val="1"/>
                <w:szCs w:val="1"/>
                <w:color w:val="auto"/>
              </w:rPr>
            </w:pPr>
          </w:p>
        </w:tc>
      </w:tr>
      <w:tr>
        <w:trPr>
          <w:trHeight w:val="223"/>
        </w:trPr>
        <w:tc>
          <w:tcPr>
            <w:tcW w:w="6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6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1"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premium</w:t>
            </w:r>
          </w:p>
        </w:tc>
        <w:tc>
          <w:tcPr>
            <w:tcW w:w="2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341,885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325,590</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299,607</w:t>
            </w:r>
          </w:p>
        </w:tc>
      </w:tr>
      <w:tr>
        <w:trPr>
          <w:trHeight w:val="216"/>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premium</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6,550</w:t>
            </w:r>
          </w:p>
        </w:tc>
      </w:tr>
      <w:tr>
        <w:trPr>
          <w:trHeight w:val="22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Ceded premium</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(34,759)</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(34,417)</w:t>
            </w:r>
          </w:p>
        </w:tc>
      </w:tr>
      <w:tr>
        <w:trPr>
          <w:trHeight w:val="223"/>
        </w:trPr>
        <w:tc>
          <w:tcPr>
            <w:tcW w:w="46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premiums earned for the year ended December 31, 2024 increased $17,993, or 6.2%, to $310,110, compared to $292,117 for the year ended December 31, 2023.</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premiums earned for the year ended December 31, 2023 increased $20,377, or 7.5%, to $292,117, compared to $271,740 for the year ended December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90,314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83,360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77,605</w:t>
            </w:r>
          </w:p>
        </w:tc>
      </w:tr>
      <w:tr>
        <w:trPr>
          <w:trHeight w:val="216"/>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95,225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66,911</w:t>
            </w: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90,761</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78,381</w:t>
            </w:r>
          </w:p>
        </w:tc>
      </w:tr>
      <w:tr>
        <w:trPr>
          <w:trHeight w:val="216"/>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34,721</w:t>
            </w:r>
          </w:p>
        </w:tc>
      </w:tr>
      <w:tr>
        <w:trPr>
          <w:trHeight w:val="22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12,668</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14,122</w:t>
            </w:r>
          </w:p>
        </w:tc>
      </w:tr>
      <w:tr>
        <w:trPr>
          <w:trHeight w:val="223"/>
        </w:trPr>
        <w:tc>
          <w:tcPr>
            <w:tcW w:w="46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comments regarding significant changes in net premiums earned by business segment:</w:t>
      </w:r>
    </w:p>
    <w:p>
      <w:pPr>
        <w:spacing w:after="0" w:line="19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2024 increased $6,954, or 8.3%, from 2023. Results were driven by new business growth in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Dakota as well as significant rate increases in North Dakota, South Dakota, and Nebraska, partially offset by lower new business and retention levels in South Dakota and Nebraska as a result of underwriting actions taken to improve profitability. Net premiums earned for 2023 increased $5,755, or 7.4%, from 2022. This increase was driven by significant rate increases in North Dakota, South Dakota, and Nebraska, partially offset by lower new business production as a result of underwriting actions taken to improve profitability.</w:t>
      </w:r>
    </w:p>
    <w:p>
      <w:pPr>
        <w:spacing w:after="0" w:line="13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2024 increased $7,465, or 8.5%, from 2023. Results were driven by prior period new business growth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Illinois and Arizona as well as significant rate increases in the Chicago market where our non-standard auto business is concentrated, partially offset by lower retention compared to the prior year and the decision to exit Nevada. Net premiums earned for 2023 increased $20,849, or 31.2%, from 2022. This increase was driven by new business growth, improved retention, and significant rate increases in the Chicago market.</w:t>
      </w:r>
    </w:p>
    <w:p>
      <w:pPr>
        <w:spacing w:after="0" w:line="13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2024 increased $7,372, or 8.8%, from 2023. Results were driven by new business growth in North Dakota,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and increased insured property values, which were primarily the result of higher inflationary factors. These increases were partially offset by lower retention rates and new business levels in Nebraska and South Dakota as a result of underwriting actions taken to improve profitability. Net premiums earned for 2023 increased $5,008, or 6.4%, from 2022. This increase was driven by rate increases along with increased insured property values, which were primarily the result of higher inflationary factors. These premium increases were partially offset by lower levels of new business production as a result of underwriting actions taken to improve profitability</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2024 decreased $4,675, or 18.1%, from 2023. This decrease was driven by a reduction in acres insured and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prices, which are a key determinant of premiums on a Federal multi-peril crop insurance policy, in the current year. Net premiums earned for 2023 decreased $8,904, or 25.6%, from 2022. This decrease was driven by lower commodity prices and lower muti-peril crop insurance rates in 2023, combined with fewer acres insured compared to the prior year. In addition, the strong multi-peril crop results for 2023 resulted in higher ceded premiums as required by the SRA.</w:t>
      </w:r>
    </w:p>
    <w:p>
      <w:pPr>
        <w:spacing w:after="0" w:line="13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2024 increased $877, or 7.4%, from 2023. Results were driven by rate and insured value increases for the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excess lines of business, partially offset by the continued run-off of our participation in an assumed domestic and international reinsurance pool of business. Net premiums earned for 2023 decreased $2,331, or 16.5%, from 2022. This</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ind w:right="120"/>
        <w:spacing w:after="0" w:line="282" w:lineRule="auto"/>
        <w:rPr>
          <w:sz w:val="20"/>
          <w:szCs w:val="20"/>
          <w:color w:val="auto"/>
        </w:rPr>
      </w:pPr>
      <w:r>
        <w:rPr>
          <w:rFonts w:ascii="Times New Roman" w:cs="Times New Roman" w:eastAsia="Times New Roman" w:hAnsi="Times New Roman"/>
          <w:sz w:val="18"/>
          <w:szCs w:val="18"/>
          <w:color w:val="auto"/>
        </w:rPr>
        <w:t>decrease was driven by the decision to non-renew our participation in an assumed domestic and international reinsurance pool of business as of January 1, 2022.</w:t>
      </w:r>
    </w:p>
    <w:p>
      <w:pPr>
        <w:sectPr>
          <w:pgSz w:w="11900" w:h="16838" w:orient="portrait"/>
          <w:cols w:equalWidth="0" w:num="1">
            <w:col w:w="11240"/>
          </w:cols>
          <w:pgMar w:left="320" w:top="553" w:right="3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220,991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195,138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255,187</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(14,310)</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207,465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186,516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241,750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-745490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6260" w:space="720"/>
            <w:col w:w="4260"/>
          </w:cols>
          <w:pgMar w:left="320" w:top="553" w:right="33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net losses and loss adjustment expenses for the year ended December 31, 2024 increased $20,949, or 11.2%, to $207,465, compared to $186,516 for the year ended December 31, 2023.</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net losses and loss adjustment expenses for the year ended December 31, 2023 decreased $55,234, or 22.8%, to $186,516, compared to $241,750 for the year ended December 31,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51,869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60,204</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65,420</w:t>
            </w:r>
          </w:p>
        </w:tc>
      </w:tr>
      <w:tr>
        <w:trPr>
          <w:trHeight w:val="216"/>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39,400</w:t>
            </w: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64,561</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107,823</w:t>
            </w:r>
          </w:p>
        </w:tc>
      </w:tr>
      <w:tr>
        <w:trPr>
          <w:trHeight w:val="216"/>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19,418</w:t>
            </w:r>
          </w:p>
        </w:tc>
      </w:tr>
      <w:tr>
        <w:trPr>
          <w:trHeight w:val="230"/>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5,834</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w:t>
            </w:r>
          </w:p>
        </w:tc>
      </w:tr>
      <w:tr>
        <w:trPr>
          <w:trHeight w:val="223"/>
        </w:trPr>
        <w:tc>
          <w:tcPr>
            <w:tcW w:w="53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ratio: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14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4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69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loss and loss adjustment expenses ratio</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4"/>
              </w:rPr>
              <w:t>63.8%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net losses and loss adjustment expenses, and the net loss and loss adjustment expenses ratios by business segment:</w:t>
      </w:r>
    </w:p>
    <w:p>
      <w:pPr>
        <w:spacing w:after="0" w:line="13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decreased 14.8 percentage points in 2024 compared to 2023. This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lower levels of weather-related losses in the current year due to the mild winter in the Midwest compared to elevated winter weather-related losses in the prior year as well as favorable prior year loss reserve development. Both periods were positively affected by earned premium growth. The net loss and loss adjustment expenses ratio decreased 12.1 percentage points in 2023 compared to 2022. This decrease was the result of recent significant rate increases, lower loss frequency compared to the prior year, and favorable prior year loss reserve development, partially offset by elevated loss costs due to high levels of inflation.</w:t>
      </w:r>
    </w:p>
    <w:p>
      <w:pPr>
        <w:spacing w:after="0" w:line="14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increased 8.1 percentage points in 2024 compared to 2023. This increase was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unfavorable prior year loss reserve development related to elevated bodily injury losses, partially offset by earned premium growth resulting from new business growth and significant rate increases. We continue to take significant underwriting actions as a result of these elevated losses and challenging market conditions. The net loss and loss adjustment expenses ratio increased 12.9 percentage points in 2023 compared to 2022. This increase was driven by elevated loss severity as a result of inflationary factors as well as unfavorable prior year loss reserve development, partially offset by significant rate increases.</w:t>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5" w:name="page36"/>
    <w:bookmarkEnd w:id="35"/>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increased 10.0 percentage points in 2024 compared to 2023. This increase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loss severity and higher non-catastrophe weather-related losses in North Dakota and Nebraska during 2024 compared to the prior year, partially offset by earned premium growth in the current year. The net loss and loss adjustment expenses ratio decreased 76.5 percentage points in 2023 compared to 2022. This decrease was driven by the much-improved loss experience as a result of having no catastrophe losses during 2023 compared to 2022, combined with improved non-catastrophe weather losses and the significant rate increases and underwriting actions we implemented to address the profitability on these lines of business. Catastrophe losses, net of reinsurance, for the Home and Farm segment accounted for 72.1 percentage points of the net loss and loss adjustment expense ratio for the year ended December 31, 2022.</w:t>
      </w:r>
    </w:p>
    <w:p>
      <w:pPr>
        <w:spacing w:after="0" w:line="15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increased 1.1 percentage points in 2024 compared to 2023. The strong results for 2024 were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favorable crop growing conditions, similar to the prior year. The net loss and loss adjustment expenses ratio decreased 14.1 percentage points in 2023 compared to 2022. This decrease was due to improved crop growing conditions in 2023 in comparison to 2022.</w:t>
      </w:r>
    </w:p>
    <w:p>
      <w:pPr>
        <w:spacing w:after="0" w:line="13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increased 33.0 percentage points in 2024 compared to 2023. This increase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elevated large loss experience compared to the prior year and an inter-segment reclassification of a large loss during 2023. The net loss and loss adjustment expenses ratio decreased 55.5 percentage points in 2023 compared to 2022. This decrease was driven by improved loss experience related to the commercial and excess liability lines of business.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General Expenses and Expense Ratio</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71,257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67,631</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53,605</w:t>
            </w: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33,709</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25,303</w:t>
            </w:r>
          </w:p>
        </w:tc>
      </w:tr>
      <w:tr>
        <w:trPr>
          <w:trHeight w:val="263"/>
        </w:trPr>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underwriting and general expenses</w:t>
            </w:r>
          </w:p>
        </w:tc>
        <w:tc>
          <w:tcPr>
            <w:tcW w:w="14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104,966</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78,908</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1"/>
                <w:szCs w:val="21"/>
                <w:color w:val="auto"/>
              </w:rPr>
            </w:pPr>
          </w:p>
        </w:tc>
      </w:tr>
      <w:tr>
        <w:trPr>
          <w:trHeight w:val="20"/>
        </w:trPr>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0.6 percentage points in the year ended December 31, 2024, compared to the same period in 2023. The increase in the amortization of deferred policy acquisition costs is due to higher deferrable costs resulting from significant earned premium growth compared to the prior year, including significant growth in the Non-Standard Auto segment which generally pays higher agent commissions than our other segments. The increase in the other underwriting and general expenses is due to the costs incurred in the current year associated with the execution of separation agreements with our former Chief Executive Officer and former Senior Vice President of Operations. The overall expense ratio increased 4.2 percentage points in the year ended December 31, 2023, compared to the same period in 2022. The increase in amortization of deferred policy acquisition costs was driven by higher deferrable costs resulting from overall premium growth compared to the prior year, including significant growth in the non-standard auto segment which generally pays higher agent commissions than our other segments. The increase in other underwriting and general expenses was due to the impact of continued high levels of inflation and 2022 expenses being favorably impacted by multi-peril crop insurance final settlements.</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Gain (Loss) and Combined Ratio</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10,407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(1,536)</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(9,548)</w:t>
            </w:r>
          </w:p>
        </w:tc>
      </w:tr>
      <w:tr>
        <w:trPr>
          <w:trHeight w:val="216"/>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(17,637)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(52,644)</w:t>
            </w:r>
          </w:p>
        </w:tc>
      </w:tr>
      <w:tr>
        <w:trPr>
          <w:trHeight w:val="216"/>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12,236</w:t>
            </w:r>
          </w:p>
        </w:tc>
      </w:tr>
      <w:tr>
        <w:trPr>
          <w:trHeight w:val="230"/>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52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underwriting gain (loss)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r>
      <w:tr>
        <w:trPr>
          <w:trHeight w:val="223"/>
        </w:trPr>
        <w:tc>
          <w:tcPr>
            <w:tcW w:w="69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combined ratio</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total underwriting gain (loss) decreased $10,965, or 126.9%, for the year ended December 31, 2024, compared to the same period in 2023. The total underwriting gain (loss) increased $57,562, or 117.7%, for the year ended December 31, 2023, compared to the same period in 2022. These results were driven by the factors discussed in the Losses and Loss Adjustment Expenses and the Underwriting and General Expenses and Expense Ratio sections above.</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overall combined ratio increased 3.7 percentage points in the year ended December 31, 2024, compared to the same period in 2023. The overall combined ratio decreased 21.0 percentage points in the year ended December 31, 2023, compared to the same period in 2022. These results were driven by the factors discussed in the Losses and Loss Adjustment Expenses and the Underwriting and General Expenses and Expense Ratio sections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and Other Income</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had fee and other income of $1,938 for the year ended December 31, 2024, compared to $1,940 for the year ended December 31, 2023, and $1,381 for the year ended December 31, 2022. Fee income is largely attributable to the Non-Standard Auto segment and is a key component in measuring its profitability. Fee and other income on this business decreased to $1,219 for the year ended December 31, 2024, from $1,293 for the year ended December 31, 2023, due to elevated other income in the prior year. Fee and other income for non-standard auto increased to $1,293 for the year ended December 31, 2023, from $831 for the year ended December 31, 2022, due to an increase in policies that generate fee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Charge</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had a goodwill impairment charge of $2,628 for the year ended December 31, 2024, compared to $6,756 for the years ended December 31, 2023, and $0 for the year ended December 31, 2022. See Part II, Item 8, Note 10 “Goodwill and Other Intangibles” for additional information.</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shows our average cash and invested assets, net investment income, and return on average cash and invested assets for the reported periods for continuing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371,110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10,943</w:t>
            </w:r>
          </w:p>
        </w:tc>
        <w:tc>
          <w:tcPr>
            <w:tcW w:w="22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8,034</w:t>
            </w: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6,636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investment income increased $2,909 for the year ended December 31, 2024, compared to the year ended December 31, 2023. This increase was primarily driven by the higher interest rate environment which resulted in higher reinvestment rates in our fixed income portfolio as well as higher yields on our cash and cash equivalents, partially offset by higher investment expenses. Net investment income increased $1,398 for the year ended December 31, 2023, compared to the year ended December 31, 2022. This increase was primarily driven by higher reinvestment rates as well as a strategic increased allocation to fixed income securities in our investment portfolio.</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and net return on average cash and invested assets increased year-over-year from 2023 to 2024, primarily driven by the favorable interest rate environment that resulted in significantly higher net investment income on an increased average balance of fixed income securities as well as cash and cash equivalents (measured at fair value). In addition, the increase in investments in high dividend yield equities resulted in relatively consistent year-over-year dividend income despite a reduction in the average equities balance (measured at fair value). The increase in average cash and invested assets was driven by additional investments in fixed income securities as a result of positive operating cash flows during 2024.</w:t>
      </w:r>
    </w:p>
    <w:p>
      <w:pPr>
        <w:spacing w:after="0" w:line="14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Gross and net return on average cash and invested assets increased year-over-year from 2022 to 2023, driven by the higher net investment income and a higher proportion of the equity portfolio being invested in high dividend yield equities in 2023, along with a decrease in average cash and invested assets (measured at fair value). This decrease in average cash and invested assets was driven by challenging equity market conditions, particularly during the middle and later stages of 2022, combined with investment sales as a result of an unusually high number of weather-related losses in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5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(5,099)</w:t>
            </w: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 on equity securities</w:t>
            </w: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1,662</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(13,959)</w:t>
            </w:r>
          </w:p>
        </w:tc>
      </w:tr>
      <w:tr>
        <w:trPr>
          <w:trHeight w:val="223"/>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had net realized gains of $551 for the year ended December 31, 2024, compared to $12,096 for the year ended December 31, 2023, and $1,984 for the year ended December 31, 2022. The elevated net realized gains for the year ended December 31, 2023, were the result of a strategic liquidation of a portfolio of equity securities. The gross realized gains from the sale of these securities were largely offset by the elimination of the unrealized gain position of these securities. No credit impairment losses were reported during any of the periods presented.</w:t>
      </w:r>
    </w:p>
    <w:p>
      <w:pPr>
        <w:spacing w:after="0" w:line="15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experienced an increase in net unrealized gains on equity securities of $1,662 during the year ended December 31, 2024, attributable to overall favorable equity markets during the current year. The change in net unrealized gains on equity securities for 2023 was driven by the equity portfolio liquidation noted above and the impact of changes in fair value attributable to equity market volatility. The 2022 decreases were driven by the impact of changes in fair value attributable to unfavorable equity markets. We had net realized gains on the sale of equity securities of $750, $12,619, and $2,051 during the years ended December 31, 2024, 2023, and 2022, respectively.</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8"/>
          <w:szCs w:val="18"/>
          <w:color w:val="auto"/>
        </w:rPr>
        <w:t>Our fixed income securities are classified as available for sale because we will, from time to time, execute sales of securities that are not impaired, consistent with our investment goals and policies. The fixed income portion of the portfolio experienced net unrealized losses of $191 during the year ended December 31, 2024, compared to net unrealized gains of $9,168 during the year ended December 31, 2023. The changes were primarily the result of changes in U.S. interest rates. The change in the fair value of fixed income securities is not reflected in net income; rather it is reflected as a separate component (net of income taxes) of other comprehensive income. The fixed income portfolio experienced net unrealized losses of $39,971 during the year ended December 31,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had pre-tax income of $10,145 for the year ended December 31, 2024, a pre-tax income of $20,547 for the year ended December 31, 2023, and pre-tax loss of $52,876 for the year ended December 31, 2022. The year-over-year decrease in 2024 compared to 2023 was largely attributable to higher loss severity and non-catastrophe weather-related losses for Home and Farm in the states of North Dakota and Nebraska, unfavorable prior year loss reserve development for Non-Standard Auto, a goodwill impairment charge for Non-Standard Auto, and expenses incurred related to the separation agreements with our former Chief Executive Officer and former Senior Vice President of Operations, partially offset by net earned premium growth, improved loss experience for Private Passenger Auto, and higher net investment income. The year-over-year improvement in 2023 compared to 2022 was largely attributable to the significant catastrophe losses and significantly higher investment losses during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recorded income tax expense of $3,545 for the year ended December 31, 2024, income tax expense of $716 for the year ended December 31, 2023, and an income tax benefit of $14,191 for the year ended December 31, 2022. Including the impacts of discontinued operations and the loss on sale of discontinued operations, we recorded an income tax benefit of $3,192 for the year ended December 31, 2024, income tax expense of $963 for the year ended December 31, 2023, and an income tax benefit of $15,254 for the year ended December 31, 2022. Including the impacts of discontinued operations and the loss on sale of discontinued operations, our effective tax rate for 2024 was 35.2% compared to an effective tax rate of (22.6)% and 22.1% for 2023 and 2022, respectively. Our 2024 effective tax rate was impacted by several factors, but the loss on sale of discontinued operations, non-taxable compensation-related expenses, and non-taxable goodwill impairment charge were the most significant drivers of the variance from the statutory rate. Our 2023 effective tax rate was impacted by several factors, but the 2023 non-taxable goodwill impairment charge was the most significant driver of the variance from the statutory rate. Our 2022 effective tax rate was impacted by several factors, but the change in valuation allowance and non-taxable executive compensation were the most significant drivers of the variance from the statutory rate. The valuation allowance against certain deferred income tax assets was $2,506 as of December 31, 2024, $505 as of December 31, 2023, and $694 as of December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had net income before non-controlling interest of $6,600 for the year ended December 31, 2024, net income of $19,831 for the year ended December 31, 2023, and a net loss of $38,685 for the year ended December 31, 2022. The year-over-year decrease in 2024 compared to 2023 was largely attributable to higher loss severity and non-catastrophe weather-related losses for Home and Farm in the states of North Dakota and Nebraska, unfavorable prior year loss reserve development for Non-Standard Auto, a goodwill impairment charge for Non-Standard Auto, and expenses incurred related to the separation agreements with our former Chief Executive Officer and former Senior Vice President of Operations, partially offset by net earned premium growth, improved loss experience for Private Passenger Auto, and higher net investment income. The year-over-year improvement in 2023 compared to 2022 was largely attributable to the significant catastrophe losses and significantly higher investment losses during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Equity</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had annualized return on average equity, after non-controlling interest, of 2.8%, compared to annualized return on average equity, after non-controlling interest, of 7.9% and (13.6)% for the years ended December 31, 2023 and 2022,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equity is calculated as the average between beginning and ending equity, excluding non-controlling interest, for the period.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Principal Revenue Items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primarily derived from net premiums earned, net investment income, and net investment gains (losses).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and Net Premiums Written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to reinsurers.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Premiums earned is the earned portion of net premiums written.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Our property and casualty policies, other than some of our auto lines and the non-standard auto policies, typically have a term of twelve months.</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Due to the nature of the crop planting and harvesting cycle and the deadlines for filing and processing claims under the federal crop insurance program, insurance premiums for multi-peril crop insurance are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planted in each crop. On September 1, the insurer bills the farmer for the insurance premium, which is due and payable by the farmer by October 1. If the farmer does not pay the premium by such date, the insurer will charge interest at a rate of 15% because the insurer is required to pay the farmer’s portion of the premium to the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we write covers crops planted in the spring.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Investment Gains (Losses)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invest our excess cash in fixed income and equity securities. Investment income includes interest and dividends earned on invested assets and is reported net of investment-related expenses. Net investment gains (losses) are reported separately from net investment income. We recognize realized gains when investments are sold for an amount greater than their cost or amortized cost (in the case of fixed income securities) and realized losses when investments are sold for an amount less than their cost or amortized cost or when credit impairments are recorded, as applicable. We recognize changes in unrealized gains and losses of equity securities in net income as part of net investment gains (losses). These gains and losses may be significant given the fair market value of the equity portfolio and the inherent volatility in equity markets. The changes in unrealized gains and losses on fixed income securities are recorded in other comprehensive income (loss), net of income taxes. Therefore, these changes have no impact on net income but do impact shareholders’ equity.</w:t>
      </w:r>
    </w:p>
    <w:p>
      <w:pPr>
        <w:spacing w:after="0" w:line="1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portfolio of investments for NI Holdings and its insurance subsidiaries is managed by Conning, Inc., which has discretion to buy and sell securities in accordance with the investment policy approved by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Expense Items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expenses consist primarily of losses and loss adjustment expenses, amortization of deferred policy acquisition costs, other underwriting and general expenses, and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Deferred Policy Acquisition Costs and Other Underwriting and General Expenses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0" w:name="page41"/>
    <w:bookmarkEnd w:id="40"/>
    <w:p>
      <w:pPr>
        <w:ind w:right="180"/>
        <w:spacing w:after="0" w:line="266" w:lineRule="auto"/>
        <w:rPr>
          <w:sz w:val="20"/>
          <w:szCs w:val="20"/>
          <w:color w:val="auto"/>
        </w:rPr>
      </w:pPr>
      <w:r>
        <w:rPr>
          <w:rFonts w:ascii="Times New Roman" w:cs="Times New Roman" w:eastAsia="Times New Roman" w:hAnsi="Times New Roman"/>
          <w:sz w:val="18"/>
          <w:szCs w:val="18"/>
          <w:color w:val="auto"/>
        </w:rPr>
        <w:t>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Current income taxes represent amounts paid or owed to the federal government and certain states whose payment is based upon net income (subject to regulatory adjustments) generated by the Company. The generation of net losses may result in income tax benefits. As noted above, it does not include state premium taxes that are based purely on the collection of policyholder premiums.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our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We believe the following policies are the most sensitive to estimates and judgments.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Unpaid Losses and Loss Adjustment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reserves are established</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respect to our traditional property and casualty insurance products, we maintain reserves for the payment of claims (indemnity losses) and expenses related to adjusting those claims (loss adjustment expenses). Our liability for unpaid losses and loss adjustment expenses consists of (1) case reserves, which are reserves for claims that have been reported to us, and (2) IBNR, which represents reserves for claims that have been incurred but have not yet been reported and for the future development of reported claims. As some claims may not be reported for several years, the liability for unpaid losses and loss adjustment expenses may include significant estimates for IBNR based on the time necessary to settle the claim.</w:t>
      </w:r>
    </w:p>
    <w:p>
      <w:pPr>
        <w:spacing w:after="0" w:line="14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Loss adjustment expenses consist of two components – allocated loss adjustment expenses and unallocated loss adjustment expenses. Allocated loss adjustment expenses are the expenses for defense and cost containment, including legal fees, court costs, and investigation fees, which are linked to the settlement of specific individual claims or losses. Unallocated loss adjustment expenses are expenses that generally cannot be associated with a specific claim, including internal costs such as salaries and other overhead costs. Estimates of future costs to administer reported and unreported claims for both allocated and unallocated expenses are included in IBNR.</w:t>
      </w:r>
    </w:p>
    <w:p>
      <w:pPr>
        <w:spacing w:after="0" w:line="1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When a claim is reported to one of the insurance companies, its claims personnel establish a case reserve for the estimated amount of the ultimate payment to the extent it can be determined or estimated, in many cases a default reserve is utilized until the claims personnel can determine a more claim specific amount.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situations where legal action may be involved. Case reserves are reviewed on a regular basis and are updated as new information becomes available.</w:t>
      </w:r>
    </w:p>
    <w:p>
      <w:pPr>
        <w:spacing w:after="0" w:line="14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When a catastrophe occurs, which in our case usually involves the weather perils of wind and hail, we utilize mapping technology, through geographic coding of our property risks, to overlay the path of the storm. This enables us to establish estimated damage amounts based on the wind speed and size of the hail for case or per claim loss amounts. This process allows us to determine within a</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ind w:right="160"/>
        <w:spacing w:after="0" w:line="261" w:lineRule="auto"/>
        <w:rPr>
          <w:sz w:val="20"/>
          <w:szCs w:val="20"/>
          <w:color w:val="auto"/>
        </w:rPr>
      </w:pPr>
      <w:r>
        <w:rPr>
          <w:rFonts w:ascii="Times New Roman" w:cs="Times New Roman" w:eastAsia="Times New Roman" w:hAnsi="Times New Roman"/>
          <w:sz w:val="18"/>
          <w:szCs w:val="18"/>
          <w:color w:val="auto"/>
        </w:rPr>
        <w:t>reasonable time (5-7 days) an estimated number of claims and estimated losses from the storm. We have also begun reviewing the results of the predicted cost of the claim generated by the catastrophe models as a reasonability check on the anticipated cost of the storm. If we estimate the damages to be in excess of half of the retained catastrophe amount, reinsurers are notified immediately of a potential loss so that we can quickly recover reinsurance payments once the retention is exceeded.</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estimate multi-peril crop insurance losses on a quarterly basis based upon historical loss patterns, current crop conditions, current weather patterns, and input from crop loss adjusters. These estimates have proven to be reasonably accurate indicators of our anticipated losses for this line of business.</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actuaries assist with the estimation of the liability for unpaid losses and loss adjustment expenses. The actuaries prepare estimates by first deriving an actuarially based estimate of the ultimate cost of total losses and loss adjustment expenses incurred as of the financial statement date based on established actuarial methods as described below. We then reduce the estimated ultimate loss and loss adjustment expenses by loss and loss adjustment expenses payments and case reserves carried as of the financial statement date. The actuarially determined estimate is based upon indications from various actuarial methodologies including paid chain-ladder, incurred chain-ladder, Bornhuetter-Ferguson, weighted averages of the methods, and judgment. The specific method used to estimate the ultimate losses varies depending on the judgment of the actuaries as to what is the most appropriate for the line of business. Management reviews these estimates and supplements the actuarial analysis with information not fully incorporated into the actuarially based estimate, such as changes in the external business environment and internal company processes. Management may adjust the actuarial estimates based on this supplemental information in order to arrive at the amount recorded in the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further discussion of the actuarial methodologies used follows:</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Bornhuetter-Ferguson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Bornhuetter-Ferguson Method is a blended method that explicitly considers both actual loss development to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5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Paid and Case Incurred Loss Development (Chain-Ladder)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Paid and Case Incurred Loss Development Method utilizes ratios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cumulative paid losses, case incurred losses, or paid loss adjustment expenses at each age of development as a percent of the preceding development age. Selected ratios are then multiplied together to produce a set of loss development factors which when applied to the most current data value, by accident period, develop the estimated ultimate losses or loss adjustment expenses. Ultimate losses or loss adjustment expenses are then selected for each accident year from the various methods employed.</w:t>
      </w:r>
    </w:p>
    <w:p>
      <w:pPr>
        <w:spacing w:after="0" w:line="13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Ratio of Paid Allocated Loss Adjustment Expenses to Paid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Ratio of Paid Allocated Loss Adjustment Expenses to Paid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utilizes the ratio of paid allocated loss adjustment expenses to paid losses and is similar to the Paid and Case Incurred Loss Development (Chain-Ladder) Method described above, except that the data projected are the ratios of paid allocated loss adjustment expenses to paid losses. The projected ultimate ratio is then multiplied by the selected ultimate losses, by accident year, to yield the ultimate allocated loss adjustment expenses. Allocated loss adjustment expenses reserves are calculated by subtracting paid losses from ultimate allocated loss adjustment expenses.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process of estimating loss reserves involves a high degree of judgment and is subject to a number of variables. These variables can be affected by both internal and external events, such as changes in claims handling procedures/staffing, inflation, weather, legal trends, and regulatory and legislative changes. The impact of many of these items on ultimate costs for losses and loss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We continually refine our estimates of unpaid losses and loss adjustment expenses in a regular ongoing process as historical loss experience develops and additional claims are reported and settled. We consider all significant facts and circumstances known at the time the liabilities for unpaid losses and loss adjustment expenses are established.</w:t>
      </w:r>
    </w:p>
    <w:p>
      <w:pPr>
        <w:spacing w:after="0" w:line="1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is an inherent amount of uncertainty in the establishment of liabilities for unpaid losses and loss adjustment expenses. This uncertainty is greatest in the current and most recent accident years due to the more recent nature of the claims being reported and relatively small percentage of these claims that have been reported, investigated, and adjusted by our claims staff. Therefore, the reserves carried in these more recent accident years are generally more conservative than those carried for older accident years. As we have the opportunity to investigate and adjust the reported claims, both the case and IBNR reserves are adjusted to more closely reflect the ultimate expected loss.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Other factors that may have an impact on our case and IBNR reserves include, but are not limited to, those described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liability law and public attitudes regarding damage awards</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reserves are established.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us to experience adverse development and higher loss payments in future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claims handling and/or setting case reserves</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Changes in Company personnel and/or the approach to how claims are reported, adjusted, and reserved may affect the reserves we establish.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Economic inflation</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sudden and extreme increase in the economic inflation rate could have a significant impact on our case and IBNR reserves. When establishing case reserves, claims personnel generally establish an amount that in their opinion will provide a conservative amount to settle the loss. If the time to settle the claim extends over a period of years, which is possible but unlikely as we usually settle claims in less than a year on average, the initial reserve may not anticipate an economic inflation rate that is significantly higher than the current inflation rate. This can also apply to IBNR reserves. Should the economic inflation rate increase significantly, we may not anticipate the need to adjust the IBNR reserves accordingly, which could lead to deficient IBNR reserves.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Increases or decreases in claim severity for reasons other than inflation</w:t>
      </w:r>
    </w:p>
    <w:p>
      <w:pPr>
        <w:spacing w:after="0" w:line="18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Factors exist that can drive the cost to settle claims for reasons other than standard inflation. For example, demand surge caused by a significant catastrophe, such as a derecho, has an impact on not only the availability and cost of building materials such as roofing and other materials, but also the availability and cost of labor. Numerous other factors could also cause claim severity to increase beyond what our historic reserves would reflect. In addition, unexpected increases in labor, healthcare, or building material costs and other factors may cause fluctuations in the ultimate development of the case reserves.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Actual settlement experience different from historical data trends</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When establishing IBNR reserves, our actuaries consider many of the factors discussed above. One of the more important factors that is considered when setting reserves is the past or historical claim settlement experience. Our actuaries consider factors such as the number of files entering litigation, payment patterns, length of time it takes our claims personnel to settle the claims, and average payment amounts when estimating reserve amounts. Should future settlement patterns change due to the legal environment, our claims handling philosophy, or personnel, it may have an impact on the future claims payments, which could cause existing reserves to either be redundant (excessive) or deficient (below) compared to the actual loss amount.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Reporting Lag</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above, we utilize historical patterns to provide an accurate estimate of what will take place in the future. Should we experience an unexpected delay in reporting time (claims are slower to be reported than in the past), we may underestimate the anticipated number of future claims, which could cause the ultimate loss we may experience to be underestimated. A lag in reporting may be caused by changes in how claims are reported, the types or lines of business we write, our distribution system, and the geographic area where we choose to insure risk.</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Due to the inherent uncertainty underlying loss reserve estimates, final resolution of the estimated liability for unpaid losses and loss adjustment expenses may be higher or lower than the related loss reserves at the reporting date. Therefore, actual paid losses, as claims are settled in the future, may be materially higher or lower in amount than current loss reserves. We reflect adjustments to the liability for unpaid losses and loss adjustment expenses in the results of operations during the period in which the estimates are changed.</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spacing w:after="0" w:line="147" w:lineRule="exact"/>
        <w:rPr>
          <w:sz w:val="20"/>
          <w:szCs w:val="20"/>
          <w:color w:val="auto"/>
        </w:rPr>
      </w:pPr>
    </w:p>
    <w:p>
      <w:pPr>
        <w:ind w:right="1960"/>
        <w:spacing w:after="0" w:line="461" w:lineRule="auto"/>
        <w:rPr>
          <w:sz w:val="20"/>
          <w:szCs w:val="20"/>
          <w:color w:val="auto"/>
        </w:rPr>
      </w:pPr>
      <w:r>
        <w:rPr>
          <w:rFonts w:ascii="Times New Roman" w:cs="Times New Roman" w:eastAsia="Times New Roman" w:hAnsi="Times New Roman"/>
          <w:sz w:val="18"/>
          <w:szCs w:val="18"/>
          <w:color w:val="auto"/>
        </w:rPr>
        <w:t xml:space="preserve">For additional information on our investments, see Part II, Item 8, Note 4 “Investments” and Note 5 “Fair Value Measurements.” </w:t>
      </w:r>
      <w:r>
        <w:rPr>
          <w:rFonts w:ascii="Times New Roman" w:cs="Times New Roman" w:eastAsia="Times New Roman" w:hAnsi="Times New Roman"/>
          <w:sz w:val="18"/>
          <w:szCs w:val="18"/>
          <w:b w:val="1"/>
          <w:bCs w:val="1"/>
          <w:i w:val="1"/>
          <w:iCs w:val="1"/>
          <w:color w:val="auto"/>
        </w:rPr>
        <w:t>Deferred Policy Acquisition Costs</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deferred policy acquisition costs (“DAC”) and the related liability for unearned premiums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100" w:type="dxa"/>
            <w:vAlign w:val="bottom"/>
            <w:shd w:val="clear" w:color="auto" w:fill="CCEEFF"/>
          </w:tcPr>
          <w:p>
            <w:pPr>
              <w:spacing w:after="0"/>
              <w:rPr>
                <w:sz w:val="18"/>
                <w:szCs w:val="18"/>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unearned premiums</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126,498</w:t>
            </w: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126,100</w:t>
            </w:r>
          </w:p>
        </w:tc>
      </w:tr>
    </w:tbl>
    <w:p>
      <w:pPr>
        <w:spacing w:after="0" w:line="1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method followed in computing DAC limits the amount of deferred costs to their estimated realizable value, which gives effect to the premium to be earned, related investment income, losses and loss adjustment expenses, and certain other costs expected to be incurred as the premium is earned. Future changes in estimates, the most significant of which is expected losses and loss adjustment expenses, may require adjustments to DAC. If the estimation of net realizable value indicates that DAC are not recoverable, they would be written off or a premium deficiency reserve would be established.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Current income taxes represent amounts paid or owed to the federal government and certain states whose payment is based upon net income (subject to regulatory adjustments) generated by the Company. The generation of net losses may result in income tax benefits, a portion of which may be in the form of refunds of prior income taxes paid to taxing authorities. We use the asset and liability method of accounting for deferred income taxes. Deferred income taxes arise from the recognition of temporary differences between financial statement carrying amounts and the income tax bases of our assets and liabilities. A valuation allowance is established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had gross deferred income tax assets of $15,946 at December 31, 2024, and $18,172 at December 31, 2023, arising primarily from unearned premiums, loss reserve discounting, net unrealized investment losses, and net operating loss carryforwards. A valuation allowance is required to be established for any portion of the deferred income tax asset for which we believe it is more likely than not that it will not be realized. A valuation allowance of $2,506 and $505 was maintained at December 31, 2024, and December 31, 2023, respectively.</w:t>
      </w:r>
    </w:p>
    <w:p>
      <w:pPr>
        <w:spacing w:after="0" w:line="13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had gross deferred income tax liabilities of $6,116 at December 31, 2024, and $9,254 at December 31, 2023, arising primarily from deferred policy acquisition costs and other intangible assets.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exercise significant judgment in evaluating the amount and timing of recognition of the resulting income tax liabilities and assets. These judgments require us to make projections of future taxable income. The judgments and estimates we make in determining our deferred income tax assets, which are inherently subjective, are reviewed on a continual basis as regulatory and business factors change. Any reduction in estimated future taxable income may require us to record a valuation allowance against our deferred income tax assets.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we had no material unrecognized income tax benefits or accrued interest and penalties. Federal income tax returns for the years 2020 through 2023 remain subject to examination.</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Changing Climate Conditions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our reliance on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In addition, these changes could impact the creditworthiness of issuers of securities in which we invest, subjecting our investment portfolio to increased credit and interest rate risk, with the potential for reduced investment returns and/or material realized or unrealized losses.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a $3,000 line of credit with Wells Fargo Bank, N.A. The terms of the line of credit include a floating interest rate of 2.50% above the daily simple secured overnight financing rate. There were no outstanding amounts during the years ended December 31, 2024, 2023, or 2022. This line of credit is scheduled to expire on December 13, 2025.</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changes in cash and cash equivalents for continuing and discontinued operations for the years ended December 31, 2024, 2023, and 2022 were as follows:</w:t>
      </w:r>
    </w:p>
    <w:p>
      <w:pPr>
        <w:sectPr>
          <w:pgSz w:w="11900" w:h="16838" w:orient="portrait"/>
          <w:cols w:equalWidth="0" w:num="1">
            <w:col w:w="11220"/>
          </w:cols>
          <w:pgMar w:left="320" w:top="6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38,506</w:t>
            </w:r>
          </w:p>
        </w:tc>
        <w:tc>
          <w:tcPr>
            <w:tcW w:w="2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51,028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(15,294)</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(4,541)</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25,048</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(3,643)</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(18,281)</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6260" w:space="720"/>
            <w:col w:w="4240"/>
          </w:cols>
          <w:pgMar w:left="320" w:top="617" w:right="359" w:bottom="1440" w:gutter="0" w:footer="0" w:header="0"/>
          <w:type w:val="continuous"/>
        </w:sect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totaled $38,506 compared to $51,028 net cash provided by operating activities a year ago. This change was primarily driven by the severance payments to our former Chief Executive Officer and former Senior Vice President of Operations in the current year as well as the receipt of a significant income tax refund during 2023.</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used by investing activities totaled $4,541 compared to $8,813 net cash used by investing activities a year ago. This change was primarily attributable to the proceeds from the sale of Westminster as well as a decrease in the net cash outflows for fixed income securities in the current year, partially offset by a decrease in the cash inflows from equity securities in the current year.</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used by financing activities totaled $3,643 compared to $7,466 a year ago. This decrease in cash used was attributable to a reduction in share repurchases in the current year partially offset by the final pooling settlement between Nodak Insurance and Westminster.</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totaled $51,028 compared to $15,294 net cash used by operating activities during 2022. This change was primarily driven by lower claim payments and the receipt of a significant income tax refund during 2023.</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2023, net cash used by investing activities totaled $8,813 compared to $25,048 net cash provided by investing activities during 2022. This change was primarily attributable to a decrease in maturities and sales of fixed income securities and an increase in purchases of fixed income securities during 2023 compared to 2022, partially offset by an increase in sales of equity securities and a decrease in purchases of equity securities.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type w:val="continuous"/>
        </w:sectPr>
      </w:pPr>
    </w:p>
    <w:bookmarkStart w:id="45" w:name="page46"/>
    <w:bookmarkEnd w:id="4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used by financing activities totaled $7,466 compared to $18,281 during 2022. This decrease in cash used was attributable to installment payments on the Westminster consideration payable during 2022, partially offset by an increase in share repurchases during 2023 compared to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holding company, a principal source of long-term liquidity will be dividend payments from our directly-owned subsidiaries.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during 2025 without the prior approval of the North Dakota Insurance Department is approximately $8,273 as of December 31, 2024. No dividends were declared or paid by Nodak Insurance during the years ended December 31, 2024 and 2023. The Nodak Insurance Board of Directors declared and paid dividends of $3,000 to NI Holdings during the year ended December 31, 2022.</w:t>
      </w:r>
    </w:p>
    <w:p>
      <w:pPr>
        <w:spacing w:after="0" w:line="15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amount available for payment of dividends from Direct Auto to NI Holdings during 2025 without the prior approval of the North Dakota Insurance Department is approximately $3,146 as of December 31, 2024. No dividends were declared or paid by Direct Auto during the years ended December 31, 2024, 2023, or 2022.</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spacing w:after="0" w:line="13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Westminster was sold on June 30, 2024, and therefore no dividends are available to be paid to NI Holdings subsequent to that date. No dividends were declared or paid by Westminster during the years ended December 31, 2024, 2023 or 2022. See Part II, Item 8, Note 20 “Discontinued Operations”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primary contractual obligations of the Company include gross loss and loss adjustment expenses payments as well as operating and finance lease obligations.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unpaid losses and loss adjustment expenses were $137,288 as of December 31, 2024. Historical payment experience indicates that approximately 46% of this amount will be paid during 2025 and another 37% will be paid over the subsequent two years. The actual timing and amounts of these payments in the future may vary.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recent accounting pronouncements, see Part II, Item 8, Note 2 “Recent Accounting Pronouncements.”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46" w:name="page47"/>
    <w:bookmarkEnd w:id="4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02" w:lineRule="exact"/>
        <w:rPr>
          <w:sz w:val="20"/>
          <w:szCs w:val="20"/>
          <w:color w:val="auto"/>
        </w:rPr>
      </w:pPr>
    </w:p>
    <w:p>
      <w:pPr>
        <w:jc w:val="both"/>
        <w:ind w:right="580"/>
        <w:spacing w:after="0" w:line="261" w:lineRule="auto"/>
        <w:rPr>
          <w:sz w:val="20"/>
          <w:szCs w:val="20"/>
          <w:color w:val="auto"/>
        </w:rPr>
      </w:pPr>
      <w:r>
        <w:rPr>
          <w:rFonts w:ascii="Times New Roman" w:cs="Times New Roman" w:eastAsia="Times New Roman" w:hAnsi="Times New Roman"/>
          <w:sz w:val="18"/>
          <w:szCs w:val="18"/>
          <w:color w:val="auto"/>
        </w:rPr>
        <w:t>Market risk is the risk that a company will incur losses due to adverse changes in the fair value of financial instruments. We have exposure to three principal types of market risk through our investment activities: interest rate risk, credit risk, and equity risk. Our primary market risk exposure is to changes in interest rates. We have not entered, and do not plan to enter, into any derivative financial instruments for hedging, trading, or speculative purposes.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a company will incur economic losses due to adverse changes in interest rates. Our exposure to interest rate changes primarily results from our significant holdings of fixed income securities. Fluctuations in interest rates have a direct impact on the fair value of these securities.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develop our investment strategies based on a number of factors, including estimated duration of reserve liabilities, short and long-term liquidity needs, general economic conditions, expected rates of inflation and regulatory requirements. The portfolio duration of the fixed income securities in our investment portfolio at December 31, 2024 was 4.77 years. These fixed income securities include U.S. government bonds, securities issued by government agencies, obligations of state and local governments and governmental authorities, and corporate bonds, most of which are exposed to changes in prevailing interest rates. These fixed income securities may experience significant fluctuations in fair value resulting from changes in interest rates and are carried as available for sale. We manage the exposure to risks associated with interest rate fluctuations through active management and consultation with our outside fixed income portfolio manager.</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Higher interest rates, oftentimes correlated to inflation, reduce the carrying value of our fixed income and short-term investments, negatively impacting the Company’s book value in the short-term. Over the long-term, however, higher interest rates provide an incremental benefit to our net investment income over time as excess cash and proceeds of maturing bonds are reinvested at higher rates. We manage our exposure to interest rate increases by monitoring the duration within our investment portfolio and maintaining maturities that minimize forced sales within the portfolio.</w:t>
      </w:r>
    </w:p>
    <w:p>
      <w:pPr>
        <w:spacing w:after="0" w:line="1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Additionally, we hold certain fixed income securities that have call features. In a potential declining interest rate environment, these securities may be called by their issuer and replaced with securities bearing lower interest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required to sell fixed income securities in a rising interest rate environment, we may recognize investment losses.</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table below shows the interest rate sensitivity of our fixed income securities (including both continuing and discontinued operations) measured in terms of fair value (which is equal to the carrying value for all of our investment securities that are subject to interest rate changes) at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0" w:type="dxa"/>
            <w:vAlign w:val="bottom"/>
          </w:tcPr>
          <w:p>
            <w:pPr>
              <w:spacing w:after="0"/>
              <w:rPr>
                <w:sz w:val="20"/>
                <w:szCs w:val="20"/>
                <w:color w:val="auto"/>
              </w:rPr>
            </w:pPr>
          </w:p>
        </w:tc>
        <w:tc>
          <w:tcPr>
            <w:tcW w:w="28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187"/>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Estimated Change</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 Change</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Hypothetical Change in Interest Rate</w:t>
            </w:r>
          </w:p>
        </w:tc>
        <w:tc>
          <w:tcPr>
            <w:tcW w:w="16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Fair Value</w:t>
            </w:r>
          </w:p>
        </w:tc>
        <w:tc>
          <w:tcPr>
            <w:tcW w:w="14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Fair Value</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0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(14,687)</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293,025</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331,905</w:t>
            </w: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change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307,712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347,731</w:t>
            </w: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basis point decrease</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13,509</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321,221</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16,199</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363,930</w:t>
            </w: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 basis point decrease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27,977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335,689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380,303</w:t>
            </w:r>
          </w:p>
        </w:tc>
      </w:tr>
    </w:tbl>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interest rate exposure of our portfolio was proportionately consistent in the current year compared to the prior year, which is expected given the generally consistent composition and duration of the fixed income portfolio over this time.</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Credit risk is the potential economic loss principally arising from adverse changes in the financial condition of a specific debt issuer. We address this risk by investing primarily in fixed income securities that are rated investment grade by Moody’s Investors Services, Inc. or an equivalent rating quality. We also work in conjunction with our outside fixed income portfolio manager to monitor the financial condition of all of the issuers of fixed income securities in the portfolio. Additionally, our investment policy includes diversification rules that limit the credit exposure to any single issuer or asset class.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Risk</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Equity price risk is the risk that we will incur economic losses due to adverse changes in equity prices. Our equity portfolio is subject to a variety of risk factors, including general economic conditions which influence the performance of the underlying industries and companies within those industries. Industry and company-specific risks also have the potential to substantially affect the value of our portfolio. Our investment policy helps mitigate these risks by diversifying the portfolio and establishing parameters to help manage exposures.</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51" w:right="459" w:bottom="1440" w:gutter="0" w:footer="0" w:header="0"/>
        </w:sectPr>
      </w:pPr>
    </w:p>
    <w:bookmarkStart w:id="48" w:name="page49"/>
    <w:bookmarkEnd w:id="4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Consolidated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NI Holdings, Inc. and Subsidiaries (the “Company”) as of December 31, 2024, and the consolidated statements of operations, comprehensive income (loss), changes in shareholders’ equity, and cash flows for the year ended December 31, 2024, and the schedule listed in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the results of its operations and its cash flows for the year ended,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audited the adjustments to the Company’s 2023 and 2022 consolidated financial statements to retrospectively apply the change in accounting for (a) discontinued operations described in Note 3 and Note 20, and (b) the adoption of ASU 2023-07, Segment Reporting (Topic 280) – Improvements to Reportable Segment Disclosures described in Note 21. In our opinion, such adjustments are appropriate and have been properly applied. We were not engaged to audit, review, or apply any procedures to the 2023 or 2022 consolidated financial statements of the Company other than with respect to the adjustments, and, accordingly, we do not express an opinion or any other form of assurance on the 2023 or 2022 consolidated financial statements taken as a whole.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 of the consolidated financial statements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and Limitations of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reliable consolidated financial statements for external purposes in accordance with generally</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Losses and Loss Adjustment Expenses Reserves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2024, the Company’s liability for unpaid losses and loss adjustment expenses was approximately $137 million. As described in Note 3 and 8, the Company’s property and casualty insurance loss and loss expenses reserves (referred to as “losses and loss expenses reserves”), are determined by the Company using actuarial methods, models, assumptions, and judgment to estimate the reserves required to pay for and settle all outstanding insured claims as of the consolidated financial statement date. There is significant uncertainty inherent in determining management’s best estimate of the losses and loss expenses reserves, requiring the use of informed actuarially based estimates and management’s judgment. The actuarial estimate of losses and loss expenses reserves is subject to review and adjustment by Company management.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Losses and loss expenses are inherently uncertain as to timing and amount and the recorded losses and loss expense reserves may vary materially from the actual ultimate cost of claims. Given the subjectivity in estimating ultimate losses and loss expenses, due to uncertainties concerning the future emergence of losses and loss expenses, inflation trends, and the judicial environment, among other factors, auditing losses and loss expenses reserves involved an especially high degree of auditor judgment, including the need to involve an actuarial specialist.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Matter Was Addressed in the Audit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certain internal controls over the Company’s reserving process for losses and loss adjustment expenses reserves.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test the Company’s estimate of losses and loss adjustment expenses reserves, our audit procedures included among others:</w:t>
      </w:r>
    </w:p>
    <w:p>
      <w:pPr>
        <w:spacing w:after="0" w:line="117"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the actuarial specialist, we used the Company’s claims data and other inputs, to develop a range of independent estimates for the losses and loss expenses reserves. We used these independent estimates to assess the reasonableness of the Company’s reserves by comparing our estimates to the Company’s recorded losses and loss expenses reserves.</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that served as the basis for the actuarial analysis, including historical claims data, to test the reasonableness of key inputs to the actuarial estimate.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686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NI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before the effects of the adjustments to retrospectively apply the change in accounting for (a) discontinued operations described in Note 3 and Note 20, and (b) the adoption of ASU 2023-07, Segment Reporting (Topic 280) – Improvements to Reportable Segment Disclosures described in Note 21, the accompanying consolidated balance sheet of NI Holdings, Inc. and Subsidiaries (collectively, the “Company”) as of December 31, 2023, and the related consolidated statements of operations, comprehensive income (loss), changes in shareholders’ equity, and cash flows for each of the years in the two-year period ended December 31, 2023, and the related notes and the schedule listed in Item 15(a)(2) (collectively referred to as the “consolidated financial statements”). The consolidated financial statements, before the effects of the adjustments to retrospectively apply the change in accounting for (a) discontinued operations described in Note 3 and Note 20, and (b) the adoption of ASU 2023-07, Segment Reporting (Topic 280) – Improvements to Reportable Segment Disclosures described in Note 21, are not presented herein.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before the effects of the adjustments to retrospectively apply the change in accounting for (a) discontinued operations described in Note 3 and Note 20, and (b) the adoption of ASU 2023-07, Segment Reporting (Topic 280) – Improvements to Reportable Segment Disclosures described in Note 21, present fairly, in all material respects, the financial position of the Company as of December 31, 2023, and the results of its operations and its cash flows for each of the years in the two-year period ended December 31, 2023, in conformity with accounting principles generally accepted in the United States of America.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to retrospectively apply the change in accounting for (a) discontinued operations described in Note 3 and Note 20, and (b) the adoption of ASU 2023-07, Segment Reporting (Topic 280) – Improvements to Reportable Segment Disclosures described in Note 21, and, accordingly, we do not express an opinion or any other form of assurance about whether such adjustments are appropriate and have been properly applied. Those adjustments were audited by Forvis Mazars,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Mazars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339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2016 to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Washington,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50,930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41,037</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December 31, 2024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2023)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307,712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289,399</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21,983</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09"/>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Premiums and agents' balances receivable (net of allowance for expected credit losses of $337 at December 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and $394 at December 31, 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56,154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26,790</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premiums receivable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Reinsurance recoverables on losses (net of allowance for expected credit losses of $0 at December 31, 2024 and</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12,561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recoverable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162,457</w:t>
            </w: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526,545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654,886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137,288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119,185</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126,498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126,100</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17,758</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141,297</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23,000,000 shares; and</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2024 – 20,673,268 shares, 2023 – 20,599,908 shares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96,294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201,584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208,376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(21,384)</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2024 – 2,281,252 shares, 2023 – 2,330,297 shares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(35,177)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526,545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654,886</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340" w:type="dxa"/>
            <w:vAlign w:val="bottom"/>
            <w:tcBorders>
              <w:bottom w:val="single" w:sz="8" w:color="auto"/>
            </w:tcBorders>
          </w:tcPr>
          <w:p>
            <w:pPr>
              <w:ind w:left="55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310,110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292,117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271,740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10,943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325,204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207,465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186,516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241,750</w:t>
            </w:r>
          </w:p>
        </w:tc>
        <w:tc>
          <w:tcPr>
            <w:tcW w:w="0" w:type="dxa"/>
            <w:vAlign w:val="bottom"/>
          </w:tcPr>
          <w:p>
            <w:pPr>
              <w:spacing w:after="0"/>
              <w:rPr>
                <w:sz w:val="1"/>
                <w:szCs w:val="1"/>
                <w:color w:val="auto"/>
              </w:rPr>
            </w:pPr>
          </w:p>
        </w:tc>
      </w:tr>
      <w:tr>
        <w:trPr>
          <w:trHeight w:val="216"/>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71,257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53,605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33,709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29,326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25,303</w:t>
            </w:r>
          </w:p>
        </w:tc>
        <w:tc>
          <w:tcPr>
            <w:tcW w:w="0" w:type="dxa"/>
            <w:vAlign w:val="bottom"/>
          </w:tcPr>
          <w:p>
            <w:pPr>
              <w:spacing w:after="0"/>
              <w:rPr>
                <w:sz w:val="1"/>
                <w:szCs w:val="1"/>
                <w:color w:val="auto"/>
              </w:rPr>
            </w:pPr>
          </w:p>
        </w:tc>
      </w:tr>
      <w:tr>
        <w:trPr>
          <w:trHeight w:val="229"/>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315,059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10,145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20,547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(52,876)</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3,545</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NI Holdings, Inc.</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(1,512)</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(25,057)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discontinued operations, net of income taxes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(11,148)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from continuing operations: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0.93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8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8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Share data:</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 outstanding used in basic per common share calculations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20,968,545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21,159,073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21,333,389</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securities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120,626</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76,532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diluted per common share calculations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21,089,171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21,235,605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40" w:type="dxa"/>
            <w:vAlign w:val="bottom"/>
            <w:tcBorders>
              <w:bottom w:val="single" w:sz="8" w:color="auto"/>
            </w:tcBorders>
          </w:tcPr>
          <w:p>
            <w:pPr>
              <w:ind w:left="55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right="196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Years Ended December 31, 2024, 2023, and 2022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center"/>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72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00" w:type="dxa"/>
            <w:vAlign w:val="bottom"/>
          </w:tcPr>
          <w:p>
            <w:pPr>
              <w:spacing w:after="0"/>
              <w:rPr>
                <w:sz w:val="20"/>
                <w:szCs w:val="20"/>
                <w:color w:val="auto"/>
              </w:rPr>
            </w:pPr>
          </w:p>
        </w:tc>
        <w:tc>
          <w:tcPr>
            <w:tcW w:w="152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spacing w:after="0"/>
              <w:rPr>
                <w:sz w:val="24"/>
                <w:szCs w:val="24"/>
                <w:color w:val="auto"/>
              </w:rPr>
            </w:pPr>
          </w:p>
        </w:tc>
        <w:tc>
          <w:tcPr>
            <w:tcW w:w="15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20"/>
                <w:szCs w:val="20"/>
                <w:color w:val="auto"/>
              </w:rPr>
            </w:pPr>
          </w:p>
        </w:tc>
        <w:tc>
          <w:tcPr>
            <w:tcW w:w="15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r>
    </w:tbl>
    <w:p>
      <w:pPr>
        <w:spacing w:after="0" w:line="20" w:lineRule="exact"/>
        <w:rPr>
          <w:sz w:val="20"/>
          <w:szCs w:val="20"/>
          <w:color w:val="auto"/>
        </w:rPr>
      </w:pPr>
    </w:p>
    <w:p>
      <w:pPr>
        <w:sectPr>
          <w:pgSz w:w="11900" w:h="16838" w:orient="portrait"/>
          <w:cols w:equalWidth="0" w:num="2">
            <w:col w:w="6440" w:space="460"/>
            <w:col w:w="4340"/>
          </w:cols>
          <w:pgMar w:left="320" w:top="549"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64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81"/>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6"/>
                <w:szCs w:val="16"/>
                <w:color w:val="auto"/>
              </w:rPr>
            </w:pPr>
          </w:p>
        </w:tc>
        <w:tc>
          <w:tcPr>
            <w:tcW w:w="1320" w:type="dxa"/>
            <w:vAlign w:val="bottom"/>
            <w:gridSpan w:val="4"/>
          </w:tcPr>
          <w:p>
            <w:pPr>
              <w:ind w:left="4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(249)</w:t>
            </w: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r>
      <w:tr>
        <w:trPr>
          <w:trHeight w:val="209"/>
        </w:trPr>
        <w:tc>
          <w:tcPr>
            <w:tcW w:w="6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4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gridSpan w:val="2"/>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(6,213)  $</w:t>
            </w:r>
          </w:p>
        </w:tc>
        <w:tc>
          <w:tcPr>
            <w:tcW w:w="13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(6,213)</w:t>
            </w:r>
          </w:p>
        </w:tc>
      </w:t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2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6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9,709</w:t>
            </w: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10,072</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w:t>
            </w:r>
          </w:p>
        </w:tc>
      </w:tr>
    </w:tbl>
    <w:p>
      <w:pPr>
        <w:spacing w:after="0" w:line="20" w:lineRule="exact"/>
        <w:rPr>
          <w:sz w:val="20"/>
          <w:szCs w:val="20"/>
          <w:color w:val="auto"/>
        </w:rPr>
      </w:pPr>
    </w:p>
    <w:p>
      <w:pPr>
        <w:sectPr>
          <w:pgSz w:w="11900" w:h="16838" w:orient="portrait"/>
          <w:cols w:equalWidth="0" w:num="2">
            <w:col w:w="6440" w:space="420"/>
            <w:col w:w="438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4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10,291</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363</w:t>
            </w:r>
          </w:p>
        </w:tc>
        <w:tc>
          <w:tcPr>
            <w:tcW w:w="4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10,654</w:t>
            </w:r>
          </w:p>
        </w:tc>
        <w:tc>
          <w:tcPr>
            <w:tcW w:w="100" w:type="dxa"/>
            <w:vAlign w:val="bottom"/>
          </w:tcPr>
          <w:p>
            <w:pPr>
              <w:spacing w:after="0"/>
              <w:rPr>
                <w:sz w:val="16"/>
                <w:szCs w:val="16"/>
                <w:color w:val="auto"/>
              </w:rPr>
            </w:pP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(2,389)</w:t>
            </w:r>
          </w:p>
        </w:tc>
        <w:tc>
          <w:tcPr>
            <w:tcW w:w="5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(2,474)</w:t>
            </w:r>
          </w:p>
        </w:tc>
      </w:tr>
      <w:tr>
        <w:trPr>
          <w:trHeight w:val="209"/>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4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CEEFF"/>
            </w:tcBorders>
          </w:tcPr>
          <w:p>
            <w:pPr>
              <w:spacing w:after="0"/>
              <w:rPr>
                <w:sz w:val="18"/>
                <w:szCs w:val="18"/>
                <w:color w:val="auto"/>
              </w:rPr>
            </w:pPr>
          </w:p>
        </w:tc>
      </w:tr>
      <w:tr>
        <w:trPr>
          <w:trHeight w:val="210"/>
        </w:trPr>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1"/>
                <w:szCs w:val="21"/>
                <w:color w:val="auto"/>
              </w:rPr>
            </w:pPr>
          </w:p>
        </w:tc>
      </w:tr>
      <w:tr>
        <w:trPr>
          <w:trHeight w:val="20"/>
        </w:trPr>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center"/>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72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00" w:type="dxa"/>
            <w:vAlign w:val="bottom"/>
          </w:tcPr>
          <w:p>
            <w:pPr>
              <w:spacing w:after="0"/>
              <w:rPr>
                <w:sz w:val="20"/>
                <w:szCs w:val="20"/>
                <w:color w:val="auto"/>
              </w:rPr>
            </w:pPr>
          </w:p>
        </w:tc>
        <w:tc>
          <w:tcPr>
            <w:tcW w:w="152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(44,810)</w:t>
            </w:r>
          </w:p>
        </w:tc>
        <w:tc>
          <w:tcPr>
            <w:tcW w:w="200" w:type="dxa"/>
            <w:vAlign w:val="bottom"/>
          </w:tcPr>
          <w:p>
            <w:pPr>
              <w:spacing w:after="0"/>
              <w:rPr>
                <w:sz w:val="24"/>
                <w:szCs w:val="24"/>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(1,703)</w:t>
            </w: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(46,513)</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6440" w:space="460"/>
            <w:col w:w="434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81"/>
              <w:spacing w:after="0" w:line="189" w:lineRule="exact"/>
              <w:rPr>
                <w:sz w:val="20"/>
                <w:szCs w:val="20"/>
                <w:color w:val="auto"/>
              </w:rPr>
            </w:pPr>
            <w:r>
              <w:rPr>
                <w:rFonts w:ascii="Times New Roman" w:cs="Times New Roman" w:eastAsia="Times New Roman" w:hAnsi="Times New Roman"/>
                <w:sz w:val="18"/>
                <w:szCs w:val="18"/>
                <w:color w:val="auto"/>
              </w:rPr>
              <w:t>(44,679)</w:t>
            </w:r>
          </w:p>
        </w:tc>
        <w:tc>
          <w:tcPr>
            <w:tcW w:w="440" w:type="dxa"/>
            <w:vAlign w:val="bottom"/>
          </w:tcPr>
          <w:p>
            <w:pPr>
              <w:spacing w:after="0"/>
              <w:rPr>
                <w:sz w:val="16"/>
                <w:szCs w:val="16"/>
                <w:color w:val="auto"/>
              </w:rPr>
            </w:pPr>
          </w:p>
        </w:tc>
        <w:tc>
          <w:tcPr>
            <w:tcW w:w="102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(1,683)</w:t>
            </w:r>
          </w:p>
        </w:tc>
        <w:tc>
          <w:tcPr>
            <w:tcW w:w="380" w:type="dxa"/>
            <w:vAlign w:val="bottom"/>
          </w:tcPr>
          <w:p>
            <w:pPr>
              <w:spacing w:after="0"/>
              <w:rPr>
                <w:sz w:val="16"/>
                <w:szCs w:val="16"/>
                <w:color w:val="auto"/>
              </w:rPr>
            </w:pPr>
          </w:p>
        </w:tc>
        <w:tc>
          <w:tcPr>
            <w:tcW w:w="9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(46,362)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10,156</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383</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10,539</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4"/>
              </w:rPr>
              <w:t>(1,300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(87,619)  $</w:t>
            </w:r>
          </w:p>
        </w:tc>
        <w:tc>
          <w:tcPr>
            <w:tcW w:w="1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(1,979)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600" w:type="dxa"/>
            <w:vAlign w:val="bottom"/>
            <w:tcBorders>
              <w:bottom w:val="single" w:sz="8" w:color="auto"/>
            </w:tcBorders>
          </w:tcPr>
          <w:p>
            <w:pPr>
              <w:ind w:left="55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type w:val="continuous"/>
        </w:sectPr>
      </w:pPr>
    </w:p>
    <w:bookmarkStart w:id="54" w:name="page55"/>
    <w:bookmarkEnd w:id="5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3"/>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7"/>
                <w:szCs w:val="17"/>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of Income</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15"/>
        </w:trPr>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Plan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72"/>
        </w:trPr>
        <w:tc>
          <w:tcPr>
            <w:tcW w:w="14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Balance,</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2022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267,207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5,237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(26,452)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347,413</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Battle Creek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demutualization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(53,096)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(53,775)</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Westminster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(34,523)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(35,823)</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(4,180)</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(4,180)</w:t>
            </w:r>
          </w:p>
        </w:tc>
      </w:tr>
      <w:tr>
        <w:trPr>
          <w:trHeight w:val="19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vested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1,814</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(768)</w:t>
            </w:r>
          </w:p>
        </w:tc>
      </w:tr>
      <w:tr>
        <w:trPr>
          <w:trHeight w:val="19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 of</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ownership plan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380</w:t>
            </w:r>
          </w:p>
        </w:tc>
      </w:tr>
      <w:tr>
        <w:trPr>
          <w:trHeight w:val="169"/>
        </w:trPr>
        <w:tc>
          <w:tcPr>
            <w:tcW w:w="14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(29,286)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(28,818)</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2,230</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253,207</w:t>
            </w:r>
          </w:p>
        </w:tc>
      </w:tr>
      <w:tr>
        <w:trPr>
          <w:trHeight w:val="172"/>
        </w:trPr>
        <w:tc>
          <w:tcPr>
            <w:tcW w:w="1400" w:type="dxa"/>
            <w:vAlign w:val="bottom"/>
            <w:tcBorders>
              <w:top w:val="single" w:sz="8" w:color="CCEEFF"/>
            </w:tcBorders>
            <w:shd w:val="clear" w:color="auto" w:fill="CCEEFF"/>
          </w:tcPr>
          <w:p>
            <w:pPr>
              <w:ind w:left="140"/>
              <w:spacing w:after="0" w:line="171" w:lineRule="exact"/>
              <w:rPr>
                <w:sz w:val="20"/>
                <w:szCs w:val="20"/>
                <w:color w:val="auto"/>
              </w:rPr>
            </w:pPr>
            <w:r>
              <w:rPr>
                <w:rFonts w:ascii="Times New Roman" w:cs="Times New Roman" w:eastAsia="Times New Roman" w:hAnsi="Times New Roman"/>
                <w:sz w:val="16"/>
                <w:szCs w:val="16"/>
                <w:color w:val="auto"/>
              </w:rPr>
              <w:t>Battle Creek</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demutualization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(5,226)</w:t>
            </w:r>
          </w:p>
        </w:tc>
      </w:tr>
      <w:tr>
        <w:trPr>
          <w:trHeight w:val="189"/>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Impact of</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Westminster</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gains/losses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net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income taxes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7,902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8,180</w:t>
            </w:r>
          </w:p>
        </w:tc>
      </w:tr>
      <w:tr>
        <w:trPr>
          <w:trHeight w:val="19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(7,278)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(7,278)</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1,366</w:t>
            </w:r>
          </w:p>
        </w:tc>
      </w:tr>
      <w:tr>
        <w:trPr>
          <w:trHeight w:val="19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vested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 shares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ownership plan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322</w:t>
            </w:r>
          </w:p>
        </w:tc>
      </w:tr>
      <w:tr>
        <w:trPr>
          <w:trHeight w:val="172"/>
        </w:trPr>
        <w:tc>
          <w:tcPr>
            <w:tcW w:w="14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Balance,</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208,376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(21,384)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(35,177)</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2,758</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250,399</w:t>
            </w:r>
          </w:p>
        </w:tc>
      </w:tr>
      <w:tr>
        <w:trPr>
          <w:trHeight w:val="169"/>
        </w:trPr>
        <w:tc>
          <w:tcPr>
            <w:tcW w:w="1400" w:type="dxa"/>
            <w:vAlign w:val="bottom"/>
          </w:tcPr>
          <w:p>
            <w:pPr>
              <w:ind w:left="140"/>
              <w:spacing w:after="0" w:line="169" w:lineRule="exact"/>
              <w:rPr>
                <w:sz w:val="20"/>
                <w:szCs w:val="20"/>
                <w:color w:val="auto"/>
              </w:rPr>
            </w:pPr>
            <w:r>
              <w:rPr>
                <w:rFonts w:ascii="Times New Roman" w:cs="Times New Roman" w:eastAsia="Times New Roman" w:hAnsi="Times New Roman"/>
                <w:sz w:val="16"/>
                <w:szCs w:val="16"/>
                <w:color w:val="auto"/>
              </w:rPr>
              <w:t>Battle Creek</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demutualization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(6,060)</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Westminster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4,380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238</w:t>
            </w:r>
          </w:p>
        </w:tc>
      </w:tr>
      <w:tr>
        <w:trPr>
          <w:trHeight w:val="189"/>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vested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award shares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w:t>
            </w:r>
          </w:p>
        </w:tc>
      </w:tr>
    </w:tbl>
    <w:p>
      <w:pPr>
        <w:sectPr>
          <w:pgSz w:w="11900" w:h="16900" w:orient="portrait"/>
          <w:cols w:equalWidth="0" w:num="1">
            <w:col w:w="11240"/>
          </w:cols>
          <w:pgMar w:left="320" w:top="549" w:right="3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 of</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365</w:t>
            </w:r>
          </w:p>
        </w:tc>
      </w:tr>
      <w:tr>
        <w:trPr>
          <w:trHeight w:val="203"/>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ownership plan</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69"/>
        </w:trPr>
        <w:tc>
          <w:tcPr>
            <w:tcW w:w="13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95,796</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(455)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201,584</w:t>
            </w: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(18,231)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(34,293)</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3810</wp:posOffset>
            </wp:positionV>
            <wp:extent cx="61290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-127635</wp:posOffset>
            </wp:positionV>
            <wp:extent cx="61290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from discontinued operations, net of income taxes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investment gains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11,975</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 of employee stock ownership plan shares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71,257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67,631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53,605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6,296</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15,237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 recoverable / payable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0" w:type="dxa"/>
            <w:vAlign w:val="bottom"/>
          </w:tcPr>
          <w:p>
            <w:pPr>
              <w:spacing w:after="0"/>
              <w:rPr>
                <w:sz w:val="1"/>
                <w:szCs w:val="1"/>
                <w:color w:val="auto"/>
              </w:rPr>
            </w:pPr>
          </w:p>
        </w:tc>
      </w:tr>
      <w:tr>
        <w:trPr>
          <w:trHeight w:val="229"/>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flows from operating activities – continuing operations</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flows from operating activities – discontinued operations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25,012</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flows from operating activities – loss on sale of discontinued operations</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43,633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75,031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25,260</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Westminster</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continuing operations</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discontinued operations</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Pooling (payments) receipts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 payment on Westminster consideration payable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repayments of finance leases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0"/>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continuing operations</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discontinued operations</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30,322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34,749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 – discontinued operations</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0" w:type="dxa"/>
            <w:vAlign w:val="bottom"/>
          </w:tcPr>
          <w:p>
            <w:pPr>
              <w:spacing w:after="0"/>
              <w:rPr>
                <w:sz w:val="1"/>
                <w:szCs w:val="1"/>
                <w:color w:val="auto"/>
              </w:rPr>
            </w:pPr>
          </w:p>
        </w:tc>
      </w:tr>
      <w:tr>
        <w:trPr>
          <w:trHeight w:val="209"/>
        </w:trPr>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increase (decrease) in cash and cash equivalents – continuing operations</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 – continuing operations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41,037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33,862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48,904</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continuing operations</w:t>
            </w: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income taxes paid (net of refunds received)</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18" w:orient="portrait"/>
          <w:cols w:equalWidth="0" w:num="1">
            <w:col w:w="11240"/>
          </w:cols>
          <w:pgMar w:left="320" w:top="549" w:right="339" w:bottom="0"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62"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and became such in connection with the Nodak conversion, whereby Nodak Mutual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include the financial position and results of operations of NI Holdings and the following other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Insurance Company</w:t>
      </w:r>
    </w:p>
    <w:p>
      <w:pPr>
        <w:spacing w:after="0" w:line="202"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Agency,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West Insurance Company</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Primero Insurance Company</w:t>
      </w:r>
    </w:p>
    <w:p>
      <w:pPr>
        <w:spacing w:after="0" w:line="20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 coverage in the states of Nevada, Arizona, North Dakota, and South Dakota during 2024. As of December 31, 2024, Primero no longer writes coverage in the state of Nevada. Primero was acquired by Nodak Insurance in 2014.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Insurance Company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and its net income or loss was excluded from net income or loss attributed to NI Holdings in our Consolidated Statements of Operations. Subsequent to January 2, 2024, Battle Creek is fully consolidated in our Consolidated Balance Sheets and Consolidated Statements of Operations and, as such, no longer reflected as a non-controlling interest.</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Direct Auto Insurance Company</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 coverage in 2007, and was acquired by NI Holdings on August 31, 2018, via a stock purchase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Westminster American Insurance Company</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II, Item 8, Note 20 “Discontinued Operations” of this 2024 Annual Report.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Structure and Credit Ratings</w:t>
      </w:r>
    </w:p>
    <w:p>
      <w:pPr>
        <w:spacing w:after="0" w:line="18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Nodak Insurance markets and distributes its policies through its captive agents, while all other companies utilize the independent agent distribution channel. Additionally, all of the Company’s insurance subsidiary and affiliate companies as of December 31, 2024, are rated “A” Excellent by AM Best.</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personnel provide common product oversight, pricing practices, and underwriting standards, as well as underwriting and claims administration, to Nodak Insurance, American West, and Battle Creek. Primero and Direct Auto personnel manage the day-to-day operations of their respective companies. Westminster personnel managed the day-to-day operations of their company prior to the date of sale.</w:t>
      </w:r>
    </w:p>
    <w:p>
      <w:pPr>
        <w:spacing w:after="0" w:line="149"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0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the fourth quarter of 2024, the Company adopted the annual and interim disclosure requirements of ASU 2023-07, “Segment Reporting (Topic 280): Improvements to Reportable Segment Disclosures” issued by the FASB in November 2023. The amendments expand a public business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See Item II, Part 8, Note 21 “Segment Information” section of this Annual Report for applicable disclosures required by this guidance.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Instruments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2022, the Company adopted amended guidance from the FASB that applies a new credit loss model (current expected credit losses or “CECL”) for determining credit-related impairments for financial instruments measured at amortized cost and requires an entity to estimate the credit losses expected over the life of an exposure or pool of exposures. The expected credit losses, and subsequent adjustments to such losses, are recorded through an allowance account that is deducted from the amortized cost basis of the financial asset, with the net carrying value of the financial asset presented on the Consolidated Balance Sheet at the amount expected to be collected. The updated guidance also amended the previous other-than-temporary impairment model for available-for-sale fixed income securities by requiring the recognition of impairments relating to credit losses through an allowance account and limiting the amount of credit loss to the difference between a security’s amortized cost basis and its fair value. In addition, the length of time a security has been in an unrealized loss position no longer impacts the determination of whether a credit loss exists.</w:t>
      </w:r>
    </w:p>
    <w:p>
      <w:pPr>
        <w:spacing w:after="0" w:line="1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adopted the updated guidance for the year ended December 31, 2022. The adoption of this guidance resulted in an allowance for expected credit losses of $425 for premiums and agents' balances receivable in the Consolidated Balance Sheet as of December 31, 2022. Based on the results of the receivable analyses and management’s review of our available-for-sale fixed income securities, it was determined that no allowance was required for reinsurance recoverables or available-for-sale fixed income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17" w:right="399" w:bottom="1440" w:gutter="0" w:footer="0" w:header="0"/>
        </w:sectPr>
      </w:pPr>
    </w:p>
    <w:bookmarkStart w:id="60" w:name="page61"/>
    <w:bookmarkEnd w:id="60"/>
    <w:p>
      <w:pPr>
        <w:ind w:right="580"/>
        <w:spacing w:after="0" w:line="282" w:lineRule="auto"/>
        <w:rPr>
          <w:sz w:val="20"/>
          <w:szCs w:val="20"/>
          <w:color w:val="auto"/>
        </w:rPr>
      </w:pPr>
      <w:r>
        <w:rPr>
          <w:rFonts w:ascii="Times New Roman" w:cs="Times New Roman" w:eastAsia="Times New Roman" w:hAnsi="Times New Roman"/>
          <w:sz w:val="18"/>
          <w:szCs w:val="18"/>
          <w:color w:val="auto"/>
        </w:rPr>
        <w:t>securities in the Consolidated Balance Sheet as of December 31, 2022. See Item II, Part 8, Note 4 “Investments” section of this Annual Report for applicable disclosures required by this guidance.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Effective for the year ended December 31, 2022, the Company adopted the updated guidance for leases and elected to utilize a cumulative-effect adjustment to the opening balance of retained earnings for the year of adoption, if necessary. Accordingly, the Company’s reporting for the comparative periods prior to adoption continue to be presented in the consolidated financial statements in accordance with previous lease accounting guidance. The Company also elected to apply all practical expedients applicable to the Company in the updated guidance for transition for leases in effect at adoption, including using hindsight to determine the lease term of existing leases, the option to not reassess whether an existing contract is a lease or contains a lease, and whether the lease is an operating or finance lease. The adoption of the updated guidance resulted in the Company recognizing a right-of-use asset of $1,637 as part of other assets, a lease liability of $1,837 as part of accrued expenses and other liabilities, and an elimination of the $200 deferred rent liability in the Consolidated Balance Sheet as of December 31, 2022. The cumulative effect adjustment to the opening balance of retained earnings was zero. The adoption of the updated guidance did not affect the Company’s results of operations or cash flows. See Item II, Part 8, Note 15 “Leases” section of this Annual Report for applicable disclosures required by this guidance.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Simplifying the Accounting for Income Taxes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2022, the Company adopted amended guidance from the FASB relating to accounting for income taxes. The modifications primarily remove or amend several exceptions contained in existing guidance to simplify income tax matters. The adoption of this guidance did not materially impact the Company’s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guidance is intended to improve disclosures about a public business entity's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statement of operations,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150"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which we have prepared in accordance with GAAP, include our accounts and those of our wholly-owned subsidiaries, including Battle Creek, which was consolidated as a variable interest entity (“VIE”) with an associated non-controlling interest prior to January 2, 2024. We have eliminated all significant intercompany accounts and transactions in consolidation.</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deferred policy acquisition costs, as well as valuation and impairments of goodwill and other intangible assets.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Variable-Interest Entities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company deemed to be a VIE is required to be consolidated by the primary beneficiary of the VIE.</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8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money market accounts, and certain investments in highly liquid debt instruments. Cost approximates fair value for these short-term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values are based on quoted market prices or independent pricing services, if available. If a quoted market price is not available, fair value is estimated using quoted market prices for similar securities. Amortization of premium and accretion of discount are computed using the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investment gains (losses), along with the change in unrealized gains and losses on equity securities. Other invested assets that do not have observable inputs and little or no market activity are carried on a cost basis, which approximates fair value. The carrying value of these other invested assets was $1,812 at December 31, 2024 and $2,006 at December 31, 2023.</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Beginning on December 31, 2022, credit losses are recognized through an allowance account. See Part II, Item 8, Note 2 “Recent Accounting Pronouncements” for additional information. We, along with our investment advisors, frequently review our investment portfolio for declines in fair value that could be indicative of credit losses. The available-for-sale impairment model requires an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62" w:name="page63"/>
    <w:bookmarkEnd w:id="62"/>
    <w:p>
      <w:pPr>
        <w:ind w:right="60"/>
        <w:spacing w:after="0" w:line="255" w:lineRule="auto"/>
        <w:rPr>
          <w:sz w:val="20"/>
          <w:szCs w:val="20"/>
          <w:color w:val="auto"/>
        </w:rPr>
      </w:pPr>
      <w:r>
        <w:rPr>
          <w:rFonts w:ascii="Times New Roman" w:cs="Times New Roman" w:eastAsia="Times New Roman" w:hAnsi="Times New Roman"/>
          <w:sz w:val="18"/>
          <w:szCs w:val="18"/>
          <w:color w:val="auto"/>
        </w:rPr>
        <w:t>estimate of expected credit losses only when the fair value of the available-for-sale fixed income security is below its amortized cost basis. The Company considers a number of factors when determining if an allowance for credit losses is necessary including payment and default history, credit spreads, credit ratings and rating actions, and probability of default. The Company determines the credit loss component of fixed income securities by utilizing discounted cash flow modeling to determine the present value of the security and comparing the present value with the amortized cost of the security. If the amortized cost is greater than the present value of the expected cash flows, the difference is considered a credit loss and recognized as an impairment loss in net realized investment gains (losses). Credit impairments are recognized as an allowance on the Consolidated Balance Sheet with a corresponding adjustment to earnings.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fixed income securities that the Company does not intend to sell or for which it is more likely than not that the Company would not be required to sell before an anticipated recovery in value, the Company separates the credit loss component of the impairment from the amount related to all other factors and reports the credit loss component in net realized investment gains (losses). The impairment related to all other factors (non-credit factors) is reported in other comprehensive income. The allowance is adjusted for any additional credit losses and subsequent recoveries. Upon recognizing a credit loss, the cost basis is not adjusted.</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fixed income securities that the Company intends to sell or for which it is more likely than not that the Company will be required to sell before an anticipated recovery in value, the full amount of the impairment is included in net investment gains (losses). The new cost basis of the investment is the previous amortized cost basis less the impairment recognized in net investment gains (losses). The new cost basis is not adjusted for any subsequent recoveries in fair value.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reports investment income accrued separately from fixed income investments, available for sale, and has elected not to measure an allowance for credit losses for investment income accrued. Investment income accrued is written off through net realized investment gains (losses) at the time the issuer of the bond defaults or is expected to default on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investment valuation measurements, see Part II, Item 8, Note 5 “Fair Value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period of risk for our crop insurance program, which is comprised of primarily spring-planted crops, typically runs from April 1 (the approximate time when farmers can begin to work their fields) through December 15 (last date claims can be made for the most recent planting season).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and Agents’ Balances Receivable</w:t>
      </w:r>
    </w:p>
    <w:p>
      <w:pPr>
        <w:spacing w:after="0" w:line="18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Premiums and agents’ balances receivable include both direct and agent billed premiums as well as crop notes receivable related to the multi-peril crop and crop hail insurance.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billed directly to the policyholder are provided grace payment and cancellation notice periods per state insurance regulations.</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Direct Auto also provides for agency billing for a portion of their agents. Accounts billed to agents are due within 60 days of the statement date. The agent is responsible for all past due balances. As part of its agent appointment, Direct Auto requires a personal guarantee for all balances due to Direct Auto from the principal of the contracted agency.</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Beginning on December 31, 2022, the premium and agents’ receivable balances are reported net of an allowance for expected credit losses. See Part II, Item 8, Note 2 “Recent Accounting Pronouncements” for additional information. We recognized $425 of credit losses for these receivables at the time of adoption of CECL. Therefore, there was no beginning balance of credit losses as of January 1, 2022, and all 2022 activity was the result of adoption. As a result of the transition from the previous accounting treatment, we did not record a cumulative effect adjustment to retained earnings at the time of adoption. Given the nature of these receivables, the Company has elected to use a loss-rate method to determine the expected credit losses. The allowance is based upon the Company’s ongoing review of amounts outstanding and write-offs. Management may also evaluate current economic conditions and reasonable/supportable forecasts to adjust this calculation as deemed necessary.</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Policy Acquisition Costs</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report property and equipment at cost less accumulated depreciation. Depreciation is typically computed using the straight-line method based upon estimated useful lives of the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may differ from these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liabilities for unpaid losses and loss adjustment expenses with respect to both reported and unreported claims. We establish these liabilities for the purpose of covering the ultimate costs of settling all losses incurred through the reporting date,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potential impact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data,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State premium taxes are included as a part of amortization of deferred policy acquisition costs. State income taxes are reported along with federal income taxes as income tax expense (benefit).</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 did not have any material uncertain tax positions as of December 31, 2024 and 2023. The Company’s policy is to recognize tax-related interest and penalties accrued related to unrecognized benefits as a component of income tax expense. The Company did not recognize any tax-related interest and penalties, nor did it have any tax-related interest or penalties accrued as of December 31, 2024 and 2023.</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tax basis of our assets and liabilities at enacted tax rates expected to be in effect when we realize or settle such amounts.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also record any change to a previously recorded valuation allowance as a result of re-measuring existing temporary differences and loss carryforwards as a component of income tax expense from continuing operations.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has elected to reclassify any tax effects stranded in accumulated other comprehensive income as a result of a change in income tax rates to retained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Earnings per share are computed by dividing net income available to common shareholders for the period by the weighted average number of common shares outstanding for the same period. Unearned shares related to the Company’s ESOP are not considered outstanding until they are released and allocated to plan participants. Unearned shares related to the Company’s Restricted Stock Units (“RSUs”) and Performance Share Units (“PSUs”) are not considered outstanding until they are earned by award participants. See Part II, Item 8, Note 12 “Benefit Plans” and Note 18 “Share-Based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3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During the normal course of business, balances for these accounts are often maintained in excess of the SIPC insurance limit.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0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limits the maximum net loss that can arise from large risks or risks in concentrated areas of exposure by reinsuring (ceding) certain levels of risks to reinsurers, either on an automatic basis under general reinsurance contracts known as treaties or through facultative contracts placed on substantial individual risks. Ceded reinsurance is treated as the risk and liability of the assuming companies.</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ceding of insurance does not legally discharge us from primary liability under our policies, and we must pay the loss if the reinsurer fails to meet its obligation.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Amounts recoverable from reinsurers are estimated in a manner consistent with the associated claim liability. Beginning on December 31, 2022, credit losses are recognized through an allowance account developed using the CECL model. See Part II, Item 8, Note 2 “Recent Accounting Pronouncements” for additional information. The allowance is based upon the Company’s ongoing review of amounts outstanding, length of collection periods, changes in reinsurer credit standing, disputes, applicable coverage defenses and other relevant factors.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Goodwill assets arise from business combinations and consist of the excess of the fair value of consideration paid over the tangible and intangible assets acquired and liabilities assumed. We evaluate goodwill and other intangible assets for impairment on an annual basis or more frequently if events or changes in circumstances indicate that it is more likely than not that the carrying amount of goodwill and other intangible assets may exceed their fair value.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5" w:name="page66"/>
    <w:bookmarkEnd w:id="65"/>
    <w:p>
      <w:pPr>
        <w:ind w:right="40"/>
        <w:spacing w:after="0" w:line="256" w:lineRule="auto"/>
        <w:rPr>
          <w:sz w:val="20"/>
          <w:szCs w:val="20"/>
          <w:color w:val="auto"/>
        </w:rPr>
      </w:pPr>
      <w:r>
        <w:rPr>
          <w:rFonts w:ascii="Times New Roman" w:cs="Times New Roman" w:eastAsia="Times New Roman" w:hAnsi="Times New Roman"/>
          <w:sz w:val="18"/>
          <w:szCs w:val="18"/>
          <w:color w:val="auto"/>
        </w:rPr>
        <w:t>When performing our goodwill impairment analyses, we typically first assess qualitative factors to determine whether it is more likely than not that the fair value of a reporting unit is less than its carrying amount. In making our assessment, we evaluate a number of factors including operating results, key changes in the reporting unit, business plans, macroeconomic conditions, and industry considerations. Inherent uncertainties exist with respect to these factors and to our judgment in applying them when we make our assessment, and impairment of goodwill and other intangibles could result from changes in economic and operating conditions in future periods. We may also choose to bypass the qualitative assessment in any period for any reporting unit and proceed directly to performing the quantitative assessment.</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qualitative assessment indicates it is more likely than not that the fair value of a reporting unit is less than its carrying amount or we choose to bypass the qualitative assessment, we will perform a quantitative assessment that compares the reporting unit’s carrying value with its estimated fair value. The determination of the fair value of our reporting units is based a market approach that considers benchmark company market multiples, an income approach that utilizes discounted cash flows, or another generally accepted method.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While we believe such assumptions and estimates are reasonable, the actual results may differ materially from the projected amounts. Should the carrying value exceed the estimated fair value, a goodwill impairment charge will be recognized in the amount by which the reporting unit’s carrying amount exceeds its fair value, not to exceed the total goodwill assigned to the reporting unit.</w:t>
      </w:r>
    </w:p>
    <w:p>
      <w:pPr>
        <w:spacing w:after="0" w:line="1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goodwill arising from the acquisition of Primero in 2014, we determined that it was appropriate to perform a quantitative assessment during the fourth quarter of 2024. Based on our quantitative assessment as described above, we concluded that the goodwill related to Primero was fully impaired as of December 31, 2024, primarily due to Primero’s expected future performance being well below initial projections and expectations as a result of strategic initiatives. We did not record any impairments of goodwill for this reporting unit during the years ended December 31, 2023 or 2022.</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goodwill arising from the acquisition of Westminster in 2020, we determined that it was appropriate to perform a quantitative assessment during the fourth quarter of 2023. Based on our quantitative assessment as described above, we concluded that the goodwill related to Westminster was fully impaired as of December 31, 2023, primarily due to Westminster’s actual and expected future performance being well below initial projections and expectations. We did not record any impairments of goodwill for this reporting unit during the year ended December 31, 2022.</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Direct Auto trade name was amortized over five years from the August 31, 2018 acquisition/valuation date. The favorable lease contract and VOBA assets have been fully amortized. We did not record any impairments of the intangible assets for this reporting unit during the years ended December 31, 2024, 2023 or 2022.</w:t>
      </w:r>
    </w:p>
    <w:p>
      <w:pPr>
        <w:spacing w:after="0" w:line="1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Other intangible assets arising from the acquisition of Westminster represented the estimated fair values of certain intangible assets, including state insurance licenses, the value of Westminster’s distribution network, the value of the Westminster trade name, and the VOBA. The state insurance license asset had an indefinite life, while the distribution networks asset and Westminster trade name were being amortized over twenty years and ten years, respectively, from the January 1, 2020 acquisition/valuation date until the date of sale on June 30, 2024. The VOBA asset had been fully amortized at the date of the sale of Westminster. We did not record any impairments of the other intangible assets for this reporting unit during the years ended December 31, 2023 or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May 7, 2024, NI Holdings entered into a Stock Purchase Agreement (“Purchase Agreement”) to sell its subsidiary, Westminster, to Scott Insurance Holdings, a privately owned Maryland limited liability company. Scott Insurance Holdings is affiliated with John Scott, Sr., the father of the president of Westminster, John Scott, Jr. The sale closed on June 30, 2024. The Purchase Agreement included a cash purchase price of $10,500, subject to certain post-closing adjustments, including a post-closing payment to NI Holdings for the amount by which the ending statutory surplus balance for Westminster exceeded $20,000. The post-closing payment received from Scott Insurance Holdings during the third quarter of 2024 was $1,772 and has been included as an adjustment to the purchase price for the calculation of the loss on the sale of Westminster. The sale of Westminster, which represented the majority of our Commercial segment in prior periods, was a strategic shift that has had a major effect on our operations and financial results. Therefore, Westminster has been reported as discontinued operations in the Consolidated Balance Sheets, Consolidated Statements of Operations, and Consolidated Statements of Cash Flows for all periods presented in this 2024 Annual Report. All current and prior periods reflected in this 2024 Annual Report have been presented as continuing and discontinued operations, unless otherwise noted. For additional information see Part II, Item 8, Note 20 “Discontinued Operations” of this 2024 Annual Report.</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NI Holdings filed Amendment No. 1 to our Quarterly Report on Form 10-Q/A to amend certain information included in the Company's Quarterly Report on Form 10-Q for the three- and six-month periods ended June 30, 2024, which was filed with the SEC on August 8, 2024, due to errors resulting from the incorrect accounting for, and presentation of, the previously announced sale of Westminster. Specifically, the Company failed to record certain receivables on Westminster’s closing balance sheet as well as the corresponding payable for Nodak Insurance for amounts owed to Westminster related to the final settlement of the intercompany reinsurance pooling agreement after the date of sale. Failure to include this receivable in Westminster’s closing net assets and liabilities also caused an understatement of the loss on sale of discontinued operations, which also understated the Company’s total net loss. The impact of the corrections related to this error on the consolidated financial statements as of and for the three- and six-month periods ended June 30, 2024,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Consolidated Balance Sheets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As Reported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19"/>
                <w:szCs w:val="19"/>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331,537</w:t>
            </w:r>
          </w:p>
        </w:tc>
        <w:tc>
          <w:tcPr>
            <w:tcW w:w="4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334,923</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197,827</w:t>
            </w:r>
          </w:p>
        </w:tc>
        <w:tc>
          <w:tcPr>
            <w:tcW w:w="4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194,441</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239,450</w:t>
            </w:r>
          </w:p>
        </w:tc>
        <w:tc>
          <w:tcPr>
            <w:tcW w:w="4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236,064</w:t>
            </w: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 (Unaudited)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10"/>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1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4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00" w:type="dxa"/>
            <w:vAlign w:val="bottom"/>
          </w:tcPr>
          <w:p>
            <w:pPr>
              <w:spacing w:after="0"/>
              <w:rPr>
                <w:sz w:val="20"/>
                <w:szCs w:val="20"/>
                <w:color w:val="auto"/>
              </w:rPr>
            </w:pPr>
          </w:p>
        </w:tc>
        <w:tc>
          <w:tcPr>
            <w:tcW w:w="12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Restated</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discontinued operations, net of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(16,236)</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(19,622)</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(9,817)</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(13,203)</w:t>
            </w:r>
          </w:p>
        </w:tc>
      </w:tr>
      <w:tr>
        <w:trPr>
          <w:trHeight w:val="216"/>
        </w:trPr>
        <w:tc>
          <w:tcPr>
            <w:tcW w:w="3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(0.94)</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(0.94)</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r>
      <w:tr>
        <w:trPr>
          <w:trHeight w:val="414"/>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Comprehensive Income (Loss) (Unaudited)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10"/>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1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4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00" w:type="dxa"/>
            <w:vAlign w:val="bottom"/>
          </w:tcPr>
          <w:p>
            <w:pPr>
              <w:spacing w:after="0"/>
              <w:rPr>
                <w:sz w:val="20"/>
                <w:szCs w:val="20"/>
                <w:color w:val="auto"/>
              </w:rPr>
            </w:pPr>
          </w:p>
        </w:tc>
        <w:tc>
          <w:tcPr>
            <w:tcW w:w="12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Restated</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(16,950)</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(20,336)</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(11,931)</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(15,317)</w:t>
            </w:r>
          </w:p>
        </w:tc>
      </w:tr>
      <w:tr>
        <w:trPr>
          <w:trHeight w:val="414"/>
        </w:trPr>
        <w:tc>
          <w:tcPr>
            <w:tcW w:w="542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Changes in Shareholders’ Equity (Unaudited)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 Ended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1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As of and for the Six Months</w:t>
            </w:r>
          </w:p>
        </w:tc>
      </w:t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10"/>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rPr>
              <w:t>Ended June 30, 2024</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4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00" w:type="dxa"/>
            <w:vAlign w:val="bottom"/>
          </w:tcPr>
          <w:p>
            <w:pPr>
              <w:spacing w:after="0"/>
              <w:rPr>
                <w:sz w:val="20"/>
                <w:szCs w:val="20"/>
                <w:color w:val="auto"/>
              </w:rPr>
            </w:pPr>
          </w:p>
        </w:tc>
        <w:tc>
          <w:tcPr>
            <w:tcW w:w="12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Restated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197,827</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194,441</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99"/>
              </w:rPr>
              <w:t>197,827</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194,441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239,450</w:t>
            </w: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236,064</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239,450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236,064</w:t>
            </w:r>
          </w:p>
        </w:tc>
      </w:tr>
      <w:tr>
        <w:trPr>
          <w:trHeight w:val="628"/>
        </w:trPr>
        <w:tc>
          <w:tcPr>
            <w:tcW w:w="3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17"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Cash Flows (Unaudited)</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223"/>
        </w:trPr>
        <w:tc>
          <w:tcPr>
            <w:tcW w:w="6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19"/>
                <w:szCs w:val="19"/>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operating activities – loss on sale of discontinued operations</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15,865</w:t>
            </w: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3,386</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43,065</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3,386</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to the consolidated financial statements as well as Management’s Discussion and Analysis of Financial Condition and Results of Operations were also amended as necessary as a result of the restatements outlined above.</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8" w:name="page69"/>
    <w:bookmarkEnd w:id="68"/>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89" w:lineRule="exact"/>
        <w:rPr>
          <w:sz w:val="20"/>
          <w:szCs w:val="20"/>
          <w:color w:val="auto"/>
        </w:rPr>
      </w:pPr>
    </w:p>
    <w:p>
      <w:pPr>
        <w:ind w:left="20" w:right="46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presented on a consolidated basis, including both continuing and discontinued operations, as of December 31, 2024, and December 31, 2023,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38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12,274</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43,823</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(7,517)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116,274</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48,777</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27,184</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56,131</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w:t>
            </w:r>
          </w:p>
        </w:tc>
      </w:tr>
      <w:tr>
        <w:trPr>
          <w:trHeight w:val="223"/>
        </w:trPr>
        <w:tc>
          <w:tcPr>
            <w:tcW w:w="5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5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38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10,998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10,262</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51,461</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(10,856)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142,216</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61,163</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29,439</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49,029</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5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reconciliation of the amortized cost and estimated fair value of fixed income securities for continuing and discontinued operations as of December 31, 2024, and December 31, 2023,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331,304</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(24,485)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307,712</w:t>
            </w:r>
          </w:p>
        </w:tc>
        <w:tc>
          <w:tcPr>
            <w:tcW w:w="80" w:type="dxa"/>
            <w:vAlign w:val="bottom"/>
          </w:tcPr>
          <w:p>
            <w:pPr>
              <w:spacing w:after="0"/>
              <w:rPr>
                <w:sz w:val="18"/>
                <w:szCs w:val="18"/>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313,182</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289,399</w:t>
            </w:r>
          </w:p>
        </w:tc>
        <w:tc>
          <w:tcPr>
            <w:tcW w:w="80" w:type="dxa"/>
            <w:vAlign w:val="bottom"/>
          </w:tcPr>
          <w:p>
            <w:pPr>
              <w:spacing w:after="0"/>
              <w:rPr>
                <w:sz w:val="18"/>
                <w:szCs w:val="18"/>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63,548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58,332</w:t>
            </w:r>
          </w:p>
        </w:tc>
      </w:tr>
      <w:tr>
        <w:trPr>
          <w:trHeight w:val="22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presented on a consolidated basis, including both continuing and discontinued operations, are shown below. Actual maturities could differ from contractual maturities because issuers may have the right to call or prepay these securities.</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2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5,696</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55,882</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74,070</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36,723</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132,092</w:t>
            </w:r>
          </w:p>
        </w:tc>
        <w:tc>
          <w:tcPr>
            <w:tcW w:w="80" w:type="dxa"/>
            <w:vAlign w:val="bottom"/>
          </w:tcPr>
          <w:p>
            <w:pPr>
              <w:spacing w:after="0"/>
              <w:rPr>
                <w:sz w:val="18"/>
                <w:szCs w:val="18"/>
                <w:color w:val="auto"/>
              </w:rPr>
            </w:pPr>
          </w:p>
        </w:tc>
      </w:tr>
      <w:tr>
        <w:trPr>
          <w:trHeight w:val="229"/>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2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72,602</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79,281</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42,620</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139,631</w:t>
            </w:r>
          </w:p>
        </w:tc>
        <w:tc>
          <w:tcPr>
            <w:tcW w:w="80" w:type="dxa"/>
            <w:vAlign w:val="bottom"/>
          </w:tcPr>
          <w:p>
            <w:pPr>
              <w:spacing w:after="0"/>
              <w:rPr>
                <w:sz w:val="18"/>
                <w:szCs w:val="18"/>
                <w:color w:val="auto"/>
              </w:rPr>
            </w:pPr>
          </w:p>
        </w:tc>
      </w:tr>
      <w:tr>
        <w:trPr>
          <w:trHeight w:val="229"/>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$5,634 at December 31, 2024, and $6,403 at December 31, 2023, were deposited with various state regulatory agencies as required by law. The Company has not pledged any assets to secure any obligations.</w:t>
      </w:r>
    </w:p>
    <w:p>
      <w:pPr>
        <w:spacing w:after="0" w:line="94" w:lineRule="exact"/>
        <w:rPr>
          <w:sz w:val="20"/>
          <w:szCs w:val="20"/>
          <w:color w:val="auto"/>
        </w:rPr>
      </w:pPr>
    </w:p>
    <w:p>
      <w:pPr>
        <w:ind w:left="20" w:right="28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presented on a consolidated basis, including both continuing and discontinued operations, are shown below. Investments with unrealized losses are categorized with a duration of greater than 12 months when all positions of a security have continually been in a loss position for at least 12 months.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37,893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25,790</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76,364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(7,036)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102,154</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19,442</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20,851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30"/>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770"/>
        </w:trPr>
        <w:tc>
          <w:tcPr>
            <w:tcW w:w="3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0"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110,117</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(10,763)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118,135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26,391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(3,787)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9"/>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3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The reconciliation for continuing and discontinued operations by duration of the Company’s gross unrealized losses on fixed income securities are shown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3940" w:type="dxa"/>
            <w:vAlign w:val="bottom"/>
            <w:tcBorders>
              <w:top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98"/>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72,860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(23,129)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249,258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(24,485)</w:t>
            </w:r>
          </w:p>
        </w:tc>
      </w:tr>
      <w:tr>
        <w:trPr>
          <w:trHeight w:val="229"/>
        </w:trPr>
        <w:tc>
          <w:tcPr>
            <w:tcW w:w="3940" w:type="dxa"/>
            <w:vAlign w:val="bottom"/>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176,398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249,258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3940" w:type="dxa"/>
            <w:vAlign w:val="bottom"/>
            <w:tcBorders>
              <w:top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98"/>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(24,390)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(24,899)</w:t>
            </w:r>
          </w:p>
        </w:tc>
      </w:tr>
      <w:tr>
        <w:trPr>
          <w:trHeight w:val="230"/>
        </w:trPr>
        <w:tc>
          <w:tcPr>
            <w:tcW w:w="3940" w:type="dxa"/>
            <w:vAlign w:val="bottom"/>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35,377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(5,350)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43,780</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(5,420)</w:t>
            </w:r>
          </w:p>
        </w:tc>
      </w:tr>
      <w:tr>
        <w:trPr>
          <w:trHeight w:val="223"/>
        </w:trPr>
        <w:tc>
          <w:tcPr>
            <w:tcW w:w="39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246,744</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along with our investment advisor,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and have not recognized any credit losses for fixed income securities since adoption of the credit loss standard. Therefore, there were no beginning or ending balances of credit losses during the years ended December 31, 2024 or 2023. See Item II, Part 8, Note 3 “Summary of Significant Accounting Policies and Basis of Presentation” section for additional information.</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for continuing and discontinued operations consisted of the following: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9,418</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r>
      <w:tr>
        <w:trPr>
          <w:trHeight w:val="210"/>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expenses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shd w:val="clear" w:color="auto" w:fill="CCEEFF"/>
          </w:tcPr>
          <w:p>
            <w:pPr>
              <w:spacing w:after="0"/>
              <w:rPr>
                <w:sz w:val="19"/>
                <w:szCs w:val="19"/>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 continuing operations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 discontinued operations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shd w:val="clear" w:color="auto" w:fill="CCEEFF"/>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gains (losses) for continuing and discontinued operations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8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8"/>
              </w:rPr>
              <w:t>1,329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13,840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6,967</w:t>
            </w:r>
          </w:p>
        </w:tc>
        <w:tc>
          <w:tcPr>
            <w:tcW w:w="0" w:type="dxa"/>
            <w:vAlign w:val="bottom"/>
          </w:tcPr>
          <w:p>
            <w:pPr>
              <w:spacing w:after="0"/>
              <w:rPr>
                <w:sz w:val="1"/>
                <w:szCs w:val="1"/>
                <w:color w:val="auto"/>
              </w:rPr>
            </w:pPr>
          </w:p>
        </w:tc>
      </w:tr>
      <w:tr>
        <w:trPr>
          <w:trHeight w:val="209"/>
        </w:trPr>
        <w:tc>
          <w:tcPr>
            <w:tcW w:w="16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10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160" w:type="dxa"/>
            <w:vAlign w:val="bottom"/>
            <w:shd w:val="clear" w:color="auto" w:fill="CCEEFF"/>
          </w:tcPr>
          <w:p>
            <w:pPr>
              <w:spacing w:after="0"/>
              <w:rPr>
                <w:sz w:val="19"/>
                <w:szCs w:val="19"/>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10"/>
        </w:trPr>
        <w:tc>
          <w:tcPr>
            <w:tcW w:w="16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gross realized losses, excluding credit impairment losses</w:t>
            </w:r>
          </w:p>
        </w:tc>
        <w:tc>
          <w:tcPr>
            <w:tcW w:w="10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8"/>
              </w:rPr>
              <w:t>1,662</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(10,167)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 – continuing operations</w:t>
            </w:r>
          </w:p>
        </w:tc>
        <w:tc>
          <w:tcPr>
            <w:tcW w:w="10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gains (losses) – discontinued operations</w:t>
            </w: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8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5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54" w:lineRule="exact"/>
        <w:rPr>
          <w:sz w:val="20"/>
          <w:szCs w:val="20"/>
          <w:color w:val="auto"/>
        </w:rPr>
      </w:pPr>
    </w:p>
    <w:p>
      <w:pPr>
        <w:ind w:left="180"/>
        <w:spacing w:after="0"/>
        <w:tabs>
          <w:tab w:leader="none" w:pos="1680" w:val="left"/>
        </w:tabs>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ind w:left="1700" w:right="60" w:hanging="1506"/>
        <w:spacing w:after="0" w:line="258" w:lineRule="auto"/>
        <w:tabs>
          <w:tab w:leader="none" w:pos="1680" w:val="left"/>
        </w:tabs>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3" w:lineRule="exact"/>
        <w:rPr>
          <w:sz w:val="20"/>
          <w:szCs w:val="20"/>
          <w:color w:val="auto"/>
        </w:rPr>
      </w:pPr>
    </w:p>
    <w:p>
      <w:pPr>
        <w:ind w:left="1700" w:right="420" w:hanging="1506"/>
        <w:spacing w:after="0" w:line="282" w:lineRule="auto"/>
        <w:tabs>
          <w:tab w:leader="none" w:pos="1680" w:val="left"/>
        </w:tabs>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2" w:name="page73"/>
    <w:bookmarkEnd w:id="72"/>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first attempt to obtain a fair value estimate from our third-party investment advisor who utilizes different independent pricing services.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5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We also use information from our third-party investment advisor who utilizes different independent pricing services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years ended December 31, 2024, 2023, or 2022. The classification within the fair value hierarchy is then confirmed based on the final conclusions from the pricing review.</w:t>
      </w:r>
    </w:p>
    <w:p>
      <w:pPr>
        <w:spacing w:after="0" w:line="16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December 31, 2024, or 2023.</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53" w:right="359" w:bottom="1440" w:gutter="0" w:footer="0" w:header="0"/>
        </w:sectPr>
      </w:pPr>
    </w:p>
    <w:bookmarkStart w:id="73" w:name="page74"/>
    <w:bookmarkEnd w:id="73"/>
    <w:p>
      <w:pPr>
        <w:ind w:right="9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on a recurring basis by the level within the fair value hierarchy in which fair value measurements fall: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116,274</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48,777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27,184</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56,131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10,950</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51,461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142,216</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61,163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29,439</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49,029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stocks</w:t>
            </w:r>
          </w:p>
        </w:tc>
        <w:tc>
          <w:tcPr>
            <w:tcW w:w="1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19,412</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74" w:name="page75"/>
    <w:bookmarkEnd w:id="74"/>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tables are a reconciliation for both continuing and discontinued operations of the presentation of our assets which are measured on a recurring basis by the level within the fair value hierarchy in which fair value measurements fall: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307,712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307,712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money market accounts and cash equivalents</w:t>
            </w:r>
          </w:p>
        </w:tc>
        <w:tc>
          <w:tcPr>
            <w:tcW w:w="1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23"/>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289,399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58,332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5,784</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money market accounts and cash equivalents</w:t>
            </w:r>
          </w:p>
        </w:tc>
        <w:tc>
          <w:tcPr>
            <w:tcW w:w="1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23"/>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December 31, 2024 or 2023.</w:t>
      </w:r>
    </w:p>
    <w:p>
      <w:pPr>
        <w:spacing w:after="0" w:line="181"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Reinsurance</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maintained property catastrophe reinsurance protection covering $133,000 in excess of a $20,000 retention. With the exception of Westminster, a per risk excess of loss treaty provides coverage of $4,000 in excess of $1,000 for property risks and $11,000 in excess of $1,000 for casualty risks. For Westminster, a per risk excess of loss treaty provided coverage of $3,000 in excess of $2,000 for property risks and $10,000 in excess of $2,000 for casualty risks until July 1, 2024.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Effective July 1, 2024, the Company’s reinsurance contracts were modified to exclude any Westminster losses occurring on or after that date, while maintaining all other existing limits, retentions, and attachment points.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Company’s catastrophe retention and retention limit were consistent with those for the year ended December 31, 2024. In addition, limits, retentions, and attachment points in our other reinsurance contracts were also consistent with those for the year ended December 31, 2024 (with the exception of Westminster for which per risk excess of loss treaties provided coverage of $4,000 in excess of $1,000 for property risks and $11,000 in excess of $1,000 for casualty risks).</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maintained property catastrophe reinsurance protection covering $125,000 in excess of a $15,000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experienced multiple catastrophe events during 2022 which resulted in reinsurance recoveries of $5,648 through December 31, 2024.</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2025, the Company’s catastrophe retention will remain consistent with 2024 at $20,000 and the reinsurance protection will cover $117,000. The lower limit for 2025 was primarily due to the sale of Westminster, which drove the top end of the catastrophe modeling results. There were no changes made to limits, retentions, or attachment points in our other reinsurance contracts.</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a new CECL model. See the Part II, Item 8, Note 2 “Recent Accounting Pronouncements”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December 31, 2024 and 2023,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6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presented on a consolidated basis, including both continuing and discontinued operations,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100" w:type="dxa"/>
            <w:vAlign w:val="bottom"/>
          </w:tcPr>
          <w:p>
            <w:pPr>
              <w:spacing w:after="0"/>
              <w:rPr>
                <w:sz w:val="16"/>
                <w:szCs w:val="16"/>
                <w:color w:val="auto"/>
              </w:rPr>
            </w:pPr>
          </w:p>
        </w:tc>
        <w:tc>
          <w:tcPr>
            <w:tcW w:w="9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Premiums</w:t>
            </w:r>
          </w:p>
        </w:tc>
        <w:tc>
          <w:tcPr>
            <w:tcW w:w="240" w:type="dxa"/>
            <w:vAlign w:val="bottom"/>
          </w:tcPr>
          <w:p>
            <w:pPr>
              <w:spacing w:after="0"/>
              <w:rPr>
                <w:sz w:val="16"/>
                <w:szCs w:val="16"/>
                <w:color w:val="auto"/>
              </w:rPr>
            </w:pPr>
          </w:p>
        </w:tc>
        <w:tc>
          <w:tcPr>
            <w:tcW w:w="1220" w:type="dxa"/>
            <w:vAlign w:val="bottom"/>
            <w:gridSpan w:val="3"/>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tcPr>
          <w:p>
            <w:pPr>
              <w:spacing w:after="0"/>
              <w:rPr>
                <w:sz w:val="16"/>
                <w:szCs w:val="16"/>
                <w:color w:val="auto"/>
              </w:rPr>
            </w:pPr>
          </w:p>
        </w:tc>
        <w:tc>
          <w:tcPr>
            <w:tcW w:w="9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220" w:type="dxa"/>
            <w:vAlign w:val="bottom"/>
          </w:tcPr>
          <w:p>
            <w:pPr>
              <w:spacing w:after="0"/>
              <w:rPr>
                <w:sz w:val="16"/>
                <w:szCs w:val="16"/>
                <w:color w:val="auto"/>
              </w:rPr>
            </w:pPr>
          </w:p>
        </w:tc>
        <w:tc>
          <w:tcPr>
            <w:tcW w:w="1220" w:type="dxa"/>
            <w:vAlign w:val="bottom"/>
            <w:gridSpan w:val="3"/>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Earned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383,933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380,968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2,984</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6,299</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6,550</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(43,503)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(42,786)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(54,848)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(46,993)</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(47,146)</w:t>
            </w: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343,397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341,166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366,649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351,137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349,012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328,290</w:t>
            </w:r>
          </w:p>
        </w:tc>
        <w:tc>
          <w:tcPr>
            <w:tcW w:w="10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1" w:right="339" w:bottom="1440" w:gutter="0" w:footer="0" w:header="0"/>
        </w:sectPr>
      </w:pPr>
    </w:p>
    <w:bookmarkStart w:id="76" w:name="page77"/>
    <w:bookmarkEnd w:id="76"/>
    <w:p>
      <w:pPr>
        <w:ind w:right="160"/>
        <w:spacing w:after="0" w:line="282" w:lineRule="auto"/>
        <w:rPr>
          <w:sz w:val="20"/>
          <w:szCs w:val="20"/>
          <w:color w:val="auto"/>
        </w:rPr>
      </w:pPr>
      <w:r>
        <w:rPr>
          <w:rFonts w:ascii="Times New Roman" w:cs="Times New Roman" w:eastAsia="Times New Roman" w:hAnsi="Times New Roman"/>
          <w:sz w:val="18"/>
          <w:szCs w:val="18"/>
          <w:color w:val="auto"/>
        </w:rPr>
        <w:t>The reconciliations of the Company’s direct to net premiums on both a written and an earned basis for the current year-to-date and comparable prior year-to-date amounts, segregated between continuing and discontinued operations, are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tcPr>
          <w:p>
            <w:pPr>
              <w:spacing w:after="0"/>
              <w:rPr>
                <w:sz w:val="16"/>
                <w:szCs w:val="16"/>
                <w:color w:val="auto"/>
              </w:rPr>
            </w:pPr>
          </w:p>
        </w:tc>
        <w:tc>
          <w:tcPr>
            <w:tcW w:w="9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240" w:type="dxa"/>
            <w:vAlign w:val="bottom"/>
          </w:tcPr>
          <w:p>
            <w:pPr>
              <w:spacing w:after="0"/>
              <w:rPr>
                <w:sz w:val="16"/>
                <w:szCs w:val="16"/>
                <w:color w:val="auto"/>
              </w:rPr>
            </w:pPr>
          </w:p>
        </w:tc>
        <w:tc>
          <w:tcPr>
            <w:tcW w:w="122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100" w:type="dxa"/>
            <w:vAlign w:val="bottom"/>
          </w:tcPr>
          <w:p>
            <w:pPr>
              <w:spacing w:after="0"/>
              <w:rPr>
                <w:sz w:val="16"/>
                <w:szCs w:val="16"/>
                <w:color w:val="auto"/>
              </w:rPr>
            </w:pPr>
          </w:p>
        </w:tc>
        <w:tc>
          <w:tcPr>
            <w:tcW w:w="9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Written</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Written</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Earned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342,301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341,885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341,234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325,590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315,095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299,607</w:t>
            </w:r>
          </w:p>
        </w:tc>
      </w:tr>
      <w:tr>
        <w:trPr>
          <w:trHeight w:val="216"/>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6,550</w:t>
            </w:r>
          </w:p>
        </w:tc>
      </w:tr>
      <w:tr>
        <w:trPr>
          <w:trHeight w:val="229"/>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(34,760)</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(34,759)</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(37,043)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(37,043)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(34,417)</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(34,417)</w:t>
            </w:r>
          </w:p>
        </w:tc>
      </w:tr>
      <w:tr>
        <w:trPr>
          <w:trHeight w:val="223"/>
        </w:trPr>
        <w:tc>
          <w:tcPr>
            <w:tcW w:w="39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tcPr>
          <w:p>
            <w:pPr>
              <w:spacing w:after="0"/>
              <w:rPr>
                <w:sz w:val="16"/>
                <w:szCs w:val="16"/>
                <w:color w:val="auto"/>
              </w:rPr>
            </w:pPr>
          </w:p>
        </w:tc>
        <w:tc>
          <w:tcPr>
            <w:tcW w:w="9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10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Premiums</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Written</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Written</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Earned</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41,632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69,279</w:t>
            </w:r>
          </w:p>
        </w:tc>
      </w:tr>
      <w:tr>
        <w:trPr>
          <w:trHeight w:val="216"/>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(17,805)</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(17,335)</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(12,729)</w:t>
            </w:r>
          </w:p>
        </w:tc>
      </w:tr>
      <w:tr>
        <w:trPr>
          <w:trHeight w:val="223"/>
        </w:trPr>
        <w:tc>
          <w:tcPr>
            <w:tcW w:w="39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losses and loss adjustment expenses, presented on a consolidated basis, including both continuing and discontinued operations, is as follows: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249,344</w:t>
            </w:r>
          </w:p>
        </w:tc>
        <w:tc>
          <w:tcPr>
            <w:tcW w:w="24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293,978</w:t>
            </w:r>
          </w:p>
        </w:tc>
        <w:tc>
          <w:tcPr>
            <w:tcW w:w="2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333,397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2,369</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(19,157)</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(50,706)</w:t>
            </w:r>
          </w:p>
        </w:tc>
        <w:tc>
          <w:tcPr>
            <w:tcW w:w="2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(41,334)</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230,971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294,432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-607695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6940" w:space="720"/>
            <w:col w:w="3580"/>
          </w:cols>
          <w:pgMar w:left="320" w:top="55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The reconciliations for current and prior year continuing and discontinued operations of direct to net losses and loss adjustment expenses is as follows:</w:t>
      </w:r>
    </w:p>
    <w:p>
      <w:pPr>
        <w:sectPr>
          <w:pgSz w:w="11900" w:h="16838" w:orient="portrait"/>
          <w:cols w:equalWidth="0" w:num="1">
            <w:col w:w="11240"/>
          </w:cols>
          <w:pgMar w:left="320" w:top="553" w:right="3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left="-1699"/>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14605</wp:posOffset>
            </wp:positionV>
            <wp:extent cx="22028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ind w:left="2480"/>
        <w:spacing w:after="0"/>
        <w:tabs>
          <w:tab w:leader="none" w:pos="3700" w:val="left"/>
          <w:tab w:leader="none" w:pos="49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19685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220,991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195,138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(14,310)</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(9,762)</w:t>
            </w:r>
          </w:p>
        </w:tc>
        <w:tc>
          <w:tcPr>
            <w:tcW w:w="2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(15,806)</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207,465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186,516</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241,750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r>
      <w:tr>
        <w:trPr>
          <w:trHeight w:val="407"/>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28,353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98,840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78,210</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(4,847)</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(40,944)</w:t>
            </w:r>
          </w:p>
        </w:tc>
        <w:tc>
          <w:tcPr>
            <w:tcW w:w="2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(25,528)</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57,896</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-1619250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-1336675</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-744855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00" w:space="720"/>
            <w:col w:w="5720"/>
          </w:cols>
          <w:pgMar w:left="320" w:top="55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spacing w:after="0" w:line="161"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presented on a consolidated basis, including both continuing and discontinued operations, shows the deferred policy acquisition costs and asset reconciliation:</w:t>
      </w:r>
    </w:p>
    <w:p>
      <w:pPr>
        <w:sectPr>
          <w:pgSz w:w="11900" w:h="16838" w:orient="portrait"/>
          <w:cols w:equalWidth="0" w:num="1">
            <w:col w:w="11200"/>
          </w:cols>
          <w:pgMar w:left="320" w:top="54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balance disposed in sale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Balance, end of year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34,120</w:t>
            </w:r>
          </w:p>
        </w:tc>
        <w:tc>
          <w:tcPr>
            <w:tcW w:w="24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29,768</w:t>
            </w:r>
          </w:p>
        </w:tc>
        <w:tc>
          <w:tcPr>
            <w:tcW w:w="2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24,947</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79,363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87,343</w:t>
            </w:r>
          </w:p>
        </w:tc>
        <w:tc>
          <w:tcPr>
            <w:tcW w:w="2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(79,185)</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(82,991)</w:t>
            </w:r>
          </w:p>
        </w:tc>
        <w:tc>
          <w:tcPr>
            <w:tcW w:w="2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(66,803)</w:t>
            </w: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(7,998)</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29,768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-744855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40"/>
          </w:cols>
          <w:pgMar w:left="320" w:top="549" w:right="379" w:bottom="1440" w:gutter="0" w:footer="0" w:header="0"/>
          <w:type w:val="continuous"/>
        </w:sectPr>
      </w:pPr>
    </w:p>
    <w:p>
      <w:pPr>
        <w:ind w:left="20" w:right="320"/>
        <w:spacing w:after="0" w:line="282" w:lineRule="auto"/>
        <w:rPr>
          <w:sz w:val="20"/>
          <w:szCs w:val="20"/>
          <w:color w:val="auto"/>
        </w:rPr>
      </w:pPr>
      <w:r>
        <w:rPr>
          <w:rFonts w:ascii="Times New Roman" w:cs="Times New Roman" w:eastAsia="Times New Roman" w:hAnsi="Times New Roman"/>
          <w:sz w:val="18"/>
          <w:szCs w:val="18"/>
          <w:color w:val="auto"/>
        </w:rPr>
        <w:t>The tables for current and prior year continuing and discontinued operations showing the deferred policy acquisition costs and assets reconciliation are shown below:</w:t>
      </w:r>
    </w:p>
    <w:p>
      <w:pPr>
        <w:sectPr>
          <w:pgSz w:w="11900" w:h="16838" w:orient="portrait"/>
          <w:cols w:equalWidth="0" w:num="1">
            <w:col w:w="11200"/>
          </w:cols>
          <w:pgMar w:left="320" w:top="54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Amortization of deferred policy acquisition costs</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2028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60" w:val="left"/>
          <w:tab w:leader="none" w:pos="27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26,790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70,767</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71,746</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(71,257)</w:t>
            </w: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(67,631)</w:t>
            </w:r>
          </w:p>
        </w:tc>
        <w:tc>
          <w:tcPr>
            <w:tcW w:w="2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(53,605)</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6940" w:space="720"/>
            <w:col w:w="3540"/>
          </w:cols>
          <w:pgMar w:left="320" w:top="549" w:right="37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Westminster balance disposed in sale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end of year</w:t>
      </w:r>
    </w:p>
    <w:p>
      <w:pPr>
        <w:spacing w:after="0" w:line="180"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2028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60" w:val="left"/>
          <w:tab w:leader="none" w:pos="27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7,330</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7,093</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8,596</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15,597</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14,391</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(7,928)</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(15,360)</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(13,198)</w:t>
            </w:r>
          </w:p>
        </w:tc>
      </w:tr>
      <w:tr>
        <w:trPr>
          <w:trHeight w:val="248"/>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(7,998)</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940" w:space="720"/>
            <w:col w:w="3540"/>
          </w:cols>
          <w:pgMar w:left="320" w:top="549" w:right="379" w:bottom="1440" w:gutter="0" w:footer="0" w:header="0"/>
          <w:type w:val="continuous"/>
        </w:sectPr>
      </w:pPr>
    </w:p>
    <w:bookmarkStart w:id="78" w:name="page79"/>
    <w:bookmarkEnd w:id="78"/>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 for both continuing and discontinued operations: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276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2028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60" w:val="left"/>
          <w:tab w:leader="none" w:pos="27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2028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3" w:lineRule="exact"/>
        <w:rPr>
          <w:sz w:val="20"/>
          <w:szCs w:val="20"/>
          <w:color w:val="auto"/>
        </w:rPr>
      </w:pPr>
    </w:p>
    <w:p>
      <w:pPr>
        <w:ind w:left="460" w:hanging="458"/>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217,119   $    190,459   $    139,662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48,969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r>
      <w:tr>
        <w:trPr>
          <w:trHeight w:val="210"/>
        </w:trPr>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168,150</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118,462</w:t>
            </w:r>
          </w:p>
        </w:tc>
      </w:tr>
    </w:tbl>
    <w:p>
      <w:pPr>
        <w:spacing w:after="0" w:line="200" w:lineRule="exact"/>
        <w:rPr>
          <w:sz w:val="20"/>
          <w:szCs w:val="20"/>
          <w:color w:val="auto"/>
        </w:rPr>
      </w:pPr>
    </w:p>
    <w:p>
      <w:pPr>
        <w:sectPr>
          <w:pgSz w:w="11900" w:h="16838" w:orient="portrait"/>
          <w:cols w:equalWidth="0" w:num="2">
            <w:col w:w="6940" w:space="720"/>
            <w:col w:w="3580"/>
          </w:cols>
          <w:pgMar w:left="320" w:top="54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218,063</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223,960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293,283</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12,908</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20,452</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r>
      <w:tr>
        <w:trPr>
          <w:trHeight w:val="209"/>
        </w:trPr>
        <w:tc>
          <w:tcPr>
            <w:tcW w:w="5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incurred</w:t>
            </w:r>
          </w:p>
        </w:tc>
        <w:tc>
          <w:tcPr>
            <w:tcW w:w="1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230,971</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294,432</w:t>
            </w:r>
          </w:p>
        </w:tc>
        <w:tc>
          <w:tcPr>
            <w:tcW w:w="100" w:type="dxa"/>
            <w:vAlign w:val="bottom"/>
            <w:tcBorders>
              <w:bottom w:val="single" w:sz="8" w:color="CCEEFF"/>
            </w:tcBorders>
          </w:tcPr>
          <w:p>
            <w:pPr>
              <w:spacing w:after="0"/>
              <w:rPr>
                <w:sz w:val="18"/>
                <w:szCs w:val="18"/>
                <w:color w:val="auto"/>
              </w:rPr>
            </w:pPr>
          </w:p>
        </w:tc>
      </w:tr>
      <w:tr>
        <w:trPr>
          <w:trHeight w:val="210"/>
        </w:trPr>
        <w:tc>
          <w:tcPr>
            <w:tcW w:w="5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131,570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138,600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197,250</w:t>
            </w: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80,636</w:t>
            </w: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90,548</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62,760</w:t>
            </w:r>
          </w:p>
        </w:tc>
      </w:tr>
      <w:tr>
        <w:trPr>
          <w:trHeight w:val="210"/>
        </w:trPr>
        <w:tc>
          <w:tcPr>
            <w:tcW w:w="59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Westminster balances disposed in sale: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107,508</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45,320</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balance, date of sale</w:t>
            </w:r>
          </w:p>
        </w:tc>
        <w:tc>
          <w:tcPr>
            <w:tcW w:w="1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137,288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217,119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190,459</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12,561</w:t>
            </w: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48,969</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37,575</w:t>
            </w:r>
          </w:p>
        </w:tc>
      </w:tr>
      <w:tr>
        <w:trPr>
          <w:trHeight w:val="223"/>
        </w:trPr>
        <w:tc>
          <w:tcPr>
            <w:tcW w:w="59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balance, end of year</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Company’s incurred reported losses and loss adjustment expense included $12,908 of net unfavorable development on prior accident years. This was primarily attributable to unfavorable development for the Direct Auto non-standard auto business, partially offset by favorable development in Battle Creek, American West, Primero, and Nodak Insurance. During the year ended December 31, 2023, the Company’s incurred reported losses and loss adjustment expenses included $20,452 of net unfavorable development on prior accident years, primarily attributable to unfavorable development for the Westminster commercial and Direct Auto non-standard auto businesses partially offset by favorable development for Battle Creek, American West, and Nodak Insurance. During the year ended December 31, 2022, the Company’s incurred reported losses and loss adjustment expenses included $1,149 of net unfavorable development on prior accident years, primarily attributable to unfavorable development for the Westminster commercial business partially offset by favorable development for Battle Creek and Nodak Insurance. During 2024, Westminster was sold and all associated liabilities were included in the sale.</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79" w:name="page80"/>
    <w:bookmarkEnd w:id="79"/>
    <w:p>
      <w:pPr>
        <w:ind w:left="20" w:right="80"/>
        <w:spacing w:after="0" w:line="282" w:lineRule="auto"/>
        <w:rPr>
          <w:sz w:val="20"/>
          <w:szCs w:val="20"/>
          <w:color w:val="auto"/>
        </w:rPr>
      </w:pPr>
      <w:r>
        <w:rPr>
          <w:rFonts w:ascii="Times New Roman" w:cs="Times New Roman" w:eastAsia="Times New Roman" w:hAnsi="Times New Roman"/>
          <w:sz w:val="18"/>
          <w:szCs w:val="18"/>
          <w:color w:val="auto"/>
        </w:rPr>
        <w:t>The tables for current and prior year continuing and discontinued operations showing the liability for unpaid losses and loss adjustment expense are shown below:</w:t>
      </w:r>
    </w:p>
    <w:p>
      <w:pPr>
        <w:sectPr>
          <w:pgSz w:w="11900" w:h="16838" w:orient="portrait"/>
          <w:cols w:equalWidth="0" w:num="1">
            <w:col w:w="11240"/>
          </w:cols>
          <w:pgMar w:left="320" w:top="6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right="276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2028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60" w:val="left"/>
          <w:tab w:leader="none" w:pos="27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0" w:lineRule="exact"/>
        <w:rPr>
          <w:sz w:val="20"/>
          <w:szCs w:val="20"/>
          <w:color w:val="auto"/>
        </w:rPr>
      </w:pPr>
    </w:p>
    <w:p>
      <w:pPr>
        <w:spacing w:after="0" w:line="259" w:lineRule="exact"/>
        <w:rPr>
          <w:sz w:val="20"/>
          <w:szCs w:val="20"/>
          <w:color w:val="auto"/>
        </w:rPr>
      </w:pPr>
    </w:p>
    <w:p>
      <w:pPr>
        <w:ind w:left="460" w:hanging="458"/>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119,185   $114,296   $    108,000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r>
      <w:tr>
        <w:trPr>
          <w:trHeight w:val="209"/>
        </w:trPr>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112,725</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105,710</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95,522</w:t>
            </w:r>
          </w:p>
        </w:tc>
      </w:tr>
    </w:tbl>
    <w:p>
      <w:pPr>
        <w:spacing w:after="0" w:line="200" w:lineRule="exact"/>
        <w:rPr>
          <w:sz w:val="20"/>
          <w:szCs w:val="20"/>
          <w:color w:val="auto"/>
        </w:rPr>
      </w:pPr>
    </w:p>
    <w:p>
      <w:pPr>
        <w:sectPr>
          <w:pgSz w:w="11900" w:h="16838" w:orient="portrait"/>
          <w:cols w:equalWidth="0" w:num="2">
            <w:col w:w="6940" w:space="720"/>
            <w:col w:w="3580"/>
          </w:cols>
          <w:pgMar w:left="320" w:top="62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193,948</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184,210</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247,635</w:t>
            </w:r>
          </w:p>
        </w:tc>
        <w:tc>
          <w:tcPr>
            <w:tcW w:w="80" w:type="dxa"/>
            <w:vAlign w:val="bottom"/>
          </w:tcPr>
          <w:p>
            <w:pPr>
              <w:spacing w:after="0"/>
              <w:rPr>
                <w:sz w:val="18"/>
                <w:szCs w:val="18"/>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13,517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2,306</w:t>
            </w:r>
          </w:p>
        </w:tc>
        <w:tc>
          <w:tcPr>
            <w:tcW w:w="2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w:t>
            </w:r>
          </w:p>
        </w:tc>
      </w:tr>
      <w:tr>
        <w:trPr>
          <w:trHeight w:val="209"/>
        </w:trPr>
        <w:tc>
          <w:tcPr>
            <w:tcW w:w="59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incurred</w:t>
            </w:r>
          </w:p>
        </w:tc>
        <w:tc>
          <w:tcPr>
            <w:tcW w:w="17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207,465</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186,516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126,006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121,466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181,434</w:t>
            </w:r>
          </w:p>
        </w:tc>
        <w:tc>
          <w:tcPr>
            <w:tcW w:w="80" w:type="dxa"/>
            <w:vAlign w:val="bottom"/>
            <w:shd w:val="clear" w:color="auto" w:fill="CCEEFF"/>
          </w:tcPr>
          <w:p>
            <w:pPr>
              <w:spacing w:after="0"/>
              <w:rPr>
                <w:sz w:val="18"/>
                <w:szCs w:val="18"/>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69,457</w:t>
            </w: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58,036</w:t>
            </w:r>
          </w:p>
        </w:tc>
        <w:tc>
          <w:tcPr>
            <w:tcW w:w="2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50,128</w:t>
            </w:r>
          </w:p>
        </w:tc>
      </w:tr>
      <w:tr>
        <w:trPr>
          <w:trHeight w:val="209"/>
        </w:trPr>
        <w:tc>
          <w:tcPr>
            <w:tcW w:w="59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1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137,288</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119,185</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114,296</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12,561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6,460</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8,586</w:t>
            </w:r>
          </w:p>
        </w:tc>
        <w:tc>
          <w:tcPr>
            <w:tcW w:w="80" w:type="dxa"/>
            <w:vAlign w:val="bottom"/>
            <w:shd w:val="clear" w:color="auto" w:fill="CCEEFF"/>
          </w:tcPr>
          <w:p>
            <w:pPr>
              <w:spacing w:after="0"/>
              <w:rPr>
                <w:sz w:val="19"/>
                <w:szCs w:val="19"/>
                <w:color w:val="auto"/>
              </w:rPr>
            </w:pPr>
          </w:p>
        </w:tc>
      </w:tr>
      <w:tr>
        <w:trPr>
          <w:trHeight w:val="223"/>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balance, end of year</w:t>
            </w:r>
          </w:p>
        </w:tc>
        <w:tc>
          <w:tcPr>
            <w:tcW w:w="17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1">
            <w:col w:w="11240"/>
          </w:cols>
          <w:pgMar w:left="320" w:top="621"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right="276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2028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60" w:val="left"/>
          <w:tab w:leader="none" w:pos="27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97,934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76,163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31,662</w:t>
            </w:r>
          </w:p>
        </w:tc>
      </w:tr>
      <w:tr>
        <w:trPr>
          <w:trHeight w:val="234"/>
        </w:trPr>
        <w:tc>
          <w:tcPr>
            <w:tcW w:w="320" w:type="dxa"/>
            <w:vAlign w:val="bottom"/>
          </w:tcPr>
          <w:p>
            <w:pPr>
              <w:spacing w:after="0"/>
              <w:rPr>
                <w:sz w:val="20"/>
                <w:szCs w:val="20"/>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42,509</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28,989</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20" w:type="dxa"/>
            <w:vAlign w:val="bottom"/>
          </w:tcPr>
          <w:p>
            <w:pPr>
              <w:spacing w:after="0"/>
              <w:rPr>
                <w:sz w:val="20"/>
                <w:szCs w:val="20"/>
                <w:color w:val="auto"/>
              </w:rPr>
            </w:pP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2"/>
              </w:rPr>
              <w:t>55,425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62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24,115</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39,750</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45,648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18,146</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7,034</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incurred</w:t>
            </w:r>
          </w:p>
        </w:tc>
        <w:tc>
          <w:tcPr>
            <w:tcW w:w="28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57,896</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15,816</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11,179</w:t>
            </w: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32,512</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2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Westminster balances disposed in sale:</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107,508</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45,320</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balance, date of sale</w:t>
            </w:r>
          </w:p>
        </w:tc>
        <w:tc>
          <w:tcPr>
            <w:tcW w:w="28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97,934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76,163</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42,509</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28,989</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balance, end of year</w:t>
            </w: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1" w:right="339" w:bottom="1440" w:gutter="0" w:footer="0" w:header="0"/>
          <w:type w:val="continuous"/>
        </w:sectPr>
      </w:pPr>
    </w:p>
    <w:bookmarkStart w:id="80" w:name="page81"/>
    <w:bookmarkEnd w:id="80"/>
    <w:p>
      <w:pPr>
        <w:ind w:right="40"/>
        <w:spacing w:after="0" w:line="255" w:lineRule="auto"/>
        <w:rPr>
          <w:sz w:val="20"/>
          <w:szCs w:val="20"/>
          <w:color w:val="auto"/>
        </w:rPr>
      </w:pPr>
      <w:r>
        <w:rPr>
          <w:rFonts w:ascii="Times New Roman" w:cs="Times New Roman" w:eastAsia="Times New Roman" w:hAnsi="Times New Roman"/>
          <w:sz w:val="18"/>
          <w:szCs w:val="18"/>
          <w:color w:val="auto"/>
        </w:rPr>
        <w:t>The tables on the following pages present information, organized by our primary operating segments, about incurred and paid claims development as of December 31, 2024,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segment information presented in the tables is prior to the effects of the intercompany reinsurance pooling arrangement.</w:t>
      </w:r>
    </w:p>
    <w:p>
      <w:pPr>
        <w:spacing w:after="0" w:line="1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tables include unaudited information about incurred and paid claims development for the year ended December 31, 2015 for the Private Passenger Auto, Home and Farm, and Crop segments and from the year ended December 31, 2015 through 2017 for the Non-Standard Auto information, which we present as supplementary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56"/>
          </w:tcPr>
          <w:p>
            <w:pPr>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00" w:type="dxa"/>
            <w:vAlign w:val="bottom"/>
            <w:gridSpan w:val="38"/>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gridSpan w:val="17"/>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12"/>
          </w:tcPr>
          <w:p>
            <w:pPr>
              <w:ind w:left="24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top w:val="single" w:sz="8" w:color="auto"/>
            </w:tcBorders>
            <w:gridSpan w:val="6"/>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IBNR</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Plus Expected</w:t>
            </w:r>
          </w:p>
        </w:tc>
        <w:tc>
          <w:tcPr>
            <w:tcW w:w="10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2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 xml:space="preserve">2015 </w:t>
            </w:r>
            <w:r>
              <w:rPr>
                <w:rFonts w:ascii="Times New Roman" w:cs="Times New Roman" w:eastAsia="Times New Roman" w:hAnsi="Times New Roman"/>
                <w:sz w:val="29"/>
                <w:szCs w:val="29"/>
                <w:b w:val="1"/>
                <w:bCs w:val="1"/>
                <w:color w:val="auto"/>
                <w:w w:val="91"/>
                <w:vertAlign w:val="superscript"/>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2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Pr>
          <w:p>
            <w:pPr>
              <w:spacing w:after="0"/>
              <w:rPr>
                <w:sz w:val="20"/>
                <w:szCs w:val="20"/>
                <w:color w:val="auto"/>
              </w:rPr>
            </w:pPr>
          </w:p>
        </w:tc>
        <w:tc>
          <w:tcPr>
            <w:tcW w:w="6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Claims</w:t>
            </w:r>
          </w:p>
        </w:tc>
        <w:tc>
          <w:tcPr>
            <w:tcW w:w="0" w:type="dxa"/>
            <w:vAlign w:val="bottom"/>
          </w:tcPr>
          <w:p>
            <w:pPr>
              <w:spacing w:after="0"/>
              <w:rPr>
                <w:sz w:val="1"/>
                <w:szCs w:val="1"/>
                <w:color w:val="auto"/>
              </w:rPr>
            </w:pPr>
          </w:p>
        </w:tc>
      </w:tr>
      <w:tr>
        <w:trPr>
          <w:trHeight w:val="191"/>
        </w:trPr>
        <w:tc>
          <w:tcPr>
            <w:tcW w:w="17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 thousands, except</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40" w:type="dxa"/>
            <w:vAlign w:val="bottom"/>
            <w:gridSpan w:val="56"/>
          </w:tcPr>
          <w:p>
            <w:pPr>
              <w:spacing w:after="0"/>
              <w:rPr>
                <w:sz w:val="20"/>
                <w:szCs w:val="20"/>
                <w:color w:val="auto"/>
              </w:rPr>
            </w:pPr>
            <w:r>
              <w:rPr>
                <w:rFonts w:ascii="Times New Roman" w:cs="Times New Roman" w:eastAsia="Times New Roman" w:hAnsi="Times New Roman"/>
                <w:sz w:val="18"/>
                <w:szCs w:val="18"/>
                <w:color w:val="auto"/>
              </w:rPr>
              <w:t>claim counts)</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$ 32,438</w:t>
            </w:r>
          </w:p>
        </w:tc>
        <w:tc>
          <w:tcPr>
            <w:tcW w:w="84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$ 31,532</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$ 30,461</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$ 30,503</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$ 30,679</w:t>
            </w:r>
          </w:p>
        </w:tc>
        <w:tc>
          <w:tcPr>
            <w:tcW w:w="9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$ 30,455</w:t>
            </w:r>
          </w:p>
        </w:tc>
        <w:tc>
          <w:tcPr>
            <w:tcW w:w="7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$ 30,379</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$ 30,370</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$ 30,351</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$ 30,362</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40,227</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39,260</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39,057</w:t>
            </w: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38,535</w:t>
            </w: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38,416</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38,601</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38,566</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38,536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14,325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40,779</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40,199</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40,427</w:t>
            </w:r>
          </w:p>
        </w:tc>
        <w:tc>
          <w:tcPr>
            <w:tcW w:w="7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40,488</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40,520</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40,471</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40,449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44,925</w:t>
            </w: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43,428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43,641</w:t>
            </w: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43,575</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43,807</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43,733</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43,896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14,675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53,328</w:t>
            </w:r>
          </w:p>
        </w:tc>
        <w:tc>
          <w:tcPr>
            <w:tcW w:w="7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53,364</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52,749</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52,535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46,247</w:t>
            </w: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48,519</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47,403</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47,174</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46,713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13,541</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57,316</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57,176</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57,431</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57,215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66,711</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65,132</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64,180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16,146</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62,357</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61,917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13,888</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54,082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10,593</w:t>
            </w: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$ 489,885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(1) Prior years unaudited</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40" w:type="dxa"/>
            <w:vAlign w:val="bottom"/>
            <w:gridSpan w:val="6"/>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240" w:type="dxa"/>
            <w:vAlign w:val="bottom"/>
            <w:gridSpan w:val="56"/>
          </w:tcPr>
          <w:p>
            <w:pPr>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20" w:type="dxa"/>
            <w:vAlign w:val="bottom"/>
            <w:gridSpan w:val="40"/>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1"/>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tcPr>
          <w:p>
            <w:pPr>
              <w:spacing w:after="0"/>
              <w:rPr>
                <w:sz w:val="24"/>
                <w:szCs w:val="24"/>
                <w:color w:val="auto"/>
              </w:rPr>
            </w:pPr>
          </w:p>
        </w:tc>
        <w:tc>
          <w:tcPr>
            <w:tcW w:w="13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spacing w:after="0"/>
              <w:rPr>
                <w:sz w:val="20"/>
                <w:szCs w:val="20"/>
                <w:color w:val="auto"/>
              </w:rPr>
            </w:pPr>
          </w:p>
        </w:tc>
        <w:tc>
          <w:tcPr>
            <w:tcW w:w="138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$ 28,933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$ 29,598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$ 30,355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$ 30,355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29,009</w:t>
            </w:r>
          </w:p>
        </w:tc>
        <w:tc>
          <w:tcPr>
            <w:tcW w:w="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35,845</w:t>
            </w:r>
          </w:p>
        </w:tc>
        <w:tc>
          <w:tcPr>
            <w:tcW w:w="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37,307</w:t>
            </w:r>
          </w:p>
        </w:tc>
        <w:tc>
          <w:tcPr>
            <w:tcW w:w="8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38,108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38,173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38,303</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38,539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31,033</w:t>
            </w:r>
          </w:p>
        </w:tc>
        <w:tc>
          <w:tcPr>
            <w:tcW w:w="9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37,050</w:t>
            </w:r>
          </w:p>
        </w:tc>
        <w:tc>
          <w:tcPr>
            <w:tcW w:w="8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40,294</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34,358</w:t>
            </w:r>
          </w:p>
        </w:tc>
        <w:tc>
          <w:tcPr>
            <w:tcW w:w="8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40,213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42,820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43,074</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43,225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51,556</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42,585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45,670</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46,211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52,256</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49,911</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59,556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464,152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gridSpan w:val="26"/>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All outstanding liabilities prior to 2015, net of reinsurance</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26"/>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0" w:type="dxa"/>
            <w:vAlign w:val="bottom"/>
            <w:gridSpan w:val="3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Prior years unaudited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80" w:type="dxa"/>
            <w:vAlign w:val="bottom"/>
            <w:gridSpan w:val="2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10"/>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IBNR</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Plus Expected</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1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8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2016</w:t>
            </w:r>
            <w:r>
              <w:rPr>
                <w:rFonts w:ascii="Times New Roman" w:cs="Times New Roman" w:eastAsia="Times New Roman" w:hAnsi="Times New Roman"/>
                <w:sz w:val="29"/>
                <w:szCs w:val="29"/>
                <w:b w:val="1"/>
                <w:bCs w:val="1"/>
                <w:color w:val="auto"/>
                <w:w w:val="92"/>
                <w:vertAlign w:val="superscript"/>
              </w:rPr>
              <w:t>(1)</w:t>
            </w:r>
          </w:p>
        </w:tc>
        <w:tc>
          <w:tcPr>
            <w:tcW w:w="80" w:type="dxa"/>
            <w:vAlign w:val="bottom"/>
          </w:tcPr>
          <w:p>
            <w:pPr>
              <w:spacing w:after="0"/>
              <w:rPr>
                <w:sz w:val="18"/>
                <w:szCs w:val="18"/>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1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00" w:type="dxa"/>
            <w:vAlign w:val="bottom"/>
          </w:tcPr>
          <w:p>
            <w:pPr>
              <w:spacing w:after="0"/>
              <w:rPr>
                <w:sz w:val="20"/>
                <w:szCs w:val="20"/>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Claims</w:t>
            </w:r>
          </w:p>
        </w:tc>
        <w:tc>
          <w:tcPr>
            <w:tcW w:w="0" w:type="dxa"/>
            <w:vAlign w:val="bottom"/>
          </w:tcPr>
          <w:p>
            <w:pPr>
              <w:spacing w:after="0"/>
              <w:rPr>
                <w:sz w:val="1"/>
                <w:szCs w:val="1"/>
                <w:color w:val="auto"/>
              </w:rPr>
            </w:pPr>
          </w:p>
        </w:tc>
      </w:tr>
      <w:tr>
        <w:trPr>
          <w:trHeight w:val="191"/>
        </w:trPr>
        <w:tc>
          <w:tcPr>
            <w:tcW w:w="16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(in thousands, except</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claim counts)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$ 24,304</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$ 22,698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$ 20,229</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$ 20,345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$ 20,567</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$ 20,199</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$ 20,039</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$ 20,341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30,514</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24,708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23,606</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23,989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22,884</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22,267</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21,947</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27,275</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24,414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23,189</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22,221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21,903</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36,236</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34,466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33,743</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32,307</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32,038</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32,741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37,196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36,864</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35,810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36,100</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33,054</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31,743</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32,507</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40,652</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40,612</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39,514</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43,372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2,676</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6,821</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21,260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384,227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00" w:type="dxa"/>
            <w:vAlign w:val="bottom"/>
            <w:gridSpan w:val="1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2015 </w:t>
            </w:r>
            <w:r>
              <w:rPr>
                <w:rFonts w:ascii="Times New Roman" w:cs="Times New Roman" w:eastAsia="Times New Roman" w:hAnsi="Times New Roman"/>
                <w:sz w:val="29"/>
                <w:szCs w:val="29"/>
                <w:b w:val="1"/>
                <w:bCs w:val="1"/>
                <w:color w:val="auto"/>
                <w:w w:val="98"/>
                <w:vertAlign w:val="superscript"/>
              </w:rPr>
              <w:t>(1)</w:t>
            </w:r>
          </w:p>
        </w:tc>
        <w:tc>
          <w:tcPr>
            <w:tcW w:w="2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2016</w:t>
            </w:r>
            <w:r>
              <w:rPr>
                <w:rFonts w:ascii="Times New Roman" w:cs="Times New Roman" w:eastAsia="Times New Roman" w:hAnsi="Times New Roman"/>
                <w:sz w:val="29"/>
                <w:szCs w:val="29"/>
                <w:b w:val="1"/>
                <w:bCs w:val="1"/>
                <w:color w:val="auto"/>
                <w:w w:val="98"/>
                <w:vertAlign w:val="superscript"/>
              </w:rPr>
              <w:t>(1)</w:t>
            </w: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2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$19,679</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$19,988</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8,935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20,515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21,032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21,794</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21,984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18,238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19,826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21,528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22,063</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26,820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30,489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32,202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32,663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16,503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26,221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29,953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32,370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34,915</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35,916</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23,046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27,160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30,419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32,688</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30,155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36,890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29,533</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18,300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38,279</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18,873</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$ 306,648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500" w:type="dxa"/>
            <w:vAlign w:val="bottom"/>
            <w:gridSpan w:val="11"/>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All outstanding liabilities prior to 2015, net of reinsurance</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80" w:type="dxa"/>
            <w:vAlign w:val="bottom"/>
            <w:gridSpan w:val="15"/>
          </w:tcPr>
          <w:p>
            <w:pPr>
              <w:jc w:val="right"/>
              <w:ind w:right="2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$ 77,580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60" w:type="dxa"/>
            <w:vAlign w:val="bottom"/>
            <w:gridSpan w:val="2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Farm</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IBNR</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Plus Expected</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xml:space="preserve">2015 </w:t>
            </w:r>
            <w:r>
              <w:rPr>
                <w:rFonts w:ascii="Times New Roman" w:cs="Times New Roman" w:eastAsia="Times New Roman" w:hAnsi="Times New Roman"/>
                <w:sz w:val="29"/>
                <w:szCs w:val="29"/>
                <w:b w:val="1"/>
                <w:bCs w:val="1"/>
                <w:color w:val="auto"/>
                <w:w w:val="91"/>
                <w:vertAlign w:val="superscript"/>
              </w:rPr>
              <w:t>(1)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vMerge w:val="continue"/>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Claims</w:t>
            </w:r>
          </w:p>
        </w:tc>
        <w:tc>
          <w:tcPr>
            <w:tcW w:w="0" w:type="dxa"/>
            <w:vAlign w:val="bottom"/>
          </w:tcPr>
          <w:p>
            <w:pPr>
              <w:spacing w:after="0"/>
              <w:rPr>
                <w:sz w:val="1"/>
                <w:szCs w:val="1"/>
                <w:color w:val="auto"/>
              </w:rPr>
            </w:pPr>
          </w:p>
        </w:tc>
      </w:tr>
      <w:tr>
        <w:trPr>
          <w:trHeight w:val="191"/>
        </w:trPr>
        <w:tc>
          <w:tcPr>
            <w:tcW w:w="16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 thousands, except</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 counts)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$ 32,740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$ 31,804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$ 31,300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$ 31,577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$ 31,446</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$ 31,612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$ 31,600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45,713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44,513</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44,945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44,597</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44,728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44,809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44,788</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42,112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41,593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41,882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41,779</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42,486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43,840</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43,747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43,712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43,731</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45,334</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45,828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45,106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36,264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34,656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34,761</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50,759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112,049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105,409</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105,328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8,401</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57,205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23"/>
        </w:trPr>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519,918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00" w:type="dxa"/>
            <w:vAlign w:val="bottom"/>
            <w:gridSpan w:val="1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Farm</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2015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$ 30,165</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$ 30,573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$ 31,383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$ 31,597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$ 31,599</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37,655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44,942</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44,270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44,529</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44,583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44,650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44,690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44,736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44,787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34,657</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38,928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40,441</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40,941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41,414</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41,504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37,880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42,814</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43,178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43,549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43,634</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43,688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38,718</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43,253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44,119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44,847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45,053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29,273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33,988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34,243</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34,688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34,784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41,096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48,890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50,117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50,403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92,482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101,957</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104,321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46,607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54,304</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54,904</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505,690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gridSpan w:val="1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All outstanding liabilities prior to 2015, net of reinsurance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gridSpan w:val="12"/>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gridSpan w:val="1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14,228</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Crop</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60" w:type="dxa"/>
            <w:vAlign w:val="bottom"/>
            <w:gridSpan w:val="40"/>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17"/>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12"/>
          </w:tcPr>
          <w:p>
            <w:pPr>
              <w:ind w:left="24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top w:val="single" w:sz="8" w:color="auto"/>
            </w:tcBorders>
            <w:gridSpan w:val="6"/>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IBNR</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Plus Expected</w:t>
            </w:r>
          </w:p>
        </w:tc>
        <w:tc>
          <w:tcPr>
            <w:tcW w:w="100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20" w:type="dxa"/>
            <w:vAlign w:val="bottom"/>
          </w:tcPr>
          <w:p>
            <w:pPr>
              <w:spacing w:after="0"/>
              <w:rPr>
                <w:sz w:val="18"/>
                <w:szCs w:val="18"/>
                <w:color w:val="auto"/>
              </w:rPr>
            </w:pPr>
          </w:p>
        </w:tc>
        <w:tc>
          <w:tcPr>
            <w:tcW w:w="9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xml:space="preserve">2015 </w:t>
            </w:r>
            <w:r>
              <w:rPr>
                <w:rFonts w:ascii="Times New Roman" w:cs="Times New Roman" w:eastAsia="Times New Roman" w:hAnsi="Times New Roman"/>
                <w:sz w:val="29"/>
                <w:szCs w:val="29"/>
                <w:b w:val="1"/>
                <w:bCs w:val="1"/>
                <w:color w:val="auto"/>
                <w:w w:val="88"/>
                <w:vertAlign w:val="superscript"/>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2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6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20"/>
                <w:szCs w:val="20"/>
                <w:color w:val="auto"/>
              </w:rPr>
            </w:pPr>
          </w:p>
        </w:tc>
        <w:tc>
          <w:tcPr>
            <w:tcW w:w="8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7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Claims</w:t>
            </w:r>
          </w:p>
        </w:tc>
        <w:tc>
          <w:tcPr>
            <w:tcW w:w="0" w:type="dxa"/>
            <w:vAlign w:val="bottom"/>
          </w:tcPr>
          <w:p>
            <w:pPr>
              <w:spacing w:after="0"/>
              <w:rPr>
                <w:sz w:val="1"/>
                <w:szCs w:val="1"/>
                <w:color w:val="auto"/>
              </w:rPr>
            </w:pPr>
          </w:p>
        </w:tc>
      </w:tr>
      <w:tr>
        <w:trPr>
          <w:trHeight w:val="191"/>
        </w:trPr>
        <w:tc>
          <w:tcPr>
            <w:tcW w:w="15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 thousands, except</w:t>
            </w: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3"/>
          </w:tcPr>
          <w:p>
            <w:pPr>
              <w:spacing w:after="0"/>
              <w:rPr>
                <w:sz w:val="16"/>
                <w:szCs w:val="16"/>
                <w:color w:val="auto"/>
              </w:rPr>
            </w:pPr>
          </w:p>
        </w:tc>
        <w:tc>
          <w:tcPr>
            <w:tcW w:w="180" w:type="dxa"/>
            <w:vAlign w:val="bottom"/>
            <w:gridSpan w:val="2"/>
          </w:tcPr>
          <w:p>
            <w:pPr>
              <w:spacing w:after="0"/>
              <w:rPr>
                <w:sz w:val="16"/>
                <w:szCs w:val="16"/>
                <w:color w:val="auto"/>
              </w:rPr>
            </w:pPr>
          </w:p>
        </w:tc>
        <w:tc>
          <w:tcPr>
            <w:tcW w:w="660" w:type="dxa"/>
            <w:vAlign w:val="bottom"/>
            <w:tcBorders>
              <w:top w:val="single" w:sz="8" w:color="auto"/>
            </w:tcBorders>
            <w:gridSpan w:val="4"/>
          </w:tcPr>
          <w:p>
            <w:pPr>
              <w:spacing w:after="0"/>
              <w:rPr>
                <w:sz w:val="16"/>
                <w:szCs w:val="16"/>
                <w:color w:val="auto"/>
              </w:rPr>
            </w:pPr>
          </w:p>
        </w:tc>
        <w:tc>
          <w:tcPr>
            <w:tcW w:w="180" w:type="dxa"/>
            <w:vAlign w:val="bottom"/>
            <w:gridSpan w:val="2"/>
          </w:tcPr>
          <w:p>
            <w:pPr>
              <w:spacing w:after="0"/>
              <w:rPr>
                <w:sz w:val="16"/>
                <w:szCs w:val="16"/>
                <w:color w:val="auto"/>
              </w:rPr>
            </w:pPr>
          </w:p>
        </w:tc>
        <w:tc>
          <w:tcPr>
            <w:tcW w:w="640" w:type="dxa"/>
            <w:vAlign w:val="bottom"/>
            <w:tcBorders>
              <w:top w:val="single" w:sz="8" w:color="auto"/>
            </w:tcBorders>
            <w:gridSpan w:val="4"/>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top w:val="single" w:sz="8" w:color="auto"/>
            </w:tcBorders>
            <w:gridSpan w:val="4"/>
          </w:tcPr>
          <w:p>
            <w:pPr>
              <w:spacing w:after="0"/>
              <w:rPr>
                <w:sz w:val="16"/>
                <w:szCs w:val="16"/>
                <w:color w:val="auto"/>
              </w:rPr>
            </w:pPr>
          </w:p>
        </w:tc>
        <w:tc>
          <w:tcPr>
            <w:tcW w:w="200" w:type="dxa"/>
            <w:vAlign w:val="bottom"/>
            <w:gridSpan w:val="2"/>
          </w:tcPr>
          <w:p>
            <w:pPr>
              <w:spacing w:after="0"/>
              <w:rPr>
                <w:sz w:val="16"/>
                <w:szCs w:val="16"/>
                <w:color w:val="auto"/>
              </w:rPr>
            </w:pPr>
          </w:p>
        </w:tc>
        <w:tc>
          <w:tcPr>
            <w:tcW w:w="700" w:type="dxa"/>
            <w:vAlign w:val="bottom"/>
            <w:tcBorders>
              <w:top w:val="single" w:sz="8" w:color="auto"/>
            </w:tcBorders>
            <w:gridSpan w:val="3"/>
          </w:tcPr>
          <w:p>
            <w:pPr>
              <w:spacing w:after="0"/>
              <w:rPr>
                <w:sz w:val="16"/>
                <w:szCs w:val="16"/>
                <w:color w:val="auto"/>
              </w:rPr>
            </w:pPr>
          </w:p>
        </w:tc>
        <w:tc>
          <w:tcPr>
            <w:tcW w:w="180" w:type="dxa"/>
            <w:vAlign w:val="bottom"/>
            <w:gridSpan w:val="2"/>
          </w:tcPr>
          <w:p>
            <w:pPr>
              <w:spacing w:after="0"/>
              <w:rPr>
                <w:sz w:val="16"/>
                <w:szCs w:val="16"/>
                <w:color w:val="auto"/>
              </w:rPr>
            </w:pPr>
          </w:p>
        </w:tc>
        <w:tc>
          <w:tcPr>
            <w:tcW w:w="1080" w:type="dxa"/>
            <w:vAlign w:val="bottom"/>
            <w:tcBorders>
              <w:top w:val="single" w:sz="8" w:color="auto"/>
            </w:tcBorders>
            <w:gridSpan w:val="4"/>
          </w:tcPr>
          <w:p>
            <w:pPr>
              <w:spacing w:after="0"/>
              <w:rPr>
                <w:sz w:val="16"/>
                <w:szCs w:val="16"/>
                <w:color w:val="auto"/>
              </w:rPr>
            </w:pPr>
          </w:p>
        </w:tc>
        <w:tc>
          <w:tcPr>
            <w:tcW w:w="200" w:type="dxa"/>
            <w:vAlign w:val="bottom"/>
            <w:gridSpan w:val="3"/>
          </w:tcPr>
          <w:p>
            <w:pPr>
              <w:spacing w:after="0"/>
              <w:rPr>
                <w:sz w:val="16"/>
                <w:szCs w:val="16"/>
                <w:color w:val="auto"/>
              </w:rPr>
            </w:pPr>
          </w:p>
        </w:tc>
        <w:tc>
          <w:tcPr>
            <w:tcW w:w="900" w:type="dxa"/>
            <w:vAlign w:val="bottom"/>
            <w:tcBorders>
              <w:top w:val="single" w:sz="8" w:color="auto"/>
            </w:tcBorders>
            <w:gridSpan w:val="4"/>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40" w:type="dxa"/>
            <w:vAlign w:val="bottom"/>
            <w:gridSpan w:val="59"/>
          </w:tcPr>
          <w:p>
            <w:pPr>
              <w:spacing w:after="0"/>
              <w:rPr>
                <w:sz w:val="20"/>
                <w:szCs w:val="20"/>
                <w:color w:val="auto"/>
              </w:rPr>
            </w:pPr>
            <w:r>
              <w:rPr>
                <w:rFonts w:ascii="Times New Roman" w:cs="Times New Roman" w:eastAsia="Times New Roman" w:hAnsi="Times New Roman"/>
                <w:sz w:val="18"/>
                <w:szCs w:val="18"/>
                <w:color w:val="auto"/>
              </w:rPr>
              <w:t>claim counts)</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$ 13,813</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$ 13,849</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$ 13,849</w:t>
            </w:r>
          </w:p>
        </w:tc>
        <w:tc>
          <w:tcPr>
            <w:tcW w:w="8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$ 13,849</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1"/>
              </w:rPr>
              <w:t>$ 13,849</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$ 13,849</w:t>
            </w: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$ 13,849</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$ 13,849</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$ 13,849</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20,209</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19,582</w:t>
            </w: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19,487</w:t>
            </w:r>
          </w:p>
        </w:tc>
        <w:tc>
          <w:tcPr>
            <w:tcW w:w="40" w:type="dxa"/>
            <w:vAlign w:val="bottom"/>
          </w:tcPr>
          <w:p>
            <w:pPr>
              <w:spacing w:after="0"/>
              <w:rPr>
                <w:sz w:val="18"/>
                <w:szCs w:val="18"/>
                <w:color w:val="auto"/>
              </w:rPr>
            </w:pPr>
          </w:p>
        </w:tc>
        <w:tc>
          <w:tcPr>
            <w:tcW w:w="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19,487</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19,487</w:t>
            </w:r>
          </w:p>
        </w:tc>
        <w:tc>
          <w:tcPr>
            <w:tcW w:w="8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19,487</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19,487</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19,487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33,734</w:t>
            </w:r>
          </w:p>
        </w:tc>
        <w:tc>
          <w:tcPr>
            <w:tcW w:w="8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34,181</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34,181</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34,181</w:t>
            </w: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34,181</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34,181</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34,181</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34,181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12,506</w:t>
            </w:r>
          </w:p>
        </w:tc>
        <w:tc>
          <w:tcPr>
            <w:tcW w:w="40" w:type="dxa"/>
            <w:vAlign w:val="bottom"/>
          </w:tcPr>
          <w:p>
            <w:pPr>
              <w:spacing w:after="0"/>
              <w:rPr>
                <w:sz w:val="18"/>
                <w:szCs w:val="18"/>
                <w:color w:val="auto"/>
              </w:rPr>
            </w:pPr>
          </w:p>
        </w:tc>
        <w:tc>
          <w:tcPr>
            <w:tcW w:w="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11,730</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11,730</w:t>
            </w:r>
          </w:p>
        </w:tc>
        <w:tc>
          <w:tcPr>
            <w:tcW w:w="8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11,730</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11,730</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11,730</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11,730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33,913</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37,629</w:t>
            </w: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37,629</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37,630</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37,629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28,688</w:t>
            </w:r>
          </w:p>
        </w:tc>
        <w:tc>
          <w:tcPr>
            <w:tcW w:w="8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28,759</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28,760</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28,759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28,574</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28,146</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28,143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20,745</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20,740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12,728</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29"/>
        </w:trPr>
        <w:tc>
          <w:tcPr>
            <w:tcW w:w="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$ 218,380</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Prior years unaudited</w:t>
            </w: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2500" w:type="dxa"/>
            <w:vAlign w:val="bottom"/>
            <w:gridSpan w:val="8"/>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Crop</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40"/>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20"/>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6"/>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$ 13,849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16,444</w:t>
            </w:r>
          </w:p>
        </w:tc>
        <w:tc>
          <w:tcPr>
            <w:tcW w:w="11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19,487</w:t>
            </w:r>
          </w:p>
        </w:tc>
        <w:tc>
          <w:tcPr>
            <w:tcW w:w="7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19,487</w:t>
            </w:r>
          </w:p>
        </w:tc>
        <w:tc>
          <w:tcPr>
            <w:tcW w:w="8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19,487</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19,487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32,768</w:t>
            </w:r>
          </w:p>
        </w:tc>
        <w:tc>
          <w:tcPr>
            <w:tcW w:w="7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34,181</w:t>
            </w:r>
          </w:p>
        </w:tc>
        <w:tc>
          <w:tcPr>
            <w:tcW w:w="8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34,181</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10,737</w:t>
            </w:r>
          </w:p>
        </w:tc>
        <w:tc>
          <w:tcPr>
            <w:tcW w:w="8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11,730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11,730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11,730</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11,730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37,629</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28,759</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28,759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29,424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28,143</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20,279</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20,735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20" w:type="dxa"/>
            <w:vAlign w:val="bottom"/>
            <w:tcBorders>
              <w:top w:val="single" w:sz="8" w:color="CCEEFF"/>
              <w:bottom w:val="single" w:sz="8" w:color="CCEEFF"/>
            </w:tcBorders>
            <w:gridSpan w:val="5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217,069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gridSpan w:val="26"/>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All outstanding liabilities prior to 2015, net of reinsurance</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26"/>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0" w:type="dxa"/>
            <w:vAlign w:val="bottom"/>
            <w:gridSpan w:val="3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net incurred and paid claims development tables to the liability for unpaid losses and loss adjustment expenses in our Consolidated Balance Sheet: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Private passenger auto</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28,103</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77,580</w:t>
            </w:r>
          </w:p>
        </w:tc>
        <w:tc>
          <w:tcPr>
            <w:tcW w:w="0" w:type="dxa"/>
            <w:vAlign w:val="bottom"/>
          </w:tcPr>
          <w:p>
            <w:pPr>
              <w:spacing w:after="0"/>
              <w:rPr>
                <w:sz w:val="1"/>
                <w:szCs w:val="1"/>
                <w:color w:val="auto"/>
              </w:rPr>
            </w:pPr>
          </w:p>
        </w:tc>
      </w:tr>
      <w:tr>
        <w:trPr>
          <w:trHeight w:val="216"/>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16,162</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13,654</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for unpaid losses and loss adjustment expenses</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Private passenger auto</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6"/>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reinsurance recoverables on losses</w:t>
            </w: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unpaid losses and loss adjustment expenses</w:t>
            </w: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124,727</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gridSpan w:val="20"/>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required supplementary information about average historical claims duration as of December 31, 2024:</w:t>
            </w: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60" w:type="dxa"/>
            <w:vAlign w:val="bottom"/>
            <w:gridSpan w:val="20"/>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16"/>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Average Annual Percentage Payout of Incurred Claims by Age, Net of Reinsurance</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Years</w:t>
            </w:r>
          </w:p>
        </w:tc>
        <w:tc>
          <w:tcPr>
            <w:tcW w:w="72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5"/>
                <w:szCs w:val="15"/>
                <w:color w:val="auto"/>
              </w:rPr>
            </w:pPr>
          </w:p>
        </w:tc>
        <w:tc>
          <w:tcPr>
            <w:tcW w:w="72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15"/>
                <w:szCs w:val="15"/>
                <w:color w:val="auto"/>
              </w:rPr>
            </w:pPr>
          </w:p>
        </w:tc>
        <w:tc>
          <w:tcPr>
            <w:tcW w:w="74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5"/>
                <w:szCs w:val="15"/>
                <w:color w:val="auto"/>
              </w:rPr>
            </w:pPr>
          </w:p>
        </w:tc>
        <w:tc>
          <w:tcPr>
            <w:tcW w:w="74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5"/>
                <w:szCs w:val="15"/>
                <w:color w:val="auto"/>
              </w:rPr>
            </w:pPr>
          </w:p>
        </w:tc>
        <w:tc>
          <w:tcPr>
            <w:tcW w:w="880" w:type="dxa"/>
            <w:vAlign w:val="bottom"/>
            <w:gridSpan w:val="2"/>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5"/>
                <w:szCs w:val="15"/>
                <w:color w:val="auto"/>
              </w:rPr>
            </w:pPr>
          </w:p>
        </w:tc>
        <w:tc>
          <w:tcPr>
            <w:tcW w:w="74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5"/>
                <w:szCs w:val="15"/>
                <w:color w:val="auto"/>
              </w:rPr>
            </w:pPr>
          </w:p>
        </w:tc>
        <w:tc>
          <w:tcPr>
            <w:tcW w:w="74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15"/>
                <w:szCs w:val="15"/>
                <w:color w:val="auto"/>
              </w:rPr>
            </w:pPr>
          </w:p>
        </w:tc>
        <w:tc>
          <w:tcPr>
            <w:tcW w:w="74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tcPr>
          <w:p>
            <w:pPr>
              <w:spacing w:after="0"/>
              <w:rPr>
                <w:sz w:val="15"/>
                <w:szCs w:val="15"/>
                <w:color w:val="auto"/>
              </w:rPr>
            </w:pPr>
          </w:p>
        </w:tc>
        <w:tc>
          <w:tcPr>
            <w:tcW w:w="76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Passenger Auto</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Non-Standard Auto</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and Farm</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67.2%</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Crop</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85" w:name="page86"/>
    <w:bookmarkEnd w:id="85"/>
    <w:p>
      <w:pPr>
        <w:ind w:left="460" w:hanging="452"/>
        <w:spacing w:after="0"/>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presented on a consolidated basis, including both continuing and discontinued operations,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26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1,249</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tcPr>
          <w:p>
            <w:pPr>
              <w:spacing w:after="0"/>
              <w:rPr>
                <w:sz w:val="18"/>
                <w:szCs w:val="18"/>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12,497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 years</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Automobiles</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 years</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cost</w:t>
            </w:r>
          </w:p>
        </w:tc>
        <w:tc>
          <w:tcPr>
            <w:tcW w:w="1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(11,685)</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(11,757)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Depreciation expense was $770, $826, and $708 during the years ended December 31, 2024, 2023, and 2022, respectively. Depreciation expense for continuing operations was $681, $692, and $604 during the years ended December 31, 2024, 2023, and 2022,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for current and prior year continuing and discontinued operations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5000" w:type="dxa"/>
            <w:vAlign w:val="bottom"/>
            <w:gridSpan w:val="4"/>
          </w:tcPr>
          <w:p>
            <w:pPr>
              <w:ind w:left="34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3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940" w:type="dxa"/>
            <w:vAlign w:val="bottom"/>
            <w:gridSpan w:val="2"/>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19,232</w:t>
            </w: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w:t>
            </w:r>
          </w:p>
        </w:tc>
        <w:tc>
          <w:tcPr>
            <w:tcW w:w="34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(11,685)</w:t>
            </w:r>
          </w:p>
        </w:tc>
      </w:tr>
      <w:tr>
        <w:trPr>
          <w:trHeight w:val="23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3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40" w:type="dxa"/>
            <w:vAlign w:val="bottom"/>
            <w:gridSpan w:val="2"/>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7100" w:type="dxa"/>
            <w:vAlign w:val="bottom"/>
            <w:gridSpan w:val="4"/>
          </w:tcPr>
          <w:p>
            <w:pPr>
              <w:ind w:left="55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5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604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5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09"/>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w:t>
            </w:r>
          </w:p>
        </w:tc>
        <w:tc>
          <w:tcPr>
            <w:tcW w:w="55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5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5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(11,304)</w:t>
            </w:r>
          </w:p>
        </w:tc>
        <w:tc>
          <w:tcPr>
            <w:tcW w:w="0" w:type="dxa"/>
            <w:vAlign w:val="bottom"/>
          </w:tcPr>
          <w:p>
            <w:pPr>
              <w:spacing w:after="0"/>
              <w:rPr>
                <w:sz w:val="1"/>
                <w:szCs w:val="1"/>
                <w:color w:val="auto"/>
              </w:rPr>
            </w:pPr>
          </w:p>
        </w:tc>
      </w:tr>
      <w:tr>
        <w:trPr>
          <w:trHeight w:val="229"/>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5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5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040" w:type="dxa"/>
            <w:vAlign w:val="bottom"/>
            <w:gridSpan w:val="2"/>
            <w:shd w:val="clear" w:color="auto" w:fill="CCEEFF"/>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jc w:val="right"/>
              <w:ind w:right="3890"/>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1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86" w:name="page87"/>
    <w:bookmarkEnd w:id="86"/>
    <w:p>
      <w:pPr>
        <w:ind w:left="540" w:hanging="532"/>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consolidated basis, including both continuing and discontinued operations, the carrying amount of the Company’s goodwill and related impairment by segment:</w:t>
      </w:r>
    </w:p>
    <w:p>
      <w:pPr>
        <w:sectPr>
          <w:pgSz w:w="11900" w:h="16838" w:orient="portrait"/>
          <w:cols w:equalWidth="0" w:num="1">
            <w:col w:w="11220"/>
          </w:cols>
          <w:pgMar w:left="320" w:top="5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beginning of year Impairment recognized during the period Goodwill, end of year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140" w:type="dxa"/>
            <w:vAlign w:val="bottom"/>
          </w:tcPr>
          <w:p>
            <w:pPr>
              <w:spacing w:after="0"/>
              <w:rPr>
                <w:sz w:val="16"/>
                <w:szCs w:val="16"/>
                <w:color w:val="auto"/>
              </w:rPr>
            </w:pPr>
          </w:p>
        </w:tc>
        <w:tc>
          <w:tcPr>
            <w:tcW w:w="90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0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Com-</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0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4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0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mercial</w:t>
            </w:r>
          </w:p>
        </w:tc>
        <w:tc>
          <w:tcPr>
            <w:tcW w:w="14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mercial</w:t>
            </w:r>
          </w:p>
        </w:tc>
        <w:tc>
          <w:tcPr>
            <w:tcW w:w="14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mercial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0" w:type="dxa"/>
            <w:vAlign w:val="bottom"/>
          </w:tcPr>
          <w:p>
            <w:pPr>
              <w:spacing w:after="0"/>
              <w:rPr>
                <w:sz w:val="19"/>
                <w:szCs w:val="19"/>
                <w:color w:val="auto"/>
              </w:rPr>
            </w:pPr>
          </w:p>
        </w:tc>
      </w:tr>
      <w:tr>
        <w:trPr>
          <w:trHeight w:val="427"/>
        </w:trPr>
        <w:tc>
          <w:tcPr>
            <w:tcW w:w="1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4"/>
                <w:szCs w:val="24"/>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(6,756)</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(6,756)</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9,384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-608330</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-179705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240"/>
            <w:col w:w="8940"/>
          </w:cols>
          <w:pgMar w:left="320" w:top="549" w:right="359" w:bottom="1440" w:gutter="0" w:footer="0" w:header="0"/>
          <w:type w:val="continuous"/>
        </w:sectPr>
      </w:pPr>
    </w:p>
    <w:p>
      <w:pPr>
        <w:spacing w:after="0" w:line="106" w:lineRule="exact"/>
        <w:rPr>
          <w:sz w:val="20"/>
          <w:szCs w:val="20"/>
          <w:color w:val="auto"/>
        </w:rPr>
      </w:pPr>
    </w:p>
    <w:p>
      <w:pPr>
        <w:ind w:left="20" w:hanging="11"/>
        <w:spacing w:after="0" w:line="254" w:lineRule="auto"/>
        <w:rPr>
          <w:sz w:val="20"/>
          <w:szCs w:val="20"/>
          <w:color w:val="auto"/>
        </w:rPr>
      </w:pPr>
      <w:r>
        <w:rPr>
          <w:rFonts w:ascii="Times New Roman" w:cs="Times New Roman" w:eastAsia="Times New Roman" w:hAnsi="Times New Roman"/>
          <w:sz w:val="18"/>
          <w:szCs w:val="18"/>
          <w:color w:val="auto"/>
        </w:rPr>
        <w:t>We performed a quantitative assessment of the goodwill related to the Primero acquisition during the fourth quarter of 2024, which is allocated to our Non-Standard Auto segment, and concluded that the goodwill was fully impaired as of December 31, 2024, resulting in a non-cash impairment charge of $2,628 in the current year. The determination of the fair value of the reporting unit was based on an income approach that utilized discounted cash flows. Under the income approach, we determined fair value based on the present value of the most recent cash flow projections for the reporting unit as of the date of the analysis and calculated a terminal value utilizing a terminal growth rate. The significant assumptions under this approach include, among others: income projections,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w:t>
      </w:r>
    </w:p>
    <w:p>
      <w:pPr>
        <w:spacing w:after="0" w:line="148" w:lineRule="exact"/>
        <w:rPr>
          <w:sz w:val="20"/>
          <w:szCs w:val="20"/>
          <w:color w:val="auto"/>
        </w:rPr>
      </w:pPr>
    </w:p>
    <w:p>
      <w:pPr>
        <w:ind w:left="20" w:hanging="11"/>
        <w:spacing w:after="0" w:line="253" w:lineRule="auto"/>
        <w:rPr>
          <w:sz w:val="20"/>
          <w:szCs w:val="20"/>
          <w:color w:val="auto"/>
        </w:rPr>
      </w:pPr>
      <w:r>
        <w:rPr>
          <w:rFonts w:ascii="Times New Roman" w:cs="Times New Roman" w:eastAsia="Times New Roman" w:hAnsi="Times New Roman"/>
          <w:sz w:val="18"/>
          <w:szCs w:val="18"/>
          <w:color w:val="auto"/>
        </w:rPr>
        <w:t>We performed a quantitative assessment of the goodwill related to the Westminster acquisition during the fourth quarter of 2023, which was allocated to our former Commercial segment, and concluded that the goodwill was fully impaired as of December 31, 2023, resulting in a non-cash impairment charge of $6,756 in 2023. The determination of the fair value of the reporting unit was based on a combination of a market approach that considered benchmark company market multiples, and an income approach that utilized discounted cash flows. Under the income approach, we determined fair value based on the present value of the most recent cash flow projections for the reporting unit as of the date of the analysis and calculated a terminal value utilizing a terminal growth rate. The significant assumptions under this approach included, among others: income projections, new product introductions, customer behavior, competitor pricing, operating expenses, the discount rate, and the terminal growth rate. The cash flows used to determine fair value were dependent on a number of significant management assumptions such as our expectations of future performance and the expected future economic environment, which were partly based upon our historical experience. Additionally, the discount rate and the terminal growth rate were based on our judgment of the rates that would be utilized by a hypothetical market participant.</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consolidated basis, including both continuing and discontinued operations, the carrying amount of the Company’s other intangible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5,211</w:t>
            </w:r>
          </w:p>
        </w:tc>
      </w:tr>
      <w:tr>
        <w:trPr>
          <w:trHeight w:val="20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the current and prior year continuing and discontinued carrying amounts of the Company’s other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not subject to amortization</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210"/>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not subject to amortization</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88" w:name="page89"/>
    <w:bookmarkEnd w:id="88"/>
    <w:p>
      <w:pPr>
        <w:ind w:right="400"/>
        <w:spacing w:after="0" w:line="282" w:lineRule="auto"/>
        <w:rPr>
          <w:sz w:val="20"/>
          <w:szCs w:val="20"/>
          <w:color w:val="auto"/>
        </w:rPr>
      </w:pPr>
      <w:r>
        <w:rPr>
          <w:rFonts w:ascii="Times New Roman" w:cs="Times New Roman" w:eastAsia="Times New Roman" w:hAnsi="Times New Roman"/>
          <w:sz w:val="18"/>
          <w:szCs w:val="18"/>
          <w:color w:val="auto"/>
        </w:rPr>
        <w:t>We determined during our reviews that there were no impairments of other indefinite-lived intangible assets or finite-lived intangible assets during the years ended December 31, 2024, 2023, and 2022.</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Amortization expense was $211, $455, and $472 during the years ended December 31, 2024, 2023, and 2022, respectively. Amortization expense for continuing operations was $0, $33, and $50 during the years ended December 31, 2024, 2023, and 2022, respectively.</w:t>
      </w:r>
    </w:p>
    <w:p>
      <w:pPr>
        <w:spacing w:after="0" w:line="131" w:lineRule="exact"/>
        <w:rPr>
          <w:sz w:val="20"/>
          <w:szCs w:val="20"/>
          <w:color w:val="auto"/>
        </w:rPr>
      </w:pPr>
    </w:p>
    <w:p>
      <w:pPr>
        <w:ind w:left="540" w:hanging="532"/>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Royalties, Dividends, and Affiliations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Nodak Insurance was organized by the NDFB to provide insurance protection for its members. We have a royalty agreement with the NDFB that recognizes the use of their trademark and provides royalties to the NDFB based on the premiums written on Nodak Insurance’s policies. Royalties paid to the NDFB were $1,647, $1,603, and $1,453 during the years ended December 31, 2024, 2023, and 2022, respectively. Royalty amounts payable of $146 and $131 were accrued as a liability to the NDFB at December 31, 2024 and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2024, exceeded the amount of statutory capital and surplus necessary to satisfy risk-based capital requirements by a significant margin.</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during 2025 without the prior approval of the North Dakota Insurance Department is approximately $8,273 as of December 31, 2024. No dividends were declared or paid by Nodak Insurance during the years ended December 31, 2024 and 2023. The Nodak Insurance Board of Directors declared and paid dividends of $3,000 to NI Holdings during the year ended December 31, 2022.</w:t>
      </w:r>
    </w:p>
    <w:p>
      <w:pPr>
        <w:spacing w:after="0" w:line="15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amount available for payment of dividends from Direct Auto to NI Holdings during 2025 without the prior approval of the North Dakota Insurance Department is approximately $3,146 as of December 31, 2024. No dividends were declared or paid by Direct Auto during the years ended December 31, 2024, 2023, or 2022.</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spacing w:after="0" w:line="13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Westminster was sold on June 30, 2024, and therefore no dividends are available to be paid to NI Holdings subsequent to that date. No dividends were declared or paid by Westminster during the years ended December 31, 2024, 2023 or 2022. See Part II, Item 8, Note 20 “Discontinued Operations” for additional information.</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The following table discloses the standalone balance sheet of Battle Creek, prior to intercompany eliminations, to illustrate the impact of including Battle Creek in our December 31, 2023, Consolidated Balance Sheet prior to demutualization: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4800" w:type="dxa"/>
            <w:vAlign w:val="bottom"/>
            <w:gridSpan w:val="4"/>
          </w:tcPr>
          <w:p>
            <w:pPr>
              <w:ind w:left="3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15,394</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57"/>
        </w:trPr>
        <w:tc>
          <w:tcPr>
            <w:tcW w:w="64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(2)</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63"/>
        </w:trPr>
        <w:tc>
          <w:tcPr>
            <w:tcW w:w="6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00" w:type="dxa"/>
            <w:vAlign w:val="bottom"/>
            <w:tcBorders>
              <w:bottom w:val="single" w:sz="8" w:color="CCEEFF"/>
            </w:tcBorders>
          </w:tcPr>
          <w:p>
            <w:pPr>
              <w:spacing w:after="0"/>
              <w:rPr>
                <w:sz w:val="22"/>
                <w:szCs w:val="22"/>
                <w:color w:val="auto"/>
              </w:rPr>
            </w:pPr>
          </w:p>
        </w:tc>
      </w:tr>
      <w:tr>
        <w:trPr>
          <w:trHeight w:val="197"/>
        </w:trPr>
        <w:tc>
          <w:tcPr>
            <w:tcW w:w="64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61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40"/>
        <w:spacing w:after="0" w:line="192" w:lineRule="auto"/>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p>
      <w:pPr>
        <w:ind w:left="140"/>
        <w:spacing w:after="0" w:line="184" w:lineRule="auto"/>
        <w:rPr>
          <w:sz w:val="20"/>
          <w:szCs w:val="20"/>
          <w:color w:val="auto"/>
        </w:rPr>
      </w:pPr>
      <w:r>
        <w:rPr>
          <w:rFonts w:ascii="Times New Roman" w:cs="Times New Roman" w:eastAsia="Times New Roman" w:hAnsi="Times New Roman"/>
          <w:sz w:val="18"/>
          <w:szCs w:val="18"/>
          <w:color w:val="auto"/>
        </w:rPr>
        <w:t xml:space="preserve">Pooling payable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40"/>
        <w:spacing w:after="0" w:line="185" w:lineRule="auto"/>
        <w:rPr>
          <w:sz w:val="20"/>
          <w:szCs w:val="20"/>
          <w:color w:val="auto"/>
        </w:rPr>
      </w:pPr>
      <w:r>
        <w:rPr>
          <w:rFonts w:ascii="Times New Roman" w:cs="Times New Roman" w:eastAsia="Times New Roman" w:hAnsi="Times New Roman"/>
          <w:sz w:val="18"/>
          <w:szCs w:val="18"/>
          <w:color w:val="auto"/>
        </w:rPr>
        <w:t xml:space="preserve">Reinsurance losses payable </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2" w:lineRule="exact"/>
        <w:rPr>
          <w:sz w:val="20"/>
          <w:szCs w:val="20"/>
          <w:color w:val="auto"/>
        </w:rPr>
      </w:pPr>
    </w:p>
    <w:p>
      <w:pPr>
        <w:ind w:left="900" w:hanging="532"/>
        <w:spacing w:after="0"/>
        <w:tabs>
          <w:tab w:leader="none" w:pos="900" w:val="left"/>
        </w:tabs>
        <w:numPr>
          <w:ilvl w:val="1"/>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 fully eliminated in consolidation.</w:t>
      </w:r>
    </w:p>
    <w:p>
      <w:pPr>
        <w:spacing w:after="0" w:line="42" w:lineRule="exact"/>
        <w:rPr>
          <w:rFonts w:ascii="Times New Roman" w:cs="Times New Roman" w:eastAsia="Times New Roman" w:hAnsi="Times New Roman"/>
          <w:sz w:val="30"/>
          <w:szCs w:val="30"/>
          <w:color w:val="auto"/>
          <w:vertAlign w:val="superscript"/>
        </w:rPr>
      </w:pPr>
    </w:p>
    <w:p>
      <w:pPr>
        <w:ind w:left="900" w:hanging="532"/>
        <w:spacing w:after="0" w:line="194" w:lineRule="auto"/>
        <w:tabs>
          <w:tab w:leader="none" w:pos="900" w:val="left"/>
        </w:tabs>
        <w:numPr>
          <w:ilvl w:val="1"/>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 partly eliminated in consolidation.</w:t>
      </w:r>
    </w:p>
    <w:p>
      <w:pPr>
        <w:spacing w:after="0" w:line="194" w:lineRule="exact"/>
        <w:rPr>
          <w:rFonts w:ascii="Times New Roman" w:cs="Times New Roman" w:eastAsia="Times New Roman" w:hAnsi="Times New Roman"/>
          <w:sz w:val="23"/>
          <w:szCs w:val="23"/>
          <w:color w:val="auto"/>
          <w:vertAlign w:val="superscript"/>
        </w:rPr>
      </w:pPr>
    </w:p>
    <w:p>
      <w:pPr>
        <w:ind w:left="540" w:hanging="532"/>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hanging="1033"/>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3,269</w:t>
      </w:r>
    </w:p>
    <w:p>
      <w:pPr>
        <w:spacing w:after="0" w:line="3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w:t>
      </w:r>
    </w:p>
    <w:p>
      <w:pPr>
        <w:spacing w:after="0" w:line="4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5,932</w:t>
      </w:r>
    </w:p>
    <w:p>
      <w:pPr>
        <w:spacing w:after="0" w:line="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13,275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477</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41" w:lineRule="exact"/>
        <w:rPr>
          <w:sz w:val="20"/>
          <w:szCs w:val="20"/>
          <w:color w:val="auto"/>
        </w:rPr>
      </w:pPr>
    </w:p>
    <w:p>
      <w:pPr>
        <w:ind w:left="960" w:hanging="953"/>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169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386" w:lineRule="exact"/>
        <w:rPr>
          <w:sz w:val="20"/>
          <w:szCs w:val="20"/>
          <w:color w:val="auto"/>
        </w:rPr>
      </w:pPr>
    </w:p>
    <w:p>
      <w:pPr>
        <w:sectPr>
          <w:pgSz w:w="11900" w:h="16838" w:orient="portrait"/>
          <w:cols w:equalWidth="0" w:num="2">
            <w:col w:w="8960" w:space="720"/>
            <w:col w:w="1560"/>
          </w:cols>
          <w:pgMar w:left="320" w:top="617" w:right="339" w:bottom="1440" w:gutter="0" w:footer="0" w:header="0"/>
          <w:type w:val="continuous"/>
        </w:sectPr>
      </w:pPr>
    </w:p>
    <w:p>
      <w:pPr>
        <w:ind w:right="60"/>
        <w:spacing w:after="0" w:line="281" w:lineRule="auto"/>
        <w:rPr>
          <w:sz w:val="20"/>
          <w:szCs w:val="20"/>
          <w:color w:val="auto"/>
        </w:rPr>
      </w:pPr>
      <w:r>
        <w:rPr>
          <w:rFonts w:ascii="Times New Roman" w:cs="Times New Roman" w:eastAsia="Times New Roman" w:hAnsi="Times New Roman"/>
          <w:sz w:val="17"/>
          <w:szCs w:val="17"/>
          <w:color w:val="auto"/>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sponsored a separate 401(k) plan until the company was sold on June 30, 2024. American West and Battle Creek have no employees. The Company reported expenses related to these plans totaling $782, $806, and $693 during the years ended December 31, 2024, 2023, and 2022,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$360, $368, and $325 during the years ended December 31, 2024, 2023, and 2022, respectively.</w:t>
      </w:r>
    </w:p>
    <w:p>
      <w:pPr>
        <w:spacing w:after="0" w:line="14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connection with our IPO in March 2017, the Company established its ESOP within the meaning of Internal Revenue Code Section 4975(e)(7) and invests solely in common stock of the Company.</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90" w:name="page91"/>
    <w:bookmarkEnd w:id="90"/>
    <w:p>
      <w:pPr>
        <w:ind w:right="40"/>
        <w:spacing w:after="0" w:line="261" w:lineRule="auto"/>
        <w:rPr>
          <w:sz w:val="20"/>
          <w:szCs w:val="20"/>
          <w:color w:val="auto"/>
        </w:rPr>
      </w:pPr>
      <w:r>
        <w:rPr>
          <w:rFonts w:ascii="Times New Roman" w:cs="Times New Roman" w:eastAsia="Times New Roman" w:hAnsi="Times New Roman"/>
          <w:sz w:val="18"/>
          <w:szCs w:val="18"/>
          <w:color w:val="auto"/>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4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w:t>
      </w:r>
    </w:p>
    <w:p>
      <w:pPr>
        <w:spacing w:after="0" w:line="1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related to the ESOP of $365, $322, and $380 during the years ended December 31, 2024, 2023, and 2022, respectively.</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Through December 31, 2024, the Company had released and allocated 194,520 ESOP shares to participants, with a remainder of 45,480 ESOP shares in suspense at December 31, 2024. Using the Company’s year-end market price of $15.70 per share, the fair value of the unearned ESOP shares was $714 at December 31, 2024.</w:t>
      </w:r>
    </w:p>
    <w:p>
      <w:pPr>
        <w:spacing w:after="0" w:line="145" w:lineRule="exact"/>
        <w:rPr>
          <w:sz w:val="20"/>
          <w:szCs w:val="20"/>
          <w:color w:val="auto"/>
        </w:rPr>
      </w:pPr>
    </w:p>
    <w:p>
      <w:pPr>
        <w:ind w:left="540" w:hanging="532"/>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NI Holdings has a $3,000 line of credit with Wells Fargo Bank, N.A. The terms of the line of credit include a floating interest rate of 2.50% above the daily simple secured overnight financing rate. There were no outstanding amounts during the years ended December 31, 2024, 2023, or 2022. This line of credit is scheduled to expire on December 13, 2025.</w:t>
      </w:r>
    </w:p>
    <w:p>
      <w:pPr>
        <w:spacing w:after="0" w:line="131" w:lineRule="exact"/>
        <w:rPr>
          <w:sz w:val="20"/>
          <w:szCs w:val="20"/>
          <w:color w:val="auto"/>
        </w:rPr>
      </w:pPr>
    </w:p>
    <w:p>
      <w:pPr>
        <w:ind w:left="540" w:hanging="532"/>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provision for income tax expense (benefit)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14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(4,682)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w:t>
            </w:r>
          </w:p>
        </w:tc>
        <w:tc>
          <w:tcPr>
            <w:tcW w:w="2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(4,467)</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23"/>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1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86</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The provision for income tax expense (benefit) differs from the amount that would be computed by applying the statutory federal rate to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income taxes as a result of the following, including both continuing and discontinued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provision for federal income taxes at 21%</w:t>
            </w:r>
          </w:p>
        </w:tc>
        <w:tc>
          <w:tcPr>
            <w:tcW w:w="146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(895)</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(14,496)</w:t>
            </w:r>
          </w:p>
        </w:tc>
      </w:tr>
      <w:tr>
        <w:trPr>
          <w:trHeight w:val="216"/>
        </w:trPr>
        <w:tc>
          <w:tcPr>
            <w:tcW w:w="5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impact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Tax-exempt interest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Section 832(b)(5)(B) proration amount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Compensation-related expenses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892</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Westminster sale/goodwill impairment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(2,661)</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 of Battle Creek</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2,035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State carryovers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(2,412)</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r>
      <w:tr>
        <w:trPr>
          <w:trHeight w:val="263"/>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5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consolidated federal income tax expense (benefit) from:</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6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3,545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(14,191)</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discontinued operations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(6,332)</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federal income tax expense (benefit)</w:t>
            </w:r>
          </w:p>
        </w:tc>
        <w:tc>
          <w:tcPr>
            <w:tcW w:w="500" w:type="dxa"/>
            <w:vAlign w:val="bottom"/>
          </w:tcPr>
          <w:p>
            <w:pPr>
              <w:spacing w:after="0"/>
              <w:rPr>
                <w:sz w:val="19"/>
                <w:szCs w:val="19"/>
                <w:color w:val="auto"/>
              </w:rPr>
            </w:pPr>
          </w:p>
        </w:tc>
        <w:tc>
          <w:tcPr>
            <w:tcW w:w="96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re-measure existing deferred income tax assets (including loss carryforwards) and liabilities when a change in tax rate occurs and record an offset for the net amount of the change as a component of income tax expense (benefit) from continuing operations in the period of enactment. We record any change to a previously recorded valuation allowance as a result of re-measuring existing temporary differences and loss carryforwards as a component of income tax expense (benefit) from continuing operations. The valuation allowance against certain deferred income tax assets was $2,506, $505, and $694 at December 31, 2024, 2023, and 2022, respectively.</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The income tax effects of temporary differences that give rise to significant portions of our deferred income tax assets and deferred income tax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including both continuing and discontinued operations,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5,749</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7,371</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6,421</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carryovers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r>
      <w:tr>
        <w:trPr>
          <w:trHeight w:val="209"/>
        </w:trPr>
        <w:tc>
          <w:tcPr>
            <w:tcW w:w="8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Deferred income tax liabilities: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Intangibles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Total deferred income tax liabilities</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deferred income tax asset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Deferred income tax asset, net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60" w:type="dxa"/>
            <w:vAlign w:val="bottom"/>
          </w:tcPr>
          <w:p>
            <w:pPr>
              <w:spacing w:after="0"/>
              <w:rPr>
                <w:sz w:val="18"/>
                <w:szCs w:val="18"/>
                <w:color w:val="auto"/>
              </w:rPr>
            </w:pPr>
          </w:p>
        </w:tc>
      </w:tr>
      <w:tr>
        <w:trPr>
          <w:trHeight w:val="229"/>
        </w:trPr>
        <w:tc>
          <w:tcPr>
            <w:tcW w:w="5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60" w:type="dxa"/>
            <w:vAlign w:val="bottom"/>
          </w:tcPr>
          <w:p>
            <w:pPr>
              <w:spacing w:after="0"/>
              <w:rPr>
                <w:sz w:val="19"/>
                <w:szCs w:val="19"/>
                <w:color w:val="auto"/>
              </w:rPr>
            </w:pPr>
          </w:p>
        </w:tc>
      </w:tr>
      <w:tr>
        <w:trPr>
          <w:trHeight w:val="234"/>
        </w:trPr>
        <w:tc>
          <w:tcPr>
            <w:tcW w:w="5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r>
      <w:tr>
        <w:trPr>
          <w:trHeight w:val="209"/>
        </w:trPr>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60" w:type="dxa"/>
            <w:vAlign w:val="bottom"/>
          </w:tcPr>
          <w:p>
            <w:pPr>
              <w:spacing w:after="0"/>
              <w:rPr>
                <w:sz w:val="18"/>
                <w:szCs w:val="18"/>
                <w:color w:val="auto"/>
              </w:rPr>
            </w:pPr>
          </w:p>
        </w:tc>
      </w:tr>
      <w:tr>
        <w:trPr>
          <w:trHeight w:val="426"/>
        </w:trPr>
        <w:tc>
          <w:tcPr>
            <w:tcW w:w="5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9,830</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60" w:type="dxa"/>
            <w:vAlign w:val="bottom"/>
          </w:tcPr>
          <w:p>
            <w:pPr>
              <w:spacing w:after="0"/>
              <w:rPr>
                <w:sz w:val="24"/>
                <w:szCs w:val="24"/>
                <w:color w:val="auto"/>
              </w:rPr>
            </w:pPr>
          </w:p>
        </w:tc>
      </w:tr>
      <w:tr>
        <w:trPr>
          <w:trHeight w:val="445"/>
        </w:trPr>
        <w:tc>
          <w:tcPr>
            <w:tcW w:w="5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3"/>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60" w:type="dxa"/>
            <w:vAlign w:val="bottom"/>
          </w:tcPr>
          <w:p>
            <w:pPr>
              <w:spacing w:after="0"/>
              <w:rPr>
                <w:sz w:val="19"/>
                <w:szCs w:val="19"/>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-1310640</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-1036320</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-744855</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-462280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-179070</wp:posOffset>
            </wp:positionV>
            <wp:extent cx="71323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553" w:right="33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December 31, 2024 and 2023, we had no unrecognized tax benefits, no accrued interest and penalties, and no significant uncertain tax positions. No interest and penalties were recognized during the years ended December 31, 2024, 2023, or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the Company had no income tax related carryforwards for alternative minimum tax credits or capital losses.</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$2.5 million in state net operating loss deferred tax assets, all of which are offset by a valuation allowance due to the Company’s judgment that it is more likely than not that it will be unable to realize the benefits.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Battle Creek, which was required to file its federal income tax returns on a stand-alone basis until the demutualization on January 2, 2024, had net operating loss carryforwards of $3,756 and $3,963 at December 31, 2023 and 2022, respectively. Subsequent to the demutualization, Battle Creek will be included in the NI Holdings consolidated tax return. As a result of the demutualization, the Battle Creek net operating loss carryforwards were written off in 2024 as they will not be available to offset income within the NI Holdings consolidated tax return, and the $505 associated valuation allowance was no longer necessary.</w:t>
      </w:r>
    </w:p>
    <w:p>
      <w:pPr>
        <w:spacing w:after="0" w:line="1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Westminster, which became part of the Company’s consolidated federal income tax return beginning in 2020, had $1,270 of net operating loss carryforward at December 31, 2022. This net operating loss carryforward expired in 2023.</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3" w:name="page94"/>
    <w:bookmarkEnd w:id="93"/>
    <w:p>
      <w:pPr>
        <w:ind w:left="540" w:hanging="532"/>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Primero leases a facility in Spearfish, South Dakota under a non-cancellable operating lease expiring in 2028.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for the year ended December 31, 2022, the Company adopted the updated guidance for leases. See Part II, Item 8, Note 2 “Recent Accounting Pronouncements” for additional information. 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our Consolidated Balance Sheets.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expenses of $484, $407, and $391 related to these leases during the years ended December 31, 2024, 2023, and 2022,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regarding the Company’s leases are as follows: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w:t>
            </w:r>
          </w:p>
        </w:tc>
      </w:tr>
      <w:tr>
        <w:trPr>
          <w:trHeight w:val="223"/>
        </w:trPr>
        <w:tc>
          <w:tcPr>
            <w:tcW w:w="6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cost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6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22"/>
                <w:szCs w:val="22"/>
                <w:color w:val="auto"/>
              </w:rPr>
            </w:pPr>
          </w:p>
        </w:tc>
      </w:tr>
      <w:tr>
        <w:trPr>
          <w:trHeight w:val="197"/>
        </w:trPr>
        <w:tc>
          <w:tcPr>
            <w:tcW w:w="6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 on leases: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operating leases</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finance leases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financing cash flows from finance leases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 years</w:t>
            </w:r>
          </w:p>
        </w:tc>
        <w:tc>
          <w:tcPr>
            <w:tcW w:w="320" w:type="dxa"/>
            <w:vAlign w:val="bottom"/>
          </w:tcPr>
          <w:p>
            <w:pPr>
              <w:spacing w:after="0"/>
              <w:rPr>
                <w:sz w:val="18"/>
                <w:szCs w:val="18"/>
                <w:color w:val="auto"/>
              </w:rPr>
            </w:pP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5.3 years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6.3 years</w:t>
            </w: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 years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 years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31"/>
        </w:trPr>
        <w:tc>
          <w:tcPr>
            <w:tcW w:w="6020" w:type="dxa"/>
            <w:vAlign w:val="bottom"/>
            <w:tcBorders>
              <w:bottom w:val="single" w:sz="8" w:color="auto"/>
            </w:tcBorders>
          </w:tcPr>
          <w:p>
            <w:pPr>
              <w:ind w:left="552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94" w:name="page95"/>
    <w:bookmarkEnd w:id="94"/>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maturities of the Company’s lease liabilities for each of the five years in the period ending December 31, 2029, and thereafter, reconciled to our lease liability at December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0"/>
                <w:szCs w:val="20"/>
                <w:color w:val="auto"/>
              </w:rPr>
            </w:pP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2025</w:t>
            </w:r>
          </w:p>
        </w:tc>
        <w:tc>
          <w:tcPr>
            <w:tcW w:w="5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2026</w:t>
            </w: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2027</w:t>
            </w:r>
          </w:p>
        </w:tc>
        <w:tc>
          <w:tcPr>
            <w:tcW w:w="5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2028</w:t>
            </w: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2029</w:t>
            </w:r>
          </w:p>
        </w:tc>
        <w:tc>
          <w:tcPr>
            <w:tcW w:w="5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at December 31, 2024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Contingencies</w:t>
            </w: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 w:type="dxa"/>
            <w:vAlign w:val="bottom"/>
            <w:vMerge w:val="continue"/>
          </w:tcPr>
          <w:p>
            <w:pPr>
              <w:spacing w:after="0"/>
              <w:rPr>
                <w:sz w:val="24"/>
                <w:szCs w:val="24"/>
                <w:color w:val="auto"/>
              </w:rPr>
            </w:pPr>
          </w:p>
        </w:tc>
        <w:tc>
          <w:tcPr>
            <w:tcW w:w="5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Common and Preferred Stock</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were as follows: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66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20,599,908</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21,076,255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21,219,808</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shares repurchased through stock repurchase authorization</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(548,549)</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(269,160)</w:t>
            </w:r>
          </w:p>
        </w:tc>
      </w:tr>
      <w:tr>
        <w:trPr>
          <w:trHeight w:val="216"/>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treasury shares for vesting of restricted stock units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49,045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47,887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101,292</w:t>
            </w:r>
          </w:p>
        </w:tc>
      </w:tr>
      <w:tr>
        <w:trPr>
          <w:trHeight w:val="230"/>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shares related to employee stock ownership plan</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24,315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24,315</w:t>
            </w: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24,315</w:t>
            </w:r>
          </w:p>
        </w:tc>
      </w:tr>
      <w:tr>
        <w:trPr>
          <w:trHeight w:val="223"/>
        </w:trPr>
        <w:tc>
          <w:tcPr>
            <w:tcW w:w="6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20,673,268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20,599,908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year ended December 31, 2024, excluded the weighted average effects of 120,626 shares of stock awards since the impacts of these potential shares of common stock were anti-dilutive. The net loss per diluted common share for the year ended December 31, 2023, excluded the weighted average effects of 76,532 shares of stock awards since the impacts of these potential shares of common stock were anti-dilutive. The net loss per diluted common share for the year ended December 31, 2022, excluded the weighted average effects of 155,463 shares of stock awards since the impacts of these potential shares of common stock were anti-dilutive.</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year ended December 31, 2022, we completed the repurchase of 214,937 shares of our common stock for $3,446 to close out this authorization.</w:t>
      </w:r>
    </w:p>
    <w:p>
      <w:pPr>
        <w:spacing w:after="0" w:line="15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2023, we completed the repurchase of 54,223 shares of our common stock for $734 under this authorization. During the year ended December 31, 2023, we completed the repurchase of 548,549 shares of our common stock for $7,278, including the applicable excise tax discussed below. During the year ended</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December 31, 2024, we did not repurchase any shares of our common stock. At December 31, 2024, $2,052 remains available under this authorization.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Consolidated Balance Sheets.</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(“IRA”) which, among other changes, created a new corporate alternative minimum tax (“AMT”) based on adjusted financial statement income and imposes a 1% excise tax on corporate stock repurchases, subject to certain adjustments. The effective date of these provisions was January 1, 2023. The Company is not currently subject to the AMT based on our reported GAAP earnings for the past three years. For periods subsequent to the effective date of the IRA, the cost of treasury stock acquired will include any 1% excise tax imposed by the IRA. The Company does not expect the IRA to have a material impact on the Company’s financial position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authority to issue up to five million shares of preferred stock. No preferred shares are issued or outstanding.</w:t>
      </w:r>
    </w:p>
    <w:p>
      <w:pPr>
        <w:spacing w:after="0" w:line="131" w:lineRule="exact"/>
        <w:rPr>
          <w:sz w:val="20"/>
          <w:szCs w:val="20"/>
          <w:color w:val="auto"/>
        </w:rPr>
      </w:pPr>
    </w:p>
    <w:p>
      <w:pPr>
        <w:ind w:left="540" w:hanging="532"/>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5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in 2024, the RSUs vest equally over a three-year period.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RSUs earned during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2024</w:t>
      </w:r>
    </w:p>
    <w:p>
      <w:pPr>
        <w:ind w:left="140"/>
        <w:spacing w:after="0" w:line="201" w:lineRule="auto"/>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2024</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16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108,380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16.86</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17.61</w:t>
            </w:r>
          </w:p>
        </w:tc>
      </w:tr>
      <w:tr>
        <w:trPr>
          <w:trHeight w:val="248"/>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(52,620)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17.39</w:t>
            </w:r>
          </w:p>
        </w:tc>
      </w:tr>
      <w:tr>
        <w:trPr>
          <w:trHeight w:val="209"/>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17.00</w:t>
            </w:r>
          </w:p>
        </w:tc>
      </w:tr>
      <w:tr>
        <w:trPr>
          <w:trHeight w:val="407"/>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r>
      <w:tr>
        <w:trPr>
          <w:trHeight w:val="248"/>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(53,780)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16.32</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r>
      <w:tr>
        <w:trPr>
          <w:trHeight w:val="407"/>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119,398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14.67</w:t>
            </w:r>
          </w:p>
        </w:tc>
      </w:tr>
      <w:tr>
        <w:trPr>
          <w:trHeight w:val="234"/>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(69,420)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r>
      <w:tr>
        <w:trPr>
          <w:trHeight w:val="270"/>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(92,160)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w:t>
            </w:r>
          </w:p>
        </w:tc>
      </w:tr>
      <w:tr>
        <w:trPr>
          <w:trHeight w:val="223"/>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104,398</w:t>
            </w:r>
          </w:p>
        </w:tc>
        <w:tc>
          <w:tcPr>
            <w:tcW w:w="10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53" w:right="339" w:bottom="1440" w:gutter="0" w:footer="0" w:header="0"/>
        </w:sectPr>
      </w:pPr>
    </w:p>
    <w:p>
      <w:pPr>
        <w:spacing w:after="0" w:line="38" w:lineRule="exact"/>
        <w:rPr>
          <w:sz w:val="20"/>
          <w:szCs w:val="20"/>
          <w:color w:val="auto"/>
        </w:rPr>
      </w:pPr>
    </w:p>
    <w:p>
      <w:pPr>
        <w:ind w:right="200" w:firstLine="8"/>
        <w:spacing w:after="0" w:line="223" w:lineRule="auto"/>
        <w:tabs>
          <w:tab w:leader="none" w:pos="212"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RSU forfeitures primarily related to the execution of the separation agreements with the former Chief Executive Officer and former Senior Vice President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impact of RSU activity to the Company’s financial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5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grant-date fair value of vested RSUs at end of period</w:t>
            </w:r>
          </w:p>
        </w:tc>
        <w:tc>
          <w:tcPr>
            <w:tcW w:w="2040" w:type="dxa"/>
            <w:vAlign w:val="bottom"/>
            <w:gridSpan w:val="2"/>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December 31, 2024, there was $741 of unrecognized compensation cost related to outstanding RSUs. That cost is expected to be recognized over a weighted-average period of 1.83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Effective for grants made in 2024, the performance metric is calculated based on an adjusted return on equity over a three-year period, with annual resets.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3"/>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80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PSUs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2022 (at target)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2022</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57"/>
        </w:trPr>
        <w:tc>
          <w:tcPr>
            <w:tcW w:w="800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2022</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2023 (at target)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2023</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0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(63,600)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r>
      <w:tr>
        <w:trPr>
          <w:trHeight w:val="209"/>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21"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PSUs granted during 2024 (at target)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PSUs earned during 2024</w:t>
      </w:r>
    </w:p>
    <w:p>
      <w:pPr>
        <w:ind w:left="140"/>
        <w:spacing w:after="0" w:line="192" w:lineRule="auto"/>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p>
      <w:pPr>
        <w:ind w:left="140"/>
        <w:spacing w:after="0" w:line="194" w:lineRule="auto"/>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at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79,800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14.19</w:t>
            </w:r>
          </w:p>
        </w:tc>
      </w:tr>
      <w:tr>
        <w:trPr>
          <w:trHeight w:val="234"/>
        </w:trPr>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(147,173)</w:t>
            </w:r>
          </w:p>
        </w:tc>
        <w:tc>
          <w:tcPr>
            <w:tcW w:w="6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70"/>
        </w:trPr>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(120,100)</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26,327</w:t>
            </w:r>
          </w:p>
        </w:tc>
        <w:tc>
          <w:tcPr>
            <w:tcW w:w="120" w:type="dxa"/>
            <w:vAlign w:val="bottom"/>
          </w:tcPr>
          <w:p>
            <w:pPr>
              <w:spacing w:after="0"/>
              <w:rPr>
                <w:sz w:val="19"/>
                <w:szCs w:val="19"/>
                <w:color w:val="auto"/>
              </w:rPr>
            </w:pP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-650875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-350520</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7280" w:space="720"/>
            <w:col w:w="3240"/>
          </w:cols>
          <w:pgMar w:left="320" w:top="621" w:right="339" w:bottom="1440" w:gutter="0" w:footer="0" w:header="0"/>
          <w:type w:val="continuous"/>
        </w:sectPr>
      </w:pPr>
    </w:p>
    <w:p>
      <w:pPr>
        <w:ind w:left="280" w:hanging="272"/>
        <w:spacing w:after="0"/>
        <w:tabs>
          <w:tab w:leader="none" w:pos="28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change in PSUs issued based upon the attainment of performance goals established by the Company.</w:t>
      </w:r>
    </w:p>
    <w:p>
      <w:pPr>
        <w:spacing w:after="0" w:line="42" w:lineRule="exact"/>
        <w:rPr>
          <w:rFonts w:ascii="Times New Roman" w:cs="Times New Roman" w:eastAsia="Times New Roman" w:hAnsi="Times New Roman"/>
          <w:sz w:val="30"/>
          <w:szCs w:val="30"/>
          <w:color w:val="auto"/>
          <w:vertAlign w:val="superscript"/>
        </w:rPr>
      </w:pPr>
    </w:p>
    <w:p>
      <w:pPr>
        <w:ind w:firstLine="8"/>
        <w:spacing w:after="0" w:line="187" w:lineRule="auto"/>
        <w:tabs>
          <w:tab w:leader="none" w:pos="28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PSU forfeitures primarily related to the execution of the separation agreements with the former Chief Executive Officer and former Senior Vice President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impact of PSU activity to the Company’s financial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 (benefit)</w:t>
            </w: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53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(benefit), net of income taxes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grant-date fair value of vested PSUs at end of period</w:t>
            </w:r>
          </w:p>
        </w:tc>
        <w:tc>
          <w:tcPr>
            <w:tcW w:w="2040" w:type="dxa"/>
            <w:vAlign w:val="bottom"/>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200% of the initial target awards. During the year ended December 31, 2024, the previously recognized compensation expense related to the PSU awards granted during 2024 was reduced as a result of a performance adjustment, and the compensation expense related to the PSU awards granted during 2023 was eliminated due to the Company's expectation that the threshold performance goal will not be met. During the year ended December 31, 2023, the previously recognized compensation expense related to the PSU awards granted during 2022 was eliminated due to the Company's expectation that the threshold performance goal will not be met. During the year ended December 31, 2022, the previously recognized compensation expense related to the PSU awards granted during 2020 and 2021 was eliminated due to the Company’s expectation that the threshold performance goal will not be met, and the compensation expense related to the PSU awards granted during 2022 was decreased to the threshold level due to Company’s expectations that the target goal will likely not be achieved.</w:t>
      </w:r>
    </w:p>
    <w:p>
      <w:pPr>
        <w:spacing w:after="0" w:line="1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December 31, 2024, there was $255 of unrecognized compensation cost related to outstanding PSUs. That cost is expected to be recognized over a weighted-average period of 2.16 years.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type w:val="continuous"/>
        </w:sectPr>
      </w:pPr>
    </w:p>
    <w:bookmarkStart w:id="98" w:name="page99"/>
    <w:bookmarkEnd w:id="98"/>
    <w:p>
      <w:pPr>
        <w:ind w:left="500" w:hanging="492"/>
        <w:spacing w:after="0"/>
        <w:tabs>
          <w:tab w:leader="none" w:pos="5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Expected Credit Losses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Receivable</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Beginning on December 31, 2022, credit losses are recognized through an allowance account developed using the CECL model. The adoption of this guidance resulted in an allowance for expected credit losses of $425 for premiums and agents' balances receivable as of December 31, 2022. See Part II, Item 8, Note 2 “Recent Accounting Pronouncements” for additional information. The following table presents the balances of premiums and agents’ receivable balances, net of the allowance for expected credit losses as of December 31, 2024, and the changes in the allowance for expected credit losses for the year ended December 31, 2024.</w:t>
      </w:r>
    </w:p>
    <w:p>
      <w:pPr>
        <w:spacing w:after="0" w:line="139"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tbl>
      <w:tblPr>
        <w:tblLayout w:type="fixed"/>
        <w:tblInd w:w="8000" w:type="dxa"/>
        <w:tblCellMar>
          <w:top w:w="0" w:type="dxa"/>
          <w:left w:w="0" w:type="dxa"/>
          <w:bottom w:w="0" w:type="dxa"/>
          <w:right w:w="0" w:type="dxa"/>
        </w:tblCellMar>
      </w:tblPr>
      <w:tr>
        <w:trPr>
          <w:trHeight w:val="187"/>
        </w:trPr>
        <w:tc>
          <w:tcPr>
            <w:tcW w:w="16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540" w:type="dxa"/>
            <w:vAlign w:val="bottom"/>
            <w:tcBorders>
              <w:top w:val="single" w:sz="8" w:color="auto"/>
            </w:tcBorders>
          </w:tcPr>
          <w:p>
            <w:pPr>
              <w:spacing w:after="0"/>
              <w:rPr>
                <w:sz w:val="16"/>
                <w:szCs w:val="16"/>
                <w:color w:val="auto"/>
              </w:rPr>
            </w:pPr>
          </w:p>
        </w:tc>
      </w:tr>
      <w:tr>
        <w:trPr>
          <w:trHeight w:val="216"/>
        </w:trPr>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540" w:type="dxa"/>
            <w:vAlign w:val="bottom"/>
          </w:tcPr>
          <w:p>
            <w:pPr>
              <w:spacing w:after="0"/>
              <w:rPr>
                <w:sz w:val="18"/>
                <w:szCs w:val="18"/>
                <w:color w:val="auto"/>
              </w:rPr>
            </w:pPr>
          </w:p>
        </w:tc>
      </w:tr>
      <w:tr>
        <w:trPr>
          <w:trHeight w:val="216"/>
        </w:trPr>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540" w:type="dxa"/>
            <w:vAlign w:val="bottom"/>
          </w:tcPr>
          <w:p>
            <w:pPr>
              <w:spacing w:after="0"/>
              <w:rPr>
                <w:sz w:val="18"/>
                <w:szCs w:val="18"/>
                <w:color w:val="auto"/>
              </w:rPr>
            </w:pPr>
          </w:p>
        </w:tc>
      </w:tr>
      <w:tr>
        <w:trPr>
          <w:trHeight w:val="216"/>
        </w:trPr>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r>
      <w:tr>
        <w:trPr>
          <w:trHeight w:val="216"/>
        </w:trPr>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 Credit</w:t>
            </w:r>
          </w:p>
        </w:tc>
      </w:tr>
      <w:tr>
        <w:trPr>
          <w:trHeight w:val="238"/>
        </w:trPr>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period charge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Write-offs of uncollectible premiums receivable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56,154</w:t>
            </w:r>
          </w:p>
        </w:tc>
        <w:tc>
          <w:tcPr>
            <w:tcW w:w="10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52,907</w:t>
            </w:r>
          </w:p>
        </w:tc>
        <w:tc>
          <w:tcPr>
            <w:tcW w:w="2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0" w:type="dxa"/>
            <w:vAlign w:val="bottom"/>
          </w:tcPr>
          <w:p>
            <w:pPr>
              <w:spacing w:after="0"/>
              <w:rPr>
                <w:sz w:val="24"/>
                <w:szCs w:val="24"/>
                <w:color w:val="auto"/>
              </w:rPr>
            </w:pPr>
          </w:p>
        </w:tc>
        <w:tc>
          <w:tcPr>
            <w:tcW w:w="26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5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0"/>
                <w:szCs w:val="20"/>
                <w:color w:val="auto"/>
              </w:rPr>
            </w:pPr>
          </w:p>
        </w:tc>
        <w:tc>
          <w:tcPr>
            <w:tcW w:w="10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80" w:space="720"/>
            <w:col w:w="3240"/>
          </w:cols>
          <w:pgMar w:left="320" w:top="61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17,904</w:t>
            </w: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7"/>
        </w:trPr>
        <w:tc>
          <w:tcPr>
            <w:tcW w:w="44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charge for expected credit losses</w:t>
            </w:r>
          </w:p>
        </w:tc>
        <w:tc>
          <w:tcPr>
            <w:tcW w:w="3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Westminster balances disposed in sale</w:t>
            </w:r>
          </w:p>
        </w:tc>
        <w:tc>
          <w:tcPr>
            <w:tcW w:w="4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16,030</w:t>
            </w: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7"/>
        </w:trPr>
        <w:tc>
          <w:tcPr>
            <w:tcW w:w="44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52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7" w:right="339" w:bottom="1440" w:gutter="0" w:footer="0" w:header="0"/>
          <w:type w:val="continuous"/>
        </w:sectPr>
      </w:pPr>
    </w:p>
    <w:bookmarkStart w:id="99" w:name="page100"/>
    <w:bookmarkEnd w:id="99"/>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premiums and agents’ receivable balances, net of the allowance for expected credit losses as of December 31, 2023, and the changes in the allowance for expected credit losses for the year ended December 31, 2023.</w:t>
      </w:r>
    </w:p>
    <w:p>
      <w:pPr>
        <w:sectPr>
          <w:pgSz w:w="11900" w:h="16838" w:orient="portrait"/>
          <w:cols w:equalWidth="0" w:num="1">
            <w:col w:w="11200"/>
          </w:cols>
          <w:pgMar w:left="320" w:top="5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period charge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period charge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5"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56,154</w:t>
            </w:r>
          </w:p>
        </w:tc>
        <w:tc>
          <w:tcPr>
            <w:tcW w:w="200" w:type="dxa"/>
            <w:vAlign w:val="bottom"/>
          </w:tcPr>
          <w:p>
            <w:pPr>
              <w:spacing w:after="0"/>
              <w:rPr>
                <w:sz w:val="24"/>
                <w:szCs w:val="24"/>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0" w:type="dxa"/>
            <w:vAlign w:val="bottom"/>
          </w:tcPr>
          <w:p>
            <w:pPr>
              <w:spacing w:after="0"/>
              <w:rPr>
                <w:sz w:val="24"/>
                <w:szCs w:val="24"/>
                <w:color w:val="auto"/>
              </w:rPr>
            </w:pPr>
          </w:p>
        </w:tc>
        <w:tc>
          <w:tcPr>
            <w:tcW w:w="308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0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14,827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280" w:space="720"/>
            <w:col w:w="3200"/>
          </w:cols>
          <w:pgMar w:left="320" w:top="553" w:right="379" w:bottom="1440" w:gutter="0" w:footer="0" w:header="0"/>
          <w:type w:val="continuous"/>
        </w:sectPr>
      </w:pPr>
    </w:p>
    <w:bookmarkStart w:id="100" w:name="page101"/>
    <w:bookmarkEnd w:id="100"/>
    <w:p>
      <w:pPr>
        <w:ind w:left="540" w:hanging="532"/>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2024, we entered into a definitive agreement to sell our subsidiary, Westminster, to Scott Insurance Holdings, for a cash purchase price of</w:t>
      </w: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$10,500, as well as a $1,772 post-closing adjustment pursuant to the purchase agreement, for a net amount of $12,272. The sale closed on June 30, 2024, and we reported an after-tax loss on the sale of discontinued operations of $11,148. For additional information see Part II, Item 8, Note 3 “Summary of Significant Accounting Policies and Basis of Presentation.”</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and liabilities associated with discontinued operations prior to the closing of the sale have been presented separately in our Consolidated Balance Sheets. The Company’s Consolidated Statements of Cash Flows presents operating, investing, and financing cash flows of the discontinued operations separately. The major assets and liability categories were as follows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15,656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58,332</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17,904</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5,464</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42,509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63"/>
        </w:trPr>
        <w:tc>
          <w:tcPr>
            <w:tcW w:w="4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16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162,457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97,934</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payable (receivable)</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Summary operating results of discontinued operations were as follows for the periods indicated:</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6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540" w:type="dxa"/>
            <w:vAlign w:val="bottom"/>
            <w:gridSpan w:val="2"/>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31,056</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59,020</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56,552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57,896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52,682</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7,928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15,360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13,199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from discontinued operations: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gridSpan w:val="2"/>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197"/>
        </w:trPr>
        <w:tc>
          <w:tcPr>
            <w:tcW w:w="47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96</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01" w:name="page102"/>
    <w:bookmarkEnd w:id="101"/>
    <w:p>
      <w:pPr>
        <w:ind w:left="540" w:hanging="532"/>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five reportable operating segments of our continuing operations, which consist of Private Passenger Auto, Non-Standard Auto, Home and Farm, Crop, and All Other (which primarily consists of commercial, assumed reinsurance, and our excess liability business). Prior to the sale of Westminster on June 30, 2024, we also reported a Commercial segment that consisted primarily of Westminster’s balances and results. Subsequent to the sale, Westminster is reported as part of discontinued operations, which is not included in our segment information. The commercial business that remains a part of our continuing operations has been included in the All Other segment for the current and prior periods presented. We operate only in the U.S., and no single customer or agent provides 10 percent or more of our revenues. The following tables provide available information of these segments for the years ended December 31, 2024, 2023, and 2022.</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CODM is currently our President and Chief Executive Officer (CEO). The primary profitability measurement used by the CEO to review segment operating results is underwriting gain (loss). The CEO uses segment underwriting gain (loss) to allocate resources (including employees, financial and capital resources) for each segment predominantly in the annual planning process. Segment underwriting gain (loss) is used to monitor segment results compared to prior period, forecasted results, and the annual plan. For purposes of evaluating profitability of the Non-Standard Auto segment, we combine the policy fees paid by the insured with the underwriting gain or loss as its primary profitability measure. As a result, these fees are allocated to the Non-Standard Auto segment (included in fee and other income) in the tables below. The remaining fee and other income amounts are not allocated to any segment.</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line items in our Consolidated Statement of Operations or Consolidated Balance Sheets to our operating segments. Those line items include net investment income, net investment gains (losses), fee and other income excluding Non-Standard Auto, and income tax expense (benefit) within the Unaudited Consolidated Statement of Operations. For the Consolidated Balance Sheets, those items include cash and investments, property and equipment, other assets, accrued expenses and other liabilities, income taxes recoverable or payable, and shareholders’ equity.</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17" w:right="4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2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1"/>
              <w:spacing w:after="0" w:line="188" w:lineRule="exact"/>
              <w:rPr>
                <w:sz w:val="20"/>
                <w:szCs w:val="20"/>
                <w:color w:val="auto"/>
              </w:rPr>
            </w:pPr>
            <w:r>
              <w:rPr>
                <w:rFonts w:ascii="Times New Roman" w:cs="Times New Roman" w:eastAsia="Times New Roman" w:hAnsi="Times New Roman"/>
                <w:sz w:val="18"/>
                <w:szCs w:val="18"/>
                <w:b w:val="1"/>
                <w:bCs w:val="1"/>
                <w:color w:val="auto"/>
                <w:w w:val="98"/>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20" w:type="dxa"/>
            <w:vAlign w:val="bottom"/>
          </w:tcPr>
          <w:p>
            <w:pPr>
              <w:spacing w:after="0"/>
              <w:rPr>
                <w:sz w:val="20"/>
                <w:szCs w:val="20"/>
                <w:color w:val="auto"/>
              </w:rPr>
            </w:pPr>
          </w:p>
        </w:tc>
        <w:tc>
          <w:tcPr>
            <w:tcW w:w="10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2,984</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(17,426)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w:t>
            </w:r>
          </w:p>
        </w:tc>
      </w:tr>
      <w:tr>
        <w:trPr>
          <w:trHeight w:val="209"/>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90,314</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310,110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54,340</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66,968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11,243</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220,991</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(2,471)</w:t>
            </w:r>
          </w:p>
        </w:tc>
        <w:tc>
          <w:tcPr>
            <w:tcW w:w="2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(5,656)</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(14,310)</w:t>
            </w:r>
          </w:p>
        </w:tc>
      </w:tr>
      <w:tr>
        <w:trPr>
          <w:trHeight w:val="210"/>
        </w:trPr>
        <w:tc>
          <w:tcPr>
            <w:tcW w:w="37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102,645</w:t>
            </w:r>
          </w:p>
        </w:tc>
        <w:tc>
          <w:tcPr>
            <w:tcW w:w="100" w:type="dxa"/>
            <w:vAlign w:val="bottom"/>
            <w:shd w:val="clear" w:color="auto" w:fill="CCEEFF"/>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17,970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71,257</w:t>
            </w:r>
          </w:p>
        </w:tc>
      </w:tr>
      <w:tr>
        <w:trPr>
          <w:trHeight w:val="270"/>
        </w:trPr>
        <w:tc>
          <w:tcPr>
            <w:tcW w:w="37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underwriting and general expenses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10,861</w:t>
            </w:r>
          </w:p>
        </w:tc>
        <w:tc>
          <w:tcPr>
            <w:tcW w:w="220" w:type="dxa"/>
            <w:vAlign w:val="bottom"/>
          </w:tcPr>
          <w:p>
            <w:pPr>
              <w:spacing w:after="0"/>
              <w:rPr>
                <w:sz w:val="23"/>
                <w:szCs w:val="23"/>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6,337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10,603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tcPr>
          <w:p>
            <w:pPr>
              <w:spacing w:after="0"/>
              <w:rPr>
                <w:sz w:val="23"/>
                <w:szCs w:val="23"/>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33,709</w:t>
            </w:r>
          </w:p>
        </w:tc>
      </w:tr>
      <w:tr>
        <w:trPr>
          <w:trHeight w:val="209"/>
        </w:trPr>
        <w:tc>
          <w:tcPr>
            <w:tcW w:w="37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1,938</w:t>
            </w:r>
          </w:p>
        </w:tc>
      </w:tr>
      <w:tr>
        <w:trPr>
          <w:trHeight w:val="210"/>
        </w:trPr>
        <w:tc>
          <w:tcPr>
            <w:tcW w:w="3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bl>
    <w:p>
      <w:pPr>
        <w:spacing w:after="0" w:line="198"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 NI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00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10,943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2,213</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10,145</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3,545</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6,600</w:t>
      </w:r>
    </w:p>
    <w:p>
      <w:pPr>
        <w:spacing w:after="0" w:line="2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587" w:hanging="587"/>
        <w:spacing w:after="0"/>
        <w:tabs>
          <w:tab w:leader="none" w:pos="5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343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13" w:space="720"/>
            <w:col w:w="1107"/>
          </w:cols>
          <w:pgMar w:left="320" w:top="927"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5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c>
          <w:tcPr>
            <w:tcW w:w="4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5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4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118.5%</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3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25,843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13,757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10,560</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52,907</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26,300</w:t>
            </w: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5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2,358</w:t>
            </w: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7,791</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12,561</w:t>
            </w:r>
          </w:p>
        </w:tc>
      </w:tr>
      <w:tr>
        <w:trPr>
          <w:trHeight w:val="198"/>
        </w:trPr>
        <w:tc>
          <w:tcPr>
            <w:tcW w:w="360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13,223</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13,223</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28,103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77,580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137,288</w:t>
            </w:r>
          </w:p>
        </w:tc>
      </w:tr>
      <w:tr>
        <w:trPr>
          <w:trHeight w:val="234"/>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5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37,711</w:t>
            </w: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28,391</w:t>
            </w:r>
          </w:p>
        </w:tc>
        <w:tc>
          <w:tcPr>
            <w:tcW w:w="3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53,319</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7,077</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126,498</w:t>
            </w:r>
          </w:p>
        </w:tc>
      </w:tr>
    </w:tbl>
    <w:p>
      <w:pPr>
        <w:spacing w:after="0" w:line="179"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underwriting and general expenses for each segment include expenses related to compensation, vendor services, and other administrative items.</w:t>
      </w:r>
    </w:p>
    <w:p>
      <w:pPr>
        <w:spacing w:after="0" w:line="14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48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2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20" w:type="dxa"/>
            <w:vAlign w:val="bottom"/>
          </w:tcPr>
          <w:p>
            <w:pPr>
              <w:spacing w:after="0"/>
              <w:rPr>
                <w:sz w:val="20"/>
                <w:szCs w:val="20"/>
                <w:color w:val="auto"/>
              </w:rPr>
            </w:pPr>
          </w:p>
        </w:tc>
        <w:tc>
          <w:tcPr>
            <w:tcW w:w="10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(4,071)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(21,718)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(37,043)</w:t>
            </w:r>
          </w:p>
        </w:tc>
      </w:tr>
      <w:tr>
        <w:trPr>
          <w:trHeight w:val="210"/>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292,117</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59,385</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52,455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17,669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195,138</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(9,762)</w:t>
            </w:r>
          </w:p>
        </w:tc>
      </w:tr>
      <w:tr>
        <w:trPr>
          <w:trHeight w:val="210"/>
        </w:trPr>
        <w:tc>
          <w:tcPr>
            <w:tcW w:w="37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105,601</w:t>
            </w:r>
          </w:p>
        </w:tc>
        <w:tc>
          <w:tcPr>
            <w:tcW w:w="100" w:type="dxa"/>
            <w:vAlign w:val="bottom"/>
            <w:shd w:val="clear" w:color="auto" w:fill="CCEEFF"/>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67,631</w:t>
            </w:r>
          </w:p>
        </w:tc>
      </w:tr>
      <w:tr>
        <w:trPr>
          <w:trHeight w:val="270"/>
        </w:trPr>
        <w:tc>
          <w:tcPr>
            <w:tcW w:w="37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underwriting and general expenses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3"/>
                <w:szCs w:val="23"/>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8,895</w:t>
            </w:r>
          </w:p>
        </w:tc>
        <w:tc>
          <w:tcPr>
            <w:tcW w:w="220" w:type="dxa"/>
            <w:vAlign w:val="bottom"/>
          </w:tcPr>
          <w:p>
            <w:pPr>
              <w:spacing w:after="0"/>
              <w:rPr>
                <w:sz w:val="23"/>
                <w:szCs w:val="23"/>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7,994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w:t>
            </w:r>
          </w:p>
        </w:tc>
        <w:tc>
          <w:tcPr>
            <w:tcW w:w="1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29,326</w:t>
            </w:r>
          </w:p>
        </w:tc>
      </w:tr>
      <w:tr>
        <w:trPr>
          <w:trHeight w:val="210"/>
        </w:trPr>
        <w:tc>
          <w:tcPr>
            <w:tcW w:w="37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Borders>
              <w:bottom w:val="single" w:sz="8" w:color="CCEEFF"/>
            </w:tcBorders>
          </w:tcPr>
          <w:p>
            <w:pPr>
              <w:spacing w:after="0"/>
              <w:rPr>
                <w:sz w:val="18"/>
                <w:szCs w:val="18"/>
                <w:color w:val="auto"/>
              </w:rPr>
            </w:pPr>
          </w:p>
        </w:tc>
      </w:tr>
      <w:tr>
        <w:trPr>
          <w:trHeight w:val="209"/>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w:t>
            </w:r>
          </w:p>
        </w:tc>
      </w:tr>
      <w:tr>
        <w:trPr>
          <w:trHeight w:val="209"/>
        </w:trPr>
        <w:tc>
          <w:tcPr>
            <w:tcW w:w="3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Goodwill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 NI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8,034</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1,929</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20,547</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716</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19,831</w:t>
      </w:r>
    </w:p>
    <w:p>
      <w:pPr>
        <w:spacing w:after="0" w:line="2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250</w:t>
      </w:r>
    </w:p>
    <w:p>
      <w:pPr>
        <w:spacing w:after="0" w:line="252" w:lineRule="exact"/>
        <w:rPr>
          <w:sz w:val="20"/>
          <w:szCs w:val="20"/>
          <w:color w:val="auto"/>
        </w:rPr>
      </w:pPr>
    </w:p>
    <w:p>
      <w:pPr>
        <w:ind w:left="507" w:hanging="507"/>
        <w:spacing w:after="0"/>
        <w:tabs>
          <w:tab w:leader="none" w:pos="50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343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13" w:space="720"/>
            <w:col w:w="1107"/>
          </w:cols>
          <w:pgMar w:left="320" w:top="603"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5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4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4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5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4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24,152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19,853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56,154</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11,966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26,790</w:t>
            </w: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2,949</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1,343</w:t>
            </w:r>
          </w:p>
        </w:tc>
        <w:tc>
          <w:tcPr>
            <w:tcW w:w="4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2,153</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6,460</w:t>
            </w:r>
          </w:p>
        </w:tc>
      </w:tr>
      <w:tr>
        <w:trPr>
          <w:trHeight w:val="198"/>
        </w:trPr>
        <w:tc>
          <w:tcPr>
            <w:tcW w:w="360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17,404</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17,404</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2,728</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28,037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61,272</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3,884</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119,185</w:t>
            </w:r>
          </w:p>
        </w:tc>
      </w:tr>
      <w:tr>
        <w:trPr>
          <w:trHeight w:val="234"/>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35,367</w:t>
            </w: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36,426</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48,210</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6,097</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126,100</w:t>
            </w:r>
          </w:p>
        </w:tc>
      </w:tr>
    </w:tbl>
    <w:p>
      <w:pPr>
        <w:spacing w:after="0" w:line="179"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underwriting and general expenses for each segment include expenses related to compensation, vendor services, and other administrative items.</w:t>
      </w:r>
    </w:p>
    <w:p>
      <w:pPr>
        <w:spacing w:after="0" w:line="14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6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261"/>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Crop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6,550</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(9,762)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w:t>
            </w:r>
          </w:p>
        </w:tc>
      </w:tr>
      <w:tr>
        <w:trPr>
          <w:trHeight w:val="21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271,740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66,250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39,400</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114,195</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255,187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2,369</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(6,372)</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(15,806)</w:t>
            </w:r>
          </w:p>
        </w:tc>
      </w:tr>
      <w:tr>
        <w:trPr>
          <w:trHeight w:val="210"/>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shd w:val="clear" w:color="auto" w:fill="CCEEFF"/>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14,764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53,605</w:t>
            </w:r>
          </w:p>
        </w:tc>
      </w:tr>
      <w:tr>
        <w:trPr>
          <w:trHeight w:val="270"/>
        </w:trPr>
        <w:tc>
          <w:tcPr>
            <w:tcW w:w="37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underwriting and general expenses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3"/>
                <w:szCs w:val="23"/>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8,149</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6,172</w:t>
            </w:r>
          </w:p>
        </w:tc>
        <w:tc>
          <w:tcPr>
            <w:tcW w:w="180" w:type="dxa"/>
            <w:vAlign w:val="bottom"/>
          </w:tcPr>
          <w:p>
            <w:pPr>
              <w:spacing w:after="0"/>
              <w:rPr>
                <w:sz w:val="23"/>
                <w:szCs w:val="23"/>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8,438</w:t>
            </w:r>
          </w:p>
        </w:tc>
        <w:tc>
          <w:tcPr>
            <w:tcW w:w="2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25,303</w:t>
            </w:r>
          </w:p>
        </w:tc>
      </w:tr>
      <w:tr>
        <w:trPr>
          <w:trHeight w:val="210"/>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1,381</w:t>
            </w:r>
          </w:p>
        </w:tc>
      </w:tr>
      <w:tr>
        <w:trPr>
          <w:trHeight w:val="209"/>
        </w:trPr>
        <w:tc>
          <w:tcPr>
            <w:tcW w:w="3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Goodwill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 NI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003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6,636</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(11,975)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(52,876)</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(14,191)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(38,685)</w:t>
      </w:r>
    </w:p>
    <w:p>
      <w:pPr>
        <w:spacing w:after="0" w:line="2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(679)</w:t>
      </w:r>
    </w:p>
    <w:p>
      <w:pPr>
        <w:spacing w:after="0" w:line="239" w:lineRule="exact"/>
        <w:rPr>
          <w:sz w:val="20"/>
          <w:szCs w:val="20"/>
          <w:color w:val="auto"/>
        </w:rPr>
      </w:pPr>
    </w:p>
    <w:p>
      <w:pPr>
        <w:ind w:left="440" w:hanging="434"/>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6254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9420" w:space="720"/>
            <w:col w:w="1100"/>
          </w:cols>
          <w:pgMar w:left="320" w:top="603"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3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20,669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14,884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47,346</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22,675</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1,440</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5,732</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8,586</w:t>
            </w:r>
          </w:p>
        </w:tc>
      </w:tr>
      <w:tr>
        <w:trPr>
          <w:trHeight w:val="198"/>
        </w:trPr>
        <w:tc>
          <w:tcPr>
            <w:tcW w:w="360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15,462</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15,462</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27,439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46,231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27,989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114,296</w:t>
            </w:r>
          </w:p>
        </w:tc>
      </w:tr>
      <w:tr>
        <w:trPr>
          <w:trHeight w:val="234"/>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5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30,721</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29,301</w:t>
            </w: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44,957</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5,947</w:t>
            </w:r>
          </w:p>
        </w:tc>
        <w:tc>
          <w:tcPr>
            <w:tcW w:w="3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110,926</w:t>
            </w:r>
          </w:p>
        </w:tc>
      </w:tr>
    </w:tbl>
    <w:p>
      <w:pPr>
        <w:spacing w:after="0" w:line="179" w:lineRule="exact"/>
        <w:rPr>
          <w:sz w:val="20"/>
          <w:szCs w:val="20"/>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underwriting and general expenses for each segment include expenses related to compensation, vendor services, and other administrative items.</w:t>
      </w:r>
    </w:p>
    <w:p>
      <w:pPr>
        <w:spacing w:after="0" w:line="144"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05" w:name="page106"/>
    <w:bookmarkEnd w:id="105"/>
    <w:p>
      <w:pPr>
        <w:ind w:left="540" w:hanging="532"/>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Net Income (Loss), Capital and Surplus, and Dividend Restrictions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2024, 2023, and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Borders>
              <w:bottom w:val="single" w:sz="8" w:color="CCEEFF"/>
            </w:tcBorders>
          </w:tcPr>
          <w:p>
            <w:pPr>
              <w:spacing w:after="0"/>
              <w:rPr>
                <w:sz w:val="20"/>
                <w:szCs w:val="20"/>
                <w:color w:val="auto"/>
              </w:rPr>
            </w:pPr>
          </w:p>
        </w:tc>
        <w:tc>
          <w:tcPr>
            <w:tcW w:w="2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189,694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176,783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175,673</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184,694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171,783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170,673</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8,492</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(29,978)</w:t>
            </w:r>
          </w:p>
        </w:tc>
      </w:tr>
      <w:tr>
        <w:trPr>
          <w:trHeight w:val="216"/>
        </w:trPr>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14,957</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10,314</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8,956</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(3,228)</w:t>
            </w:r>
          </w:p>
        </w:tc>
      </w:tr>
      <w:tr>
        <w:trPr>
          <w:trHeight w:val="216"/>
        </w:trPr>
        <w:tc>
          <w:tcPr>
            <w:tcW w:w="4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9,056</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8,677</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Battle Creek:</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5,660</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3,132</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2,660</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4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36,875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32,054</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33,875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29,054</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(6,074)</w:t>
            </w:r>
          </w:p>
        </w:tc>
      </w:tr>
      <w:tr>
        <w:trPr>
          <w:trHeight w:val="216"/>
        </w:trPr>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Westminster:</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20,090</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15,090</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(3,861)</w:t>
            </w:r>
          </w:p>
        </w:tc>
      </w:tr>
    </w:tbl>
    <w:p>
      <w:pPr>
        <w:spacing w:after="0" w:line="1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2024 and 2023 exceeded the amount of statutory capital and surplus necessary to satisfy risk-based capital requirements by a significant margin.</w:t>
      </w:r>
    </w:p>
    <w:p>
      <w:pPr>
        <w:spacing w:after="0" w:line="1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Amounts available for distribution in 2025 to Nodak Insurance as dividends from its insurance subsidiaries without prior approval of the North Dakota Insurance Department are $1,001 from American West, $324 from Primero, and $158 from Battle Creek. No dividends were paid to Nodak Insurance from any of these entities during the years ended December 31, 2024, 2023, or 2022.</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during 2025 without the prior approval of the North Dakota Insurance Department is approximately $8,273 as of December 31, 2024. No dividends were declared or paid by Nodak Insurance during the years ended December 31, 2024 and 2023. The Nodak Insurance Board of Directors declared and paid dividends of $3,000 to NI Holdings during the year ended December 31, 2022.</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06" w:name="page107"/>
    <w:bookmarkEnd w:id="106"/>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amount available for payment of dividends from Direct Auto to NI Holdings during 2025 without the prior approval of the North Dakota Insurance Department is approximately $3,146 as of December 31, 2024. No dividends were declared or paid by Direct Auto during the years ended December 31, 2024, 2023, or 2022.</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its payment of any dividend, each insurance company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spacing w:after="0" w:line="15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Westminster was sold on June 30, 2024, and therefore no dividends are available to be paid to NI Holdings subsequent to that date. No dividends were declared or paid by Westminster during the years ended December 31, 2024, 2023 or 2022. See Part II, Item 8, Note 20 “Discontinued Operations” for additional information.</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7" w:name="page108"/>
    <w:bookmarkEnd w:id="10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or disagreements with accountants on accounting and financial disclosure.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(“DCPs”), as required by Rules 13a-15(b) and 15d-15(b) under the Exchange Act, as of December 31, 2024.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SEC’s rules and forms,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Under the supervision and with the participation of our Chief Executive Officer and our Chief Financial Officer, our management has reviewed and evaluated the effectiveness of our internal control over financial reporting based on the framework and criteria established in Internal Control – Integrated Framework (2013) issued by the Committee of Sponsoring Organizations of the Treadway Commission (the “COSO Framework”). Because of its inherent limitations, internal control over financial reporting may not prevent or detect misstatements.</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on our evaluation under the COSO Framework, the Chief Executive Officer and Chief Financial Officer have concluded that the Company’s current internal control over financial reporting is effective at December 31, 2024, and that our consolidated financial statements we include in this 2024 Annual Report present fairly, in all material respects, our financial position, results of operations, and cash flows in accordance with accounting principles generally accepted in the United States of America.</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Forvis Mazars, LLP, our independent registered public accounting firm, has issued an audit report on the effectiveness of our internal control over financial reporting as of December 31, 2024. This audit report appears in Part II, Item 8 “Financial Statements and Supplementary Data” of this 2024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0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(“ICFR”), such that there is a reasonable possibility that a material misstatement of the Company's annual or interim financial statements will not be prevented or detected on a timely basis.</w:t>
      </w:r>
    </w:p>
    <w:p>
      <w:pPr>
        <w:spacing w:after="0" w:line="9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previously disclosed in our Quarterly Report on Form 10-Q/A for the quarter ended June 30, 2024, the Company did not design and maintain effective controls over its accounting for intercompany reinsurance pooling activity. Specifically, it lacked an effectively designed internal control related to the evaluation of pooling payable/receivable balances, including when a pool member is sold. This material weakness resulted in a material error and the restatement of the Company's consolidated financial statements for the three- and six-month periods ended June 30, 2024. Additionally, this material weakness could result in misstatements of the aforementioned accounts or disclosures that would result in a material misstatement to the annual or interim consolidated financial statements that would not be prevented or detected.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for Material Weakness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Upon identification of the material weakness, management developed a remediation plan, which included designing and implementing a new quarterly intercompany pooling reconciliation and review process to fully evaluate pooling payable/receivable balances in support of financial reporting for GAAP purposes. The material weakness is considered remediated as of the end of the period covered by this report as the remediation plan has been implemented and there has been sufficient time for the Company to conclude through testing that the controls are operating effectively. As the Company's management, under the oversight of the Audit Committee, continues to evaluate and improve the Company's ICFR, management may decide to take additional measures to address</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08" w:name="page109"/>
    <w:bookmarkEnd w:id="108"/>
    <w:p>
      <w:pPr>
        <w:ind w:right="180"/>
        <w:spacing w:after="0" w:line="282" w:lineRule="auto"/>
        <w:rPr>
          <w:sz w:val="20"/>
          <w:szCs w:val="20"/>
          <w:color w:val="auto"/>
        </w:rPr>
      </w:pPr>
      <w:r>
        <w:rPr>
          <w:rFonts w:ascii="Times New Roman" w:cs="Times New Roman" w:eastAsia="Times New Roman" w:hAnsi="Times New Roman"/>
          <w:sz w:val="18"/>
          <w:szCs w:val="18"/>
          <w:color w:val="auto"/>
        </w:rPr>
        <w:t>control deficiencies or determine to modify, or in appropriate circumstances not to complete, certain of the remediation measures identified. We can offer no assurance that these initiatives will ultimately have the intended effects.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Except for the identified material weakness above, there have not been any changes in the Company’s internal control over financial reporting (as such term is defined in Rules 13a-15(f) and 15d-15(f) under the Exchange Act) during the annual period covered by this report that have materially affected, or are reasonably likely to materially affect, the Company’s internal control over financial reporting.</w:t>
      </w:r>
    </w:p>
    <w:p>
      <w:pPr>
        <w:spacing w:after="0" w:line="1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2024, none of our directors or executive officers (as defined in Rule 16a-1(f) under the Exchange Act)</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adopted or terminated any “Rule 10b5-1 trading arrangement” or “non-Rule 10b5-1 trading arrangement” (as each term is defined in Item 408(a) of Regulation S-K).</w:t>
      </w:r>
    </w:p>
    <w:p>
      <w:pPr>
        <w:spacing w:after="0" w:line="1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9" w:name="page110"/>
    <w:bookmarkEnd w:id="10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incorporate the response to this Item 10 by reference to our proxy statement we will file with the SEC on or about April 9, 2025 relating to our Annual Meeting of Shareholders that we will hold on May 20, 2025 (our “Proxy Statement”).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posted a copy of our Code of Ethics and Business Conduct on the Governance Highlights page of the Corporate Governance section of our website, www.niholdingsinc.com, which you can access free of charge. Information contained on the website is not incorporated by reference in, or considered part of, this 2024 Annual Report. We intend to disclose on our website any amendments to, or waivers from, our Code of Ethics and Business Conduct that are required to be disclosed by SEC rules or Nasdaq Listing Rules.</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11 by reference to our Proxy Statement.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12 by reference to our Proxy Statement.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13 by reference to our Proxy Statement.</w:t>
      </w:r>
    </w:p>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14 by reference to our Proxy Statement.</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17" w:right="4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Statements and Financial Statement Schedules</w:t>
      </w:r>
    </w:p>
    <w:p>
      <w:pPr>
        <w:spacing w:after="0" w:line="18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18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w:t>
      </w:r>
    </w:p>
    <w:p>
      <w:pPr>
        <w:spacing w:after="0" w:line="198" w:lineRule="exact"/>
        <w:rPr>
          <w:rFonts w:ascii="Times New Roman" w:cs="Times New Roman" w:eastAsia="Times New Roman" w:hAnsi="Times New Roman"/>
          <w:sz w:val="18"/>
          <w:szCs w:val="18"/>
          <w:color w:val="auto"/>
        </w:rPr>
      </w:pPr>
    </w:p>
    <w:p>
      <w:pPr>
        <w:ind w:left="660" w:right="4780" w:hanging="652"/>
        <w:spacing w:after="0" w:line="453"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required to be filed by Item 8 of this report. Schedule I Condensed financial information of registrant – NI Holdings, Inc.</w:t>
      </w:r>
    </w:p>
    <w:p>
      <w:pPr>
        <w:spacing w:after="0" w:line="1" w:lineRule="exact"/>
        <w:rPr>
          <w:rFonts w:ascii="Times New Roman" w:cs="Times New Roman" w:eastAsia="Times New Roman" w:hAnsi="Times New Roman"/>
          <w:sz w:val="18"/>
          <w:szCs w:val="18"/>
          <w:color w:val="auto"/>
        </w:rPr>
      </w:pPr>
    </w:p>
    <w:p>
      <w:pPr>
        <w:ind w:left="6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financial schedules are not required under the related instructions, as they are inapplicable or the information has been included in the consolidated financial statements, and therefore have been omitted.</w:t>
      </w:r>
    </w:p>
    <w:p>
      <w:pPr>
        <w:spacing w:after="0" w:line="13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required by Item 601 of Regulation S-K and are included as part of this Form 10-K:</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620" w:type="dxa"/>
            <w:vAlign w:val="bottom"/>
            <w:tcBorders>
              <w:top w:val="single" w:sz="8" w:color="auto"/>
              <w:left w:val="single" w:sz="8" w:color="auto"/>
              <w:right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color w:val="auto"/>
              </w:rPr>
              <w:t>EXHIBIT NO.</w:t>
            </w:r>
          </w:p>
        </w:tc>
        <w:tc>
          <w:tcPr>
            <w:tcW w:w="96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4"/>
        </w:trPr>
        <w:tc>
          <w:tcPr>
            <w:tcW w:w="140" w:type="dxa"/>
            <w:vAlign w:val="bottom"/>
            <w:tcBorders>
              <w:left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right w:val="single" w:sz="8" w:color="auto"/>
            </w:tcBorders>
          </w:tcPr>
          <w:p>
            <w:pPr>
              <w:spacing w:after="0"/>
              <w:rPr>
                <w:sz w:val="14"/>
                <w:szCs w:val="14"/>
                <w:color w:val="auto"/>
              </w:rPr>
            </w:pPr>
          </w:p>
        </w:tc>
      </w:tr>
      <w:tr>
        <w:trPr>
          <w:trHeight w:val="176"/>
        </w:trPr>
        <w:tc>
          <w:tcPr>
            <w:tcW w:w="4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2.1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Plan of Mutual Property and Casualty Insurance Company Conversion and Minority Offering of Nodak Mutual Insurance</w:t>
            </w:r>
          </w:p>
        </w:tc>
      </w:tr>
      <w:tr>
        <w:trPr>
          <w:trHeight w:val="218"/>
        </w:trPr>
        <w:tc>
          <w:tcPr>
            <w:tcW w:w="140" w:type="dxa"/>
            <w:vAlign w:val="bottom"/>
            <w:tcBorders>
              <w:left w:val="single" w:sz="8" w:color="auto"/>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dated as of January 21, 2016 (filed as an exhibit to the Company’s Registration Statement on Form S-1 (File No. 333-</w:t>
            </w:r>
          </w:p>
        </w:tc>
      </w:tr>
      <w:tr>
        <w:trPr>
          <w:trHeight w:val="234"/>
        </w:trPr>
        <w:tc>
          <w:tcPr>
            <w:tcW w:w="1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214057) filed with the 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4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2.2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 Purchase Agreement, dated May 7, 2024 (filed as an exhibit to the Company’s Form 8-K filed with the SEC on May 8,</w:t>
            </w:r>
          </w:p>
        </w:tc>
      </w:tr>
      <w:tr>
        <w:trPr>
          <w:trHeight w:val="237"/>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2024,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4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3.1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Articles of Incorporation of NI Holdings, Inc. (filed as an exhibit to the Company’s Registration Statement on Form S-1 (File No.</w:t>
            </w:r>
          </w:p>
        </w:tc>
      </w:tr>
      <w:tr>
        <w:trPr>
          <w:trHeight w:val="236"/>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333-214057) filed with the 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4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3.2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Articles of Amendment to the Articles of Incorporation, dated May 24, 2023. (filed as an exhibit to the Company’s Form 8-K filed</w:t>
            </w:r>
          </w:p>
        </w:tc>
      </w:tr>
      <w:tr>
        <w:trPr>
          <w:trHeight w:val="237"/>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 the SEC on May 25, 2023,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4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3.3</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Amended and Restated Bylaws of NI Holdings, Inc., dated May 24, 2023. (filed as an exhibit to the Company’s Form 8-K filed</w:t>
            </w:r>
          </w:p>
        </w:tc>
      </w:tr>
      <w:tr>
        <w:trPr>
          <w:trHeight w:val="236"/>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 the SEC on May 25, 2023,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4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4.1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certificate evidencing shares of common stock of NI Holdings, Inc. (filed as an exhibit to the Company’s Registration</w:t>
            </w:r>
          </w:p>
        </w:tc>
      </w:tr>
      <w:tr>
        <w:trPr>
          <w:trHeight w:val="237"/>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Statement on Form S-1 (File No. 333-214057) filed with the 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4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4.2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Description of Securities Registered Under Section 12 of the Exchange Act (filed as an exhibit to the Company’s Form 10-K filed</w:t>
            </w:r>
          </w:p>
        </w:tc>
      </w:tr>
      <w:tr>
        <w:trPr>
          <w:trHeight w:val="237"/>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 the SEC on March 10, 2021,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4"/>
          </w:tcPr>
          <w:p>
            <w:pPr>
              <w:ind w:left="140"/>
              <w:spacing w:after="0" w:line="17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10.1</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2017 NI Holdings, Inc. Equity Incentive Plan (filed as Exhibit 10.1 to the Company’s Form 8-K filed with the SEC on September</w:t>
            </w:r>
          </w:p>
        </w:tc>
      </w:tr>
      <w:tr>
        <w:trPr>
          <w:trHeight w:val="237"/>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 2017,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40" w:type="dxa"/>
            <w:vAlign w:val="bottom"/>
            <w:tcBorders>
              <w:left w:val="single" w:sz="8" w:color="auto"/>
            </w:tcBorders>
            <w:gridSpan w:val="4"/>
          </w:tcPr>
          <w:p>
            <w:pPr>
              <w:ind w:left="140"/>
              <w:spacing w:after="0" w:line="17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10.2</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Nodak Mutual Insurance Company Nonqualified Deferred Compensation Plan (filed as an exhibit to the Company’s Registration</w:t>
            </w:r>
          </w:p>
        </w:tc>
      </w:tr>
      <w:tr>
        <w:trPr>
          <w:trHeight w:val="237"/>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Statement on Form S-1 (File No. 333-214057) filed with the 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40" w:type="dxa"/>
            <w:vAlign w:val="bottom"/>
            <w:tcBorders>
              <w:left w:val="single" w:sz="8" w:color="auto"/>
            </w:tcBorders>
            <w:gridSpan w:val="4"/>
          </w:tcPr>
          <w:p>
            <w:pPr>
              <w:ind w:left="140"/>
              <w:spacing w:after="0" w:line="176" w:lineRule="exact"/>
              <w:rPr>
                <w:rFonts w:ascii="Times New Roman" w:cs="Times New Roman" w:eastAsia="Times New Roman" w:hAnsi="Times New Roman"/>
                <w:sz w:val="18"/>
                <w:szCs w:val="18"/>
                <w:color w:val="0000EE"/>
                <w:w w:val="93"/>
              </w:rPr>
            </w:pPr>
            <w:hyperlink r:id="rId220">
              <w:r>
                <w:rPr>
                  <w:rFonts w:ascii="Times New Roman" w:cs="Times New Roman" w:eastAsia="Times New Roman" w:hAnsi="Times New Roman"/>
                  <w:sz w:val="18"/>
                  <w:szCs w:val="18"/>
                  <w:color w:val="0000EE"/>
                  <w:w w:val="93"/>
                </w:rPr>
                <w:t>10.3#</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Employment Agreement dated as of April 28, 2016, between Michael J. Alexander and Nodak Mutual Insurance Company and NI</w:t>
            </w:r>
          </w:p>
        </w:tc>
      </w:tr>
      <w:tr>
        <w:trPr>
          <w:trHeight w:val="218"/>
        </w:trPr>
        <w:tc>
          <w:tcPr>
            <w:tcW w:w="140" w:type="dxa"/>
            <w:vAlign w:val="bottom"/>
            <w:tcBorders>
              <w:left w:val="single" w:sz="8" w:color="auto"/>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Holdings, Inc. (filed as an exhibit to the Company’s Registration Statement on Form S-1 (File No. 333-214057) filed with the</w:t>
            </w:r>
          </w:p>
        </w:tc>
      </w:tr>
      <w:tr>
        <w:trPr>
          <w:trHeight w:val="234"/>
        </w:trPr>
        <w:tc>
          <w:tcPr>
            <w:tcW w:w="1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1620" w:type="dxa"/>
            <w:vAlign w:val="bottom"/>
            <w:tcBorders>
              <w:left w:val="single" w:sz="8" w:color="auto"/>
              <w:right w:val="single" w:sz="8" w:color="auto"/>
            </w:tcBorders>
            <w:gridSpan w:val="6"/>
          </w:tcPr>
          <w:p>
            <w:pPr>
              <w:ind w:left="140"/>
              <w:spacing w:after="0" w:line="176" w:lineRule="exact"/>
              <w:rPr>
                <w:sz w:val="20"/>
                <w:szCs w:val="20"/>
                <w:color w:val="auto"/>
              </w:rPr>
            </w:pPr>
            <w:r>
              <w:rPr>
                <w:rFonts w:ascii="Times New Roman" w:cs="Times New Roman" w:eastAsia="Times New Roman" w:hAnsi="Times New Roman"/>
                <w:sz w:val="18"/>
                <w:szCs w:val="18"/>
                <w:color w:val="0000EE"/>
              </w:rPr>
              <w:t>10.4#*</w:t>
            </w: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Amended and Restated Employment Agreement dated as of December 1, 2024, between Seth C. Daggett and Nodak Insurance</w:t>
            </w:r>
          </w:p>
        </w:tc>
      </w:tr>
      <w:tr>
        <w:trPr>
          <w:trHeight w:val="236"/>
        </w:trPr>
        <w:tc>
          <w:tcPr>
            <w:tcW w:w="140" w:type="dxa"/>
            <w:vAlign w:val="bottom"/>
            <w:tcBorders>
              <w:left w:val="single" w:sz="8" w:color="auto"/>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and NI Holdings, Inc.</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560"/>
        </w:trPr>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106</w:t>
            </w:r>
          </w:p>
        </w:tc>
      </w:tr>
    </w:tbl>
    <w:p>
      <w:pPr>
        <w:sectPr>
          <w:pgSz w:w="11900" w:h="16838" w:orient="portrait"/>
          <w:cols w:equalWidth="0" w:num="1">
            <w:col w:w="11240"/>
          </w:cols>
          <w:pgMar w:left="320" w:top="549" w:right="339" w:bottom="1440" w:gutter="0" w:footer="0" w:header="0"/>
        </w:sectPr>
      </w:pPr>
    </w:p>
    <w:bookmarkStart w:id="111" w:name="page112"/>
    <w:bookmarkEnd w:id="1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40" w:type="dxa"/>
            <w:vAlign w:val="bottom"/>
            <w:tcBorders>
              <w:top w:val="single" w:sz="8" w:color="auto"/>
              <w:left w:val="single" w:sz="8" w:color="auto"/>
            </w:tcBorders>
            <w:gridSpan w:val="3"/>
          </w:tcPr>
          <w:p>
            <w:pPr>
              <w:ind w:left="140"/>
              <w:spacing w:after="0" w:line="202" w:lineRule="exact"/>
              <w:rPr>
                <w:rFonts w:ascii="Times New Roman" w:cs="Times New Roman" w:eastAsia="Times New Roman" w:hAnsi="Times New Roman"/>
                <w:sz w:val="18"/>
                <w:szCs w:val="18"/>
                <w:color w:val="0000EE"/>
                <w:w w:val="93"/>
              </w:rPr>
            </w:pPr>
            <w:hyperlink r:id="rId221">
              <w:r>
                <w:rPr>
                  <w:rFonts w:ascii="Times New Roman" w:cs="Times New Roman" w:eastAsia="Times New Roman" w:hAnsi="Times New Roman"/>
                  <w:sz w:val="18"/>
                  <w:szCs w:val="18"/>
                  <w:color w:val="0000EE"/>
                  <w:w w:val="93"/>
                </w:rPr>
                <w:t>10.5#</w:t>
              </w:r>
            </w:hyperlink>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9620" w:type="dxa"/>
            <w:vAlign w:val="bottom"/>
            <w:tcBorders>
              <w:top w:val="single" w:sz="8" w:color="auto"/>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Employment Agreement dated as of April 28, 2016, between Patrick W. Duncan and Nodak Mutual Insurance Company and NI</w:t>
            </w:r>
          </w:p>
        </w:tc>
      </w:tr>
      <w:tr>
        <w:trPr>
          <w:trHeight w:val="218"/>
        </w:trPr>
        <w:tc>
          <w:tcPr>
            <w:tcW w:w="140" w:type="dxa"/>
            <w:vAlign w:val="bottom"/>
            <w:tcBorders>
              <w:left w:val="single" w:sz="8" w:color="auto"/>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Holdings, Inc. (filed as an exhibit to the Company’s Registration Statement on Form S-1 (File No. 333-214057) filed with the</w:t>
            </w:r>
          </w:p>
        </w:tc>
      </w:tr>
      <w:tr>
        <w:trPr>
          <w:trHeight w:val="234"/>
        </w:trPr>
        <w:tc>
          <w:tcPr>
            <w:tcW w:w="1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10.6</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Trademark License Agreement dated as of October 1, 2016 between North Dakota Farm Bureau and Nodak Mutual Insurance</w:t>
            </w:r>
          </w:p>
        </w:tc>
      </w:tr>
      <w:tr>
        <w:trPr>
          <w:trHeight w:val="218"/>
        </w:trPr>
        <w:tc>
          <w:tcPr>
            <w:tcW w:w="140" w:type="dxa"/>
            <w:vAlign w:val="bottom"/>
            <w:tcBorders>
              <w:left w:val="single" w:sz="8" w:color="auto"/>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(filed as an exhibit to the Company’s Registration Statement on Form S-1 (File No. 333-214057) filed with the SEC on</w:t>
            </w:r>
          </w:p>
        </w:tc>
      </w:tr>
      <w:tr>
        <w:trPr>
          <w:trHeight w:val="234"/>
        </w:trPr>
        <w:tc>
          <w:tcPr>
            <w:tcW w:w="1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October 11, 2016,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10.7</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Multiple Peril Crop/Livestock Insurance Full Service Agency Agreement among American Farm Bureau Insurance Services, Inc.</w:t>
            </w:r>
          </w:p>
        </w:tc>
      </w:tr>
      <w:tr>
        <w:trPr>
          <w:trHeight w:val="218"/>
        </w:trPr>
        <w:tc>
          <w:tcPr>
            <w:tcW w:w="140" w:type="dxa"/>
            <w:vAlign w:val="bottom"/>
            <w:tcBorders>
              <w:left w:val="single" w:sz="8" w:color="auto"/>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Nodak Mutual Insurance Company, American West Insurance Company and Battle Creek Mutual Insurance Company for</w:t>
            </w:r>
          </w:p>
        </w:tc>
      </w:tr>
      <w:tr>
        <w:trPr>
          <w:trHeight w:val="216"/>
        </w:trPr>
        <w:tc>
          <w:tcPr>
            <w:tcW w:w="14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Crop Year 2016 (filed as an exhibit to the Company’s Registration Statement on Form S-1 (File No. 333-214057) filed with the</w:t>
            </w:r>
          </w:p>
        </w:tc>
      </w:tr>
      <w:tr>
        <w:trPr>
          <w:trHeight w:val="234"/>
        </w:trPr>
        <w:tc>
          <w:tcPr>
            <w:tcW w:w="1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10.8</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Crop Hail Insurance Full Service Agency Agreement among American Farm Bureau Insurance Services, Inc. and Nodak Mutual</w:t>
            </w:r>
          </w:p>
        </w:tc>
      </w:tr>
      <w:tr>
        <w:trPr>
          <w:trHeight w:val="218"/>
        </w:trPr>
        <w:tc>
          <w:tcPr>
            <w:tcW w:w="140" w:type="dxa"/>
            <w:vAlign w:val="bottom"/>
            <w:tcBorders>
              <w:left w:val="single" w:sz="8" w:color="auto"/>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Insurance Company, American West Insurance Company and Battle Creek Mutual Insurance Company for Crop Year 2016 (filed</w:t>
            </w:r>
          </w:p>
        </w:tc>
      </w:tr>
      <w:tr>
        <w:trPr>
          <w:trHeight w:val="216"/>
        </w:trPr>
        <w:tc>
          <w:tcPr>
            <w:tcW w:w="14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an exhibit to the Company’s Registration Statement on Form S-1 (File No. 333-214057) filed with the SEC on October 11,</w:t>
            </w:r>
          </w:p>
        </w:tc>
      </w:tr>
      <w:tr>
        <w:trPr>
          <w:trHeight w:val="234"/>
        </w:trPr>
        <w:tc>
          <w:tcPr>
            <w:tcW w:w="1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w w:val="93"/>
              </w:rPr>
            </w:pPr>
            <w:hyperlink r:id="rId225">
              <w:r>
                <w:rPr>
                  <w:rFonts w:ascii="Times New Roman" w:cs="Times New Roman" w:eastAsia="Times New Roman" w:hAnsi="Times New Roman"/>
                  <w:sz w:val="18"/>
                  <w:szCs w:val="18"/>
                  <w:color w:val="0000EE"/>
                  <w:w w:val="93"/>
                </w:rPr>
                <w:t>10.9#</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Nodak Mutual Insurance Company Cash Incentive Bonus Plan (filed as an exhibit to Amendment No. 4 to the Company’s</w:t>
            </w:r>
          </w:p>
        </w:tc>
      </w:tr>
      <w:tr>
        <w:trPr>
          <w:trHeight w:val="218"/>
        </w:trPr>
        <w:tc>
          <w:tcPr>
            <w:tcW w:w="140" w:type="dxa"/>
            <w:vAlign w:val="bottom"/>
            <w:tcBorders>
              <w:left w:val="single" w:sz="8" w:color="auto"/>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Registration Statement on Form S-1 (File No. 333-214057) filed with the SEC on January 12, 2017, and incorporated herein by</w:t>
            </w:r>
          </w:p>
        </w:tc>
      </w:tr>
      <w:tr>
        <w:trPr>
          <w:trHeight w:val="234"/>
        </w:trPr>
        <w:tc>
          <w:tcPr>
            <w:tcW w:w="1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10.10#</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NI Holdings, Inc. Employee Stock Ownership Plan (filed as an exhibit to the Company’s Registration Statement on Form S-1</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(File No. 333-214057) filed with the SEC on October 11,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w w:val="93"/>
              </w:rPr>
            </w:pPr>
            <w:hyperlink r:id="rId227">
              <w:r>
                <w:rPr>
                  <w:rFonts w:ascii="Times New Roman" w:cs="Times New Roman" w:eastAsia="Times New Roman" w:hAnsi="Times New Roman"/>
                  <w:sz w:val="18"/>
                  <w:szCs w:val="18"/>
                  <w:color w:val="0000EE"/>
                  <w:w w:val="93"/>
                </w:rPr>
                <w:t>10.11</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Affiliation Agreement dated as of December 30, 2010 between Nodak Mutual Insurance Company and Battle Creek Mutual</w:t>
            </w:r>
          </w:p>
        </w:tc>
      </w:tr>
      <w:tr>
        <w:trPr>
          <w:trHeight w:val="218"/>
        </w:trPr>
        <w:tc>
          <w:tcPr>
            <w:tcW w:w="140" w:type="dxa"/>
            <w:vAlign w:val="bottom"/>
            <w:tcBorders>
              <w:left w:val="single" w:sz="8" w:color="auto"/>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Insurance Company (filed as an exhibit to Amendment No. 1 to the Company’s Registration Statement on Form S-1 (File No.</w:t>
            </w:r>
          </w:p>
        </w:tc>
      </w:tr>
      <w:tr>
        <w:trPr>
          <w:trHeight w:val="234"/>
        </w:trPr>
        <w:tc>
          <w:tcPr>
            <w:tcW w:w="1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333-214057) filed with the SEC on November 14, 2016,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w w:val="93"/>
              </w:rPr>
            </w:pPr>
            <w:hyperlink r:id="rId228">
              <w:r>
                <w:rPr>
                  <w:rFonts w:ascii="Times New Roman" w:cs="Times New Roman" w:eastAsia="Times New Roman" w:hAnsi="Times New Roman"/>
                  <w:sz w:val="18"/>
                  <w:szCs w:val="18"/>
                  <w:color w:val="0000EE"/>
                  <w:w w:val="93"/>
                </w:rPr>
                <w:t>10.12</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Time-Based Restricted Stock Unit Agreement for Non-Employee Directors (filed as an exhibit to the Company’s Form 8-</w:t>
            </w:r>
          </w:p>
        </w:tc>
      </w:tr>
      <w:tr>
        <w:trPr>
          <w:trHeight w:val="236"/>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 filed with the SEC on May 29, 2020,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4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w w:val="93"/>
              </w:rPr>
            </w:pPr>
            <w:hyperlink r:id="rId229">
              <w:r>
                <w:rPr>
                  <w:rFonts w:ascii="Times New Roman" w:cs="Times New Roman" w:eastAsia="Times New Roman" w:hAnsi="Times New Roman"/>
                  <w:sz w:val="18"/>
                  <w:szCs w:val="18"/>
                  <w:color w:val="0000EE"/>
                  <w:w w:val="93"/>
                </w:rPr>
                <w:t>10.13</w:t>
              </w:r>
            </w:hyperlink>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NI Holdings, Inc. 2020 Stock and Incentive Plan (filed as an exhibit to the Company’s Form 8-K filed with the SEC on May 29,</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2020,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10.14#</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Time-Based Restricted Stock Unit Agreement for Executives (filed as an exhibit to the Company’s Form 10-K filed with</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SEC on March 9, 2022,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10.15#</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NI Holdings, Inc. Growth in Book Value Per Share Performance Share Unit Agreement (filed as an exhibit to the</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 Form 10-K filed with the SEC on March 9, 2022,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10.16#</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2022 NI Holdings, Inc. Short-Term Incentive Bonus (filed as an exhibit to the Company’s Form 10-Q filed with the SEC on May</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 2022,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10.17#</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NI Holdings, Inc. Adjusted Return on Equity Performance Share Unit Agreement (filed as an exhibit to the Company’s</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Form 10-K filed with the SEC on March 15, 2024,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10.18#</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2024 NI Holdings, Inc. Short-Term Incentive Bonus (filed as an exhibit to the Company’s Form 10-K filed with the SEC on</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15, 2024, and incorporated herein by reference).</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10.19#</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Employment Agreement dated August 26, 2024, between the Company and Cindy L. Launer (filed as an exhibit to the Company’s</w:t>
            </w:r>
          </w:p>
        </w:tc>
      </w:tr>
      <w:tr>
        <w:trPr>
          <w:trHeight w:val="237"/>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Current Report on Form 8-K/A filed August 26, 2024).</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1620" w:type="dxa"/>
            <w:vAlign w:val="bottom"/>
            <w:tcBorders>
              <w:left w:val="single" w:sz="8" w:color="auto"/>
              <w:right w:val="single" w:sz="8" w:color="auto"/>
            </w:tcBorders>
            <w:gridSpan w:val="5"/>
          </w:tcPr>
          <w:p>
            <w:pPr>
              <w:ind w:left="140"/>
              <w:spacing w:after="0" w:line="17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10.20#</w:t>
              </w:r>
            </w:hyperlink>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Separation Agreement, dated September 16, 2024, between NI Holdings, Inc. and Michael J. Alexander (filed as an exhibit to the</w:t>
            </w:r>
          </w:p>
        </w:tc>
      </w:tr>
      <w:tr>
        <w:trPr>
          <w:trHeight w:val="236"/>
        </w:trPr>
        <w:tc>
          <w:tcPr>
            <w:tcW w:w="140" w:type="dxa"/>
            <w:vAlign w:val="bottom"/>
            <w:tcBorders>
              <w:left w:val="single" w:sz="8" w:color="auto"/>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 Current Report on Form 8-K filed September 19, 2024).</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560"/>
        </w:trPr>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107</w:t>
            </w:r>
          </w:p>
        </w:tc>
      </w:tr>
    </w:tbl>
    <w:p>
      <w:pPr>
        <w:sectPr>
          <w:pgSz w:w="11900" w:h="16838" w:orient="portrait"/>
          <w:cols w:equalWidth="0" w:num="1">
            <w:col w:w="11240"/>
          </w:cols>
          <w:pgMar w:left="320" w:top="551" w:right="339" w:bottom="1440" w:gutter="0" w:footer="0" w:header="0"/>
        </w:sectPr>
      </w:pPr>
    </w:p>
    <w:bookmarkStart w:id="112" w:name="page113"/>
    <w:bookmarkEnd w:id="1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620" w:type="dxa"/>
            <w:vAlign w:val="bottom"/>
            <w:tcBorders>
              <w:top w:val="single" w:sz="8" w:color="auto"/>
              <w:left w:val="single" w:sz="8" w:color="auto"/>
              <w:right w:val="single" w:sz="8" w:color="auto"/>
            </w:tcBorders>
            <w:gridSpan w:val="7"/>
          </w:tcPr>
          <w:p>
            <w:pPr>
              <w:ind w:left="140"/>
              <w:spacing w:after="0" w:line="202"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10.21#</w:t>
              </w:r>
            </w:hyperlink>
          </w:p>
        </w:tc>
        <w:tc>
          <w:tcPr>
            <w:tcW w:w="9620" w:type="dxa"/>
            <w:vAlign w:val="bottom"/>
            <w:tcBorders>
              <w:top w:val="single" w:sz="8" w:color="auto"/>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Separation Agreement, dated November 27, 2024, between NI Holdings, Inc. and Patrick W. Duncan (filed as an exhibit to the</w:t>
            </w:r>
          </w:p>
        </w:tc>
      </w:tr>
      <w:tr>
        <w:trPr>
          <w:trHeight w:val="237"/>
        </w:trPr>
        <w:tc>
          <w:tcPr>
            <w:tcW w:w="140" w:type="dxa"/>
            <w:vAlign w:val="bottom"/>
            <w:tcBorders>
              <w:left w:val="single" w:sz="8" w:color="auto"/>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 Current Report on Form 8-K filed December 3, 2024).</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00" w:type="dxa"/>
            <w:vAlign w:val="bottom"/>
            <w:tcBorders>
              <w:left w:val="single" w:sz="8" w:color="auto"/>
            </w:tcBorders>
            <w:gridSpan w:val="4"/>
          </w:tcPr>
          <w:p>
            <w:pPr>
              <w:ind w:left="140"/>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NI Holdings, Inc. Policy on Insider Trading, adopted August 20, 2024.</w:t>
            </w:r>
          </w:p>
        </w:tc>
      </w:tr>
      <w:tr>
        <w:trPr>
          <w:trHeight w:val="203"/>
        </w:trPr>
        <w:tc>
          <w:tcPr>
            <w:tcW w:w="140" w:type="dxa"/>
            <w:vAlign w:val="bottom"/>
            <w:tcBorders>
              <w:left w:val="single" w:sz="8" w:color="auto"/>
              <w:bottom w:val="single" w:sz="8" w:color="auto"/>
            </w:tcBorders>
          </w:tcPr>
          <w:p>
            <w:pPr>
              <w:spacing w:after="0"/>
              <w:rPr>
                <w:sz w:val="17"/>
                <w:szCs w:val="17"/>
                <w:color w:val="auto"/>
              </w:rPr>
            </w:pPr>
          </w:p>
        </w:tc>
        <w:tc>
          <w:tcPr>
            <w:tcW w:w="18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9620" w:type="dxa"/>
            <w:vAlign w:val="bottom"/>
            <w:tcBorders>
              <w:bottom w:val="single" w:sz="8" w:color="auto"/>
              <w:right w:val="single" w:sz="8" w:color="auto"/>
            </w:tcBorders>
          </w:tcPr>
          <w:p>
            <w:pPr>
              <w:spacing w:after="0"/>
              <w:rPr>
                <w:sz w:val="17"/>
                <w:szCs w:val="17"/>
                <w:color w:val="auto"/>
              </w:rPr>
            </w:pPr>
          </w:p>
        </w:tc>
      </w:tr>
      <w:tr>
        <w:trPr>
          <w:trHeight w:val="175"/>
        </w:trPr>
        <w:tc>
          <w:tcPr>
            <w:tcW w:w="540" w:type="dxa"/>
            <w:vAlign w:val="bottom"/>
            <w:tcBorders>
              <w:left w:val="single" w:sz="8" w:color="auto"/>
            </w:tcBorders>
            <w:gridSpan w:val="5"/>
          </w:tcPr>
          <w:p>
            <w:pPr>
              <w:ind w:left="140"/>
              <w:spacing w:after="0" w:line="176" w:lineRule="exact"/>
              <w:rPr>
                <w:sz w:val="20"/>
                <w:szCs w:val="20"/>
                <w:color w:val="auto"/>
              </w:rPr>
            </w:pPr>
            <w:r>
              <w:rPr>
                <w:rFonts w:ascii="Times New Roman" w:cs="Times New Roman" w:eastAsia="Times New Roman" w:hAnsi="Times New Roman"/>
                <w:sz w:val="18"/>
                <w:szCs w:val="18"/>
                <w:color w:val="0000EE"/>
                <w:w w:val="93"/>
              </w:rPr>
              <w:t>21.1*</w:t>
            </w: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Subsidiaries of NI Holdings, Inc.</w:t>
            </w:r>
          </w:p>
        </w:tc>
      </w:tr>
      <w:tr>
        <w:trPr>
          <w:trHeight w:val="203"/>
        </w:trPr>
        <w:tc>
          <w:tcPr>
            <w:tcW w:w="140" w:type="dxa"/>
            <w:vAlign w:val="bottom"/>
            <w:tcBorders>
              <w:left w:val="single" w:sz="8" w:color="auto"/>
              <w:bottom w:val="single" w:sz="8" w:color="auto"/>
            </w:tcBorders>
          </w:tcPr>
          <w:p>
            <w:pPr>
              <w:spacing w:after="0"/>
              <w:rPr>
                <w:sz w:val="17"/>
                <w:szCs w:val="17"/>
                <w:color w:val="auto"/>
              </w:rPr>
            </w:pPr>
          </w:p>
        </w:tc>
        <w:tc>
          <w:tcPr>
            <w:tcW w:w="18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9620" w:type="dxa"/>
            <w:vAlign w:val="bottom"/>
            <w:tcBorders>
              <w:bottom w:val="single" w:sz="8" w:color="auto"/>
              <w:right w:val="single" w:sz="8" w:color="auto"/>
            </w:tcBorders>
          </w:tcPr>
          <w:p>
            <w:pPr>
              <w:spacing w:after="0"/>
              <w:rPr>
                <w:sz w:val="17"/>
                <w:szCs w:val="17"/>
                <w:color w:val="auto"/>
              </w:rPr>
            </w:pPr>
          </w:p>
        </w:tc>
      </w:tr>
      <w:tr>
        <w:trPr>
          <w:trHeight w:val="176"/>
        </w:trPr>
        <w:tc>
          <w:tcPr>
            <w:tcW w:w="540" w:type="dxa"/>
            <w:vAlign w:val="bottom"/>
            <w:tcBorders>
              <w:left w:val="single" w:sz="8" w:color="auto"/>
            </w:tcBorders>
            <w:gridSpan w:val="5"/>
          </w:tcPr>
          <w:p>
            <w:pPr>
              <w:ind w:left="140"/>
              <w:spacing w:after="0" w:line="176" w:lineRule="exact"/>
              <w:rPr>
                <w:sz w:val="20"/>
                <w:szCs w:val="20"/>
                <w:color w:val="auto"/>
              </w:rPr>
            </w:pPr>
            <w:r>
              <w:rPr>
                <w:rFonts w:ascii="Times New Roman" w:cs="Times New Roman" w:eastAsia="Times New Roman" w:hAnsi="Times New Roman"/>
                <w:sz w:val="18"/>
                <w:szCs w:val="18"/>
                <w:color w:val="0000EE"/>
                <w:w w:val="93"/>
              </w:rPr>
              <w:t>23.1*</w:t>
            </w: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Consent of Forvis Mazars, LLP, New York, NY, PCAOB ID 686</w:t>
            </w:r>
          </w:p>
        </w:tc>
      </w:tr>
      <w:tr>
        <w:trPr>
          <w:trHeight w:val="203"/>
        </w:trPr>
        <w:tc>
          <w:tcPr>
            <w:tcW w:w="140" w:type="dxa"/>
            <w:vAlign w:val="bottom"/>
            <w:tcBorders>
              <w:left w:val="single" w:sz="8" w:color="auto"/>
              <w:bottom w:val="single" w:sz="8" w:color="auto"/>
            </w:tcBorders>
          </w:tcPr>
          <w:p>
            <w:pPr>
              <w:spacing w:after="0"/>
              <w:rPr>
                <w:sz w:val="17"/>
                <w:szCs w:val="17"/>
                <w:color w:val="auto"/>
              </w:rPr>
            </w:pPr>
          </w:p>
        </w:tc>
        <w:tc>
          <w:tcPr>
            <w:tcW w:w="18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9620" w:type="dxa"/>
            <w:vAlign w:val="bottom"/>
            <w:tcBorders>
              <w:bottom w:val="single" w:sz="8" w:color="auto"/>
              <w:right w:val="single" w:sz="8" w:color="auto"/>
            </w:tcBorders>
          </w:tcPr>
          <w:p>
            <w:pPr>
              <w:spacing w:after="0"/>
              <w:rPr>
                <w:sz w:val="17"/>
                <w:szCs w:val="17"/>
                <w:color w:val="auto"/>
              </w:rPr>
            </w:pPr>
          </w:p>
        </w:tc>
      </w:tr>
      <w:tr>
        <w:trPr>
          <w:trHeight w:val="176"/>
        </w:trPr>
        <w:tc>
          <w:tcPr>
            <w:tcW w:w="540" w:type="dxa"/>
            <w:vAlign w:val="bottom"/>
            <w:tcBorders>
              <w:left w:val="single" w:sz="8" w:color="auto"/>
            </w:tcBorders>
            <w:gridSpan w:val="5"/>
          </w:tcPr>
          <w:p>
            <w:pPr>
              <w:ind w:left="140"/>
              <w:spacing w:after="0" w:line="176" w:lineRule="exact"/>
              <w:rPr>
                <w:sz w:val="20"/>
                <w:szCs w:val="20"/>
                <w:color w:val="auto"/>
              </w:rPr>
            </w:pPr>
            <w:r>
              <w:rPr>
                <w:rFonts w:ascii="Times New Roman" w:cs="Times New Roman" w:eastAsia="Times New Roman" w:hAnsi="Times New Roman"/>
                <w:sz w:val="18"/>
                <w:szCs w:val="18"/>
                <w:color w:val="0000EE"/>
                <w:w w:val="93"/>
              </w:rPr>
              <w:t>23.2*</w:t>
            </w: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Consent of Mazars USA LLP, Fort Washington, PA, PCAOB ID 339</w:t>
            </w:r>
          </w:p>
        </w:tc>
      </w:tr>
      <w:tr>
        <w:trPr>
          <w:trHeight w:val="203"/>
        </w:trPr>
        <w:tc>
          <w:tcPr>
            <w:tcW w:w="140" w:type="dxa"/>
            <w:vAlign w:val="bottom"/>
            <w:tcBorders>
              <w:left w:val="single" w:sz="8" w:color="auto"/>
              <w:bottom w:val="single" w:sz="8" w:color="auto"/>
            </w:tcBorders>
          </w:tcPr>
          <w:p>
            <w:pPr>
              <w:spacing w:after="0"/>
              <w:rPr>
                <w:sz w:val="17"/>
                <w:szCs w:val="17"/>
                <w:color w:val="auto"/>
              </w:rPr>
            </w:pPr>
          </w:p>
        </w:tc>
        <w:tc>
          <w:tcPr>
            <w:tcW w:w="18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9620" w:type="dxa"/>
            <w:vAlign w:val="bottom"/>
            <w:tcBorders>
              <w:bottom w:val="single" w:sz="8" w:color="auto"/>
              <w:right w:val="single" w:sz="8" w:color="auto"/>
            </w:tcBorders>
          </w:tcPr>
          <w:p>
            <w:pPr>
              <w:spacing w:after="0"/>
              <w:rPr>
                <w:sz w:val="17"/>
                <w:szCs w:val="17"/>
                <w:color w:val="auto"/>
              </w:rPr>
            </w:pPr>
          </w:p>
        </w:tc>
      </w:tr>
      <w:tr>
        <w:trPr>
          <w:trHeight w:val="176"/>
        </w:trPr>
        <w:tc>
          <w:tcPr>
            <w:tcW w:w="540" w:type="dxa"/>
            <w:vAlign w:val="bottom"/>
            <w:tcBorders>
              <w:left w:val="single" w:sz="8" w:color="auto"/>
            </w:tcBorders>
            <w:gridSpan w:val="5"/>
          </w:tcPr>
          <w:p>
            <w:pPr>
              <w:ind w:left="140"/>
              <w:spacing w:after="0" w:line="176" w:lineRule="exact"/>
              <w:rPr>
                <w:sz w:val="20"/>
                <w:szCs w:val="20"/>
                <w:color w:val="auto"/>
              </w:rPr>
            </w:pPr>
            <w:r>
              <w:rPr>
                <w:rFonts w:ascii="Times New Roman" w:cs="Times New Roman" w:eastAsia="Times New Roman" w:hAnsi="Times New Roman"/>
                <w:sz w:val="18"/>
                <w:szCs w:val="18"/>
                <w:color w:val="0000EE"/>
                <w:w w:val="93"/>
              </w:rPr>
              <w:t>31.1*</w:t>
            </w: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w:t>
            </w:r>
          </w:p>
        </w:tc>
      </w:tr>
      <w:tr>
        <w:trPr>
          <w:trHeight w:val="237"/>
        </w:trPr>
        <w:tc>
          <w:tcPr>
            <w:tcW w:w="140" w:type="dxa"/>
            <w:vAlign w:val="bottom"/>
            <w:tcBorders>
              <w:left w:val="single" w:sz="8" w:color="auto"/>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5"/>
        </w:trPr>
        <w:tc>
          <w:tcPr>
            <w:tcW w:w="540" w:type="dxa"/>
            <w:vAlign w:val="bottom"/>
            <w:tcBorders>
              <w:left w:val="single" w:sz="8" w:color="auto"/>
            </w:tcBorders>
            <w:gridSpan w:val="5"/>
          </w:tcPr>
          <w:p>
            <w:pPr>
              <w:ind w:left="140"/>
              <w:spacing w:after="0" w:line="176" w:lineRule="exact"/>
              <w:rPr>
                <w:sz w:val="20"/>
                <w:szCs w:val="20"/>
                <w:color w:val="auto"/>
              </w:rPr>
            </w:pPr>
            <w:r>
              <w:rPr>
                <w:rFonts w:ascii="Times New Roman" w:cs="Times New Roman" w:eastAsia="Times New Roman" w:hAnsi="Times New Roman"/>
                <w:sz w:val="18"/>
                <w:szCs w:val="18"/>
                <w:color w:val="0000EE"/>
                <w:w w:val="93"/>
              </w:rPr>
              <w:t>31.2*</w:t>
            </w: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w:t>
            </w:r>
          </w:p>
        </w:tc>
      </w:tr>
      <w:tr>
        <w:trPr>
          <w:trHeight w:val="237"/>
        </w:trPr>
        <w:tc>
          <w:tcPr>
            <w:tcW w:w="140" w:type="dxa"/>
            <w:vAlign w:val="bottom"/>
            <w:tcBorders>
              <w:left w:val="single" w:sz="8" w:color="auto"/>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540" w:type="dxa"/>
            <w:vAlign w:val="bottom"/>
            <w:tcBorders>
              <w:left w:val="single" w:sz="8" w:color="auto"/>
            </w:tcBorders>
            <w:gridSpan w:val="5"/>
          </w:tcPr>
          <w:p>
            <w:pPr>
              <w:ind w:left="140"/>
              <w:spacing w:after="0" w:line="176" w:lineRule="exact"/>
              <w:rPr>
                <w:sz w:val="20"/>
                <w:szCs w:val="20"/>
                <w:color w:val="auto"/>
              </w:rPr>
            </w:pPr>
            <w:r>
              <w:rPr>
                <w:rFonts w:ascii="Times New Roman" w:cs="Times New Roman" w:eastAsia="Times New Roman" w:hAnsi="Times New Roman"/>
                <w:sz w:val="18"/>
                <w:szCs w:val="18"/>
                <w:color w:val="0000EE"/>
              </w:rPr>
              <w:t>32**</w:t>
            </w: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w:t>
            </w:r>
          </w:p>
        </w:tc>
      </w:tr>
      <w:tr>
        <w:trPr>
          <w:trHeight w:val="237"/>
        </w:trPr>
        <w:tc>
          <w:tcPr>
            <w:tcW w:w="140" w:type="dxa"/>
            <w:vAlign w:val="bottom"/>
            <w:tcBorders>
              <w:left w:val="single" w:sz="8" w:color="auto"/>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182"/>
        </w:trPr>
        <w:tc>
          <w:tcPr>
            <w:tcW w:w="140" w:type="dxa"/>
            <w:vAlign w:val="bottom"/>
            <w:tcBorders>
              <w:left w:val="single" w:sz="8" w:color="auto"/>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76"/>
        </w:trPr>
        <w:tc>
          <w:tcPr>
            <w:tcW w:w="400" w:type="dxa"/>
            <w:vAlign w:val="bottom"/>
            <w:tcBorders>
              <w:left w:val="single" w:sz="8" w:color="auto"/>
            </w:tcBorders>
            <w:gridSpan w:val="3"/>
          </w:tcPr>
          <w:p>
            <w:pPr>
              <w:ind w:left="140"/>
              <w:spacing w:after="0" w:line="17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97</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NI Holdings, Inc. Incentive Compensation Recovery Policy, adopted December 1, 2023 (Filed as an exhibit to the Company’s</w:t>
            </w:r>
          </w:p>
        </w:tc>
      </w:tr>
      <w:tr>
        <w:trPr>
          <w:trHeight w:val="237"/>
        </w:trPr>
        <w:tc>
          <w:tcPr>
            <w:tcW w:w="140" w:type="dxa"/>
            <w:vAlign w:val="bottom"/>
            <w:tcBorders>
              <w:left w:val="single" w:sz="8" w:color="auto"/>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Form 10-K filed with the SEC on March 15, 2024, and incorporated herein by reference.)</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198"/>
        </w:trPr>
        <w:tc>
          <w:tcPr>
            <w:tcW w:w="1620" w:type="dxa"/>
            <w:vAlign w:val="bottom"/>
            <w:tcBorders>
              <w:left w:val="single" w:sz="8" w:color="auto"/>
              <w:right w:val="single" w:sz="8" w:color="auto"/>
            </w:tcBorders>
            <w:gridSpan w:val="7"/>
          </w:tcPr>
          <w:p>
            <w:pPr>
              <w:ind w:left="14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6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4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183"/>
        </w:trPr>
        <w:tc>
          <w:tcPr>
            <w:tcW w:w="140" w:type="dxa"/>
            <w:vAlign w:val="bottom"/>
            <w:tcBorders>
              <w:left w:val="single" w:sz="8" w:color="auto"/>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right w:val="single" w:sz="8" w:color="auto"/>
            </w:tcBorders>
          </w:tcPr>
          <w:p>
            <w:pPr>
              <w:spacing w:after="0"/>
              <w:rPr>
                <w:sz w:val="15"/>
                <w:szCs w:val="15"/>
                <w:color w:val="auto"/>
              </w:rPr>
            </w:pPr>
          </w:p>
        </w:tc>
      </w:tr>
      <w:tr>
        <w:trPr>
          <w:trHeight w:val="234"/>
        </w:trPr>
        <w:tc>
          <w:tcPr>
            <w:tcW w:w="1620" w:type="dxa"/>
            <w:vAlign w:val="bottom"/>
            <w:tcBorders>
              <w:left w:val="single" w:sz="8" w:color="auto"/>
              <w:right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164"/>
        </w:trPr>
        <w:tc>
          <w:tcPr>
            <w:tcW w:w="140" w:type="dxa"/>
            <w:vAlign w:val="bottom"/>
            <w:tcBorders>
              <w:left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64"/>
        </w:trPr>
        <w:tc>
          <w:tcPr>
            <w:tcW w:w="140" w:type="dxa"/>
            <w:vAlign w:val="bottom"/>
            <w:tcBorders>
              <w:left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64"/>
        </w:trPr>
        <w:tc>
          <w:tcPr>
            <w:tcW w:w="140" w:type="dxa"/>
            <w:vAlign w:val="bottom"/>
            <w:tcBorders>
              <w:left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64"/>
        </w:trPr>
        <w:tc>
          <w:tcPr>
            <w:tcW w:w="140" w:type="dxa"/>
            <w:vAlign w:val="bottom"/>
            <w:tcBorders>
              <w:left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64"/>
        </w:trPr>
        <w:tc>
          <w:tcPr>
            <w:tcW w:w="140" w:type="dxa"/>
            <w:vAlign w:val="bottom"/>
            <w:tcBorders>
              <w:left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right w:val="single" w:sz="8" w:color="auto"/>
            </w:tcBorders>
          </w:tcPr>
          <w:p>
            <w:pPr>
              <w:spacing w:after="0"/>
              <w:rPr>
                <w:sz w:val="14"/>
                <w:szCs w:val="14"/>
                <w:color w:val="auto"/>
              </w:rPr>
            </w:pPr>
          </w:p>
        </w:tc>
      </w:tr>
      <w:tr>
        <w:trPr>
          <w:trHeight w:val="234"/>
        </w:trPr>
        <w:tc>
          <w:tcPr>
            <w:tcW w:w="500" w:type="dxa"/>
            <w:vAlign w:val="bottom"/>
            <w:tcBorders>
              <w:lef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64"/>
        </w:trPr>
        <w:tc>
          <w:tcPr>
            <w:tcW w:w="140" w:type="dxa"/>
            <w:vAlign w:val="bottom"/>
            <w:tcBorders>
              <w:left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right w:val="single" w:sz="8" w:color="auto"/>
            </w:tcBorders>
          </w:tcPr>
          <w:p>
            <w:pPr>
              <w:spacing w:after="0"/>
              <w:rPr>
                <w:sz w:val="14"/>
                <w:szCs w:val="14"/>
                <w:color w:val="auto"/>
              </w:rPr>
            </w:pPr>
          </w:p>
        </w:tc>
      </w:tr>
    </w:tbl>
    <w:p>
      <w:pPr>
        <w:ind w:left="420" w:hanging="412"/>
        <w:spacing w:after="0"/>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6"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98" w:lineRule="exact"/>
        <w:rPr>
          <w:rFonts w:ascii="Times New Roman" w:cs="Times New Roman" w:eastAsia="Times New Roman" w:hAnsi="Times New Roman"/>
          <w:sz w:val="18"/>
          <w:szCs w:val="18"/>
          <w:color w:val="auto"/>
        </w:rPr>
      </w:pPr>
    </w:p>
    <w:p>
      <w:pPr>
        <w:ind w:firstLine="8"/>
        <w:spacing w:after="0" w:line="266" w:lineRule="auto"/>
        <w:tabs>
          <w:tab w:leader="none" w:pos="5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35" w:lineRule="exact"/>
        <w:rPr>
          <w:sz w:val="20"/>
          <w:szCs w:val="20"/>
          <w:color w:val="auto"/>
        </w:rPr>
      </w:pPr>
    </w:p>
    <w:p>
      <w:pPr>
        <w:ind w:left="420" w:hanging="412"/>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registrant – NI Holdings, Inc.</w:t>
      </w:r>
    </w:p>
    <w:p>
      <w:pPr>
        <w:spacing w:after="0" w:line="1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198"/>
        </w:trPr>
        <w:tc>
          <w:tcPr>
            <w:tcW w:w="80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December 31,</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and 2023)</w:t>
            </w:r>
          </w:p>
        </w:tc>
        <w:tc>
          <w:tcPr>
            <w:tcW w:w="9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9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80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549"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Income tax recoverable</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Investment in wholly-owned subsidiaries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230,311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246,360</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248,763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-736600</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-462280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-179070</wp:posOffset>
            </wp:positionV>
            <wp:extent cx="713232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54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1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247,641</w:t>
            </w:r>
          </w:p>
        </w:tc>
        <w:tc>
          <w:tcPr>
            <w:tcW w:w="0" w:type="dxa"/>
            <w:vAlign w:val="bottom"/>
          </w:tcPr>
          <w:p>
            <w:pPr>
              <w:spacing w:after="0"/>
              <w:rPr>
                <w:sz w:val="1"/>
                <w:szCs w:val="1"/>
                <w:color w:val="auto"/>
              </w:rPr>
            </w:pPr>
          </w:p>
        </w:tc>
      </w:tr>
      <w:tr>
        <w:trPr>
          <w:trHeight w:val="223"/>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680" w:type="dxa"/>
            <w:vAlign w:val="bottom"/>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109</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3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31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10"/>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0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(222)</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1"/>
              </w:rPr>
              <w:t>(339)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3,002</w:t>
            </w:r>
          </w:p>
        </w:tc>
      </w:tr>
      <w:tr>
        <w:trPr>
          <w:trHeight w:val="210"/>
        </w:trPr>
        <w:tc>
          <w:tcPr>
            <w:tcW w:w="6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Borders>
              <w:bottom w:val="single" w:sz="8" w:color="CCEEFF"/>
            </w:tcBorders>
          </w:tcPr>
          <w:p>
            <w:pPr>
              <w:spacing w:after="0"/>
              <w:rPr>
                <w:sz w:val="18"/>
                <w:szCs w:val="18"/>
                <w:color w:val="auto"/>
              </w:rPr>
            </w:pPr>
          </w:p>
        </w:tc>
      </w:tr>
      <w:tr>
        <w:trPr>
          <w:trHeight w:val="209"/>
        </w:trPr>
        <w:tc>
          <w:tcPr>
            <w:tcW w:w="6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49" w:right="339" w:bottom="1440" w:gutter="0" w:footer="0" w:header="0"/>
        </w:sectPr>
      </w:pPr>
    </w:p>
    <w:p>
      <w:pPr>
        <w:ind w:left="200" w:right="300" w:hanging="193"/>
        <w:spacing w:after="0" w:line="250" w:lineRule="auto"/>
        <w:rPr>
          <w:sz w:val="20"/>
          <w:szCs w:val="20"/>
          <w:color w:val="auto"/>
        </w:rPr>
      </w:pPr>
      <w:r>
        <w:rPr>
          <w:rFonts w:ascii="Times New Roman" w:cs="Times New Roman" w:eastAsia="Times New Roman" w:hAnsi="Times New Roman"/>
          <w:sz w:val="18"/>
          <w:szCs w:val="18"/>
          <w:color w:val="auto"/>
        </w:rPr>
        <w:t>Loss before income taxes and equity in undistributed net income (loss)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equity in undistributed net income (loss) of subsidiaries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(6,682)</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48"/>
        </w:trPr>
        <w:tc>
          <w:tcPr>
            <w:tcW w:w="1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(665)</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09"/>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p>
    <w:p>
      <w:pPr>
        <w:sectPr>
          <w:pgSz w:w="11900" w:h="16838" w:orient="portrait"/>
          <w:cols w:equalWidth="0" w:num="2">
            <w:col w:w="5600" w:space="720"/>
            <w:col w:w="492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8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undistributed net income (loss) of subsidiaries</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11,105</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(50,869)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of discontinued operations, net of tax</w:t>
            </w:r>
          </w:p>
        </w:tc>
        <w:tc>
          <w:tcPr>
            <w:tcW w:w="1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4"/>
              </w:rPr>
              <w:t>(11,148)</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NI Holdings, Inc.</w:t>
            </w:r>
          </w:p>
        </w:tc>
        <w:tc>
          <w:tcPr>
            <w:tcW w:w="1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20" w:type="dxa"/>
            <w:vAlign w:val="bottom"/>
            <w:tcBorders>
              <w:bottom w:val="single" w:sz="8" w:color="auto"/>
            </w:tcBorders>
            <w:gridSpan w:val="5"/>
          </w:tcPr>
          <w:p>
            <w:pPr>
              <w:ind w:left="3720"/>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NI Holdings, Inc.</w:t>
            </w:r>
          </w:p>
        </w:tc>
        <w:tc>
          <w:tcPr>
            <w:tcW w:w="1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(6,060)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attributed to subsidiaries</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(34,358)</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500" w:type="dxa"/>
            <w:vAlign w:val="bottom"/>
          </w:tcPr>
          <w:p>
            <w:pPr>
              <w:spacing w:after="0"/>
              <w:rPr>
                <w:sz w:val="19"/>
                <w:szCs w:val="19"/>
                <w:color w:val="auto"/>
              </w:rPr>
            </w:pPr>
          </w:p>
        </w:tc>
        <w:tc>
          <w:tcPr>
            <w:tcW w:w="9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110</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1080" w:type="dxa"/>
            <w:vAlign w:val="bottom"/>
            <w:gridSpan w:val="2"/>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(6,060)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0" w:type="dxa"/>
            <w:vAlign w:val="bottom"/>
          </w:tcPr>
          <w:p>
            <w:pPr>
              <w:spacing w:after="0"/>
              <w:rPr>
                <w:sz w:val="1"/>
                <w:szCs w:val="1"/>
                <w:color w:val="auto"/>
              </w:rPr>
            </w:pPr>
          </w:p>
        </w:tc>
      </w:tr>
      <w:tr>
        <w:trPr>
          <w:trHeight w:val="198"/>
        </w:trPr>
        <w:tc>
          <w:tcPr>
            <w:tcW w:w="61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attributable to NI Holdings, Inc. to net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4"/>
              </w:rPr>
              <w:t>(11,105)</w:t>
            </w: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50,869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sale of Westminster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17,479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(6,220)</w:t>
            </w:r>
          </w:p>
        </w:tc>
        <w:tc>
          <w:tcPr>
            <w:tcW w:w="32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adjustments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789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9,942</w:t>
            </w: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(3,960)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Westminster</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12,272</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from subsidiaries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 payment on Westminster consideration payable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8,743</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A – Basis of Presentation</w:t>
            </w: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Dividends from Subsidiaries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received no cash dividends from its subsidiaries during the years ended December 31, 2024 and 2023. A cash dividend of $3,000 was received from Nodak Insurance during the year ended December 31, 2022.</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37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7, 2025.</w:t>
      </w:r>
    </w:p>
    <w:p>
      <w:pPr>
        <w:spacing w:after="0" w:line="2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NI HOLDINGS, INC.</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Seth C. Daggett</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Seth C. Daggett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6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March 7, 2025, by the following persons on behalf of the registrant and in the capacities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2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1"/>
        </w:trPr>
        <w:tc>
          <w:tcPr>
            <w:tcW w:w="3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March 7, 2025</w:t>
            </w:r>
          </w:p>
        </w:tc>
      </w:tr>
      <w:tr>
        <w:trPr>
          <w:trHeight w:val="234"/>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Seth C. Daggett</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3500" w:type="dxa"/>
            <w:vAlign w:val="bottom"/>
            <w:shd w:val="clear" w:color="auto" w:fill="CCEEFF"/>
          </w:tcPr>
          <w:p>
            <w:pPr>
              <w:spacing w:after="0"/>
              <w:rPr>
                <w:sz w:val="17"/>
                <w:szCs w:val="17"/>
                <w:color w:val="auto"/>
              </w:rPr>
            </w:pPr>
          </w:p>
        </w:tc>
        <w:tc>
          <w:tcPr>
            <w:tcW w:w="5500" w:type="dxa"/>
            <w:vAlign w:val="bottom"/>
            <w:gridSpan w:val="3"/>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 and Principal</w:t>
            </w:r>
          </w:p>
        </w:tc>
        <w:tc>
          <w:tcPr>
            <w:tcW w:w="2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March 7, 2025</w:t>
            </w:r>
          </w:p>
        </w:tc>
      </w:tr>
      <w:tr>
        <w:trPr>
          <w:trHeight w:val="23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Matthew J. Maki</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2240" w:type="dxa"/>
            <w:vAlign w:val="bottom"/>
            <w:shd w:val="clear" w:color="auto" w:fill="CCEEFF"/>
          </w:tcPr>
          <w:p>
            <w:pPr>
              <w:spacing w:after="0"/>
              <w:rPr>
                <w:sz w:val="20"/>
                <w:szCs w:val="20"/>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Matthew J. Maki</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Eric K. Aasmundstad</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Eric K. Aasmundstad</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William R. Devlin</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William R. Devlin</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Duaine C. Espegard</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Duaine C. Espegard</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Cindy L. Launer</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Cindy L. Launer</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Stephen V. Marlow</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Stephen V. Marlow</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Prakash Mathew</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Prakash Mathew</w:t>
            </w: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Jeffrey R. Missling</w:t>
            </w: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Jeffrey R. Missling</w:t>
            </w:r>
          </w:p>
        </w:tc>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29"/>
        </w:trPr>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17" w:name="page118"/>
    <w:bookmarkEnd w:id="117"/>
    <w:p>
      <w:pPr>
        <w:ind w:left="714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EMPLOYMENT AGREEMENT </w:t>
      </w:r>
      <w:r>
        <w:rPr>
          <w:rFonts w:ascii="Times New Roman" w:cs="Times New Roman" w:eastAsia="Times New Roman" w:hAnsi="Times New Roman"/>
          <w:sz w:val="18"/>
          <w:szCs w:val="18"/>
          <w:color w:val="auto"/>
        </w:rPr>
        <w:t>(“Agreement”) is made effective as of the 1st day of December,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between NI Holdings, Inc., a North Dakota business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NODAK Insurance Company, a North Dakota insurance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Seth C. Daggett, an adult individual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This Agreement amends and replaces the prior Amended and Restated Employment Agreement dated August 8, 2023.</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the Company, and Executive desire to enter into an agreement providing for the terms of Executive’s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Corporation and the Company.</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intending to be legally bound, agree as follows:</w:t>
      </w:r>
    </w:p>
    <w:p>
      <w:pPr>
        <w:spacing w:after="0" w:line="185" w:lineRule="exact"/>
        <w:rPr>
          <w:sz w:val="20"/>
          <w:szCs w:val="20"/>
          <w:color w:val="auto"/>
        </w:rPr>
      </w:pPr>
    </w:p>
    <w:p>
      <w:pPr>
        <w:ind w:right="80" w:firstLine="8"/>
        <w:spacing w:after="0" w:line="286" w:lineRule="auto"/>
        <w:tabs>
          <w:tab w:leader="none" w:pos="94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w:t>
      </w:r>
      <w:r>
        <w:rPr>
          <w:rFonts w:ascii="Times New Roman" w:cs="Times New Roman" w:eastAsia="Times New Roman" w:hAnsi="Times New Roman"/>
          <w:sz w:val="18"/>
          <w:szCs w:val="18"/>
          <w:color w:val="auto"/>
        </w:rPr>
        <w:t>. The Corporation and the Company employ Executive and Executive hereby accepts employment with the 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on the terms and conditions set forth in this Agreement.</w:t>
      </w:r>
    </w:p>
    <w:p>
      <w:pPr>
        <w:spacing w:after="0" w:line="154" w:lineRule="exact"/>
        <w:rPr>
          <w:rFonts w:ascii="Times New Roman" w:cs="Times New Roman" w:eastAsia="Times New Roman" w:hAnsi="Times New Roman"/>
          <w:sz w:val="18"/>
          <w:szCs w:val="18"/>
          <w:b w:val="1"/>
          <w:bCs w:val="1"/>
          <w:color w:val="auto"/>
        </w:rPr>
      </w:pPr>
    </w:p>
    <w:p>
      <w:pPr>
        <w:ind w:right="140" w:firstLine="8"/>
        <w:spacing w:after="0" w:line="255" w:lineRule="auto"/>
        <w:tabs>
          <w:tab w:leader="none" w:pos="94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Employee</w:t>
      </w:r>
      <w:r>
        <w:rPr>
          <w:rFonts w:ascii="Times New Roman" w:cs="Times New Roman" w:eastAsia="Times New Roman" w:hAnsi="Times New Roman"/>
          <w:sz w:val="18"/>
          <w:szCs w:val="18"/>
          <w:color w:val="auto"/>
        </w:rPr>
        <w:t>. Executive shall serve as Chief Executive Officer of the Corporation and the Company and shall report directly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Board (as defined below). Executive shall devote his full time, attention and energies to the business of the Corporation and the Company during the Employment Period (as defined in Section 3 of this Agreement); provided, however, that this Section 2 shall not be construed as preventing Executive from (a) engaging in activities incident or necessary to personal investments, (b) acting as a member of the board of directors of any non-profit association or corporation, or (c) being involved in any other business activity with the prior approval of the Board of Directors of the Corporation (the “</w:t>
      </w:r>
      <w:r>
        <w:rPr>
          <w:rFonts w:ascii="Times New Roman" w:cs="Times New Roman" w:eastAsia="Times New Roman" w:hAnsi="Times New Roman"/>
          <w:sz w:val="18"/>
          <w:szCs w:val="18"/>
          <w:i w:val="1"/>
          <w:iCs w:val="1"/>
          <w:color w:val="auto"/>
        </w:rPr>
        <w:t>Corporation Board</w:t>
      </w:r>
      <w:r>
        <w:rPr>
          <w:rFonts w:ascii="Times New Roman" w:cs="Times New Roman" w:eastAsia="Times New Roman" w:hAnsi="Times New Roman"/>
          <w:sz w:val="18"/>
          <w:szCs w:val="18"/>
          <w:color w:val="auto"/>
        </w:rPr>
        <w:t>”). Executive shall not engage in any business or commercial activities, duties or pursuits which compete with the business or commercial activities of the Corporation or the Company, nor may Executive serve as a director or officer or in any other capacity in a company which competes with the Corporation or the Company.</w:t>
      </w:r>
    </w:p>
    <w:p>
      <w:pPr>
        <w:spacing w:after="0" w:line="184"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Agreement.</w:t>
      </w:r>
    </w:p>
    <w:p>
      <w:pPr>
        <w:spacing w:after="0" w:line="225" w:lineRule="exact"/>
        <w:rPr>
          <w:rFonts w:ascii="Times New Roman" w:cs="Times New Roman" w:eastAsia="Times New Roman" w:hAnsi="Times New Roman"/>
          <w:sz w:val="18"/>
          <w:szCs w:val="18"/>
          <w:color w:val="auto"/>
        </w:rPr>
      </w:pPr>
    </w:p>
    <w:p>
      <w:pPr>
        <w:ind w:left="980" w:hanging="324"/>
        <w:spacing w:after="0" w:line="259" w:lineRule="auto"/>
        <w:tabs>
          <w:tab w:leader="none" w:pos="98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Period</w:t>
      </w:r>
      <w:r>
        <w:rPr>
          <w:rFonts w:ascii="Times New Roman" w:cs="Times New Roman" w:eastAsia="Times New Roman" w:hAnsi="Times New Roman"/>
          <w:sz w:val="18"/>
          <w:szCs w:val="18"/>
          <w:color w:val="auto"/>
        </w:rPr>
        <w:t>. This Agreement shall be for a period (the “</w:t>
      </w:r>
      <w:r>
        <w:rPr>
          <w:rFonts w:ascii="Times New Roman" w:cs="Times New Roman" w:eastAsia="Times New Roman" w:hAnsi="Times New Roman"/>
          <w:sz w:val="18"/>
          <w:szCs w:val="18"/>
          <w:i w:val="1"/>
          <w:iCs w:val="1"/>
          <w:color w:val="auto"/>
        </w:rPr>
        <w:t>Employment Period</w:t>
      </w:r>
      <w:r>
        <w:rPr>
          <w:rFonts w:ascii="Times New Roman" w:cs="Times New Roman" w:eastAsia="Times New Roman" w:hAnsi="Times New Roman"/>
          <w:sz w:val="18"/>
          <w:szCs w:val="18"/>
          <w:color w:val="auto"/>
        </w:rPr>
        <w:t>”) beginning on the Effective Date, and if not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the terms of this Agreement, continuing until the second anniversary hereof; provided, however, that on a daily basis, one additional day shall be added to the term of this Agreement, so that the Employment Period shall always be two (2) years, unless either the Executive or the Corporation shall have provided the other with written notice of its intention to cease extending the term of this Agreement.</w:t>
      </w:r>
    </w:p>
    <w:p>
      <w:pPr>
        <w:spacing w:after="0" w:line="183" w:lineRule="exact"/>
        <w:rPr>
          <w:rFonts w:ascii="Times New Roman" w:cs="Times New Roman" w:eastAsia="Times New Roman" w:hAnsi="Times New Roman"/>
          <w:sz w:val="18"/>
          <w:szCs w:val="18"/>
          <w:b w:val="1"/>
          <w:bCs w:val="1"/>
          <w:color w:val="auto"/>
        </w:rPr>
      </w:pPr>
    </w:p>
    <w:p>
      <w:pPr>
        <w:ind w:left="980" w:right="6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contained to the contrary, nothing in this Agreement shall mandate or prohibit a continuation of Executive’s employment following the expiration of the term of this Agreement upon such terms as the Corporation Board and Executive may mutually agree.</w:t>
      </w:r>
    </w:p>
    <w:p>
      <w:pPr>
        <w:spacing w:after="0" w:line="171" w:lineRule="exact"/>
        <w:rPr>
          <w:rFonts w:ascii="Times New Roman" w:cs="Times New Roman" w:eastAsia="Times New Roman" w:hAnsi="Times New Roman"/>
          <w:sz w:val="18"/>
          <w:szCs w:val="18"/>
          <w:color w:val="auto"/>
        </w:rPr>
      </w:pPr>
    </w:p>
    <w:p>
      <w:pPr>
        <w:ind w:left="980" w:right="600" w:hanging="324"/>
        <w:spacing w:after="0" w:line="317" w:lineRule="auto"/>
        <w:tabs>
          <w:tab w:leader="none" w:pos="980" w:val="left"/>
        </w:tabs>
        <w:numPr>
          <w:ilvl w:val="1"/>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for Cause</w:t>
      </w:r>
      <w:r>
        <w:rPr>
          <w:rFonts w:ascii="Times New Roman" w:cs="Times New Roman" w:eastAsia="Times New Roman" w:hAnsi="Times New Roman"/>
          <w:sz w:val="17"/>
          <w:szCs w:val="17"/>
          <w:color w:val="auto"/>
        </w:rPr>
        <w:t>. Notwithstanding the provisions of Section 3(a) of this Agreement, this Agreement may be terminated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and the Company for Cause (as defined herein). As used in this Agreement, “</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shall mean any of the following:</w:t>
      </w:r>
    </w:p>
    <w:p>
      <w:pPr>
        <w:spacing w:after="0" w:line="131" w:lineRule="exact"/>
        <w:rPr>
          <w:rFonts w:ascii="Times New Roman" w:cs="Times New Roman" w:eastAsia="Times New Roman" w:hAnsi="Times New Roman"/>
          <w:sz w:val="17"/>
          <w:szCs w:val="17"/>
          <w:b w:val="1"/>
          <w:bCs w:val="1"/>
          <w:color w:val="auto"/>
        </w:rPr>
      </w:pPr>
    </w:p>
    <w:p>
      <w:pPr>
        <w:jc w:val="both"/>
        <w:ind w:left="660" w:right="300" w:firstLine="644"/>
        <w:spacing w:after="0" w:line="268" w:lineRule="auto"/>
        <w:tabs>
          <w:tab w:leader="none" w:pos="225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willfully fails or refuses to substantially perform the Executive’s responsibilities under this Agreement, after demand for substantial performance has been given by the Corporation Board that specifically identifies how the Executive has failed to perform such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8" w:name="page119"/>
    <w:bookmarkEnd w:id="118"/>
    <w:p>
      <w:pPr>
        <w:ind w:left="2240" w:hanging="936"/>
        <w:spacing w:after="0"/>
        <w:tabs>
          <w:tab w:leader="none" w:pos="2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engages in gross misconduct which is materially and demonstrably injurious to the Corporation or the</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w:t>
      </w:r>
    </w:p>
    <w:p>
      <w:pPr>
        <w:spacing w:after="0" w:line="202"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violates any of the Corporation’s or Company’s policies relating to sexual harassment;</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is convicted of a felony or pleads guilty or </w:t>
      </w:r>
      <w:r>
        <w:rPr>
          <w:rFonts w:ascii="Times New Roman" w:cs="Times New Roman" w:eastAsia="Times New Roman" w:hAnsi="Times New Roman"/>
          <w:sz w:val="18"/>
          <w:szCs w:val="18"/>
          <w:b w:val="1"/>
          <w:bCs w:val="1"/>
          <w:i w:val="1"/>
          <w:iCs w:val="1"/>
          <w:color w:val="auto"/>
        </w:rPr>
        <w:t>nolo contendere</w:t>
      </w:r>
      <w:r>
        <w:rPr>
          <w:rFonts w:ascii="Times New Roman" w:cs="Times New Roman" w:eastAsia="Times New Roman" w:hAnsi="Times New Roman"/>
          <w:sz w:val="18"/>
          <w:szCs w:val="18"/>
          <w:b w:val="1"/>
          <w:bCs w:val="1"/>
          <w:color w:val="auto"/>
        </w:rPr>
        <w:t xml:space="preserve"> to a felony;</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materially breaches Section 6 of this Agreement;</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68" w:lineRule="auto"/>
        <w:tabs>
          <w:tab w:leader="none" w:pos="22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engages in any act of fraud (including misappropriation of the Corporation’s or the Company’s funds or property) in connection with the business of the Corporation or the Company which is materially and demonstrably injurious to the Corporation or the Company; or</w:t>
      </w:r>
    </w:p>
    <w:p>
      <w:pPr>
        <w:spacing w:after="0" w:line="170" w:lineRule="exact"/>
        <w:rPr>
          <w:rFonts w:ascii="Times New Roman" w:cs="Times New Roman" w:eastAsia="Times New Roman" w:hAnsi="Times New Roman"/>
          <w:sz w:val="18"/>
          <w:szCs w:val="18"/>
          <w:color w:val="auto"/>
        </w:rPr>
      </w:pPr>
    </w:p>
    <w:p>
      <w:pPr>
        <w:ind w:left="660" w:right="240" w:firstLine="644"/>
        <w:spacing w:after="0" w:line="286" w:lineRule="auto"/>
        <w:tabs>
          <w:tab w:leader="none" w:pos="22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is disqualified or barred by any governmental or self-regulatory authority from serving in the capacity contemplated by this Agreement.</w:t>
      </w:r>
    </w:p>
    <w:p>
      <w:pPr>
        <w:spacing w:after="0" w:line="159" w:lineRule="exact"/>
        <w:rPr>
          <w:sz w:val="20"/>
          <w:szCs w:val="20"/>
          <w:color w:val="auto"/>
        </w:rPr>
      </w:pPr>
    </w:p>
    <w:p>
      <w:pPr>
        <w:ind w:right="100" w:firstLine="1944"/>
        <w:spacing w:after="0" w:line="282" w:lineRule="auto"/>
        <w:rPr>
          <w:sz w:val="20"/>
          <w:szCs w:val="20"/>
          <w:color w:val="auto"/>
        </w:rPr>
      </w:pPr>
      <w:r>
        <w:rPr>
          <w:rFonts w:ascii="Times New Roman" w:cs="Times New Roman" w:eastAsia="Times New Roman" w:hAnsi="Times New Roman"/>
          <w:sz w:val="18"/>
          <w:szCs w:val="18"/>
          <w:color w:val="auto"/>
        </w:rPr>
        <w:t>If this Agreement is terminated for Cause, all of Executive’s rights under this Agreement shall cease as of the effective date of such termination, except that:</w:t>
      </w:r>
    </w:p>
    <w:p>
      <w:pPr>
        <w:spacing w:after="0" w:line="158"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shall pay to Executive the unpaid portion, if any, of his Annual Base Salary through the date of termination; and</w:t>
      </w:r>
    </w:p>
    <w:p>
      <w:pPr>
        <w:spacing w:after="0" w:line="225" w:lineRule="exact"/>
        <w:rPr>
          <w:rFonts w:ascii="Times New Roman" w:cs="Times New Roman" w:eastAsia="Times New Roman" w:hAnsi="Times New Roman"/>
          <w:sz w:val="18"/>
          <w:szCs w:val="18"/>
          <w:color w:val="auto"/>
        </w:rPr>
      </w:pPr>
    </w:p>
    <w:p>
      <w:pPr>
        <w:ind w:left="660" w:right="260" w:firstLine="644"/>
        <w:spacing w:after="0" w:line="286" w:lineRule="auto"/>
        <w:tabs>
          <w:tab w:leader="none" w:pos="225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shall provide to Executive such post-employment benefits, if any, as may be provided for under the terms of the employee benefit plans of the Company then in effect.</w:t>
      </w:r>
    </w:p>
    <w:p>
      <w:pPr>
        <w:spacing w:after="0" w:line="155" w:lineRule="exact"/>
        <w:rPr>
          <w:sz w:val="20"/>
          <w:szCs w:val="20"/>
          <w:color w:val="auto"/>
        </w:rPr>
      </w:pPr>
    </w:p>
    <w:p>
      <w:pPr>
        <w:ind w:left="980" w:right="100" w:hanging="324"/>
        <w:spacing w:after="0" w:line="262" w:lineRule="auto"/>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Notwithstanding the provisions of Section 3(a) of this Agreement, this Agreement shall terminate automatically upon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death and Executive’s rights under this Agreement shall cease as of the date of such termination, except that (i) the Company shall pay to Executive’s spouse, personal representative, or estate the unpaid portion, if any, of his Annual Base Salary through date of death and (ii) the Company shall provide to Executive’s dependents any benefits due under the Company’s employee benefit plans.</w:t>
      </w:r>
    </w:p>
    <w:p>
      <w:pPr>
        <w:spacing w:after="0" w:line="176"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8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Executive, the Corporation and the Company agree that if Executive becomes Disabled, within the meaning of Section 409A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Internal Revenue Code of 1986, as amended (the “</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and the regulations thereunder, and becomes eligible for employer-provided short-term and/or long-term disability benefits, or worker’s compensation benefits, then the Company’s obligation to pay Executive his Annual Base Salary shall be reduced by the amount of the disability or worker’s compensation benefits received by Executive.</w:t>
      </w:r>
    </w:p>
    <w:p>
      <w:pPr>
        <w:spacing w:after="0" w:line="16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Executive, the Corporation and the Company agree that if, in the judgment of the Corporation Board, Executive is unable, as a result of illness or injury, to perform the essential functions of his position on a full-time basis with or without a reasonable accommodation and without posing a direct threat to himself or others for a period of six months, the Company will suffer an undue hardship in continuing Executive’s employment as set forth in this Agreement. Accordingly, this Agreement shall terminate at the end of the six-month period, and all of Executive’s rights under this Agreement shall cease, with the exception of any unpaid Annual Base Salary through the date of termination and those rights which Executive may have under the Company’s employee benefit plans.</w:t>
      </w:r>
    </w:p>
    <w:p>
      <w:pPr>
        <w:spacing w:after="0" w:line="183" w:lineRule="exact"/>
        <w:rPr>
          <w:sz w:val="20"/>
          <w:szCs w:val="20"/>
          <w:color w:val="auto"/>
        </w:rPr>
      </w:pPr>
    </w:p>
    <w:p>
      <w:pPr>
        <w:jc w:val="both"/>
        <w:ind w:left="980" w:right="40" w:hanging="324"/>
        <w:spacing w:after="0" w:line="262" w:lineRule="auto"/>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from Other Positions</w:t>
      </w:r>
      <w:r>
        <w:rPr>
          <w:rFonts w:ascii="Times New Roman" w:cs="Times New Roman" w:eastAsia="Times New Roman" w:hAnsi="Times New Roman"/>
          <w:sz w:val="18"/>
          <w:szCs w:val="18"/>
          <w:color w:val="auto"/>
        </w:rPr>
        <w:t>. In the event Executive’s employment under this Agreement is terminated for any reason, if Executive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serving in any other capacity, such as an officer or director for any of the Corporation, the Company or any their respective affiliates or subsidiaries, such service shall also be deemed to immediately terminate and Executive shall be deemed to have resigned from all such other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57" w:right="439" w:bottom="1440" w:gutter="0" w:footer="0" w:header="0"/>
        </w:sectPr>
      </w:pPr>
    </w:p>
    <w:bookmarkStart w:id="119" w:name="page120"/>
    <w:bookmarkEnd w:id="119"/>
    <w:p>
      <w:pPr>
        <w:ind w:left="952" w:hanging="952"/>
        <w:spacing w:after="0"/>
        <w:tabs>
          <w:tab w:leader="none" w:pos="9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Period Compensation, Benefits and Expenses.</w:t>
      </w:r>
    </w:p>
    <w:p>
      <w:pPr>
        <w:spacing w:after="0" w:line="225" w:lineRule="exact"/>
        <w:rPr>
          <w:rFonts w:ascii="Times New Roman" w:cs="Times New Roman" w:eastAsia="Times New Roman" w:hAnsi="Times New Roman"/>
          <w:sz w:val="18"/>
          <w:szCs w:val="18"/>
          <w:color w:val="auto"/>
        </w:rPr>
      </w:pPr>
    </w:p>
    <w:p>
      <w:pPr>
        <w:ind w:left="972" w:right="80" w:hanging="324"/>
        <w:spacing w:after="0" w:line="257" w:lineRule="auto"/>
        <w:tabs>
          <w:tab w:leader="none" w:pos="972"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Base Salary</w:t>
      </w:r>
      <w:r>
        <w:rPr>
          <w:rFonts w:ascii="Times New Roman" w:cs="Times New Roman" w:eastAsia="Times New Roman" w:hAnsi="Times New Roman"/>
          <w:sz w:val="18"/>
          <w:szCs w:val="18"/>
          <w:color w:val="auto"/>
        </w:rPr>
        <w:t>. For services performed by Executive under this Agreement, the Company shall pay Executive an annual 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Employment Period at the rate of $700,000 per year, minus applicable withholdings and deductions, payable at the same times as salaries are payable to other executive employees of the Company (the “</w:t>
      </w:r>
      <w:r>
        <w:rPr>
          <w:rFonts w:ascii="Times New Roman" w:cs="Times New Roman" w:eastAsia="Times New Roman" w:hAnsi="Times New Roman"/>
          <w:sz w:val="18"/>
          <w:szCs w:val="18"/>
          <w:i w:val="1"/>
          <w:iCs w:val="1"/>
          <w:color w:val="auto"/>
        </w:rPr>
        <w:t>Annual Base Salary</w:t>
      </w:r>
      <w:r>
        <w:rPr>
          <w:rFonts w:ascii="Times New Roman" w:cs="Times New Roman" w:eastAsia="Times New Roman" w:hAnsi="Times New Roman"/>
          <w:sz w:val="18"/>
          <w:szCs w:val="18"/>
          <w:color w:val="auto"/>
        </w:rPr>
        <w:t>”). The Annual Base Salary shall be reviewed annually by the Corporation Board and the Corporation Board may, from time to time, increase Executive’s Annual Base Salary, and any and all such increases shall be deemed to constitute amendments to this Section 4(a) to reflect the increased amounts, effective as of the date established for such increases.</w:t>
      </w:r>
    </w:p>
    <w:p>
      <w:pPr>
        <w:spacing w:after="0" w:line="182" w:lineRule="exact"/>
        <w:rPr>
          <w:rFonts w:ascii="Times New Roman" w:cs="Times New Roman" w:eastAsia="Times New Roman" w:hAnsi="Times New Roman"/>
          <w:sz w:val="18"/>
          <w:szCs w:val="18"/>
          <w:b w:val="1"/>
          <w:bCs w:val="1"/>
          <w:color w:val="auto"/>
        </w:rPr>
      </w:pPr>
    </w:p>
    <w:p>
      <w:pPr>
        <w:ind w:left="972" w:right="220" w:hanging="324"/>
        <w:spacing w:after="0" w:line="286" w:lineRule="auto"/>
        <w:tabs>
          <w:tab w:leader="none" w:pos="972"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The Executive shall participate in any equity incentive plan and short-term performance plan generally made available to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of the Company.</w:t>
      </w:r>
    </w:p>
    <w:p>
      <w:pPr>
        <w:spacing w:after="0" w:line="154" w:lineRule="exact"/>
        <w:rPr>
          <w:rFonts w:ascii="Times New Roman" w:cs="Times New Roman" w:eastAsia="Times New Roman" w:hAnsi="Times New Roman"/>
          <w:sz w:val="18"/>
          <w:szCs w:val="18"/>
          <w:b w:val="1"/>
          <w:bCs w:val="1"/>
          <w:color w:val="auto"/>
        </w:rPr>
      </w:pPr>
    </w:p>
    <w:p>
      <w:pPr>
        <w:ind w:left="972" w:right="280" w:hanging="324"/>
        <w:spacing w:after="0" w:line="268" w:lineRule="auto"/>
        <w:tabs>
          <w:tab w:leader="none" w:pos="972"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Vacations, Holidays, etc</w:t>
      </w:r>
      <w:r>
        <w:rPr>
          <w:rFonts w:ascii="Times New Roman" w:cs="Times New Roman" w:eastAsia="Times New Roman" w:hAnsi="Times New Roman"/>
          <w:sz w:val="18"/>
          <w:szCs w:val="18"/>
          <w:color w:val="auto"/>
        </w:rPr>
        <w:t>. During the term of this Agreement, Executive shall be entitled to paid annual vacation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as established from time to time by the Company. Executive shall also be entitled to all paid holidays, sick days and personal days provided by the Company to its regular full-time employees and senior executive officers.</w:t>
      </w:r>
    </w:p>
    <w:p>
      <w:pPr>
        <w:spacing w:after="0" w:line="170" w:lineRule="exact"/>
        <w:rPr>
          <w:rFonts w:ascii="Times New Roman" w:cs="Times New Roman" w:eastAsia="Times New Roman" w:hAnsi="Times New Roman"/>
          <w:sz w:val="18"/>
          <w:szCs w:val="18"/>
          <w:b w:val="1"/>
          <w:bCs w:val="1"/>
          <w:color w:val="auto"/>
        </w:rPr>
      </w:pPr>
    </w:p>
    <w:p>
      <w:pPr>
        <w:jc w:val="both"/>
        <w:ind w:left="972" w:right="540" w:hanging="324"/>
        <w:spacing w:after="0" w:line="268" w:lineRule="auto"/>
        <w:tabs>
          <w:tab w:leader="none" w:pos="972"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r>
        <w:rPr>
          <w:rFonts w:ascii="Times New Roman" w:cs="Times New Roman" w:eastAsia="Times New Roman" w:hAnsi="Times New Roman"/>
          <w:sz w:val="18"/>
          <w:szCs w:val="18"/>
          <w:color w:val="auto"/>
        </w:rPr>
        <w:t>. During the term of this Agreement, Executive shall be entitled to participate in or receive the benefits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benefit plan currently in effect at the Company, subject to the eligibility and terms of each such plan, until such time that the Company authorizes a change in such benefits.</w:t>
      </w:r>
    </w:p>
    <w:p>
      <w:pPr>
        <w:spacing w:after="0" w:line="170" w:lineRule="exact"/>
        <w:rPr>
          <w:rFonts w:ascii="Times New Roman" w:cs="Times New Roman" w:eastAsia="Times New Roman" w:hAnsi="Times New Roman"/>
          <w:sz w:val="18"/>
          <w:szCs w:val="18"/>
          <w:b w:val="1"/>
          <w:bCs w:val="1"/>
          <w:color w:val="auto"/>
        </w:rPr>
      </w:pPr>
    </w:p>
    <w:p>
      <w:pPr>
        <w:ind w:left="972" w:right="240" w:hanging="324"/>
        <w:spacing w:after="0" w:line="268" w:lineRule="auto"/>
        <w:tabs>
          <w:tab w:leader="none" w:pos="972"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Expenses</w:t>
      </w:r>
      <w:r>
        <w:rPr>
          <w:rFonts w:ascii="Times New Roman" w:cs="Times New Roman" w:eastAsia="Times New Roman" w:hAnsi="Times New Roman"/>
          <w:sz w:val="18"/>
          <w:szCs w:val="18"/>
          <w:color w:val="auto"/>
        </w:rPr>
        <w:t>. During the term of this Agreement, Executive shall be entitled to receive prompt reimbursement for all customary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usual expenses incurred by him, which are properly accounted for, in accordance with the policies and procedures established by the Company.</w:t>
      </w:r>
    </w:p>
    <w:p>
      <w:pPr>
        <w:spacing w:after="0" w:line="170" w:lineRule="exact"/>
        <w:rPr>
          <w:rFonts w:ascii="Times New Roman" w:cs="Times New Roman" w:eastAsia="Times New Roman" w:hAnsi="Times New Roman"/>
          <w:sz w:val="18"/>
          <w:szCs w:val="18"/>
          <w:b w:val="1"/>
          <w:bCs w:val="1"/>
          <w:color w:val="auto"/>
        </w:rPr>
      </w:pPr>
    </w:p>
    <w:p>
      <w:pPr>
        <w:ind w:left="952" w:hanging="952"/>
        <w:spacing w:after="0"/>
        <w:tabs>
          <w:tab w:leader="none" w:pos="9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in Event of Termination of Employment.</w:t>
      </w:r>
    </w:p>
    <w:p>
      <w:pPr>
        <w:spacing w:after="0" w:line="229" w:lineRule="exact"/>
        <w:rPr>
          <w:rFonts w:ascii="Times New Roman" w:cs="Times New Roman" w:eastAsia="Times New Roman" w:hAnsi="Times New Roman"/>
          <w:sz w:val="18"/>
          <w:szCs w:val="18"/>
          <w:color w:val="auto"/>
        </w:rPr>
      </w:pPr>
    </w:p>
    <w:p>
      <w:pPr>
        <w:ind w:left="972" w:right="20" w:hanging="324"/>
        <w:spacing w:after="0" w:line="261" w:lineRule="auto"/>
        <w:tabs>
          <w:tab w:leader="none" w:pos="97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terminates his employment with the Company without Good Reason (as defined below), Executive’s rights under this Agreement shall cease as of the date of such termination, except that (i) the Company shall pay to Executive the unpaid portion, if any, of his Annual Base Salary through date of termination, and (ii) the Company shall provide to Executive’s dependents any benefits due under the Company’s employee benefit plans then in effect.</w:t>
      </w:r>
    </w:p>
    <w:p>
      <w:pPr>
        <w:spacing w:after="0" w:line="179" w:lineRule="exact"/>
        <w:rPr>
          <w:rFonts w:ascii="Times New Roman" w:cs="Times New Roman" w:eastAsia="Times New Roman" w:hAnsi="Times New Roman"/>
          <w:sz w:val="18"/>
          <w:szCs w:val="18"/>
          <w:color w:val="auto"/>
        </w:rPr>
      </w:pPr>
    </w:p>
    <w:p>
      <w:pPr>
        <w:ind w:left="972" w:right="220" w:hanging="324"/>
        <w:spacing w:after="0" w:line="266" w:lineRule="auto"/>
        <w:tabs>
          <w:tab w:leader="none" w:pos="97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involuntarily terminated by the Corporation and the Company without Cause (other than for death or Disability), or the Executive voluntarily terminates employment for Good Reason (as defined below), Executive shall be entitled to receive the compensation and benefits set forth below:</w:t>
      </w:r>
    </w:p>
    <w:p>
      <w:pPr>
        <w:spacing w:after="0" w:line="171" w:lineRule="exact"/>
        <w:rPr>
          <w:rFonts w:ascii="Times New Roman" w:cs="Times New Roman" w:eastAsia="Times New Roman" w:hAnsi="Times New Roman"/>
          <w:sz w:val="18"/>
          <w:szCs w:val="18"/>
          <w:color w:val="auto"/>
        </w:rPr>
      </w:pPr>
    </w:p>
    <w:p>
      <w:pPr>
        <w:ind w:left="652" w:right="180" w:firstLine="644"/>
        <w:spacing w:after="0" w:line="259" w:lineRule="auto"/>
        <w:tabs>
          <w:tab w:leader="none" w:pos="224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shall be entitled to receive an amount equal to (A) his Annual Base Salary plus (B) the target short-term incentive bonus for the year in which he is involuntarily terminated without Cause (other than for death or Disability), or the Executive voluntarily terminates employment for Good Reason. Such annual amount shall be multiplied by the number of full calendar months remaining in the Employment Period divided by twelve (12). The resulting amount shall be paid by the Company in one lump sum following Executive’s execution of the release (provided such release is not rescinded) described in Section 7.</w:t>
      </w:r>
    </w:p>
    <w:p>
      <w:pPr>
        <w:spacing w:after="0" w:line="179" w:lineRule="exact"/>
        <w:rPr>
          <w:rFonts w:ascii="Times New Roman" w:cs="Times New Roman" w:eastAsia="Times New Roman" w:hAnsi="Times New Roman"/>
          <w:sz w:val="18"/>
          <w:szCs w:val="18"/>
          <w:color w:val="auto"/>
        </w:rPr>
      </w:pPr>
    </w:p>
    <w:p>
      <w:pPr>
        <w:ind w:left="652" w:firstLine="644"/>
        <w:spacing w:after="0" w:line="259" w:lineRule="auto"/>
        <w:tabs>
          <w:tab w:leader="none" w:pos="224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Also, in such event, Executive shall, for the remaining Employment Period, continue to participate in any benefit plans of the Company that provide health (including medical and dental) coverage, upon terms no less favorable than the most favorable terms provided to senior executives of the Company during such period. In the event that the Company is unable to provide such coverage by reason of Executive no longer being an employee, the Company shall provide Executive an amount equal to the total after-tax cost to Employee, for each month that is then remaining in the Employment Period, of obtaining such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49" w:right="359" w:bottom="1440" w:gutter="0" w:footer="0" w:header="0"/>
        </w:sectPr>
      </w:pPr>
    </w:p>
    <w:bookmarkStart w:id="120" w:name="page121"/>
    <w:bookmarkEnd w:id="120"/>
    <w:p>
      <w:pPr>
        <w:ind w:left="324" w:hanging="324"/>
        <w:spacing w:after="0" w:line="257"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shall mean (i) a material diminution in salary, (ii) a material diminution in authority, duties or responsibilities, (iii) a reassignment which assigns full-time employment duties to Executive at a location more than twenty (20) miles from the Company’s principal executive office on the date of this Agreement, in all cases after notice from Executive to the Company within ninety (90) days after the initial existence of any such condition that the condition constitutes Good Reason and the failure of the Company to cure such situation within thirty (30) days after said notice, or (iv) a change in Executive’s title accompanied by any of the circumstances described in clauses (i), (ii) or (iii) above.</w:t>
      </w:r>
    </w:p>
    <w:p>
      <w:pPr>
        <w:spacing w:after="0" w:line="184" w:lineRule="exact"/>
        <w:rPr>
          <w:rFonts w:ascii="Times New Roman" w:cs="Times New Roman" w:eastAsia="Times New Roman" w:hAnsi="Times New Roman"/>
          <w:sz w:val="18"/>
          <w:szCs w:val="18"/>
          <w:color w:val="auto"/>
        </w:rPr>
      </w:pPr>
    </w:p>
    <w:p>
      <w:pPr>
        <w:ind w:left="324" w:right="60" w:hanging="324"/>
        <w:spacing w:after="0" w:line="261"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be required to mitigate the amount of any payment provided for in this Section 5 by seeking other employment or otherwise, nor shall the amount of payment or the benefit provided for in this Section 5 be reduced by any compensation earned by Executive as the result of employment by another employer or by reason of Executive’s receipt of or right to receive any retirement or other benefits after the date of termination of employment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494030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9" w:right="339" w:bottom="1440" w:gutter="0" w:footer="0" w:header="0"/>
        </w:sectPr>
      </w:pPr>
    </w:p>
    <w:bookmarkStart w:id="121" w:name="page122"/>
    <w:bookmarkEnd w:id="121"/>
    <w:p>
      <w:pPr>
        <w:ind w:left="-8" w:right="20" w:firstLine="8"/>
        <w:spacing w:after="0" w:line="254" w:lineRule="auto"/>
        <w:tabs>
          <w:tab w:leader="none" w:pos="93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Disclosure</w:t>
      </w:r>
      <w:r>
        <w:rPr>
          <w:rFonts w:ascii="Times New Roman" w:cs="Times New Roman" w:eastAsia="Times New Roman" w:hAnsi="Times New Roman"/>
          <w:sz w:val="18"/>
          <w:szCs w:val="18"/>
          <w:color w:val="auto"/>
        </w:rPr>
        <w:t>. During the term of his employment hereunder, or at any later time, Executive shall not, without the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Board or a person authorized thereby (except as may be required pursuant to a subpoena or other legal process), knowingly disclose to any person, other than an employee of the Company or a person to whom disclosure is reasonably necessary or appropriate in connection with the performance by Executive of his duties as an executive of the Company, any material confidential information obtained by him while in the employ of the Company with respect to any of the Company’s, the Corporation’s or any of their subsidiaries’ services, products, improvements, formulas, designs or styles, processes, customers, methods of business or any business practices the disclosure of which could be or will be damaging to the Company or the Corporation; provided, however, that confidential information shall not include any information known generally to the public (other than as a result of unauthorized disclosure by Executive or any person with the assistance, consent or direction of Executive) or any information of a type not otherwise considered confidential by persons engaged in the same business or a business similar to that conducted by the Company or any information that must be disclosed as required by law.</w:t>
      </w:r>
    </w:p>
    <w:p>
      <w:pPr>
        <w:spacing w:after="0" w:line="185" w:lineRule="exact"/>
        <w:rPr>
          <w:rFonts w:ascii="Times New Roman" w:cs="Times New Roman" w:eastAsia="Times New Roman" w:hAnsi="Times New Roman"/>
          <w:sz w:val="18"/>
          <w:szCs w:val="18"/>
          <w:b w:val="1"/>
          <w:bCs w:val="1"/>
          <w:color w:val="auto"/>
        </w:rPr>
      </w:pPr>
    </w:p>
    <w:p>
      <w:pPr>
        <w:ind w:left="-8" w:right="140" w:firstLine="8"/>
        <w:spacing w:after="0" w:line="257" w:lineRule="auto"/>
        <w:tabs>
          <w:tab w:leader="none" w:pos="93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Requirement of Release</w:t>
      </w:r>
      <w:r>
        <w:rPr>
          <w:rFonts w:ascii="Times New Roman" w:cs="Times New Roman" w:eastAsia="Times New Roman" w:hAnsi="Times New Roman"/>
          <w:sz w:val="18"/>
          <w:szCs w:val="18"/>
          <w:color w:val="auto"/>
        </w:rPr>
        <w:t>. Notwithstanding anything herein to the contrary, Executive’s entitlement to any payments under Section 5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Executive’s prior agreement with and signature to a complete release agreement in the form as mutually agreed by the parties, which release is not rescinded by Executive. Such release agreement shall be executed, if at all, and the applicable payments and benefits contingent upon the execution of such agreement shall be provided or commence being provided, if at all, within sixty (60) days following the date of termination; provided, however, that if such sixty (60) day period begins in one taxable year and ends in a second taxable year, the payments and benefits will be provided or commence being provided, if at all, in the second taxable year.</w:t>
      </w:r>
    </w:p>
    <w:p>
      <w:pPr>
        <w:spacing w:after="0" w:line="182" w:lineRule="exact"/>
        <w:rPr>
          <w:rFonts w:ascii="Times New Roman" w:cs="Times New Roman" w:eastAsia="Times New Roman" w:hAnsi="Times New Roman"/>
          <w:sz w:val="18"/>
          <w:szCs w:val="18"/>
          <w:b w:val="1"/>
          <w:bCs w:val="1"/>
          <w:color w:val="auto"/>
        </w:rPr>
      </w:pPr>
    </w:p>
    <w:p>
      <w:pPr>
        <w:ind w:left="-8" w:firstLine="8"/>
        <w:spacing w:after="0" w:line="268" w:lineRule="auto"/>
        <w:tabs>
          <w:tab w:leader="none" w:pos="93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Except as otherwise provided in this Agreement, any notice required or permitted to be given under this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given if in writing and if mailed by United States registered or certified mail, postage prepaid with return receipt requested, to Executive’s address, in the case of notices to Executive, and to the principal executive office of the Company, in the case of notice to the Company.</w:t>
      </w:r>
    </w:p>
    <w:p>
      <w:pPr>
        <w:spacing w:after="0" w:line="170" w:lineRule="exact"/>
        <w:rPr>
          <w:rFonts w:ascii="Times New Roman" w:cs="Times New Roman" w:eastAsia="Times New Roman" w:hAnsi="Times New Roman"/>
          <w:sz w:val="18"/>
          <w:szCs w:val="18"/>
          <w:b w:val="1"/>
          <w:bCs w:val="1"/>
          <w:color w:val="auto"/>
        </w:rPr>
      </w:pPr>
    </w:p>
    <w:p>
      <w:pPr>
        <w:ind w:left="-8" w:right="60" w:firstLine="8"/>
        <w:spacing w:after="0" w:line="262" w:lineRule="auto"/>
        <w:tabs>
          <w:tab w:leader="none" w:pos="93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signed by Executive and an executive officer of the Corporation and the Company specifically designated by the respective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76" w:lineRule="exact"/>
        <w:rPr>
          <w:rFonts w:ascii="Times New Roman" w:cs="Times New Roman" w:eastAsia="Times New Roman" w:hAnsi="Times New Roman"/>
          <w:sz w:val="18"/>
          <w:szCs w:val="18"/>
          <w:b w:val="1"/>
          <w:bCs w:val="1"/>
          <w:color w:val="auto"/>
        </w:rPr>
      </w:pPr>
    </w:p>
    <w:p>
      <w:pPr>
        <w:ind w:left="852" w:hanging="852"/>
        <w:spacing w:after="0"/>
        <w:tabs>
          <w:tab w:leader="none" w:pos="8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This Agreement shall not be assignable by any party, except by the Company to any successor in interest to its business.</w:t>
      </w:r>
    </w:p>
    <w:p>
      <w:pPr>
        <w:spacing w:after="0" w:line="225" w:lineRule="exact"/>
        <w:rPr>
          <w:rFonts w:ascii="Times New Roman" w:cs="Times New Roman" w:eastAsia="Times New Roman" w:hAnsi="Times New Roman"/>
          <w:sz w:val="18"/>
          <w:szCs w:val="18"/>
          <w:b w:val="1"/>
          <w:bCs w:val="1"/>
          <w:color w:val="auto"/>
        </w:rPr>
      </w:pPr>
    </w:p>
    <w:p>
      <w:pPr>
        <w:ind w:left="-8" w:right="40" w:firstLine="8"/>
        <w:spacing w:after="0" w:line="286" w:lineRule="auto"/>
        <w:tabs>
          <w:tab w:leader="none" w:pos="8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contains the entire agreement of the parties relating to the subject matter of this Agreement and supersedes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replaces any prior written or oral agreements between them respecting the within subject matter.</w:t>
      </w:r>
    </w:p>
    <w:p>
      <w:pPr>
        <w:spacing w:after="0" w:line="154" w:lineRule="exact"/>
        <w:rPr>
          <w:rFonts w:ascii="Times New Roman" w:cs="Times New Roman" w:eastAsia="Times New Roman" w:hAnsi="Times New Roman"/>
          <w:sz w:val="18"/>
          <w:szCs w:val="18"/>
          <w:b w:val="1"/>
          <w:bCs w:val="1"/>
          <w:color w:val="auto"/>
        </w:rPr>
      </w:pPr>
    </w:p>
    <w:p>
      <w:pPr>
        <w:ind w:left="852" w:hanging="852"/>
        <w:spacing w:after="0"/>
        <w:tabs>
          <w:tab w:leader="none" w:pos="8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Binding Agreement.</w:t>
      </w:r>
    </w:p>
    <w:p>
      <w:pPr>
        <w:spacing w:after="0" w:line="229" w:lineRule="exact"/>
        <w:rPr>
          <w:rFonts w:ascii="Times New Roman" w:cs="Times New Roman" w:eastAsia="Times New Roman" w:hAnsi="Times New Roman"/>
          <w:sz w:val="18"/>
          <w:szCs w:val="18"/>
          <w:color w:val="auto"/>
        </w:rPr>
      </w:pPr>
    </w:p>
    <w:p>
      <w:pPr>
        <w:ind w:left="972" w:right="80" w:hanging="324"/>
        <w:spacing w:after="0" w:line="256" w:lineRule="auto"/>
        <w:tabs>
          <w:tab w:leader="none" w:pos="97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the Company will require any successor (whether direct or indirect, by purchase, merger, consolidation, or otherwise) to all or substantially all of the business and/or assets of the Corporation or the Company to expressly assume and agree to perform this Agreement in the same manner and to the same extent that the Corporation and Company would be required to perform it if no such succession had taken place. As used in this Agreement, “Corporation” and “Company” shall mean the Corporation and the Company as defined previously and any successor to their respective business and/or assets as aforesaid which assumes and agrees to perform this Agreement by operation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65" w:right="339" w:bottom="1440" w:gutter="0" w:footer="0" w:header="0"/>
        </w:sectPr>
      </w:pPr>
    </w:p>
    <w:bookmarkStart w:id="122" w:name="page123"/>
    <w:bookmarkEnd w:id="122"/>
    <w:p>
      <w:pPr>
        <w:ind w:left="972" w:hanging="324"/>
        <w:spacing w:after="0" w:line="281" w:lineRule="auto"/>
        <w:tabs>
          <w:tab w:leader="none" w:pos="972"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inure to the benefit of and be enforceable by Executive’s personal or legal representatives, executors, administrators, heirs, distributees, devisees or legatees. If Executive should die following termination of Executive’s employment without Cause, and any amounts would be payable to Executive under this Agreement if Executive had continued to live, all such amounts shall be paid in accordance with the terms of this Agreement to Executive’s devisee, legatee, or other designee, or, if there is no such designee, to Executive’s estate.</w:t>
      </w:r>
    </w:p>
    <w:p>
      <w:pPr>
        <w:spacing w:after="0" w:line="160" w:lineRule="exact"/>
        <w:rPr>
          <w:rFonts w:ascii="Times New Roman" w:cs="Times New Roman" w:eastAsia="Times New Roman" w:hAnsi="Times New Roman"/>
          <w:sz w:val="17"/>
          <w:szCs w:val="17"/>
          <w:color w:val="auto"/>
        </w:rPr>
      </w:pPr>
    </w:p>
    <w:p>
      <w:pPr>
        <w:ind w:left="-8" w:right="540" w:firstLine="8"/>
        <w:spacing w:after="0" w:line="286" w:lineRule="auto"/>
        <w:tabs>
          <w:tab w:leader="none" w:pos="84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which shall remain in full force and effect.</w:t>
      </w:r>
    </w:p>
    <w:p>
      <w:pPr>
        <w:spacing w:after="0" w:line="154" w:lineRule="exact"/>
        <w:rPr>
          <w:rFonts w:ascii="Times New Roman" w:cs="Times New Roman" w:eastAsia="Times New Roman" w:hAnsi="Times New Roman"/>
          <w:sz w:val="18"/>
          <w:szCs w:val="18"/>
          <w:b w:val="1"/>
          <w:bCs w:val="1"/>
          <w:color w:val="auto"/>
        </w:rPr>
      </w:pPr>
    </w:p>
    <w:p>
      <w:pPr>
        <w:ind w:left="-8" w:right="20" w:firstLine="8"/>
        <w:spacing w:after="0" w:line="286" w:lineRule="auto"/>
        <w:tabs>
          <w:tab w:leader="none" w:pos="84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North Dakota, without regard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conflict of laws principles.</w:t>
      </w:r>
    </w:p>
    <w:p>
      <w:pPr>
        <w:spacing w:after="0" w:line="154" w:lineRule="exact"/>
        <w:rPr>
          <w:rFonts w:ascii="Times New Roman" w:cs="Times New Roman" w:eastAsia="Times New Roman" w:hAnsi="Times New Roman"/>
          <w:sz w:val="18"/>
          <w:szCs w:val="18"/>
          <w:b w:val="1"/>
          <w:bCs w:val="1"/>
          <w:color w:val="auto"/>
        </w:rPr>
      </w:pPr>
    </w:p>
    <w:p>
      <w:pPr>
        <w:ind w:left="-8" w:right="60" w:firstLine="8"/>
        <w:spacing w:after="0" w:line="286" w:lineRule="auto"/>
        <w:tabs>
          <w:tab w:leader="none" w:pos="84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section headings of this Agreement are for convenience only and shall not control or affect the meaning or construction or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scope or intent of any of the provisions of this Agreement.</w:t>
      </w:r>
    </w:p>
    <w:p>
      <w:pPr>
        <w:spacing w:after="0" w:line="154" w:lineRule="exact"/>
        <w:rPr>
          <w:rFonts w:ascii="Times New Roman" w:cs="Times New Roman" w:eastAsia="Times New Roman" w:hAnsi="Times New Roman"/>
          <w:sz w:val="18"/>
          <w:szCs w:val="18"/>
          <w:b w:val="1"/>
          <w:bCs w:val="1"/>
          <w:color w:val="auto"/>
        </w:rPr>
      </w:pPr>
    </w:p>
    <w:p>
      <w:pPr>
        <w:ind w:left="852" w:hanging="852"/>
        <w:spacing w:after="0"/>
        <w:tabs>
          <w:tab w:leader="none" w:pos="8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Payments.</w:t>
      </w:r>
    </w:p>
    <w:p>
      <w:pPr>
        <w:spacing w:after="0" w:line="229" w:lineRule="exact"/>
        <w:rPr>
          <w:rFonts w:ascii="Times New Roman" w:cs="Times New Roman" w:eastAsia="Times New Roman" w:hAnsi="Times New Roman"/>
          <w:sz w:val="18"/>
          <w:szCs w:val="18"/>
          <w:color w:val="auto"/>
        </w:rPr>
      </w:pPr>
    </w:p>
    <w:p>
      <w:pPr>
        <w:ind w:left="972" w:right="40" w:hanging="324"/>
        <w:spacing w:after="0" w:line="256" w:lineRule="auto"/>
        <w:tabs>
          <w:tab w:leader="none" w:pos="97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the event the payments and benefits payable hereunder to or on behalf of Executive, when added to all other amounts and benefits payable to or on behalf of Executive, would result in the imposition of an excise tax under Section 4999 of the Code, the amounts and benefits payable hereunder shall be reduced to such extent as may be necessary to avoid such imposition. All calculations required to be made under this subsection will be made by the Company’s independent public accountants, subject to the right of Executive’s representative to review the same. The parties recognize that the actual implementation of the provisions of this subsection are complex and agree to deal with each other in good faith to resolve any questions or disagreements arising hereunder.</w:t>
      </w:r>
    </w:p>
    <w:p>
      <w:pPr>
        <w:spacing w:after="0" w:line="187" w:lineRule="exact"/>
        <w:rPr>
          <w:rFonts w:ascii="Times New Roman" w:cs="Times New Roman" w:eastAsia="Times New Roman" w:hAnsi="Times New Roman"/>
          <w:sz w:val="18"/>
          <w:szCs w:val="18"/>
          <w:color w:val="auto"/>
        </w:rPr>
      </w:pPr>
    </w:p>
    <w:p>
      <w:pPr>
        <w:ind w:left="972" w:right="420" w:hanging="324"/>
        <w:spacing w:after="0" w:line="282" w:lineRule="auto"/>
        <w:tabs>
          <w:tab w:leader="none" w:pos="97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to the Executive pursuant to this Agreement or otherwise, are subject to and conditioned upon their compliance with applicable laws and any regulations promulgated thereunder.</w:t>
      </w:r>
    </w:p>
    <w:p>
      <w:pPr>
        <w:spacing w:after="0" w:line="157" w:lineRule="exact"/>
        <w:rPr>
          <w:rFonts w:ascii="Times New Roman" w:cs="Times New Roman" w:eastAsia="Times New Roman" w:hAnsi="Times New Roman"/>
          <w:sz w:val="18"/>
          <w:szCs w:val="18"/>
          <w:color w:val="auto"/>
        </w:rPr>
      </w:pPr>
    </w:p>
    <w:p>
      <w:pPr>
        <w:ind w:left="-8" w:right="40" w:firstLine="8"/>
        <w:spacing w:after="0" w:line="254" w:lineRule="auto"/>
        <w:tabs>
          <w:tab w:leader="none" w:pos="84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Bonuses and Incentive Compensation</w:t>
      </w:r>
      <w:r>
        <w:rPr>
          <w:rFonts w:ascii="Times New Roman" w:cs="Times New Roman" w:eastAsia="Times New Roman" w:hAnsi="Times New Roman"/>
          <w:sz w:val="18"/>
          <w:szCs w:val="18"/>
          <w:color w:val="auto"/>
        </w:rPr>
        <w:t>. Notwithstanding anything in this Agreement to the contrary, all bonuses and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but not Annual Base Salary or payments due Executive under Section 5, paid hereunder (whether in equity or in cash) shall be subject to recovery by the Company in the event that such bonuses or incentive compensation are based on materially inaccurate financial statements or other materially inaccurate performance metric criteria; provided that except as set forth in the next sentence, a determination as to the recovery of a bonus or incentive compensation shall be made within twenty-four (24) months following the date such bonus or incentive compensation was paid. Notwithstanding anything to the contrary herein, all compensation payable to Executive shall be subject to any policy adopted by the Company designed to comply with Section 10D of the Securities Exchange Act of 1934, as amended, related rules and the listing standards of The Nasdaq Stock Market, including, but not limited to, the Corporation’s Incentive Compensation Recovery Policy, originally adopted on December 1, 2023. In the event that the Corporation Board determines that a bonus or incentive compensation payment to Executive is recoverable, in its sole discretion, Executive shall reimburse all or a portion of such bonus or incentive compensation, to the fullest extent permitted by law, as soon as practicable following written notice to Executive by the Company of the same.</w:t>
      </w:r>
    </w:p>
    <w:p>
      <w:pPr>
        <w:spacing w:after="0" w:line="182" w:lineRule="exact"/>
        <w:rPr>
          <w:rFonts w:ascii="Times New Roman" w:cs="Times New Roman" w:eastAsia="Times New Roman" w:hAnsi="Times New Roman"/>
          <w:sz w:val="18"/>
          <w:szCs w:val="18"/>
          <w:b w:val="1"/>
          <w:bCs w:val="1"/>
          <w:color w:val="auto"/>
        </w:rPr>
      </w:pPr>
    </w:p>
    <w:p>
      <w:pPr>
        <w:ind w:left="852" w:hanging="852"/>
        <w:spacing w:after="0"/>
        <w:tabs>
          <w:tab w:leader="none" w:pos="8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of Code Section 409A.</w:t>
      </w:r>
    </w:p>
    <w:p>
      <w:pPr>
        <w:spacing w:after="0" w:line="229" w:lineRule="exact"/>
        <w:rPr>
          <w:rFonts w:ascii="Times New Roman" w:cs="Times New Roman" w:eastAsia="Times New Roman" w:hAnsi="Times New Roman"/>
          <w:sz w:val="18"/>
          <w:szCs w:val="18"/>
          <w:color w:val="auto"/>
        </w:rPr>
      </w:pPr>
    </w:p>
    <w:p>
      <w:pPr>
        <w:ind w:left="972" w:right="20" w:hanging="324"/>
        <w:spacing w:after="0" w:line="258" w:lineRule="auto"/>
        <w:tabs>
          <w:tab w:leader="none" w:pos="97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receipt of any benefits under this Agreement as a result of a termination of employment shall be subject to satisfaction of the condition precedent that Executive undergo a “separation from service” within the meaning of Treas. Reg. § 1.409A-1(h) or any successor thereto. In addition, if Executive is deemed to be a “specified employee” within the meaning of that term under Code Section 409A(a)(2)(B), then with regard to any payment or the provisions of any benefit that is required to be delayed pursuant to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513715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53" w:right="359" w:bottom="1440" w:gutter="0" w:footer="0" w:header="0"/>
        </w:sectPr>
      </w:pPr>
    </w:p>
    <w:bookmarkStart w:id="123" w:name="page124"/>
    <w:bookmarkEnd w:id="123"/>
    <w:p>
      <w:pPr>
        <w:ind w:left="324" w:right="40"/>
        <w:spacing w:after="0" w:line="252" w:lineRule="auto"/>
        <w:rPr>
          <w:sz w:val="20"/>
          <w:szCs w:val="20"/>
          <w:color w:val="auto"/>
        </w:rPr>
      </w:pPr>
      <w:r>
        <w:rPr>
          <w:rFonts w:ascii="Times New Roman" w:cs="Times New Roman" w:eastAsia="Times New Roman" w:hAnsi="Times New Roman"/>
          <w:sz w:val="18"/>
          <w:szCs w:val="18"/>
          <w:color w:val="auto"/>
        </w:rPr>
        <w:t>Section 409A(a)(2)(B), such payment or benefit shall not be made or provided prior to the earlier of (i) the expiration of the six (6) month period measured from the date of Executive’s “separation from service” (as such term is defined in Treas. Reg. § 1.409A-1(h)), or (ii) the date of Executive’s death (the “</w:t>
      </w:r>
      <w:r>
        <w:rPr>
          <w:rFonts w:ascii="Times New Roman" w:cs="Times New Roman" w:eastAsia="Times New Roman" w:hAnsi="Times New Roman"/>
          <w:sz w:val="18"/>
          <w:szCs w:val="18"/>
          <w:i w:val="1"/>
          <w:iCs w:val="1"/>
          <w:color w:val="auto"/>
        </w:rPr>
        <w:t>Delay Period</w:t>
      </w:r>
      <w:r>
        <w:rPr>
          <w:rFonts w:ascii="Times New Roman" w:cs="Times New Roman" w:eastAsia="Times New Roman" w:hAnsi="Times New Roman"/>
          <w:sz w:val="18"/>
          <w:szCs w:val="18"/>
          <w:color w:val="auto"/>
        </w:rPr>
        <w:t>”). Within ten (10) days following the expiration of the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Executive that would not be required to be delayed if the premiums therefore were paid by Executive, Executive shall pay the full costs of premiums for such welfare benefits during the Delay Period and the Company shall pay Executive an amount equal to the amount of such premiums paid by Executive during the Delay Period within ten</w:t>
      </w:r>
    </w:p>
    <w:p>
      <w:pPr>
        <w:spacing w:after="0" w:line="6"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(10) days after the conclusion of such Delay Period.</w:t>
      </w:r>
    </w:p>
    <w:p>
      <w:pPr>
        <w:spacing w:after="0" w:line="206" w:lineRule="exact"/>
        <w:rPr>
          <w:sz w:val="20"/>
          <w:szCs w:val="20"/>
          <w:color w:val="auto"/>
        </w:rPr>
      </w:pPr>
    </w:p>
    <w:p>
      <w:pPr>
        <w:ind w:left="324" w:hanging="324"/>
        <w:spacing w:after="0" w:line="256" w:lineRule="auto"/>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the extent any expense reimbursement or other in-kind benefit is determined to be subject to Code Section 409A, the amount of any such expenses eligible for reimbursement or in-kind benefits in one calendar year shall not affect the expenses eligible for reimbursement or in-kind benefits in any other taxable year (except under any lifetime limit applicable to expenses for medical care), in no event shall any expenses be reimbursed or in-kind benefits be provided after the last day of the calendar year following the calendar year in which Executive incurred such expenses or received such benefits, and in no event shall any right to reimbursement or in-kind benefits be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left="324" w:right="60" w:hanging="324"/>
        <w:spacing w:after="0" w:line="258" w:lineRule="auto"/>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pursuant to Section 5, to the extent of payments made from the date of termination through March 15th of the calendar year following such date, are intended to constitute separate payments for purposes of Treas. Reg. §1.409A-2(b)(2) and thus payable pursuant to the “short-term deferral” rule set forth in Treas. Reg. §1.409A-1(b)(4); to the extent such payments are made following said March 15th, they are intended to constitute separate payments for purposes of Treas. Reg. §1.409A-2(b)(2) made upon an involuntary termination from service and payable pursuant to Treas. Reg. §1.409A-1(b)(9)(iii), to the maximum extent permitted by said provision.</w:t>
      </w:r>
    </w:p>
    <w:p>
      <w:pPr>
        <w:spacing w:after="0" w:line="183" w:lineRule="exact"/>
        <w:rPr>
          <w:rFonts w:ascii="Times New Roman" w:cs="Times New Roman" w:eastAsia="Times New Roman" w:hAnsi="Times New Roman"/>
          <w:sz w:val="18"/>
          <w:szCs w:val="18"/>
          <w:color w:val="auto"/>
        </w:rPr>
      </w:pPr>
    </w:p>
    <w:p>
      <w:pPr>
        <w:ind w:left="324" w:right="100" w:hanging="324"/>
        <w:spacing w:after="0" w:line="282" w:lineRule="auto"/>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it is determined that any benefits described in Section 5(a)(ii) are taxable to Executive, they are intended to be payable pursuant to Treas. Reg. §1.409A-1(b)(9)(v), to the maximum extent permitted by said provision.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189" w:lineRule="exact"/>
        <w:rPr>
          <w:sz w:val="20"/>
          <w:szCs w:val="20"/>
          <w:color w:val="auto"/>
        </w:rPr>
      </w:pPr>
    </w:p>
    <w:p>
      <w:pPr>
        <w:ind w:left="6704"/>
        <w:spacing w:after="0"/>
        <w:rPr>
          <w:sz w:val="20"/>
          <w:szCs w:val="20"/>
          <w:color w:val="auto"/>
        </w:rPr>
      </w:pPr>
      <w:r>
        <w:rPr>
          <w:rFonts w:ascii="Times New Roman" w:cs="Times New Roman" w:eastAsia="Times New Roman" w:hAnsi="Times New Roman"/>
          <w:sz w:val="18"/>
          <w:szCs w:val="18"/>
          <w:color w:val="auto"/>
        </w:rPr>
        <w:t>NODAK INSURANCE COMPANY</w:t>
      </w:r>
    </w:p>
    <w:p>
      <w:pPr>
        <w:spacing w:after="0" w:line="185" w:lineRule="exact"/>
        <w:rPr>
          <w:sz w:val="20"/>
          <w:szCs w:val="20"/>
          <w:color w:val="auto"/>
        </w:rPr>
      </w:pPr>
    </w:p>
    <w:p>
      <w:pPr>
        <w:ind w:left="6704"/>
        <w:spacing w:after="0"/>
        <w:tabs>
          <w:tab w:leader="none" w:pos="732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Eric Aasmundstad</w:t>
      </w:r>
    </w:p>
    <w:p>
      <w:pPr>
        <w:spacing w:after="0" w:line="185" w:lineRule="exact"/>
        <w:rPr>
          <w:sz w:val="20"/>
          <w:szCs w:val="20"/>
          <w:color w:val="auto"/>
        </w:rPr>
      </w:pPr>
    </w:p>
    <w:p>
      <w:pPr>
        <w:ind w:left="6704"/>
        <w:spacing w:after="0"/>
        <w:tabs>
          <w:tab w:leader="none" w:pos="7324"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u w:val="single" w:color="auto"/>
          <w:color w:val="auto"/>
        </w:rPr>
        <w:t>Eric Aasmundstad</w:t>
      </w:r>
    </w:p>
    <w:p>
      <w:pPr>
        <w:spacing w:after="0" w:line="185" w:lineRule="exact"/>
        <w:rPr>
          <w:sz w:val="20"/>
          <w:szCs w:val="20"/>
          <w:color w:val="auto"/>
        </w:rPr>
      </w:pPr>
    </w:p>
    <w:p>
      <w:pPr>
        <w:ind w:left="6704"/>
        <w:spacing w:after="0"/>
        <w:tabs>
          <w:tab w:leader="none" w:pos="7324"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763270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124" w:name="page125"/>
    <w:bookmarkEnd w:id="124"/>
    <w:p>
      <w:pPr>
        <w:ind w:left="6240"/>
        <w:spacing w:after="0"/>
        <w:rPr>
          <w:sz w:val="20"/>
          <w:szCs w:val="20"/>
          <w:color w:val="auto"/>
        </w:rPr>
      </w:pPr>
      <w:r>
        <w:rPr>
          <w:rFonts w:ascii="Times New Roman" w:cs="Times New Roman" w:eastAsia="Times New Roman" w:hAnsi="Times New Roman"/>
          <w:sz w:val="18"/>
          <w:szCs w:val="18"/>
          <w:color w:val="auto"/>
        </w:rPr>
        <w:t>NI HOLDINGS, INC.</w:t>
      </w:r>
    </w:p>
    <w:p>
      <w:pPr>
        <w:spacing w:after="0" w:line="185" w:lineRule="exact"/>
        <w:rPr>
          <w:sz w:val="20"/>
          <w:szCs w:val="20"/>
          <w:color w:val="auto"/>
        </w:rPr>
      </w:pPr>
    </w:p>
    <w:p>
      <w:pPr>
        <w:ind w:left="6240"/>
        <w:spacing w:after="0"/>
        <w:tabs>
          <w:tab w:leader="none" w:pos="68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Eric Aasmundstad</w:t>
      </w:r>
    </w:p>
    <w:p>
      <w:pPr>
        <w:spacing w:after="0" w:line="196" w:lineRule="exact"/>
        <w:rPr>
          <w:sz w:val="20"/>
          <w:szCs w:val="20"/>
          <w:color w:val="auto"/>
        </w:rPr>
      </w:pPr>
    </w:p>
    <w:p>
      <w:pPr>
        <w:ind w:left="6240"/>
        <w:spacing w:after="0"/>
        <w:tabs>
          <w:tab w:leader="none" w:pos="68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u w:val="single" w:color="auto"/>
          <w:color w:val="auto"/>
        </w:rPr>
        <w:t>Eric Aasmundstad</w:t>
      </w:r>
    </w:p>
    <w:p>
      <w:pPr>
        <w:spacing w:after="0" w:line="185" w:lineRule="exact"/>
        <w:rPr>
          <w:sz w:val="20"/>
          <w:szCs w:val="20"/>
          <w:color w:val="auto"/>
        </w:rPr>
      </w:pPr>
    </w:p>
    <w:p>
      <w:pPr>
        <w:ind w:left="624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Board Chair</w:t>
      </w:r>
    </w:p>
    <w:p>
      <w:pPr>
        <w:spacing w:after="0" w:line="18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SETH C. DAGGETT</w:t>
      </w:r>
    </w:p>
    <w:p>
      <w:pPr>
        <w:spacing w:after="0" w:line="18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u w:val="single" w:color="auto"/>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INSIDER TRADING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Last Approved: August 20,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This Insider Trading Policy describes the standards of NI Holdings, Inc. and its subsidiaries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on trading, and causing the trading of, the Company's securities or securities of certain other publicly traded companies while in possession of confidential information. This Policy is divided into two parts: the first part prohibits trading in certain circumstances and applies to all directors, officers, and employees of the Company and their respective immediate family members and the second part imposes special additional trading restrictions and applies to all (i) directors of the Company, (ii) executive officers of the Company, (iii) the employees listed on Appendix A, and (iv) certain other employees that the Company may designate from time to time as “Covered Persons” because of their position, responsibilities, or their actual or potential access to material information (collectively,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 The prohibitions would apply to any director, officer, or employee who buys or sells Company stock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Policy applies to all trading or other transactions, including gifts, in (i)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Policy applies to all employees of the Company, all officers of the Company, and all members of the Company's board of directors, as well as family members and other persons who reside with such person and any other person whose transactions in Company securities are directed by such person or are subject to such person’s influence or control (such as parents or children who consult with such person before they trade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ind w:left="332" w:hanging="332"/>
        <w:spacing w:after="0"/>
        <w:tabs>
          <w:tab w:leader="none" w:pos="332"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POLICY: NO TRADING OR CAUSING TRADING WHILE IN POSSESSION OF MATERIAL NONPUBLIC INFORMATION</w:t>
      </w:r>
    </w:p>
    <w:p>
      <w:pPr>
        <w:spacing w:after="0" w:line="240" w:lineRule="exact"/>
        <w:rPr>
          <w:rFonts w:ascii="Times New Roman" w:cs="Times New Roman" w:eastAsia="Times New Roman" w:hAnsi="Times New Roman"/>
          <w:sz w:val="17"/>
          <w:szCs w:val="17"/>
          <w:b w:val="1"/>
          <w:bCs w:val="1"/>
          <w:color w:val="auto"/>
        </w:rPr>
      </w:pPr>
    </w:p>
    <w:p>
      <w:pPr>
        <w:ind w:left="652" w:right="20" w:hanging="4"/>
        <w:spacing w:after="0" w:line="266" w:lineRule="auto"/>
        <w:tabs>
          <w:tab w:leader="none" w:pos="907" w:val="left"/>
        </w:tabs>
        <w:numPr>
          <w:ilvl w:val="1"/>
          <w:numId w:val="7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No director, officer, or employee or any of their immediate family members may purchase or sell, or offer to purchase or sell, any Company security, whether or not issued by the Company, while in possession of material nonpublic information about the Company. (The terms “material” and “nonpublic” are defined in Part I, Section 3(a) and (b) below.)</w:t>
      </w:r>
    </w:p>
    <w:p>
      <w:pPr>
        <w:spacing w:after="0" w:line="175" w:lineRule="exact"/>
        <w:rPr>
          <w:rFonts w:ascii="Times New Roman" w:cs="Times New Roman" w:eastAsia="Times New Roman" w:hAnsi="Times New Roman"/>
          <w:sz w:val="18"/>
          <w:szCs w:val="18"/>
          <w:b w:val="1"/>
          <w:bCs w:val="1"/>
          <w:u w:val="single" w:color="auto"/>
          <w:color w:val="auto"/>
        </w:rPr>
      </w:pPr>
    </w:p>
    <w:p>
      <w:pPr>
        <w:jc w:val="both"/>
        <w:ind w:left="652" w:right="440" w:hanging="4"/>
        <w:spacing w:after="0" w:line="266" w:lineRule="auto"/>
        <w:tabs>
          <w:tab w:leader="none" w:pos="917" w:val="left"/>
        </w:tabs>
        <w:numPr>
          <w:ilvl w:val="1"/>
          <w:numId w:val="7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No director, officer, or employee or any of their immediate family members who knows of any material nonpublic information about the Company may communicate that information to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any other person, including family members and friends, or otherwise disclose such information without the Company’s authorization.</w:t>
      </w:r>
    </w:p>
    <w:p>
      <w:pPr>
        <w:spacing w:after="0" w:line="175" w:lineRule="exact"/>
        <w:rPr>
          <w:rFonts w:ascii="Times New Roman" w:cs="Times New Roman" w:eastAsia="Times New Roman" w:hAnsi="Times New Roman"/>
          <w:sz w:val="18"/>
          <w:szCs w:val="18"/>
          <w:b w:val="1"/>
          <w:bCs w:val="1"/>
          <w:u w:val="single" w:color="auto"/>
          <w:color w:val="auto"/>
        </w:rPr>
      </w:pPr>
    </w:p>
    <w:p>
      <w:pPr>
        <w:ind w:left="652" w:hanging="4"/>
        <w:spacing w:after="0" w:line="261" w:lineRule="auto"/>
        <w:tabs>
          <w:tab w:leader="none" w:pos="897" w:val="left"/>
        </w:tabs>
        <w:numPr>
          <w:ilvl w:val="1"/>
          <w:numId w:val="7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No director, officer, or employee or any of their immediate family members may purchase or sell any security of any other company while in possession of material nonpublic information about that company that was obtained in the course of his or her involvement with the Company. No director, officer, or employee who knows of any such material nonpublic information may communicate that information to, or tip, any other person, including family members and friends, or otherwise disclose such information without the Company's authorization.</w:t>
      </w:r>
    </w:p>
    <w:p>
      <w:pPr>
        <w:spacing w:after="0" w:line="179" w:lineRule="exact"/>
        <w:rPr>
          <w:rFonts w:ascii="Times New Roman" w:cs="Times New Roman" w:eastAsia="Times New Roman" w:hAnsi="Times New Roman"/>
          <w:sz w:val="18"/>
          <w:szCs w:val="18"/>
          <w:b w:val="1"/>
          <w:bCs w:val="1"/>
          <w:u w:val="single" w:color="auto"/>
          <w:color w:val="auto"/>
        </w:rPr>
      </w:pPr>
    </w:p>
    <w:p>
      <w:pPr>
        <w:jc w:val="both"/>
        <w:ind w:left="652" w:right="20" w:hanging="4"/>
        <w:spacing w:after="0" w:line="266" w:lineRule="auto"/>
        <w:tabs>
          <w:tab w:leader="none" w:pos="917" w:val="left"/>
        </w:tabs>
        <w:numPr>
          <w:ilvl w:val="1"/>
          <w:numId w:val="7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w:t>
      </w:r>
    </w:p>
    <w:p>
      <w:pPr>
        <w:spacing w:after="0" w:line="175" w:lineRule="exact"/>
        <w:rPr>
          <w:rFonts w:ascii="Times New Roman" w:cs="Times New Roman" w:eastAsia="Times New Roman" w:hAnsi="Times New Roman"/>
          <w:sz w:val="18"/>
          <w:szCs w:val="18"/>
          <w:b w:val="1"/>
          <w:bCs w:val="1"/>
          <w:u w:val="single" w:color="auto"/>
          <w:color w:val="auto"/>
        </w:rPr>
      </w:pPr>
    </w:p>
    <w:p>
      <w:pPr>
        <w:ind w:left="652" w:right="340" w:hanging="4"/>
        <w:spacing w:after="0" w:line="282" w:lineRule="auto"/>
        <w:tabs>
          <w:tab w:leader="none" w:pos="897" w:val="left"/>
        </w:tabs>
        <w:numPr>
          <w:ilvl w:val="1"/>
          <w:numId w:val="7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Covered Persons must “pre-clear” all trading in securities of the Company in accordance with the procedures set forth in Part II, Section 3 below.</w:t>
      </w:r>
    </w:p>
    <w:p>
      <w:pPr>
        <w:spacing w:after="0" w:line="374" w:lineRule="exact"/>
        <w:rPr>
          <w:sz w:val="20"/>
          <w:szCs w:val="20"/>
          <w:color w:val="auto"/>
        </w:rPr>
      </w:pPr>
    </w:p>
    <w:p>
      <w:pPr>
        <w:ind w:left="332" w:hanging="332"/>
        <w:spacing w:after="0"/>
        <w:tabs>
          <w:tab w:leader="none" w:pos="33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652" w:hanging="4"/>
        <w:spacing w:after="0" w:line="262" w:lineRule="auto"/>
        <w:tabs>
          <w:tab w:leader="none" w:pos="907" w:val="left"/>
        </w:tabs>
        <w:numPr>
          <w:ilvl w:val="1"/>
          <w:numId w:val="7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restrictions come into play only if the information you possess is “material.” Materiality, however, involves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8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Information dealing with the following subjects is reasonably likely to be found material in particular situations:</w:t>
      </w:r>
    </w:p>
    <w:p>
      <w:pPr>
        <w:spacing w:after="0" w:line="225" w:lineRule="exact"/>
        <w:rPr>
          <w:sz w:val="20"/>
          <w:szCs w:val="20"/>
          <w:color w:val="auto"/>
        </w:rPr>
      </w:pPr>
    </w:p>
    <w:p>
      <w:pPr>
        <w:ind w:left="1512" w:hanging="216"/>
        <w:spacing w:after="0"/>
        <w:tabs>
          <w:tab w:leader="none" w:pos="1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prospects;</w:t>
      </w:r>
    </w:p>
    <w:p>
      <w:pPr>
        <w:spacing w:after="0" w:line="22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in reserves;</w:t>
      </w:r>
    </w:p>
    <w:p>
      <w:pPr>
        <w:spacing w:after="0" w:line="225"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significant litigation or government agency investigations;</w:t>
      </w:r>
    </w:p>
    <w:p>
      <w:pPr>
        <w:spacing w:after="0" w:line="225" w:lineRule="exact"/>
        <w:rPr>
          <w:rFonts w:ascii="Times New Roman" w:cs="Times New Roman" w:eastAsia="Times New Roman" w:hAnsi="Times New Roman"/>
          <w:sz w:val="18"/>
          <w:szCs w:val="18"/>
          <w:color w:val="auto"/>
        </w:rPr>
      </w:pPr>
    </w:p>
    <w:p>
      <w:pPr>
        <w:ind w:left="1592" w:hanging="296"/>
        <w:spacing w:after="0"/>
        <w:tabs>
          <w:tab w:leader="none" w:pos="15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22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unusual gains or losses in major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549" w:right="399" w:bottom="1440" w:gutter="0" w:footer="0" w:header="0"/>
        </w:sectPr>
      </w:pPr>
    </w:p>
    <w:bookmarkStart w:id="127" w:name="page128"/>
    <w:bookmarkEnd w:id="127"/>
    <w:p>
      <w:pPr>
        <w:ind w:left="944" w:hanging="296"/>
        <w:spacing w:after="0"/>
        <w:tabs>
          <w:tab w:leader="none" w:pos="9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the Company’s management or board of directors;</w:t>
      </w:r>
    </w:p>
    <w:p>
      <w:pPr>
        <w:spacing w:after="0" w:line="225" w:lineRule="exact"/>
        <w:rPr>
          <w:rFonts w:ascii="Times New Roman" w:cs="Times New Roman" w:eastAsia="Times New Roman" w:hAnsi="Times New Roman"/>
          <w:sz w:val="18"/>
          <w:szCs w:val="18"/>
          <w:color w:val="auto"/>
        </w:rPr>
      </w:pPr>
    </w:p>
    <w:p>
      <w:pPr>
        <w:ind w:left="1004" w:hanging="356"/>
        <w:spacing w:after="0"/>
        <w:tabs>
          <w:tab w:leader="none" w:pos="10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dividends;</w:t>
      </w:r>
    </w:p>
    <w:p>
      <w:pPr>
        <w:spacing w:after="0" w:line="225"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borrowings;</w:t>
      </w:r>
    </w:p>
    <w:p>
      <w:pPr>
        <w:spacing w:after="0" w:line="225"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accounting methods or policies;</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or loss of a significant contract;</w:t>
      </w:r>
    </w:p>
    <w:p>
      <w:pPr>
        <w:spacing w:after="0" w:line="225"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225" w:lineRule="exact"/>
        <w:rPr>
          <w:rFonts w:ascii="Times New Roman" w:cs="Times New Roman" w:eastAsia="Times New Roman" w:hAnsi="Times New Roman"/>
          <w:sz w:val="18"/>
          <w:szCs w:val="18"/>
          <w:color w:val="auto"/>
        </w:rPr>
      </w:pPr>
    </w:p>
    <w:p>
      <w:pPr>
        <w:ind w:left="1004" w:hanging="356"/>
        <w:spacing w:after="0"/>
        <w:tabs>
          <w:tab w:leader="none" w:pos="10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w:t>
      </w:r>
    </w:p>
    <w:p>
      <w:pPr>
        <w:spacing w:after="0" w:line="225" w:lineRule="exact"/>
        <w:rPr>
          <w:rFonts w:ascii="Times New Roman" w:cs="Times New Roman" w:eastAsia="Times New Roman" w:hAnsi="Times New Roman"/>
          <w:sz w:val="18"/>
          <w:szCs w:val="18"/>
          <w:color w:val="auto"/>
        </w:rPr>
      </w:pPr>
    </w:p>
    <w:p>
      <w:pPr>
        <w:ind w:left="644" w:right="480" w:firstLine="4"/>
        <w:spacing w:after="0" w:line="282" w:lineRule="auto"/>
        <w:tabs>
          <w:tab w:leader="none" w:pos="10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divestitures, recapitalizations, strategic alliances, or purchases or sales of substantial assets;</w:t>
      </w:r>
    </w:p>
    <w:p>
      <w:pPr>
        <w:spacing w:after="0" w:line="161"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Company securities; and</w:t>
      </w:r>
    </w:p>
    <w:p>
      <w:pPr>
        <w:spacing w:after="0" w:line="225"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statistical reports.</w:t>
      </w:r>
    </w:p>
    <w:p>
      <w:pPr>
        <w:spacing w:after="0" w:line="225"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17"/>
          <w:szCs w:val="17"/>
          <w:b w:val="1"/>
          <w:bCs w:val="1"/>
          <w:color w:val="auto"/>
        </w:rPr>
        <w:t>If you are unsure whether information is material, you should either consult the Compliance</w:t>
      </w:r>
    </w:p>
    <w:p>
      <w:pPr>
        <w:spacing w:after="0" w:line="5" w:lineRule="exact"/>
        <w:rPr>
          <w:sz w:val="20"/>
          <w:szCs w:val="20"/>
          <w:color w:val="auto"/>
        </w:rPr>
      </w:pPr>
    </w:p>
    <w:p>
      <w:pPr>
        <w:ind w:left="4"/>
        <w:spacing w:after="0" w:line="260" w:lineRule="auto"/>
        <w:rPr>
          <w:sz w:val="20"/>
          <w:szCs w:val="20"/>
          <w:color w:val="auto"/>
        </w:rPr>
      </w:pPr>
      <w:r>
        <w:rPr>
          <w:rFonts w:ascii="Times New Roman" w:cs="Times New Roman" w:eastAsia="Times New Roman" w:hAnsi="Times New Roman"/>
          <w:sz w:val="18"/>
          <w:szCs w:val="18"/>
          <w:b w:val="1"/>
          <w:bCs w:val="1"/>
          <w:color w:val="auto"/>
        </w:rPr>
        <w:t>Officer before making any decision to disclose such information (other than to persons who need to know it) or to trade in or recommend securities to which that information relates or assume that the information is material.</w:t>
      </w:r>
    </w:p>
    <w:p>
      <w:pPr>
        <w:spacing w:after="0" w:line="393" w:lineRule="exact"/>
        <w:rPr>
          <w:sz w:val="20"/>
          <w:szCs w:val="20"/>
          <w:color w:val="auto"/>
        </w:rPr>
      </w:pPr>
    </w:p>
    <w:p>
      <w:pPr>
        <w:ind w:left="4" w:right="160" w:hanging="4"/>
        <w:spacing w:after="0" w:line="259" w:lineRule="auto"/>
        <w:tabs>
          <w:tab w:leader="none" w:pos="269" w:val="left"/>
        </w:tabs>
        <w:numPr>
          <w:ilvl w:val="0"/>
          <w:numId w:val="7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Nonpublic</w:t>
      </w:r>
      <w:r>
        <w:rPr>
          <w:rFonts w:ascii="Times New Roman" w:cs="Times New Roman" w:eastAsia="Times New Roman" w:hAnsi="Times New Roman"/>
          <w:sz w:val="18"/>
          <w:szCs w:val="18"/>
          <w:color w:val="auto"/>
        </w:rPr>
        <w:t>. Insider trading prohibitions come into play only when you possess information that is material and “nonpublic.” The fact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7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Nonpublic information may include:</w:t>
      </w:r>
    </w:p>
    <w:p>
      <w:pPr>
        <w:spacing w:after="0" w:line="225" w:lineRule="exact"/>
        <w:rPr>
          <w:sz w:val="20"/>
          <w:szCs w:val="20"/>
          <w:color w:val="auto"/>
        </w:rPr>
      </w:pPr>
    </w:p>
    <w:p>
      <w:pPr>
        <w:ind w:left="864" w:hanging="216"/>
        <w:spacing w:after="0"/>
        <w:tabs>
          <w:tab w:leader="none" w:pos="8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to a select group of analysts or brokers or institutional investors;</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rumors, even if the rumors are widely circulated;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4"/>
          </w:cols>
          <w:pgMar w:left="976" w:top="661" w:right="439" w:bottom="1440" w:gutter="0" w:footer="0" w:header="0"/>
        </w:sectPr>
      </w:pPr>
    </w:p>
    <w:bookmarkStart w:id="128" w:name="page129"/>
    <w:bookmarkEnd w:id="128"/>
    <w:p>
      <w:pPr>
        <w:ind w:left="1300" w:right="120" w:firstLine="4"/>
        <w:spacing w:after="0" w:line="312" w:lineRule="auto"/>
        <w:tabs>
          <w:tab w:leader="none" w:pos="161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36" w:lineRule="exact"/>
        <w:rPr>
          <w:sz w:val="20"/>
          <w:szCs w:val="20"/>
          <w:color w:val="auto"/>
        </w:rPr>
      </w:pPr>
    </w:p>
    <w:p>
      <w:pPr>
        <w:ind w:left="660" w:right="780"/>
        <w:spacing w:after="0" w:line="286" w:lineRule="auto"/>
        <w:rPr>
          <w:sz w:val="20"/>
          <w:szCs w:val="20"/>
          <w:color w:val="auto"/>
        </w:rPr>
      </w:pPr>
      <w:r>
        <w:rPr>
          <w:rFonts w:ascii="Times New Roman" w:cs="Times New Roman" w:eastAsia="Times New Roman" w:hAnsi="Times New Roman"/>
          <w:sz w:val="18"/>
          <w:szCs w:val="18"/>
          <w:b w:val="1"/>
          <w:bCs w:val="1"/>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371" w:lineRule="exact"/>
        <w:rPr>
          <w:sz w:val="20"/>
          <w:szCs w:val="20"/>
          <w:color w:val="auto"/>
        </w:rPr>
      </w:pPr>
    </w:p>
    <w:p>
      <w:pPr>
        <w:ind w:left="660" w:right="420" w:hanging="4"/>
        <w:spacing w:after="0" w:line="263" w:lineRule="auto"/>
        <w:tabs>
          <w:tab w:leader="none" w:pos="905" w:val="left"/>
        </w:tabs>
        <w:numPr>
          <w:ilvl w:val="0"/>
          <w:numId w:val="7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Compliance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appointed the Chief Financial Officer as the Compliance Officer for this Policy. The duties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include, but are not limited to, the following:</w:t>
      </w:r>
    </w:p>
    <w:p>
      <w:pPr>
        <w:ind w:left="1520" w:hanging="216"/>
        <w:spacing w:after="0"/>
        <w:tabs>
          <w:tab w:leader="none" w:pos="15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implementation and enforcement of this Policy;</w:t>
      </w:r>
    </w:p>
    <w:p>
      <w:pPr>
        <w:spacing w:after="0" w:line="206" w:lineRule="exact"/>
        <w:rPr>
          <w:rFonts w:ascii="Times New Roman" w:cs="Times New Roman" w:eastAsia="Times New Roman" w:hAnsi="Times New Roman"/>
          <w:sz w:val="18"/>
          <w:szCs w:val="18"/>
          <w:color w:val="auto"/>
        </w:rPr>
      </w:pPr>
    </w:p>
    <w:p>
      <w:pPr>
        <w:ind w:left="1300" w:firstLine="4"/>
        <w:spacing w:after="0" w:line="282" w:lineRule="auto"/>
        <w:tabs>
          <w:tab w:leader="none" w:pos="156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circulating this Policy to all employees and ensuring that this Policy is amended as necessary to remain up-to-date with insider trading laws;</w:t>
      </w:r>
    </w:p>
    <w:p>
      <w:pPr>
        <w:spacing w:after="0" w:line="161"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61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pre-clearing all trading in securities of the Company by Covered Persons in accordance with the procedures set forth in Part II, Section 3 below;</w:t>
      </w:r>
    </w:p>
    <w:p>
      <w:pPr>
        <w:spacing w:after="0" w:line="161" w:lineRule="exact"/>
        <w:rPr>
          <w:rFonts w:ascii="Times New Roman" w:cs="Times New Roman" w:eastAsia="Times New Roman" w:hAnsi="Times New Roman"/>
          <w:sz w:val="18"/>
          <w:szCs w:val="18"/>
          <w:color w:val="auto"/>
        </w:rPr>
      </w:pPr>
    </w:p>
    <w:p>
      <w:pPr>
        <w:ind w:left="1300" w:right="100" w:firstLine="4"/>
        <w:spacing w:after="0" w:line="282" w:lineRule="auto"/>
        <w:tabs>
          <w:tab w:leader="none" w:pos="160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approval of any Rule 10b5-1 plans under Part II, Section 1(c) below and any prohibited transactions under Part II, Section 4 below;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reporting system with an effective whistleblower protection mechanism.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EXCEPTIONS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trading restrictions of this Policy do not apply to exercising stock options granted under the Company’s equity incentive plans for cash or the delivery of previously owned Company stock. However, the sale of any shares issued on the exercise of Company-granted stock options and any cashless exercise of Company-granted stock options are subject to trading restrictions under this Policy.</w:t>
      </w:r>
    </w:p>
    <w:p>
      <w:pPr>
        <w:spacing w:after="0" w:line="3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VIOLATIONS OF INSIDER TRADING LAWS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72" w:lineRule="exact"/>
        <w:rPr>
          <w:sz w:val="20"/>
          <w:szCs w:val="20"/>
          <w:color w:val="auto"/>
        </w:rPr>
      </w:pPr>
    </w:p>
    <w:p>
      <w:pPr>
        <w:ind w:left="660" w:right="80" w:hanging="4"/>
        <w:spacing w:after="0" w:line="268" w:lineRule="auto"/>
        <w:tabs>
          <w:tab w:leader="none" w:pos="915" w:val="left"/>
        </w:tabs>
        <w:numPr>
          <w:ilvl w:val="0"/>
          <w:numId w:val="7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Legal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person who violates insider trading laws by engaging in transactions in a company's securities when he or she has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can be sentenced to a substantial jail term and required to pay a criminal penalty of several times the amount of profits gained or losses avoided.</w:t>
      </w:r>
    </w:p>
    <w:p>
      <w:pPr>
        <w:spacing w:after="0" w:line="175"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ind w:left="660"/>
        <w:spacing w:after="0" w:line="261" w:lineRule="auto"/>
        <w:rPr>
          <w:sz w:val="20"/>
          <w:szCs w:val="20"/>
          <w:color w:val="auto"/>
        </w:rPr>
      </w:pPr>
      <w:r>
        <w:rPr>
          <w:rFonts w:ascii="Times New Roman" w:cs="Times New Roman" w:eastAsia="Times New Roman" w:hAnsi="Times New Roman"/>
          <w:sz w:val="18"/>
          <w:szCs w:val="18"/>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Even for violations that result in a small or no profit, the SEC can seek penalties from a company and/or its management and supervisory personnel as control persons.</w:t>
      </w:r>
    </w:p>
    <w:p>
      <w:pPr>
        <w:spacing w:after="0" w:line="176" w:lineRule="exact"/>
        <w:rPr>
          <w:sz w:val="20"/>
          <w:szCs w:val="20"/>
          <w:color w:val="auto"/>
        </w:rPr>
      </w:pPr>
    </w:p>
    <w:p>
      <w:pPr>
        <w:ind w:left="660" w:right="60" w:hanging="4"/>
        <w:spacing w:after="0" w:line="255" w:lineRule="auto"/>
        <w:tabs>
          <w:tab w:leader="none" w:pos="925" w:val="left"/>
        </w:tabs>
        <w:numPr>
          <w:ilvl w:val="0"/>
          <w:numId w:val="8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Company-imposed Penalties</w:t>
      </w:r>
      <w:r>
        <w:rPr>
          <w:rFonts w:ascii="Times New Roman" w:cs="Times New Roman" w:eastAsia="Times New Roman" w:hAnsi="Times New Roman"/>
          <w:sz w:val="18"/>
          <w:szCs w:val="18"/>
          <w:color w:val="auto"/>
        </w:rPr>
        <w:t>. Compliance with the policies of the Company is a condition of continued employment or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each employee, officer and director. An employee’s failure to comply with the Company’s insider trading policy will subject the employee to Company-imposed sanctions, which may include dismissal for cause, whether or not the employee’s failure to comply results in a violation of law. Any exceptions to the Policy, if permitted, may only be granted by the Compliance Officer and must be provided before any activity contrary to the above requirements takes place. The Company reserves the right to determine, in its own discretion and on the basis of the information available to it, whether this Policy has been violated. The Company may also determine that specific conduct violates this Policy whether or not the conduct also violates the law. It is not necessary for the Company to wait for the filing or conclusion of a civil or criminal action against the alleged violator before taking disciplinary action.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INQUIRIES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any of the provisions of this Policy, please contact the Compliance Officer Seth Daggett at [***************], or 1101 1st Avenue North, Fargo, North Dakota 58102 for written inquiries.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Covered Persons are prohibited from trading in the Company's securities during blackout periods as defined below.</w:t>
      </w:r>
    </w:p>
    <w:p>
      <w:pPr>
        <w:spacing w:after="0" w:line="221" w:lineRule="exact"/>
        <w:rPr>
          <w:sz w:val="20"/>
          <w:szCs w:val="20"/>
          <w:color w:val="auto"/>
        </w:rPr>
      </w:pPr>
    </w:p>
    <w:p>
      <w:pPr>
        <w:ind w:left="660" w:hanging="4"/>
        <w:spacing w:after="0" w:line="262" w:lineRule="auto"/>
        <w:tabs>
          <w:tab w:leader="none" w:pos="915" w:val="left"/>
        </w:tabs>
        <w:numPr>
          <w:ilvl w:val="0"/>
          <w:numId w:val="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Quarterly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in the Company's securities is prohibited during the period beginning at the close of the market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weeks before the end of each fiscal quarter and ending at the close of business on the second day following the date the Company's financial results are publicly disclosed. During these periods, Covered Persons generally possess or are presumed to possess material nonpublic information about the Company's financial results.</w:t>
      </w:r>
    </w:p>
    <w:p>
      <w:pPr>
        <w:spacing w:after="0" w:line="392" w:lineRule="exact"/>
        <w:rPr>
          <w:rFonts w:ascii="Times New Roman" w:cs="Times New Roman" w:eastAsia="Times New Roman" w:hAnsi="Times New Roman"/>
          <w:sz w:val="18"/>
          <w:szCs w:val="18"/>
          <w:b w:val="1"/>
          <w:bCs w:val="1"/>
          <w:u w:val="single" w:color="auto"/>
          <w:color w:val="auto"/>
        </w:rPr>
      </w:pPr>
    </w:p>
    <w:p>
      <w:pPr>
        <w:ind w:left="660" w:right="180" w:hanging="4"/>
        <w:spacing w:after="0" w:line="262" w:lineRule="auto"/>
        <w:tabs>
          <w:tab w:leader="none" w:pos="925" w:val="left"/>
        </w:tabs>
        <w:numPr>
          <w:ilvl w:val="0"/>
          <w:numId w:val="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Other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other types of material nonpublic information regarding the Company (such as negotiation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mergers, acquisitions, or dispositions)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30" w:name="page131"/>
    <w:bookmarkEnd w:id="130"/>
    <w:p>
      <w:pPr>
        <w:jc w:val="both"/>
        <w:ind w:left="660" w:right="60" w:hanging="4"/>
        <w:spacing w:after="0" w:line="268" w:lineRule="auto"/>
        <w:tabs>
          <w:tab w:leader="none" w:pos="905" w:val="left"/>
        </w:tabs>
        <w:numPr>
          <w:ilvl w:val="0"/>
          <w:numId w:val="8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Exception.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trading restrictions do not apply to transactions under a pre-existing written plan, contract, instruction, or arrangement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10b5-1 under the Securities Exchange Act of 1934 (an “</w:t>
      </w:r>
      <w:r>
        <w:rPr>
          <w:rFonts w:ascii="Times New Roman" w:cs="Times New Roman" w:eastAsia="Times New Roman" w:hAnsi="Times New Roman"/>
          <w:sz w:val="18"/>
          <w:szCs w:val="18"/>
          <w:b w:val="1"/>
          <w:bCs w:val="1"/>
          <w:color w:val="auto"/>
        </w:rPr>
        <w:t>Approved 10b5-1 Plan</w:t>
      </w:r>
      <w:r>
        <w:rPr>
          <w:rFonts w:ascii="Times New Roman" w:cs="Times New Roman" w:eastAsia="Times New Roman" w:hAnsi="Times New Roman"/>
          <w:sz w:val="18"/>
          <w:szCs w:val="18"/>
          <w:color w:val="auto"/>
        </w:rPr>
        <w:t>”) that meets the requirements described in Rule 10b5-1 and the following requirements:</w:t>
      </w:r>
    </w:p>
    <w:p>
      <w:pPr>
        <w:spacing w:after="0" w:line="174" w:lineRule="exact"/>
        <w:rPr>
          <w:rFonts w:ascii="Times New Roman" w:cs="Times New Roman" w:eastAsia="Times New Roman" w:hAnsi="Times New Roman"/>
          <w:sz w:val="18"/>
          <w:szCs w:val="18"/>
          <w:b w:val="1"/>
          <w:bCs w:val="1"/>
          <w:u w:val="single" w:color="auto"/>
          <w:color w:val="auto"/>
        </w:rPr>
      </w:pPr>
    </w:p>
    <w:p>
      <w:pPr>
        <w:ind w:left="1180" w:right="320" w:hanging="6"/>
        <w:spacing w:after="0" w:line="266" w:lineRule="auto"/>
        <w:tabs>
          <w:tab w:leader="none" w:pos="13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reviewed and approved by the Compliance Officer at least one month in advance of being entered into (or, if revised or amended, such revisions or amendments have been reviewed and approved by the Compliance Officer at least one month in advance of being entered into);</w:t>
      </w:r>
    </w:p>
    <w:p>
      <w:pPr>
        <w:spacing w:after="0" w:line="175" w:lineRule="exact"/>
        <w:rPr>
          <w:rFonts w:ascii="Times New Roman" w:cs="Times New Roman" w:eastAsia="Times New Roman" w:hAnsi="Times New Roman"/>
          <w:sz w:val="18"/>
          <w:szCs w:val="18"/>
          <w:color w:val="auto"/>
        </w:rPr>
      </w:pPr>
    </w:p>
    <w:p>
      <w:pPr>
        <w:ind w:left="1180" w:hanging="6"/>
        <w:spacing w:after="0" w:line="274" w:lineRule="auto"/>
        <w:tabs>
          <w:tab w:leader="none" w:pos="1445"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provides that no trades may occur thereunder until expiration of the applicable cooling-off period specified in Rule 10b5-1(c)(ii)(B), and no trades occur until after that time. The appropriate cooling-off period will vary based on the status of the Covered Person. For directors and officers, the cooling-off period ends on the latter of (x) ninety days after adoption or certain modifications of the 10b5-1 plan; or (y) two business days following disclosure of the Company’s financial results in a Form 10-Q or Form 10-K for the quarter in which the 10b5-1 plan was adopted. In no case will the cooling-off period for directors and officers exceed 120 days. For all other Covered Persons, if a cooling-off period is required under Rule 10b5-1, the cooling-off period ends 30 days after adoption or modification of the 10b5-1 plan.</w:t>
      </w:r>
    </w:p>
    <w:p>
      <w:pPr>
        <w:spacing w:after="0" w:line="172" w:lineRule="exact"/>
        <w:rPr>
          <w:rFonts w:ascii="Times New Roman" w:cs="Times New Roman" w:eastAsia="Times New Roman" w:hAnsi="Times New Roman"/>
          <w:sz w:val="17"/>
          <w:szCs w:val="17"/>
          <w:color w:val="auto"/>
        </w:rPr>
      </w:pPr>
    </w:p>
    <w:p>
      <w:pPr>
        <w:ind w:left="1180" w:right="40" w:hanging="6"/>
        <w:spacing w:after="0" w:line="266" w:lineRule="auto"/>
        <w:tabs>
          <w:tab w:leader="none" w:pos="14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w:t>
      </w:r>
    </w:p>
    <w:p>
      <w:pPr>
        <w:spacing w:after="0" w:line="175" w:lineRule="exact"/>
        <w:rPr>
          <w:rFonts w:ascii="Times New Roman" w:cs="Times New Roman" w:eastAsia="Times New Roman" w:hAnsi="Times New Roman"/>
          <w:sz w:val="18"/>
          <w:szCs w:val="18"/>
          <w:color w:val="auto"/>
        </w:rPr>
      </w:pPr>
    </w:p>
    <w:p>
      <w:pPr>
        <w:jc w:val="both"/>
        <w:ind w:left="1180" w:right="20" w:hanging="6"/>
        <w:spacing w:after="0" w:line="289" w:lineRule="auto"/>
        <w:tabs>
          <w:tab w:leader="none" w:pos="1485"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57" w:lineRule="exact"/>
        <w:rPr>
          <w:rFonts w:ascii="Times New Roman" w:cs="Times New Roman" w:eastAsia="Times New Roman" w:hAnsi="Times New Roman"/>
          <w:sz w:val="17"/>
          <w:szCs w:val="17"/>
          <w:color w:val="auto"/>
        </w:rPr>
      </w:pPr>
    </w:p>
    <w:p>
      <w:pPr>
        <w:ind w:left="1180" w:right="40" w:hanging="6"/>
        <w:spacing w:after="0" w:line="282" w:lineRule="auto"/>
        <w:tabs>
          <w:tab w:leader="none" w:pos="143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only outstanding Approved 10b5-1 Plan entered into by the Covered Person (subject to the exceptions set out in Rule 10b5-1(c) (ii)(D)).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Approved 10b5-1 Plan may be adopted during a blackout period.</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are considering entering into, modifying, or terminating an Approved 10b5-1 Plan or have any questions regarding Approved 10b5-1 Plans, please contact the Compliance Officer.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w:t>
      </w: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TRADING WINDOW</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Covered Persons are permitted to trade in the Company's securities when no blackout period is in effect.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1" w:name="page132"/>
    <w:bookmarkEnd w:id="131"/>
    <w:p>
      <w:pPr>
        <w:ind w:left="328" w:hanging="328"/>
        <w:spacing w:after="0"/>
        <w:tabs>
          <w:tab w:leader="none" w:pos="32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SECURITIES TRANSACTIONS</w:t>
      </w:r>
    </w:p>
    <w:p>
      <w:pPr>
        <w:spacing w:after="0" w:line="229" w:lineRule="exact"/>
        <w:rPr>
          <w:rFonts w:ascii="Times New Roman" w:cs="Times New Roman" w:eastAsia="Times New Roman" w:hAnsi="Times New Roman"/>
          <w:sz w:val="18"/>
          <w:szCs w:val="18"/>
          <w:b w:val="1"/>
          <w:bCs w:val="1"/>
          <w:color w:val="auto"/>
        </w:rPr>
      </w:pPr>
    </w:p>
    <w:p>
      <w:pPr>
        <w:jc w:val="both"/>
        <w:ind w:left="328" w:right="360" w:hanging="4"/>
        <w:spacing w:after="0" w:line="266" w:lineRule="auto"/>
        <w:tabs>
          <w:tab w:leader="none" w:pos="583" w:val="left"/>
        </w:tabs>
        <w:numPr>
          <w:ilvl w:val="1"/>
          <w:numId w:val="8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Because Covered Persons are likely to obtain material nonpublic information on a regular basis, the Company requires all such persons to refrain from trading, even during a trading window under Part II, Section 2 above, without first pre-clearing all transactions in the Company's securities.</w:t>
      </w:r>
    </w:p>
    <w:p>
      <w:pPr>
        <w:spacing w:after="0" w:line="175" w:lineRule="exact"/>
        <w:rPr>
          <w:rFonts w:ascii="Times New Roman" w:cs="Times New Roman" w:eastAsia="Times New Roman" w:hAnsi="Times New Roman"/>
          <w:sz w:val="18"/>
          <w:szCs w:val="18"/>
          <w:b w:val="1"/>
          <w:bCs w:val="1"/>
          <w:u w:val="single" w:color="auto"/>
          <w:color w:val="auto"/>
        </w:rPr>
      </w:pPr>
    </w:p>
    <w:p>
      <w:pPr>
        <w:ind w:left="328" w:hanging="4"/>
        <w:spacing w:after="0" w:line="258" w:lineRule="auto"/>
        <w:tabs>
          <w:tab w:leader="none" w:pos="593" w:val="left"/>
        </w:tabs>
        <w:numPr>
          <w:ilvl w:val="1"/>
          <w:numId w:val="8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Subject to the exemption in subsection (c) below, no Covered Person may, directly or indirectly, purchase or sell (or otherwise make any transfer, gift, pledge, or loan of) any Company security at any time without first obtaining prior approval from the Compliance Officer. These procedures also apply to transactions by family members or other persons who reside with such person and any other person whose transactions in Company securities are directed by such person or are subject to such person’s influence or control (such as parents or children who consult with such person before they trade in Company securities), and to transactions by entities over which such person exercises control.</w:t>
      </w:r>
    </w:p>
    <w:p>
      <w:pPr>
        <w:spacing w:after="0" w:line="179" w:lineRule="exact"/>
        <w:rPr>
          <w:rFonts w:ascii="Times New Roman" w:cs="Times New Roman" w:eastAsia="Times New Roman" w:hAnsi="Times New Roman"/>
          <w:sz w:val="18"/>
          <w:szCs w:val="18"/>
          <w:b w:val="1"/>
          <w:bCs w:val="1"/>
          <w:u w:val="single" w:color="auto"/>
          <w:color w:val="auto"/>
        </w:rPr>
      </w:pPr>
    </w:p>
    <w:p>
      <w:pPr>
        <w:ind w:left="328" w:hanging="4"/>
        <w:spacing w:after="0" w:line="268" w:lineRule="auto"/>
        <w:tabs>
          <w:tab w:leader="none" w:pos="569" w:val="left"/>
        </w:tabs>
        <w:numPr>
          <w:ilvl w:val="1"/>
          <w:numId w:val="8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174" w:lineRule="exact"/>
        <w:rPr>
          <w:rFonts w:ascii="Times New Roman" w:cs="Times New Roman" w:eastAsia="Times New Roman" w:hAnsi="Times New Roman"/>
          <w:sz w:val="18"/>
          <w:szCs w:val="18"/>
          <w:b w:val="1"/>
          <w:bCs w:val="1"/>
          <w:u w:val="single" w:color="auto"/>
          <w:color w:val="auto"/>
        </w:rPr>
      </w:pPr>
    </w:p>
    <w:p>
      <w:pPr>
        <w:ind w:left="328" w:right="160" w:hanging="4"/>
        <w:spacing w:after="0" w:line="261" w:lineRule="auto"/>
        <w:tabs>
          <w:tab w:leader="none" w:pos="593" w:val="left"/>
        </w:tabs>
        <w:numPr>
          <w:ilvl w:val="1"/>
          <w:numId w:val="8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Pre-clearance is not required for purchases and sales of securities under an Approved 10b5-1 Plan once the applicable cooling-off period has expired. No trades may be made under an Approved 10b5-1 Plan until expiration of the applicable cooling-off period. With respect to any purchase or sale under an Approved 10b5-1 Plan, the third party effecting transactions on behalf of the Covered Person should be instructed to send duplicate confirmations of all such transactions to the Compliance Officer.</w:t>
      </w:r>
    </w:p>
    <w:p>
      <w:pPr>
        <w:spacing w:after="0" w:line="3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IV. PROHIBITED TRANSACTIONS</w:t>
      </w:r>
    </w:p>
    <w:p>
      <w:pPr>
        <w:spacing w:after="0" w:line="229" w:lineRule="exact"/>
        <w:rPr>
          <w:sz w:val="20"/>
          <w:szCs w:val="20"/>
          <w:color w:val="auto"/>
        </w:rPr>
      </w:pPr>
    </w:p>
    <w:p>
      <w:pPr>
        <w:ind w:left="328" w:right="120" w:hanging="4"/>
        <w:spacing w:after="0" w:line="261" w:lineRule="auto"/>
        <w:tabs>
          <w:tab w:leader="none" w:pos="583" w:val="left"/>
        </w:tabs>
        <w:numPr>
          <w:ilvl w:val="0"/>
          <w:numId w:val="8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Directors and executive officers of the Company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79" w:lineRule="exact"/>
        <w:rPr>
          <w:rFonts w:ascii="Times New Roman" w:cs="Times New Roman" w:eastAsia="Times New Roman" w:hAnsi="Times New Roman"/>
          <w:sz w:val="18"/>
          <w:szCs w:val="18"/>
          <w:b w:val="1"/>
          <w:bCs w:val="1"/>
          <w:u w:val="single" w:color="auto"/>
          <w:color w:val="auto"/>
        </w:rPr>
      </w:pPr>
    </w:p>
    <w:p>
      <w:pPr>
        <w:jc w:val="both"/>
        <w:ind w:left="328" w:right="120" w:hanging="4"/>
        <w:spacing w:after="0" w:line="266" w:lineRule="auto"/>
        <w:tabs>
          <w:tab w:leader="none" w:pos="593" w:val="left"/>
        </w:tabs>
        <w:numPr>
          <w:ilvl w:val="0"/>
          <w:numId w:val="8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Covered Persons,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w:t>
      </w:r>
    </w:p>
    <w:p>
      <w:pPr>
        <w:spacing w:after="0" w:line="175" w:lineRule="exact"/>
        <w:rPr>
          <w:rFonts w:ascii="Times New Roman" w:cs="Times New Roman" w:eastAsia="Times New Roman" w:hAnsi="Times New Roman"/>
          <w:sz w:val="18"/>
          <w:szCs w:val="18"/>
          <w:b w:val="1"/>
          <w:bCs w:val="1"/>
          <w:u w:val="single" w:color="auto"/>
          <w:color w:val="auto"/>
        </w:rPr>
      </w:pPr>
    </w:p>
    <w:p>
      <w:pPr>
        <w:ind w:left="848" w:right="260" w:hanging="6"/>
        <w:spacing w:after="0" w:line="282" w:lineRule="auto"/>
        <w:tabs>
          <w:tab w:leader="none" w:pos="1063" w:val="left"/>
        </w:tabs>
        <w:numPr>
          <w:ilvl w:val="1"/>
          <w:numId w:val="8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Covered Persons who purchase Company securities may not sell any Company securities of the same class for at least six months after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276860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657" w:right="379" w:bottom="1440" w:gutter="0" w:footer="0" w:header="0"/>
        </w:sectPr>
      </w:pPr>
    </w:p>
    <w:bookmarkStart w:id="132" w:name="page133"/>
    <w:bookmarkEnd w:id="132"/>
    <w:p>
      <w:pPr>
        <w:ind w:left="1440" w:hanging="266"/>
        <w:spacing w:after="0"/>
        <w:tabs>
          <w:tab w:leader="none" w:pos="1440"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Covered Persons may not sell the Company's securities short;</w:t>
      </w:r>
    </w:p>
    <w:p>
      <w:pPr>
        <w:spacing w:after="0" w:line="225" w:lineRule="exact"/>
        <w:rPr>
          <w:rFonts w:ascii="Times New Roman" w:cs="Times New Roman" w:eastAsia="Times New Roman" w:hAnsi="Times New Roman"/>
          <w:sz w:val="18"/>
          <w:szCs w:val="18"/>
          <w:u w:val="single" w:color="auto"/>
          <w:color w:val="auto"/>
        </w:rPr>
      </w:pPr>
    </w:p>
    <w:p>
      <w:pPr>
        <w:ind w:left="1480" w:hanging="306"/>
        <w:spacing w:after="0"/>
        <w:tabs>
          <w:tab w:leader="none" w:pos="1480"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Options trading.</w:t>
      </w:r>
      <w:r>
        <w:rPr>
          <w:rFonts w:ascii="Times New Roman" w:cs="Times New Roman" w:eastAsia="Times New Roman" w:hAnsi="Times New Roman"/>
          <w:sz w:val="18"/>
          <w:szCs w:val="18"/>
          <w:color w:val="auto"/>
        </w:rPr>
        <w:t xml:space="preserve"> Covered Persons may not buy or sell puts or calls or other derivative securities on the Company's securities;</w:t>
      </w:r>
    </w:p>
    <w:p>
      <w:pPr>
        <w:spacing w:after="0" w:line="225" w:lineRule="exact"/>
        <w:rPr>
          <w:rFonts w:ascii="Times New Roman" w:cs="Times New Roman" w:eastAsia="Times New Roman" w:hAnsi="Times New Roman"/>
          <w:sz w:val="18"/>
          <w:szCs w:val="18"/>
          <w:u w:val="single" w:color="auto"/>
          <w:color w:val="auto"/>
        </w:rPr>
      </w:pPr>
    </w:p>
    <w:p>
      <w:pPr>
        <w:ind w:left="1180" w:hanging="6"/>
        <w:spacing w:after="0" w:line="282" w:lineRule="auto"/>
        <w:tabs>
          <w:tab w:leader="none" w:pos="1485"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Trading on margin or pledging.</w:t>
      </w:r>
      <w:r>
        <w:rPr>
          <w:rFonts w:ascii="Times New Roman" w:cs="Times New Roman" w:eastAsia="Times New Roman" w:hAnsi="Times New Roman"/>
          <w:sz w:val="18"/>
          <w:szCs w:val="18"/>
          <w:color w:val="auto"/>
        </w:rPr>
        <w:t xml:space="preserve"> Covered Persons may not hold Company securities in a margin account or pledge Company securities as collateral for a loan; and</w:t>
      </w:r>
    </w:p>
    <w:p>
      <w:pPr>
        <w:spacing w:after="0" w:line="161" w:lineRule="exact"/>
        <w:rPr>
          <w:rFonts w:ascii="Times New Roman" w:cs="Times New Roman" w:eastAsia="Times New Roman" w:hAnsi="Times New Roman"/>
          <w:sz w:val="18"/>
          <w:szCs w:val="18"/>
          <w:u w:val="single" w:color="auto"/>
          <w:color w:val="auto"/>
        </w:rPr>
      </w:pPr>
    </w:p>
    <w:p>
      <w:pPr>
        <w:ind w:left="1180" w:right="100" w:hanging="6"/>
        <w:spacing w:after="0" w:line="282" w:lineRule="auto"/>
        <w:tabs>
          <w:tab w:leader="none" w:pos="1435"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Hedging.</w:t>
      </w:r>
      <w:r>
        <w:rPr>
          <w:rFonts w:ascii="Times New Roman" w:cs="Times New Roman" w:eastAsia="Times New Roman" w:hAnsi="Times New Roman"/>
          <w:sz w:val="18"/>
          <w:szCs w:val="18"/>
          <w:color w:val="auto"/>
        </w:rPr>
        <w:t xml:space="preserve"> Covered Persons may not enter into hedging or monetization transactions or similar arrangements with respect to Company securities.</w:t>
      </w:r>
    </w:p>
    <w:p>
      <w:pPr>
        <w:spacing w:after="0" w:line="37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ACKNOWLEDGMENT AND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employees and directors are required to sign the attached acknowledgment and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133" w:name="page134"/>
    <w:bookmarkEnd w:id="13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undersigned does hereby acknowledge receipt of the Company's </w:t>
      </w:r>
      <w:r>
        <w:rPr>
          <w:rFonts w:ascii="Times New Roman" w:cs="Times New Roman" w:eastAsia="Times New Roman" w:hAnsi="Times New Roman"/>
          <w:sz w:val="18"/>
          <w:szCs w:val="18"/>
          <w:u w:val="single" w:color="auto"/>
          <w:color w:val="auto"/>
        </w:rPr>
        <w:t>Insider Trading Policy</w:t>
      </w:r>
      <w:r>
        <w:rPr>
          <w:rFonts w:ascii="Times New Roman" w:cs="Times New Roman" w:eastAsia="Times New Roman" w:hAnsi="Times New Roman"/>
          <w:sz w:val="18"/>
          <w:szCs w:val="18"/>
          <w:color w:val="auto"/>
        </w:rPr>
        <w:t>. The undersigned has read and understands (or has had explained) such Policy and agrees to be governed by such Policy at all times in connection with the purchase and sale of securities and the confidentiality of nonpublic information.</w:t>
      </w:r>
    </w:p>
    <w:p>
      <w:pPr>
        <w:spacing w:after="0" w:line="39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134" w:name="page135"/>
    <w:bookmarkEnd w:id="134"/>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 Holdings Board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Leadership Team</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EVP, Treasurer &amp; Chief Financial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SVP Operations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VP, Corporate Administration &amp; Secretary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VP, Financial Planning &amp; Analysis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VP, Corporate Controller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VP, Claims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VP, Underwriting &amp; Reinsurance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Chief Actuary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 of Actuarial</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 Auto President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 Auto VP Claims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Primero VP Underwriting</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Primero VP Claims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Employees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 of Accounting</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Financial Consultant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Accountant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Staff Accountant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Reporting Coordinator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Accounting Specialist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 of Finance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Finance Manager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 of Financial Planning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374650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549"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2"/>
        </w:trPr>
        <w:tc>
          <w:tcPr>
            <w:tcW w:w="3520" w:type="dxa"/>
            <w:vAlign w:val="bottom"/>
          </w:tcPr>
          <w:p>
            <w:pPr>
              <w:spacing w:after="0"/>
              <w:rPr>
                <w:sz w:val="24"/>
                <w:szCs w:val="24"/>
                <w:color w:val="auto"/>
              </w:rPr>
            </w:pPr>
          </w:p>
        </w:tc>
        <w:tc>
          <w:tcPr>
            <w:tcW w:w="43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SUBSIDIARIES OF NI HOLDINGS, INC.</w:t>
            </w:r>
          </w:p>
        </w:tc>
        <w:tc>
          <w:tcPr>
            <w:tcW w:w="3340" w:type="dxa"/>
            <w:vAlign w:val="bottom"/>
          </w:tcPr>
          <w:p>
            <w:pPr>
              <w:spacing w:after="0"/>
              <w:rPr>
                <w:sz w:val="24"/>
                <w:szCs w:val="24"/>
                <w:color w:val="auto"/>
              </w:rPr>
            </w:pPr>
          </w:p>
        </w:tc>
      </w:tr>
      <w:tr>
        <w:trPr>
          <w:trHeight w:val="410"/>
        </w:trPr>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Percentage of Equity Owned</w:t>
            </w:r>
          </w:p>
        </w:tc>
      </w:tr>
      <w:tr>
        <w:trPr>
          <w:trHeight w:val="238"/>
        </w:trPr>
        <w:tc>
          <w:tcPr>
            <w:tcW w:w="352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State of Organization</w:t>
            </w:r>
          </w:p>
        </w:tc>
        <w:tc>
          <w:tcPr>
            <w:tcW w:w="33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Directly or Indirectly</w:t>
            </w:r>
          </w:p>
        </w:tc>
      </w:tr>
      <w:tr>
        <w:trPr>
          <w:trHeight w:val="209"/>
        </w:trPr>
        <w:tc>
          <w:tcPr>
            <w:tcW w:w="35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Nodak Insurance Company</w:t>
            </w:r>
          </w:p>
        </w:tc>
        <w:tc>
          <w:tcPr>
            <w:tcW w:w="1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North Dakota</w:t>
            </w:r>
          </w:p>
        </w:tc>
        <w:tc>
          <w:tcPr>
            <w:tcW w:w="26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Tri-State Ltd.</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South Dakota</w:t>
            </w:r>
          </w:p>
        </w:tc>
        <w:tc>
          <w:tcPr>
            <w:tcW w:w="3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Primero Insurance Company</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Nodak Agency, Inc.</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Battle Creek Mutual Insurance Company</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696"/>
        </w:trPr>
        <w:tc>
          <w:tcPr>
            <w:tcW w:w="3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S-8 (Nos. 333-221630 and 333-239645, etc.) of our report dated March 7, 2025, with respect to the consolidated financial statements, and financial statement schedule of NI Holdings Inc. and Subsidiaries as of December 31, 2024, and for the year then ended, and the effectiveness of internal control over financial reporting, as of December 31, 2024, which is included in this Annual Report on Form 10-K.</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333-221630 and 333-239645) of our report dated March 15, 2024 relating to the consolidated financial statements, and financial statement schedule of NI Holdings Inc. and Subsidiaries listed in Item 15(a)</w:t>
      </w:r>
    </w:p>
    <w:p>
      <w:pPr>
        <w:spacing w:after="0"/>
        <w:rPr>
          <w:sz w:val="20"/>
          <w:szCs w:val="20"/>
          <w:color w:val="auto"/>
        </w:rPr>
      </w:pPr>
      <w:r>
        <w:rPr>
          <w:rFonts w:ascii="Times New Roman" w:cs="Times New Roman" w:eastAsia="Times New Roman" w:hAnsi="Times New Roman"/>
          <w:sz w:val="18"/>
          <w:szCs w:val="18"/>
          <w:color w:val="auto"/>
        </w:rPr>
        <w:t>(2), appearing in this Annual Report on Form 10-K for the year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Mazars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Washington,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185"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NI Holdings,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79"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7, 2025</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0"/>
                <w:szCs w:val="20"/>
                <w:color w:val="auto"/>
              </w:rPr>
            </w:pPr>
          </w:p>
        </w:tc>
      </w:tr>
      <w:tr>
        <w:trPr>
          <w:trHeight w:val="191"/>
        </w:trPr>
        <w:tc>
          <w:tcPr>
            <w:tcW w:w="67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6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300" w:type="dxa"/>
            <w:vAlign w:val="bottom"/>
          </w:tcPr>
          <w:p>
            <w:pPr>
              <w:spacing w:after="0"/>
              <w:rPr>
                <w:sz w:val="18"/>
                <w:szCs w:val="18"/>
                <w:color w:val="auto"/>
              </w:rPr>
            </w:pPr>
          </w:p>
        </w:tc>
      </w:tr>
      <w:tr>
        <w:trPr>
          <w:trHeight w:val="236"/>
        </w:trPr>
        <w:tc>
          <w:tcPr>
            <w:tcW w:w="670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371"/>
        </w:trPr>
        <w:tc>
          <w:tcPr>
            <w:tcW w:w="6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Maki, certify that:</w:t>
      </w:r>
    </w:p>
    <w:p>
      <w:pPr>
        <w:spacing w:after="0" w:line="185"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NI Holdings,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79"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7, 2025</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Maki</w:t>
            </w:r>
          </w:p>
        </w:tc>
        <w:tc>
          <w:tcPr>
            <w:tcW w:w="1300" w:type="dxa"/>
            <w:vAlign w:val="bottom"/>
          </w:tcPr>
          <w:p>
            <w:pPr>
              <w:spacing w:after="0"/>
              <w:rPr>
                <w:sz w:val="20"/>
                <w:szCs w:val="20"/>
                <w:color w:val="auto"/>
              </w:rPr>
            </w:pPr>
          </w:p>
        </w:tc>
      </w:tr>
      <w:tr>
        <w:trPr>
          <w:trHeight w:val="191"/>
        </w:trPr>
        <w:tc>
          <w:tcPr>
            <w:tcW w:w="67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Maki</w:t>
            </w:r>
          </w:p>
        </w:tc>
        <w:tc>
          <w:tcPr>
            <w:tcW w:w="1300" w:type="dxa"/>
            <w:vAlign w:val="bottom"/>
          </w:tcPr>
          <w:p>
            <w:pPr>
              <w:spacing w:after="0"/>
              <w:rPr>
                <w:sz w:val="16"/>
                <w:szCs w:val="16"/>
                <w:color w:val="auto"/>
              </w:rPr>
            </w:pPr>
          </w:p>
        </w:tc>
      </w:tr>
      <w:tr>
        <w:trPr>
          <w:trHeight w:val="214"/>
        </w:trPr>
        <w:tc>
          <w:tcPr>
            <w:tcW w:w="6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36"/>
        </w:trPr>
        <w:tc>
          <w:tcPr>
            <w:tcW w:w="670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371"/>
        </w:trPr>
        <w:tc>
          <w:tcPr>
            <w:tcW w:w="6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NI Holdings, Inc. (the “Company”) on Form 10-K for the period ended December 31, 2024, as filed with the Securities and Exchange Commission on the date hereof (the “Report”), we, Seth C. Daggett, President and Chief Executive Officer, and Matthew J. Maki, Chief Financial Officer, of the Company, certify, pursuant to 18 U.S.C. Section 1350, as adopted pursuant to Section 906 of the Sarbanes-Oxley Act of 2002, that, to our knowledge:</w:t>
      </w:r>
    </w:p>
    <w:p>
      <w:pPr>
        <w:spacing w:after="0" w:line="139"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7, 2025</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0"/>
                <w:szCs w:val="20"/>
                <w:color w:val="auto"/>
              </w:rPr>
            </w:pPr>
          </w:p>
        </w:tc>
      </w:tr>
      <w:tr>
        <w:trPr>
          <w:trHeight w:val="191"/>
        </w:trPr>
        <w:tc>
          <w:tcPr>
            <w:tcW w:w="67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6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300" w:type="dxa"/>
            <w:vAlign w:val="bottom"/>
          </w:tcPr>
          <w:p>
            <w:pPr>
              <w:spacing w:after="0"/>
              <w:rPr>
                <w:sz w:val="18"/>
                <w:szCs w:val="18"/>
                <w:color w:val="auto"/>
              </w:rPr>
            </w:pPr>
          </w:p>
        </w:tc>
      </w:tr>
      <w:tr>
        <w:trPr>
          <w:trHeight w:val="236"/>
        </w:trPr>
        <w:tc>
          <w:tcPr>
            <w:tcW w:w="670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459"/>
        </w:trPr>
        <w:tc>
          <w:tcPr>
            <w:tcW w:w="67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7, 2025</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Maki</w:t>
            </w:r>
          </w:p>
        </w:tc>
        <w:tc>
          <w:tcPr>
            <w:tcW w:w="1300" w:type="dxa"/>
            <w:vAlign w:val="bottom"/>
          </w:tcPr>
          <w:p>
            <w:pPr>
              <w:spacing w:after="0"/>
              <w:rPr>
                <w:sz w:val="24"/>
                <w:szCs w:val="24"/>
                <w:color w:val="auto"/>
              </w:rPr>
            </w:pPr>
          </w:p>
        </w:tc>
      </w:tr>
      <w:tr>
        <w:trPr>
          <w:trHeight w:val="191"/>
        </w:trPr>
        <w:tc>
          <w:tcPr>
            <w:tcW w:w="67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Maki</w:t>
            </w:r>
          </w:p>
        </w:tc>
        <w:tc>
          <w:tcPr>
            <w:tcW w:w="1300" w:type="dxa"/>
            <w:vAlign w:val="bottom"/>
          </w:tcPr>
          <w:p>
            <w:pPr>
              <w:spacing w:after="0"/>
              <w:rPr>
                <w:sz w:val="16"/>
                <w:szCs w:val="16"/>
                <w:color w:val="auto"/>
              </w:rPr>
            </w:pPr>
          </w:p>
        </w:tc>
      </w:tr>
      <w:tr>
        <w:trPr>
          <w:trHeight w:val="214"/>
        </w:trPr>
        <w:tc>
          <w:tcPr>
            <w:tcW w:w="6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36"/>
        </w:trPr>
        <w:tc>
          <w:tcPr>
            <w:tcW w:w="670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372"/>
        </w:trPr>
        <w:tc>
          <w:tcPr>
            <w:tcW w:w="6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2"/>
    </w:lvl>
  </w:abstractNum>
  <w:abstractNum w:abstractNumId="17">
    <w:nsid w:val="520EEDD1"/>
    <w:multiLevelType w:val="hybridMultilevel"/>
    <w:lvl w:ilvl="0">
      <w:lvlJc w:val="left"/>
      <w:lvlText w:val="%1."/>
      <w:numFmt w:val="decimal"/>
      <w:start w:val="3"/>
    </w:lvl>
  </w:abstractNum>
  <w:abstractNum w:abstractNumId="18">
    <w:nsid w:val="374A3FE6"/>
    <w:multiLevelType w:val="hybridMultilevel"/>
    <w:lvl w:ilvl="0">
      <w:lvlJc w:val="left"/>
      <w:lvlText w:val="%1."/>
      <w:numFmt w:val="decimal"/>
      <w:start w:val="4"/>
    </w:lvl>
  </w:abstractNum>
  <w:abstractNum w:abstractNumId="19">
    <w:nsid w:val="4F4EF005"/>
    <w:multiLevelType w:val="hybridMultilevel"/>
    <w:lvl w:ilvl="0">
      <w:lvlJc w:val="left"/>
      <w:lvlText w:val="%1."/>
      <w:numFmt w:val="decimal"/>
      <w:start w:val="6"/>
    </w:lvl>
  </w:abstractNum>
  <w:abstractNum w:abstractNumId="20">
    <w:nsid w:val="23F9C13C"/>
    <w:multiLevelType w:val="hybridMultilevel"/>
    <w:lvl w:ilvl="0">
      <w:lvlJc w:val="left"/>
      <w:lvlText w:val="%1."/>
      <w:numFmt w:val="decimal"/>
      <w:start w:val="7"/>
    </w:lvl>
  </w:abstractNum>
  <w:abstractNum w:abstractNumId="21">
    <w:nsid w:val="649BB77C"/>
    <w:multiLevelType w:val="hybridMultilevel"/>
    <w:lvl w:ilvl="0">
      <w:lvlJc w:val="left"/>
      <w:lvlText w:val="%1."/>
      <w:numFmt w:val="decimal"/>
      <w:start w:val="8"/>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9"/>
    </w:lvl>
  </w:abstractNum>
  <w:abstractNum w:abstractNumId="30">
    <w:nsid w:val="741226BB"/>
    <w:multiLevelType w:val="hybridMultilevel"/>
    <w:lvl w:ilvl="0">
      <w:lvlJc w:val="left"/>
      <w:lvlText w:val="%1."/>
      <w:numFmt w:val="decimal"/>
      <w:start w:val="10"/>
    </w:lvl>
  </w:abstractNum>
  <w:abstractNum w:abstractNumId="31">
    <w:nsid w:val="D34B6A8"/>
    <w:multiLevelType w:val="hybridMultilevel"/>
    <w:lvl w:ilvl="0">
      <w:lvlJc w:val="left"/>
      <w:lvlText w:val="%1."/>
      <w:numFmt w:val="decimal"/>
      <w:start w:val="11"/>
    </w:lvl>
  </w:abstractNum>
  <w:abstractNum w:abstractNumId="32">
    <w:nsid w:val="10233C99"/>
    <w:multiLevelType w:val="hybridMultilevel"/>
    <w:lvl w:ilvl="0">
      <w:lvlJc w:val="left"/>
      <w:lvlText w:val="%1"/>
      <w:numFmt w:val="decimal"/>
      <w:start w:val="1"/>
    </w:lvl>
    <w:lvl w:ilvl="1">
      <w:lvlJc w:val="left"/>
      <w:lvlText w:val="(%2)"/>
      <w:numFmt w:val="decimal"/>
      <w:start w:val="1"/>
    </w:lvl>
  </w:abstractNum>
  <w:abstractNum w:abstractNumId="33">
    <w:nsid w:val="3F6AB60F"/>
    <w:multiLevelType w:val="hybridMultilevel"/>
    <w:lvl w:ilvl="0">
      <w:lvlJc w:val="left"/>
      <w:lvlText w:val="%1."/>
      <w:numFmt w:val="decimal"/>
      <w:start w:val="12"/>
    </w:lvl>
    <w:lvl w:ilvl="1">
      <w:lvlJc w:val="left"/>
      <w:lvlText w:val="%2"/>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3"/>
    </w:lvl>
  </w:abstractNum>
  <w:abstractNum w:abstractNumId="37">
    <w:nsid w:val="579BE4F1"/>
    <w:multiLevelType w:val="hybridMultilevel"/>
    <w:lvl w:ilvl="0">
      <w:lvlJc w:val="left"/>
      <w:lvlText w:val="%1."/>
      <w:numFmt w:val="decimal"/>
      <w:start w:val="14"/>
    </w:lvl>
  </w:abstractNum>
  <w:abstractNum w:abstractNumId="38">
    <w:nsid w:val="310C50B3"/>
    <w:multiLevelType w:val="hybridMultilevel"/>
    <w:lvl w:ilvl="0">
      <w:lvlJc w:val="left"/>
      <w:lvlText w:val="%1."/>
      <w:numFmt w:val="decimal"/>
      <w:start w:val="15"/>
    </w:lvl>
  </w:abstractNum>
  <w:abstractNum w:abstractNumId="39">
    <w:nsid w:val="5FF87E05"/>
    <w:multiLevelType w:val="hybridMultilevel"/>
    <w:lvl w:ilvl="0">
      <w:lvlJc w:val="left"/>
      <w:lvlText w:val="%1."/>
      <w:numFmt w:val="decimal"/>
      <w:start w:val="18"/>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19"/>
    </w:lvl>
  </w:abstractNum>
  <w:abstractNum w:abstractNumId="43">
    <w:nsid w:val="4AD084E9"/>
    <w:multiLevelType w:val="hybridMultilevel"/>
    <w:lvl w:ilvl="0">
      <w:lvlJc w:val="left"/>
      <w:lvlText w:val="%1."/>
      <w:numFmt w:val="decimal"/>
      <w:start w:val="20"/>
    </w:lvl>
  </w:abstractNum>
  <w:abstractNum w:abstractNumId="44">
    <w:nsid w:val="1F48EAA1"/>
    <w:multiLevelType w:val="hybridMultilevel"/>
    <w:lvl w:ilvl="0">
      <w:lvlJc w:val="left"/>
      <w:lvlText w:val="%1."/>
      <w:numFmt w:val="decimal"/>
      <w:start w:val="2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22"/>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9">
    <w:nsid w:val="540A471C"/>
    <w:multiLevelType w:val="hybridMultilevel"/>
    <w:lvl w:ilvl="0">
      <w:lvlJc w:val="left"/>
      <w:lvlText w:val="%1."/>
      <w:numFmt w:val="decimal"/>
      <w:start w:val="2"/>
    </w:lvl>
  </w:abstractNum>
  <w:abstractNum w:abstractNumId="60">
    <w:nsid w:val="7BD3EE7B"/>
    <w:multiLevelType w:val="hybridMultilevel"/>
    <w:lvl w:ilvl="0">
      <w:lvlJc w:val="left"/>
      <w:lvlText w:val="%1."/>
      <w:numFmt w:val="decimal"/>
      <w:start w:val="1"/>
    </w:lvl>
    <w:lvl w:ilvl="1">
      <w:lvlJc w:val="left"/>
      <w:lvlText w:val="%2."/>
      <w:numFmt w:val="decimal"/>
      <w:start w:val="2"/>
    </w:lvl>
  </w:abstractNum>
  <w:abstractNum w:abstractNumId="61">
    <w:nsid w:val="51D9C564"/>
    <w:multiLevelType w:val="hybridMultilevel"/>
    <w:lvl w:ilvl="0">
      <w:lvlJc w:val="left"/>
      <w:lvlText w:val="%1)"/>
      <w:numFmt w:val="lowerLetter"/>
      <w:start w:val="4"/>
    </w:lvl>
  </w:abstractNum>
  <w:abstractNum w:abstractNumId="62">
    <w:nsid w:val="613EFDC5"/>
    <w:multiLevelType w:val="hybridMultilevel"/>
    <w:lvl w:ilvl="0">
      <w:lvlJc w:val="left"/>
      <w:lvlText w:val="%1)"/>
      <w:numFmt w:val="lowerLetter"/>
      <w:start w:val="6"/>
    </w:lvl>
  </w:abstractNum>
  <w:abstractNum w:abstractNumId="63">
    <w:nsid w:val="BF72B14"/>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64">
    <w:nsid w:val="11447B73"/>
    <w:multiLevelType w:val="hybridMultilevel"/>
    <w:lvl w:ilvl="0">
      <w:lvlJc w:val="left"/>
      <w:lvlText w:val="%1)"/>
      <w:numFmt w:val="lowerLetter"/>
      <w:start w:val="3"/>
    </w:lvl>
  </w:abstractNum>
  <w:abstractNum w:abstractNumId="65">
    <w:nsid w:val="42963E5A"/>
    <w:multiLevelType w:val="hybridMultilevel"/>
    <w:lvl w:ilvl="0">
      <w:lvlJc w:val="left"/>
      <w:lvlText w:val="%1."/>
      <w:numFmt w:val="decimal"/>
      <w:start w:val="6"/>
    </w:lvl>
    <w:lvl w:ilvl="1">
      <w:lvlJc w:val="left"/>
      <w:lvlText w:val="%2)"/>
      <w:numFmt w:val="lowerLetter"/>
      <w:start w:val="1"/>
    </w:lvl>
  </w:abstractNum>
  <w:abstractNum w:abstractNumId="66">
    <w:nsid w:val="A0382C5"/>
    <w:multiLevelType w:val="hybridMultilevel"/>
    <w:lvl w:ilvl="0">
      <w:lvlJc w:val="left"/>
      <w:lvlText w:val="%1"/>
      <w:numFmt w:val="decimal"/>
      <w:start w:val="1"/>
    </w:lvl>
    <w:lvl w:ilvl="1">
      <w:lvlJc w:val="left"/>
      <w:lvlText w:val="%2)"/>
      <w:numFmt w:val="lowerLetter"/>
      <w:start w:val="2"/>
    </w:lvl>
  </w:abstractNum>
  <w:abstractNum w:abstractNumId="67">
    <w:nsid w:val="8F2B15E"/>
    <w:multiLevelType w:val="hybridMultilevel"/>
    <w:lvl w:ilvl="0">
      <w:lvlJc w:val="left"/>
      <w:lvlText w:val="%1."/>
      <w:numFmt w:val="decimal"/>
      <w:start w:val="13"/>
    </w:lvl>
    <w:lvl w:ilvl="1">
      <w:lvlJc w:val="left"/>
      <w:lvlText w:val="%2)"/>
      <w:numFmt w:val="lowerLetter"/>
      <w:start w:val="1"/>
    </w:lvl>
  </w:abstractNum>
  <w:abstractNum w:abstractNumId="68">
    <w:nsid w:val="1A32234B"/>
    <w:multiLevelType w:val="hybridMultilevel"/>
    <w:lvl w:ilvl="0">
      <w:lvlJc w:val="left"/>
      <w:lvlText w:val="%1)"/>
      <w:numFmt w:val="lowerLetter"/>
      <w:start w:val="2"/>
    </w:lvl>
  </w:abstractNum>
  <w:abstractNum w:abstractNumId="69">
    <w:nsid w:val="3B0FD379"/>
    <w:multiLevelType w:val="hybridMultilevel"/>
    <w:lvl w:ilvl="0">
      <w:lvlJc w:val="left"/>
      <w:lvlText w:val="%1."/>
      <w:numFmt w:val="upperLetter"/>
      <w:start w:val="9"/>
    </w:lvl>
  </w:abstractNum>
  <w:abstractNum w:abstractNumId="70">
    <w:nsid w:val="68EB2F63"/>
    <w:multiLevelType w:val="hybridMultilevel"/>
    <w:lvl w:ilvl="0">
      <w:lvlJc w:val="left"/>
      <w:lvlText w:val="%1."/>
      <w:numFmt w:val="upperLetter"/>
      <w:start w:val="35"/>
    </w:lvl>
    <w:lvl w:ilvl="1">
      <w:lvlJc w:val="left"/>
      <w:lvlText w:val="(%2)"/>
      <w:numFmt w:val="lowerLetter"/>
      <w:start w:val="1"/>
    </w:lvl>
  </w:abstractNum>
  <w:abstractNum w:abstractNumId="71">
    <w:nsid w:val="4962813B"/>
    <w:multiLevelType w:val="hybridMultilevel"/>
    <w:lvl w:ilvl="0">
      <w:lvlJc w:val="left"/>
      <w:lvlText w:val="%1."/>
      <w:numFmt w:val="upperLetter"/>
      <w:start w:val="61"/>
    </w:lvl>
    <w:lvl w:ilvl="1">
      <w:lvlJc w:val="left"/>
      <w:lvlText w:val="(%2)"/>
      <w:numFmt w:val="lowerLetter"/>
      <w:start w:val="1"/>
    </w:lvl>
  </w:abstractNum>
  <w:abstractNum w:abstractNumId="72">
    <w:nsid w:val="60B6DF70"/>
    <w:multiLevelType w:val="hybridMultilevel"/>
    <w:lvl w:ilvl="0">
      <w:lvlJc w:val="left"/>
      <w:lvlText w:val="(%1)"/>
      <w:numFmt w:val="lowerRoman"/>
      <w:start w:val="1"/>
    </w:lvl>
  </w:abstractNum>
  <w:abstractNum w:abstractNumId="73">
    <w:nsid w:val="6A5EE64"/>
    <w:multiLevelType w:val="hybridMultilevel"/>
    <w:lvl w:ilvl="0">
      <w:lvlJc w:val="left"/>
      <w:lvlText w:val="(%1)"/>
      <w:numFmt w:val="lowerRoman"/>
      <w:start w:val="6"/>
    </w:lvl>
  </w:abstractNum>
  <w:abstractNum w:abstractNumId="74">
    <w:nsid w:val="14330624"/>
    <w:multiLevelType w:val="hybridMultilevel"/>
    <w:lvl w:ilvl="0">
      <w:lvlJc w:val="left"/>
      <w:lvlText w:val="(%1)"/>
      <w:numFmt w:val="lowerLetter"/>
      <w:start w:val="2"/>
    </w:lvl>
  </w:abstractNum>
  <w:abstractNum w:abstractNumId="75">
    <w:nsid w:val="7FFFCA11"/>
    <w:multiLevelType w:val="hybridMultilevel"/>
    <w:lvl w:ilvl="0">
      <w:lvlJc w:val="left"/>
      <w:lvlText w:val="(%1)"/>
      <w:numFmt w:val="lowerRoman"/>
      <w:start w:val="1"/>
    </w:lvl>
  </w:abstractNum>
  <w:abstractNum w:abstractNumId="76">
    <w:nsid w:val="1A27709E"/>
    <w:multiLevelType w:val="hybridMultilevel"/>
    <w:lvl w:ilvl="0">
      <w:lvlJc w:val="left"/>
      <w:lvlText w:val="(%1)"/>
      <w:numFmt w:val="lowerRoman"/>
      <w:start w:val="3"/>
    </w:lvl>
  </w:abstractNum>
  <w:abstractNum w:abstractNumId="77">
    <w:nsid w:val="71EA1109"/>
    <w:multiLevelType w:val="hybridMultilevel"/>
    <w:lvl w:ilvl="0">
      <w:lvlJc w:val="left"/>
      <w:lvlText w:val="(%1)"/>
      <w:numFmt w:val="lowerLetter"/>
      <w:start w:val="3"/>
    </w:lvl>
    <w:lvl w:ilvl="1">
      <w:lvlJc w:val="left"/>
      <w:lvlText w:val="(%2)"/>
      <w:numFmt w:val="lowerRoman"/>
      <w:start w:val="1"/>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2"/>
    </w:lvl>
  </w:abstractNum>
  <w:abstractNum w:abstractNumId="80">
    <w:nsid w:val="6EB5BD4"/>
    <w:multiLevelType w:val="hybridMultilevel"/>
    <w:lvl w:ilvl="0">
      <w:lvlJc w:val="left"/>
      <w:lvlText w:val="%1."/>
      <w:numFmt w:val="upperLetter"/>
      <w:start w:val="9"/>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Letter"/>
      <w:start w:val="3"/>
    </w:lvl>
    <w:lvl w:ilvl="1">
      <w:lvlJc w:val="left"/>
      <w:lvlText w:val="(%2)"/>
      <w:numFmt w:val="lowerRoman"/>
      <w:start w:val="1"/>
    </w:lvl>
  </w:abstractNum>
  <w:abstractNum w:abstractNumId="83">
    <w:nsid w:val="885E1B"/>
    <w:multiLevelType w:val="hybridMultilevel"/>
    <w:lvl w:ilvl="0">
      <w:lvlJc w:val="left"/>
      <w:lvlText w:val="%1."/>
      <w:numFmt w:val="upperLetter"/>
      <w:start w:val="61"/>
    </w:lvl>
    <w:lvl w:ilvl="1">
      <w:lvlJc w:val="left"/>
      <w:lvlText w:val="(%2)"/>
      <w:numFmt w:val="lowerLetter"/>
      <w:start w:val="1"/>
    </w:lvl>
  </w:abstractNum>
  <w:abstractNum w:abstractNumId="84">
    <w:nsid w:val="76272110"/>
    <w:multiLevelType w:val="hybridMultilevel"/>
    <w:lvl w:ilvl="0">
      <w:lvlJc w:val="left"/>
      <w:lvlText w:val="(%1)"/>
      <w:numFmt w:val="lowerLetter"/>
      <w:start w:val="1"/>
    </w:lvl>
    <w:lvl w:ilvl="1">
      <w:lvlJc w:val="left"/>
      <w:lvlText w:val="(%2)"/>
      <w:numFmt w:val="lowerLetter"/>
      <w:start w:val="9"/>
    </w:lvl>
  </w:abstractNum>
  <w:abstractNum w:abstractNumId="85">
    <w:nsid w:val="4C04A8AF"/>
    <w:multiLevelType w:val="hybridMultilevel"/>
    <w:lvl w:ilvl="0">
      <w:lvlJc w:val="left"/>
      <w:lvlText w:val="(%1)"/>
      <w:numFmt w:val="lowerRoman"/>
      <w:start w:val="2"/>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13" Type="http://schemas.openxmlformats.org/officeDocument/2006/relationships/hyperlink" Target="https://www.sec.gov/Archives/edgar/data/1681206/000117494716003227/c449499_ex2-1.htm" TargetMode="External"/><Relationship Id="rId214" Type="http://schemas.openxmlformats.org/officeDocument/2006/relationships/hyperlink" Target="https://www.sec.gov/Archives/edgar/data/1681206/000117494724000694/ex2-1.htm" TargetMode="External"/><Relationship Id="rId215" Type="http://schemas.openxmlformats.org/officeDocument/2006/relationships/hyperlink" Target="https://www.sec.gov/ix?doc=/Archives/edgar/data/1681206/000117494724000361/nodk-20231231.htm" TargetMode="External"/><Relationship Id="rId216" Type="http://schemas.openxmlformats.org/officeDocument/2006/relationships/hyperlink" Target="https://www.sec.gov/Archives/edgar/data/1681206/000117494716003227/c449499_ex4-1.htm" TargetMode="External"/><Relationship Id="rId217" Type="http://schemas.openxmlformats.org/officeDocument/2006/relationships/hyperlink" Target="https://www.sec.gov/Archives/edgar/data/1681206/000117494721000255/nodk10kex4-2.htm" TargetMode="External"/><Relationship Id="rId218" Type="http://schemas.openxmlformats.org/officeDocument/2006/relationships/hyperlink" Target="https://www.sec.gov/Archives/edgar/data/1681206/000117494716003227/c449499_ex10-1.htm" TargetMode="External"/><Relationship Id="rId219" Type="http://schemas.openxmlformats.org/officeDocument/2006/relationships/hyperlink" Target="https://www.sec.gov/Archives/edgar/data/1681206/000117494716003227/c449499_ex10-2.htm" TargetMode="External"/><Relationship Id="rId220" Type="http://schemas.openxmlformats.org/officeDocument/2006/relationships/hyperlink" Target="https://www.sec.gov/Archives/edgar/data/1681206/000117494716003227/c449499_ex10-3.htm" TargetMode="External"/><Relationship Id="rId221" Type="http://schemas.openxmlformats.org/officeDocument/2006/relationships/hyperlink" Target="https://www.sec.gov/Archives/edgar/data/1681206/000117494716003227/c449499_ex10-5.htm" TargetMode="External"/><Relationship Id="rId222" Type="http://schemas.openxmlformats.org/officeDocument/2006/relationships/hyperlink" Target="https://www.sec.gov/Archives/edgar/data/1681206/000117494716003227/c449499_ex10-6.htm" TargetMode="External"/><Relationship Id="rId223" Type="http://schemas.openxmlformats.org/officeDocument/2006/relationships/hyperlink" Target="https://www.sec.gov/Archives/edgar/data/1681206/000117494716003227/c449499_ex10-7.htm" TargetMode="External"/><Relationship Id="rId224" Type="http://schemas.openxmlformats.org/officeDocument/2006/relationships/hyperlink" Target="https://www.sec.gov/Archives/edgar/data/1681206/000117494716003227/c449499_ex10-8.htm" TargetMode="External"/><Relationship Id="rId225" Type="http://schemas.openxmlformats.org/officeDocument/2006/relationships/hyperlink" Target="https://www.sec.gov/Archives/edgar/data/1681206/000117494717000043/c456080_ex10-9.htm" TargetMode="External"/><Relationship Id="rId226" Type="http://schemas.openxmlformats.org/officeDocument/2006/relationships/hyperlink" Target="https://www.sec.gov/Archives/edgar/data/1681206/000117494716003227/c449499_ex10-10.htm" TargetMode="External"/><Relationship Id="rId227" Type="http://schemas.openxmlformats.org/officeDocument/2006/relationships/hyperlink" Target="https://www.sec.gov/Archives/edgar/data/1681206/000117494716003406/c452442_ex10-11.htm" TargetMode="External"/><Relationship Id="rId228" Type="http://schemas.openxmlformats.org/officeDocument/2006/relationships/hyperlink" Target="https://www.sec.gov/Archives/edgar/data/0001681206/000117494720000709/ex10-2.htm" TargetMode="External"/><Relationship Id="rId229" Type="http://schemas.openxmlformats.org/officeDocument/2006/relationships/hyperlink" Target="https://www.sec.gov/Archives/edgar/data/0001681206/000117494720000709/ex10-1.htm" TargetMode="External"/><Relationship Id="rId230" Type="http://schemas.openxmlformats.org/officeDocument/2006/relationships/hyperlink" Target="https://www.sec.gov/Archives/edgar/data/1681206/000117494722000353/nodk10kex10-14.htm" TargetMode="External"/><Relationship Id="rId231" Type="http://schemas.openxmlformats.org/officeDocument/2006/relationships/hyperlink" Target="https://www.sec.gov/Archives/edgar/data/1681206/000117494722000353/nodk10kex10-15.htm" TargetMode="External"/><Relationship Id="rId232" Type="http://schemas.openxmlformats.org/officeDocument/2006/relationships/hyperlink" Target="https://www.sec.gov/Archives/edgar/data/1681206/000117494722000638/nodk10q0322_ex10-2.htm" TargetMode="External"/><Relationship Id="rId233" Type="http://schemas.openxmlformats.org/officeDocument/2006/relationships/hyperlink" Target="https://www.sec.gov/Archives/edgar/data/1681206/000117494724000361/nodk-20231231.htm" TargetMode="External"/><Relationship Id="rId234" Type="http://schemas.openxmlformats.org/officeDocument/2006/relationships/hyperlink" Target="https://www.sec.gov/Archives/edgar/data/1681206/000110465924092859/tm2422663d1_ex10-1.htm" TargetMode="External"/><Relationship Id="rId235" Type="http://schemas.openxmlformats.org/officeDocument/2006/relationships/hyperlink" Target="https://www.sec.gov/Archives/edgar/data/1681206/000117494724001087/ex10-1.htm" TargetMode="External"/><Relationship Id="rId236" Type="http://schemas.openxmlformats.org/officeDocument/2006/relationships/hyperlink" Target="https://www.sec.gov/Archives/edgar/data/0001681206/000117494724001286/ex10-1.htm" TargetMode="External"/><Relationship Id="rId237" Type="http://schemas.openxmlformats.org/officeDocument/2006/relationships/hyperlink" Target="https://www.sec.gov/Archives/edgar/data/1681206/000117494724000361/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2025-03-07T15:41:50Z</dcterms:created>
  <dcterms:modified xsi:type="dcterms:W3CDTF">2025-03-07T15:41:50Z</dcterms:modified>
</cp:coreProperties>
</file>