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ind w:right="1580" w:firstLine="8"/>
        <w:spacing w:after="0" w:line="282"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spacing w:after="0"/>
        <w:tabs>
          <w:tab w:leader="none" w:pos="3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-20320</wp:posOffset>
            </wp:positionV>
            <wp:extent cx="1009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18"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rPr>
              <w:t>NORTH DAKOTA</w:t>
            </w:r>
          </w:p>
        </w:tc>
        <w:tc>
          <w:tcPr>
            <w:tcW w:w="3220" w:type="dxa"/>
            <w:vAlign w:val="bottom"/>
          </w:tcPr>
          <w:p>
            <w:pPr>
              <w:jc w:val="right"/>
              <w:ind w:right="19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2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incorporation or organization)</w:t>
            </w:r>
          </w:p>
        </w:tc>
        <w:tc>
          <w:tcPr>
            <w:tcW w:w="322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1101 First Avenue North</w:t>
            </w:r>
          </w:p>
        </w:tc>
        <w:tc>
          <w:tcPr>
            <w:tcW w:w="3220" w:type="dxa"/>
            <w:vAlign w:val="bottom"/>
          </w:tcPr>
          <w:p>
            <w:pPr>
              <w:spacing w:after="0"/>
              <w:rPr>
                <w:sz w:val="24"/>
                <w:szCs w:val="24"/>
                <w:color w:val="auto"/>
              </w:rPr>
            </w:pPr>
          </w:p>
        </w:tc>
      </w:tr>
      <w:tr>
        <w:trPr>
          <w:trHeight w:val="216"/>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2"/>
              </w:rPr>
              <w:t>Fargo, North Dakota</w:t>
            </w:r>
          </w:p>
        </w:tc>
        <w:tc>
          <w:tcPr>
            <w:tcW w:w="3220" w:type="dxa"/>
            <w:vAlign w:val="bottom"/>
          </w:tcPr>
          <w:p>
            <w:pPr>
              <w:jc w:val="right"/>
              <w:ind w:right="390"/>
              <w:spacing w:after="0"/>
              <w:rPr>
                <w:sz w:val="20"/>
                <w:szCs w:val="20"/>
                <w:color w:val="auto"/>
              </w:rPr>
            </w:pPr>
            <w:r>
              <w:rPr>
                <w:rFonts w:ascii="Arial" w:cs="Arial" w:eastAsia="Arial" w:hAnsi="Arial"/>
                <w:sz w:val="18"/>
                <w:szCs w:val="18"/>
                <w:b w:val="1"/>
                <w:bCs w:val="1"/>
                <w:color w:val="auto"/>
              </w:rPr>
              <w:t>58102</w:t>
            </w:r>
          </w:p>
        </w:tc>
      </w:tr>
      <w:tr>
        <w:trPr>
          <w:trHeight w:val="234"/>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2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(Zip Code)</w:t>
            </w:r>
          </w:p>
        </w:tc>
      </w:tr>
    </w:tbl>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(701) 298-4200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tbl>
      <w:tblPr>
        <w:tblLayout w:type="fixed"/>
        <w:tblInd w:w="68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7"/>
                <w:szCs w:val="17"/>
                <w:color w:val="auto"/>
              </w:rPr>
            </w:pPr>
          </w:p>
        </w:tc>
        <w:tc>
          <w:tcPr>
            <w:tcW w:w="14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9"/>
              </w:rPr>
              <w:t>Trading Symbol(s)</w:t>
            </w:r>
          </w:p>
        </w:tc>
        <w:tc>
          <w:tcPr>
            <w:tcW w:w="1000" w:type="dxa"/>
            <w:vAlign w:val="bottom"/>
          </w:tcPr>
          <w:p>
            <w:pPr>
              <w:spacing w:after="0"/>
              <w:rPr>
                <w:sz w:val="17"/>
                <w:szCs w:val="17"/>
                <w:color w:val="auto"/>
              </w:rPr>
            </w:pPr>
          </w:p>
        </w:tc>
        <w:tc>
          <w:tcPr>
            <w:tcW w:w="33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Arial" w:cs="Arial" w:eastAsia="Arial" w:hAnsi="Arial"/>
                <w:sz w:val="18"/>
                <w:szCs w:val="18"/>
                <w:color w:val="auto"/>
                <w:w w:val="89"/>
              </w:rPr>
              <w:t>Common Stock, $0.01 par value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9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16"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April 30, 2020 was 21,779,260.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r>
      <w:tr>
        <w:trPr>
          <w:trHeight w:val="391"/>
        </w:trPr>
        <w:tc>
          <w:tcPr>
            <w:tcW w:w="94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9420" w:type="dxa"/>
            <w:vAlign w:val="bottom"/>
          </w:tcPr>
          <w:p>
            <w:pPr>
              <w:ind w:left="6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7"/>
        </w:trPr>
        <w:tc>
          <w:tcPr>
            <w:tcW w:w="9420" w:type="dxa"/>
            <w:vAlign w:val="bottom"/>
          </w:tcPr>
          <w:p>
            <w:pPr>
              <w:ind w:left="13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20" w:type="dxa"/>
            <w:vAlign w:val="bottom"/>
          </w:tcPr>
          <w:p>
            <w:pPr>
              <w:ind w:left="13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20" w:type="dxa"/>
            <w:vAlign w:val="bottom"/>
          </w:tcPr>
          <w:p>
            <w:pPr>
              <w:ind w:left="13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Comprehensive Income (Loss)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20" w:type="dxa"/>
            <w:vAlign w:val="bottom"/>
          </w:tcPr>
          <w:p>
            <w:pPr>
              <w:ind w:left="13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Statements of Changes in Shareholders’ Equity</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20" w:type="dxa"/>
            <w:vAlign w:val="bottom"/>
          </w:tcPr>
          <w:p>
            <w:pPr>
              <w:ind w:left="13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Unaudited Consolidated Statements of Cash Flows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420" w:type="dxa"/>
            <w:vAlign w:val="bottom"/>
          </w:tcPr>
          <w:p>
            <w:pPr>
              <w:ind w:left="13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9420" w:type="dxa"/>
            <w:vAlign w:val="bottom"/>
          </w:tcPr>
          <w:p>
            <w:pPr>
              <w:ind w:left="6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 - Management’s Discussion and Analysis of Financial Condition and Results of Operations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3. - Quantitative and Qualitative Disclosures about Market Risk</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420" w:type="dxa"/>
            <w:vAlign w:val="bottom"/>
          </w:tcPr>
          <w:p>
            <w:pPr>
              <w:ind w:left="6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4. - Controls and Procedures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92"/>
        </w:trPr>
        <w:tc>
          <w:tcPr>
            <w:tcW w:w="942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Part II. - OTHER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77"/>
        </w:trPr>
        <w:tc>
          <w:tcPr>
            <w:tcW w:w="9420" w:type="dxa"/>
            <w:vAlign w:val="bottom"/>
          </w:tcPr>
          <w:p>
            <w:pPr>
              <w:ind w:left="6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1. - Legal Proceedings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1A. - Risk Factors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2. - Unregistered Sales of Equity Securities and Use of Proceeds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 - Defaults upon Senior Securities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4. - Mine Safety Disclosures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5. - Other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20" w:type="dxa"/>
            <w:vAlign w:val="bottom"/>
          </w:tcPr>
          <w:p>
            <w:pPr>
              <w:ind w:left="6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6. - Exhibits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420" w:type="dxa"/>
            <w:vAlign w:val="bottom"/>
          </w:tcPr>
          <w:p>
            <w:pPr>
              <w:ind w:left="6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185" w:lineRule="exact"/>
        <w:rPr>
          <w:sz w:val="20"/>
          <w:szCs w:val="20"/>
          <w:color w:val="auto"/>
        </w:rPr>
      </w:pPr>
    </w:p>
    <w:p>
      <w:pPr>
        <w:ind w:left="66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3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refers to Nodak Stock or Nodak Mutual interchangeably;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21" w:lineRule="exact"/>
        <w:rPr>
          <w:rFonts w:ascii="Arial" w:cs="Arial" w:eastAsia="Arial" w:hAnsi="Arial"/>
          <w:sz w:val="16"/>
          <w:szCs w:val="16"/>
          <w:color w:val="auto"/>
        </w:rPr>
      </w:pPr>
    </w:p>
    <w:p>
      <w:pPr>
        <w:ind w:left="660" w:right="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Battle Creek is controlled by Nodak Insurance as a result of an affiliation agreement between Battle Creek and Nodak Insurance. Battle Creek is consolidated with Nodak Insurance for financial reporting purposes;</w:t>
      </w:r>
    </w:p>
    <w:p>
      <w:pPr>
        <w:spacing w:after="0" w:line="146" w:lineRule="exact"/>
        <w:rPr>
          <w:rFonts w:ascii="Arial" w:cs="Arial" w:eastAsia="Arial" w:hAnsi="Arial"/>
          <w:sz w:val="18"/>
          <w:szCs w:val="18"/>
          <w:color w:val="auto"/>
        </w:rPr>
      </w:pPr>
    </w:p>
    <w:p>
      <w:pPr>
        <w:ind w:left="660" w:right="34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184"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region of the United States; and</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Agency” refers to Nodak Agency, Inc. Nodak Agency is a wholly-owned subsidiary of Nodak Insurance.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4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98"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w:t>
      </w:r>
    </w:p>
    <w:p>
      <w:pPr>
        <w:spacing w:after="0" w:line="184"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4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coverage terms required by state laws with respect to minimum auto liability insurance, including higher minimum limits;</w:t>
      </w:r>
    </w:p>
    <w:p>
      <w:pPr>
        <w:spacing w:after="0" w:line="207"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84"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4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84" w:lineRule="exact"/>
        <w:rPr>
          <w:rFonts w:ascii="Arial" w:cs="Arial" w:eastAsia="Arial" w:hAnsi="Arial"/>
          <w:sz w:val="18"/>
          <w:szCs w:val="18"/>
          <w:color w:val="auto"/>
        </w:rPr>
      </w:pPr>
    </w:p>
    <w:p>
      <w:pPr>
        <w:ind w:left="1300" w:right="360" w:hanging="644"/>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Item 1. - Financial Statements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824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2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2019</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56,637</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62,132</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 securities, at fair value</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310,619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295,945</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Equity securities, at fair value</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47,142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59,932</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10"/>
        </w:trPr>
        <w:tc>
          <w:tcPr>
            <w:tcW w:w="8240" w:type="dxa"/>
            <w:vAlign w:val="bottom"/>
          </w:tcPr>
          <w:p>
            <w:pPr>
              <w:ind w:left="320"/>
              <w:spacing w:after="0"/>
              <w:rPr>
                <w:sz w:val="20"/>
                <w:szCs w:val="20"/>
                <w:color w:val="auto"/>
              </w:rPr>
            </w:pPr>
            <w:r>
              <w:rPr>
                <w:rFonts w:ascii="Arial" w:cs="Arial" w:eastAsia="Arial" w:hAnsi="Arial"/>
                <w:sz w:val="18"/>
                <w:szCs w:val="18"/>
                <w:color w:val="auto"/>
              </w:rPr>
              <w:t>Total cash and investments</w:t>
            </w: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419,923</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Premiums and agents' balances receivable</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48,283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36,691</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15,399</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7,694</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 from Federal Crop Insurance Corporation</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14,230</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Goodwill and other intangibles</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21,251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2,912</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w:t>
            </w:r>
          </w:p>
        </w:tc>
      </w:tr>
      <w:tr>
        <w:trPr>
          <w:trHeight w:val="263"/>
        </w:trPr>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536,384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100" w:type="dxa"/>
            <w:vAlign w:val="bottom"/>
            <w:tcBorders>
              <w:bottom w:val="single" w:sz="8" w:color="CCEEFF"/>
            </w:tcBorders>
          </w:tcPr>
          <w:p>
            <w:pPr>
              <w:spacing w:after="0"/>
              <w:rPr>
                <w:sz w:val="22"/>
                <w:szCs w:val="22"/>
                <w:color w:val="auto"/>
              </w:rPr>
            </w:pPr>
          </w:p>
        </w:tc>
      </w:tr>
      <w:tr>
        <w:trPr>
          <w:trHeight w:val="197"/>
        </w:trPr>
        <w:tc>
          <w:tcPr>
            <w:tcW w:w="8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97,400</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93,250</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106,410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89,276</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premiums payable</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26,972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9,425</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234,593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198,356</w:t>
            </w:r>
          </w:p>
        </w:tc>
        <w:tc>
          <w:tcPr>
            <w:tcW w:w="100" w:type="dxa"/>
            <w:vAlign w:val="bottom"/>
            <w:tcBorders>
              <w:bottom w:val="single" w:sz="8" w:color="CCEEFF"/>
            </w:tcBorders>
          </w:tcPr>
          <w:p>
            <w:pPr>
              <w:spacing w:after="0"/>
              <w:rPr>
                <w:sz w:val="18"/>
                <w:szCs w:val="18"/>
                <w:color w:val="auto"/>
              </w:rPr>
            </w:pPr>
          </w:p>
        </w:tc>
      </w:tr>
      <w:tr>
        <w:trPr>
          <w:trHeight w:val="210"/>
        </w:trPr>
        <w:tc>
          <w:tcPr>
            <w:tcW w:w="8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23,000,000 shares; and</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2020 – 22,015,158 shares, 2019 – 22,119,380 shares</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02"/>
        </w:trPr>
        <w:tc>
          <w:tcPr>
            <w:tcW w:w="824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no shares issued or outstanding</w:t>
            </w:r>
          </w:p>
        </w:tc>
        <w:tc>
          <w:tcPr>
            <w:tcW w:w="3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95,961</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Unearned employee stock ownership plan shares</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(1,671)</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218,480</w:t>
            </w: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net of income taxes</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5,612</w:t>
            </w:r>
          </w:p>
        </w:tc>
      </w:tr>
      <w:tr>
        <w:trPr>
          <w:trHeight w:val="21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2020 – 817,787 shares, 2019 – 713,565 shares</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(12,308)</w:t>
            </w: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r>
      <w:tr>
        <w:trPr>
          <w:trHeight w:val="209"/>
        </w:trPr>
        <w:tc>
          <w:tcPr>
            <w:tcW w:w="82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536,384</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7"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2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58,772</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and other income</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capital gain (loss) on investments</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(14,919)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2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Expenses: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30,422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9,387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10,772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2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2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23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10"/>
          </w:tcPr>
          <w:p>
            <w:pPr>
              <w:jc w:val="right"/>
              <w:ind w:right="381"/>
              <w:spacing w:after="0"/>
              <w:rPr>
                <w:sz w:val="20"/>
                <w:szCs w:val="20"/>
                <w:color w:val="auto"/>
              </w:rPr>
            </w:pPr>
            <w:r>
              <w:rPr>
                <w:rFonts w:ascii="Arial" w:cs="Arial" w:eastAsia="Arial" w:hAnsi="Arial"/>
                <w:sz w:val="18"/>
                <w:szCs w:val="18"/>
                <w:b w:val="1"/>
                <w:bCs w:val="1"/>
                <w:color w:val="auto"/>
                <w:w w:val="95"/>
              </w:rPr>
              <w:t>Three Months Ended March 31, 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9"/>
          </w:tcPr>
          <w:p>
            <w:pPr>
              <w:jc w:val="right"/>
              <w:ind w:right="420"/>
              <w:spacing w:after="0"/>
              <w:rPr>
                <w:sz w:val="20"/>
                <w:szCs w:val="20"/>
                <w:color w:val="auto"/>
              </w:rPr>
            </w:pPr>
            <w:r>
              <w:rPr>
                <w:rFonts w:ascii="Arial" w:cs="Arial" w:eastAsia="Arial" w:hAnsi="Arial"/>
                <w:sz w:val="18"/>
                <w:szCs w:val="18"/>
                <w:b w:val="1"/>
                <w:bCs w:val="1"/>
                <w:color w:val="auto"/>
                <w:w w:val="95"/>
              </w:rPr>
              <w:t>Three Months Ended March 31, 2019</w:t>
            </w:r>
          </w:p>
        </w:tc>
      </w:tr>
      <w:tr>
        <w:trPr>
          <w:trHeight w:val="191"/>
        </w:trPr>
        <w:tc>
          <w:tcPr>
            <w:tcW w:w="3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Attributable</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8"/>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to 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Attributable</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 NI</w:t>
            </w:r>
          </w:p>
        </w:tc>
        <w:tc>
          <w:tcPr>
            <w:tcW w:w="8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 NI</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9"/>
              </w:rPr>
              <w:t>Holdings, 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income (loss), before income</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Holding gains (losses) on investments</w:t>
            </w:r>
          </w:p>
        </w:tc>
        <w:tc>
          <w:tcPr>
            <w:tcW w:w="20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(4,456)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(4,542)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4,092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4,164</w:t>
            </w:r>
          </w:p>
        </w:tc>
        <w:tc>
          <w:tcPr>
            <w:tcW w:w="80" w:type="dxa"/>
            <w:vAlign w:val="bottom"/>
          </w:tcPr>
          <w:p>
            <w:pPr>
              <w:spacing w:after="0"/>
              <w:rPr>
                <w:sz w:val="18"/>
                <w:szCs w:val="18"/>
                <w:color w:val="auto"/>
              </w:rPr>
            </w:pPr>
          </w:p>
        </w:tc>
      </w:tr>
      <w:tr>
        <w:trPr>
          <w:trHeight w:val="202"/>
        </w:trPr>
        <w:tc>
          <w:tcPr>
            <w:tcW w:w="3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Reclassification adjustment for net realized capital</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included in net income</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1"/>
                <w:szCs w:val="21"/>
                <w:color w:val="auto"/>
              </w:rPr>
            </w:pPr>
          </w:p>
        </w:tc>
      </w:tr>
      <w:tr>
        <w:trPr>
          <w:trHeight w:val="182"/>
        </w:trPr>
        <w:tc>
          <w:tcPr>
            <w:tcW w:w="3920" w:type="dxa"/>
            <w:vAlign w:val="bottom"/>
          </w:tcPr>
          <w:p>
            <w:pPr>
              <w:ind w:left="340"/>
              <w:spacing w:after="0" w:line="182"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9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(4,604)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4,118</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80" w:type="dxa"/>
            <w:vAlign w:val="bottom"/>
          </w:tcPr>
          <w:p>
            <w:pPr>
              <w:spacing w:after="0"/>
              <w:rPr>
                <w:sz w:val="20"/>
                <w:szCs w:val="20"/>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benefit (expense) related to items of</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r>
      <w:tr>
        <w:trPr>
          <w:trHeight w:val="182"/>
        </w:trPr>
        <w:tc>
          <w:tcPr>
            <w:tcW w:w="3920" w:type="dxa"/>
            <w:vAlign w:val="bottom"/>
          </w:tcPr>
          <w:p>
            <w:pPr>
              <w:ind w:left="340"/>
              <w:spacing w:after="0" w:line="182" w:lineRule="exact"/>
              <w:rPr>
                <w:sz w:val="20"/>
                <w:szCs w:val="20"/>
                <w:color w:val="auto"/>
              </w:rPr>
            </w:pPr>
            <w:r>
              <w:rPr>
                <w:rFonts w:ascii="Arial" w:cs="Arial" w:eastAsia="Arial" w:hAnsi="Arial"/>
                <w:sz w:val="18"/>
                <w:szCs w:val="18"/>
                <w:color w:val="auto"/>
              </w:rPr>
              <w:t>Other comprehensive income (loss), net of</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4"/>
        </w:trPr>
        <w:tc>
          <w:tcPr>
            <w:tcW w:w="39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(3,565)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(3,637)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3,253</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3,311</w:t>
            </w:r>
          </w:p>
        </w:tc>
        <w:tc>
          <w:tcPr>
            <w:tcW w:w="80" w:type="dxa"/>
            <w:vAlign w:val="bottom"/>
          </w:tcPr>
          <w:p>
            <w:pPr>
              <w:spacing w:after="0"/>
              <w:rPr>
                <w:sz w:val="21"/>
                <w:szCs w:val="21"/>
                <w:color w:val="auto"/>
              </w:rPr>
            </w:pPr>
          </w:p>
        </w:tc>
      </w:tr>
      <w:tr>
        <w:trPr>
          <w:trHeight w:val="209"/>
        </w:trPr>
        <w:tc>
          <w:tcPr>
            <w:tcW w:w="3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(7,152)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(7,192)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17,107</w:t>
            </w:r>
          </w:p>
        </w:tc>
        <w:tc>
          <w:tcPr>
            <w:tcW w:w="8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6"/>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Unearned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jc w:val="center"/>
              <w:ind w:right="19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6"/>
          </w:tcPr>
          <w:p>
            <w:pPr>
              <w:ind w:left="20"/>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9"/>
              </w:rPr>
              <w:t>Common</w:t>
            </w:r>
          </w:p>
        </w:tc>
        <w:tc>
          <w:tcPr>
            <w:tcW w:w="9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8"/>
                <w:szCs w:val="18"/>
                <w:color w:val="auto"/>
              </w:rPr>
            </w:pPr>
          </w:p>
        </w:tc>
        <w:tc>
          <w:tcPr>
            <w:tcW w:w="10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Ownership</w:t>
            </w:r>
          </w:p>
        </w:tc>
        <w:tc>
          <w:tcPr>
            <w:tcW w:w="100" w:type="dxa"/>
            <w:vAlign w:val="bottom"/>
          </w:tcPr>
          <w:p>
            <w:pPr>
              <w:spacing w:after="0"/>
              <w:rPr>
                <w:sz w:val="18"/>
                <w:szCs w:val="18"/>
                <w:color w:val="auto"/>
              </w:rPr>
            </w:pPr>
          </w:p>
        </w:tc>
        <w:tc>
          <w:tcPr>
            <w:tcW w:w="112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400" w:type="dxa"/>
            <w:vAlign w:val="bottom"/>
            <w:gridSpan w:val="5"/>
          </w:tcPr>
          <w:p>
            <w:pPr>
              <w:ind w:left="20"/>
              <w:spacing w:after="0"/>
              <w:rPr>
                <w:sz w:val="20"/>
                <w:szCs w:val="20"/>
                <w:color w:val="auto"/>
              </w:rPr>
            </w:pPr>
            <w:r>
              <w:rPr>
                <w:rFonts w:ascii="Arial" w:cs="Arial" w:eastAsia="Arial" w:hAnsi="Arial"/>
                <w:sz w:val="18"/>
                <w:szCs w:val="18"/>
                <w:b w:val="1"/>
                <w:bCs w:val="1"/>
                <w:color w:val="auto"/>
              </w:rPr>
              <w:t>Income, Net of</w:t>
            </w:r>
          </w:p>
        </w:tc>
        <w:tc>
          <w:tcPr>
            <w:tcW w:w="100" w:type="dxa"/>
            <w:vAlign w:val="bottom"/>
          </w:tcPr>
          <w:p>
            <w:pPr>
              <w:spacing w:after="0"/>
              <w:rPr>
                <w:sz w:val="18"/>
                <w:szCs w:val="18"/>
                <w:color w:val="auto"/>
              </w:rPr>
            </w:pPr>
          </w:p>
        </w:tc>
        <w:tc>
          <w:tcPr>
            <w:tcW w:w="1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Treasury</w:t>
            </w:r>
          </w:p>
        </w:tc>
        <w:tc>
          <w:tcPr>
            <w:tcW w:w="1460" w:type="dxa"/>
            <w:vAlign w:val="bottom"/>
            <w:gridSpan w:val="5"/>
          </w:tcPr>
          <w:p>
            <w:pPr>
              <w:ind w:left="20"/>
              <w:spacing w:after="0"/>
              <w:rPr>
                <w:sz w:val="20"/>
                <w:szCs w:val="20"/>
                <w:color w:val="auto"/>
              </w:rPr>
            </w:pPr>
            <w:r>
              <w:rPr>
                <w:rFonts w:ascii="Arial" w:cs="Arial" w:eastAsia="Arial" w:hAnsi="Arial"/>
                <w:sz w:val="18"/>
                <w:szCs w:val="18"/>
                <w:b w:val="1"/>
                <w:bCs w:val="1"/>
                <w:color w:val="auto"/>
              </w:rPr>
              <w:t>Non-Controlling</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0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7"/>
              </w:rPr>
              <w:t>Plan Shares</w:t>
            </w:r>
          </w:p>
        </w:tc>
        <w:tc>
          <w:tcPr>
            <w:tcW w:w="100" w:type="dxa"/>
            <w:vAlign w:val="bottom"/>
          </w:tcPr>
          <w:p>
            <w:pPr>
              <w:spacing w:after="0"/>
              <w:rPr>
                <w:sz w:val="20"/>
                <w:szCs w:val="20"/>
                <w:color w:val="auto"/>
              </w:rPr>
            </w:pPr>
          </w:p>
        </w:tc>
        <w:tc>
          <w:tcPr>
            <w:tcW w:w="112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7"/>
              </w:rPr>
              <w:t>Income Taxes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182"/>
        </w:trPr>
        <w:tc>
          <w:tcPr>
            <w:tcW w:w="1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6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95,961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218,480</w:t>
            </w:r>
          </w:p>
        </w:tc>
        <w:tc>
          <w:tcPr>
            <w:tcW w:w="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(12,308)</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(3,587)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(3,555)</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comprehensive</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loss, net of</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(3,637)</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compensation</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vested award</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182"/>
        </w:trPr>
        <w:tc>
          <w:tcPr>
            <w:tcW w:w="134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1340" w:type="dxa"/>
            <w:vAlign w:val="bottom"/>
          </w:tcPr>
          <w:p>
            <w:pPr>
              <w:spacing w:after="0"/>
              <w:rPr>
                <w:sz w:val="20"/>
                <w:szCs w:val="20"/>
                <w:color w:val="auto"/>
              </w:rPr>
            </w:pPr>
            <w:r>
              <w:rPr>
                <w:rFonts w:ascii="Arial" w:cs="Arial" w:eastAsia="Arial" w:hAnsi="Arial"/>
                <w:sz w:val="18"/>
                <w:szCs w:val="18"/>
                <w:color w:val="auto"/>
              </w:rPr>
              <w:t>March 31, 2020</w:t>
            </w:r>
          </w:p>
        </w:tc>
        <w:tc>
          <w:tcPr>
            <w:tcW w:w="6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230</w:t>
            </w:r>
          </w:p>
        </w:tc>
        <w:tc>
          <w:tcPr>
            <w:tcW w:w="280" w:type="dxa"/>
            <w:vAlign w:val="bottom"/>
          </w:tcPr>
          <w:p>
            <w:pPr>
              <w:jc w:val="right"/>
              <w:ind w:right="11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96,374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gridSpan w:val="4"/>
          </w:tcPr>
          <w:p>
            <w:pPr>
              <w:jc w:val="right"/>
              <w:ind w:right="90"/>
              <w:spacing w:after="0"/>
              <w:rPr>
                <w:sz w:val="20"/>
                <w:szCs w:val="20"/>
                <w:color w:val="auto"/>
              </w:rPr>
            </w:pPr>
            <w:r>
              <w:rPr>
                <w:rFonts w:ascii="Arial" w:cs="Arial" w:eastAsia="Arial" w:hAnsi="Arial"/>
                <w:sz w:val="18"/>
                <w:szCs w:val="18"/>
                <w:color w:val="auto"/>
              </w:rPr>
              <w:t>214,811</w:t>
            </w:r>
          </w:p>
        </w:tc>
        <w:tc>
          <w:tcPr>
            <w:tcW w:w="2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(13,459)</w:t>
            </w:r>
          </w:p>
        </w:tc>
        <w:tc>
          <w:tcPr>
            <w:tcW w:w="100" w:type="dxa"/>
            <w:vAlign w:val="bottom"/>
          </w:tcPr>
          <w:p>
            <w:pPr>
              <w:spacing w:after="0"/>
              <w:rPr>
                <w:sz w:val="22"/>
                <w:szCs w:val="22"/>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3,459</w:t>
            </w:r>
          </w:p>
        </w:tc>
        <w:tc>
          <w:tcPr>
            <w:tcW w:w="80" w:type="dxa"/>
            <w:vAlign w:val="bottom"/>
          </w:tcPr>
          <w:p>
            <w:pPr>
              <w:spacing w:after="0"/>
              <w:rPr>
                <w:sz w:val="22"/>
                <w:szCs w:val="22"/>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301,791</w:t>
            </w:r>
          </w:p>
        </w:tc>
        <w:tc>
          <w:tcPr>
            <w:tcW w:w="10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5"/>
          </w:tcPr>
          <w:p>
            <w:pPr>
              <w:jc w:val="right"/>
              <w:ind w:right="210"/>
              <w:spacing w:after="0"/>
              <w:rPr>
                <w:sz w:val="20"/>
                <w:szCs w:val="20"/>
                <w:color w:val="auto"/>
              </w:rPr>
            </w:pPr>
            <w:r>
              <w:rPr>
                <w:rFonts w:ascii="Arial" w:cs="Arial" w:eastAsia="Arial" w:hAnsi="Arial"/>
                <w:sz w:val="18"/>
                <w:szCs w:val="18"/>
                <w:b w:val="1"/>
                <w:bCs w:val="1"/>
                <w:color w:val="auto"/>
                <w:w w:val="93"/>
              </w:rPr>
              <w:t>Three Months Ended March 31, 2019</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6"/>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Employee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w w:val="94"/>
              </w:rPr>
              <w:t>Comprehensive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b w:val="1"/>
                <w:bCs w:val="1"/>
                <w:color w:val="auto"/>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10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Ownership</w:t>
            </w: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Retained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Income, Net of</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rPr>
              <w:t>Treasury</w:t>
            </w:r>
          </w:p>
        </w:tc>
        <w:tc>
          <w:tcPr>
            <w:tcW w:w="8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Non-Controlling</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0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Plan Shares</w:t>
            </w:r>
          </w:p>
        </w:tc>
        <w:tc>
          <w:tcPr>
            <w:tcW w:w="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Earnings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Income Taxes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182"/>
        </w:trPr>
        <w:tc>
          <w:tcPr>
            <w:tcW w:w="1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94,486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183,946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(10,634)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3,263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275,753</w:t>
            </w:r>
          </w:p>
        </w:tc>
      </w:tr>
      <w:tr>
        <w:trPr>
          <w:trHeight w:val="216"/>
        </w:trPr>
        <w:tc>
          <w:tcPr>
            <w:tcW w:w="19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change in accounting for</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8,184</w:t>
            </w: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5"/>
          </w:tcPr>
          <w:p>
            <w:pPr>
              <w:jc w:val="right"/>
              <w:ind w:right="90"/>
              <w:spacing w:after="0"/>
              <w:rPr>
                <w:sz w:val="20"/>
                <w:szCs w:val="20"/>
                <w:color w:val="auto"/>
              </w:rPr>
            </w:pPr>
            <w:r>
              <w:rPr>
                <w:rFonts w:ascii="Arial" w:cs="Arial" w:eastAsia="Arial" w:hAnsi="Arial"/>
                <w:sz w:val="18"/>
                <w:szCs w:val="18"/>
                <w:color w:val="auto"/>
              </w:rPr>
              <w:t>13,773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13,796</w:t>
            </w:r>
          </w:p>
        </w:tc>
      </w:tr>
      <w:tr>
        <w:trPr>
          <w:trHeight w:val="202"/>
        </w:trPr>
        <w:tc>
          <w:tcPr>
            <w:tcW w:w="1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net of income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w w:val="90"/>
              </w:rPr>
              <w:t>Purchase of treasury stock</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02"/>
        </w:trPr>
        <w:tc>
          <w:tcPr>
            <w:tcW w:w="1940" w:type="dxa"/>
            <w:vAlign w:val="bottom"/>
            <w:gridSpan w:val="3"/>
          </w:tcPr>
          <w:p>
            <w:pPr>
              <w:spacing w:after="0" w:line="201" w:lineRule="exact"/>
              <w:rPr>
                <w:sz w:val="20"/>
                <w:szCs w:val="20"/>
                <w:color w:val="auto"/>
              </w:rPr>
            </w:pPr>
            <w:r>
              <w:rPr>
                <w:rFonts w:ascii="Arial" w:cs="Arial" w:eastAsia="Arial" w:hAnsi="Arial"/>
                <w:sz w:val="18"/>
                <w:szCs w:val="18"/>
                <w:color w:val="auto"/>
                <w:w w:val="94"/>
              </w:rPr>
              <w:t>Issuance of vested award</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340" w:type="dxa"/>
            <w:vAlign w:val="bottom"/>
          </w:tcPr>
          <w:p>
            <w:pPr>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5"/>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182"/>
        </w:trPr>
        <w:tc>
          <w:tcPr>
            <w:tcW w:w="1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94,829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205,853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(10,332)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3,344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293,455</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(3,555)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13,796</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capital (gain) loss on investments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14,919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(7,859)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1,468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617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9,387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9,222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Deferral of policy acquisition costs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(13,152)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(11,147)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amortization of premiums and discounts on investments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on sale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color w:val="auto"/>
              </w:rPr>
              <w:t>Premiums and agents’ balances receivable</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(3,085)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(4,215)</w:t>
            </w:r>
          </w:p>
        </w:tc>
      </w:tr>
      <w:tr>
        <w:trPr>
          <w:trHeight w:val="216"/>
        </w:trPr>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Reinsurance premiums receivable /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224</w:t>
            </w: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color w:val="auto"/>
              </w:rPr>
              <w:t>Reinsurance recoverables on losses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(3,259)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(911)</w:t>
            </w:r>
          </w:p>
        </w:tc>
      </w:tr>
      <w:tr>
        <w:trPr>
          <w:trHeight w:val="216"/>
        </w:trPr>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investment income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w:t>
            </w: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color w:val="auto"/>
              </w:rPr>
              <w:t>Receivable from Federal Crop Insurance Corporation</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8,990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1,887</w:t>
            </w:r>
          </w:p>
        </w:tc>
      </w:tr>
      <w:tr>
        <w:trPr>
          <w:trHeight w:val="216"/>
        </w:trPr>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 recoverable /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1,065</w:t>
            </w:r>
          </w:p>
        </w:tc>
      </w:tr>
      <w:tr>
        <w:trPr>
          <w:trHeight w:val="216"/>
        </w:trPr>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Unpaid losses and loss adjustment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(4,418)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w:t>
            </w: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color w:val="auto"/>
              </w:rPr>
              <w:t>Unearned premiums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3,404</w:t>
            </w:r>
          </w:p>
        </w:tc>
      </w:tr>
      <w:tr>
        <w:trPr>
          <w:trHeight w:val="230"/>
        </w:trPr>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(2,369)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(3,291)</w:t>
            </w:r>
          </w:p>
        </w:tc>
      </w:tr>
      <w:tr>
        <w:trPr>
          <w:trHeight w:val="210"/>
        </w:trPr>
        <w:tc>
          <w:tcPr>
            <w:tcW w:w="86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fixed income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12,342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sales of equity securities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6,016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2,024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fixed income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(27,016)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Purchases of equity securities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(5,503)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(2,746)</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02"/>
        </w:trPr>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1"/>
              </w:rPr>
              <w:t>Acquisition of Westminster American Insurance Company (cash consideration paid net of cash and cash equivalents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acquired)</w:t>
            </w:r>
          </w:p>
        </w:tc>
        <w:tc>
          <w:tcPr>
            <w:tcW w:w="22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r>
      <w:tr>
        <w:trPr>
          <w:trHeight w:val="210"/>
        </w:trPr>
        <w:tc>
          <w:tcPr>
            <w:tcW w:w="8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Purchases of treasury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 of restricted stock awards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(1,502)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62,132</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68,950</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Non-cash item: Present value of installment payable issued in connection with acquisition of Westminster American</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680" w:type="dxa"/>
            <w:vAlign w:val="bottom"/>
          </w:tcPr>
          <w:p>
            <w:pPr>
              <w:ind w:left="200"/>
              <w:spacing w:after="0"/>
              <w:rPr>
                <w:sz w:val="20"/>
                <w:szCs w:val="20"/>
                <w:color w:val="auto"/>
              </w:rPr>
            </w:pPr>
            <w:r>
              <w:rPr>
                <w:rFonts w:ascii="Arial" w:cs="Arial" w:eastAsia="Arial" w:hAnsi="Arial"/>
                <w:sz w:val="18"/>
                <w:szCs w:val="18"/>
                <w:color w:val="auto"/>
              </w:rPr>
              <w:t>Insurance Company</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18,787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Federal income taxes paid</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1">
            <w:col w:w="11240"/>
          </w:cols>
          <w:pgMar w:left="320" w:top="226"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9" w:name="page10"/>
    <w:bookmarkEnd w:id="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9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These consolidated financial statements of NI Holdings include the financial position and results of NI Holdings and seven other entities:</w:t>
      </w:r>
    </w:p>
    <w:p>
      <w:pPr>
        <w:spacing w:after="0" w:line="2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Nodak Agency, Inc. (“Nodak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American West Insurance Company (“American West”);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Primero Insurance Company (“Primero”);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Battle Creek Mutual Insurance Company (“Battle Creek”, an affiliated company with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Auto Insurance Company (“Direct Auto”);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Westminster American Insurance Company (“Westminster”).</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Federation (“NDFB”). Nodak Insurance specializes in providing private passenger auto, homeowners, farmowners, commercial, crop hail, and Federal multi-peril crop insurance coverages.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18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6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8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a wholly-owned subsidiary of NI Holdings, is a property and casualty insurance company licensed in seventeen states and the District of Columbia. Westminster is headquartered in Owings Mills, Maryland and underwrites multi-peril commercial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herein since January 1, 2020. See Note 4.</w:t>
      </w:r>
    </w:p>
    <w:p>
      <w:pPr>
        <w:spacing w:after="0" w:line="14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0" w:name="page11"/>
    <w:bookmarkEnd w:id="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 ended March 31, 2020 are not necessarily indicative of the results that may be expected for the year ended December 31, 2020.</w:t>
      </w:r>
    </w:p>
    <w:p>
      <w:pPr>
        <w:spacing w:after="0" w:line="121"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396" w:lineRule="exact"/>
        <w:rPr>
          <w:sz w:val="20"/>
          <w:szCs w:val="20"/>
          <w:color w:val="auto"/>
        </w:rPr>
      </w:pPr>
    </w:p>
    <w:p>
      <w:pPr>
        <w:ind w:left="660" w:right="7200" w:hanging="652"/>
        <w:spacing w:after="0" w:line="503"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p>
    <w:p>
      <w:pPr>
        <w:ind w:right="100" w:firstLine="648"/>
        <w:spacing w:after="0" w:line="263" w:lineRule="auto"/>
        <w:rPr>
          <w:sz w:val="20"/>
          <w:szCs w:val="20"/>
          <w:color w:val="auto"/>
        </w:rPr>
      </w:pPr>
      <w:r>
        <w:rPr>
          <w:rFonts w:ascii="Arial" w:cs="Arial" w:eastAsia="Arial" w:hAnsi="Arial"/>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84"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net investment income, bad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debt expense, and income taxes. Therefore, we consolidate the financial statements of Battle Creek, and Battle Creek’s policyholders’ interest in Battle Creek is reflected as a non-controlling interest in shareholders’ equity in our Consolidated Balance Sheet.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are reported as a component of net capital gain on investments in our operating results.</w:t>
      </w:r>
    </w:p>
    <w:p>
      <w:pPr>
        <w:spacing w:after="0" w:line="18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(loss) on investments, along with the change in unrealized gains and losses on equity securities after January 1, 2019.</w:t>
      </w:r>
    </w:p>
    <w:p>
      <w:pPr>
        <w:spacing w:after="0" w:line="16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 (loss).</w:t>
      </w:r>
    </w:p>
    <w:p>
      <w:pPr>
        <w:spacing w:after="0" w:line="17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ind w:left="660" w:right="160"/>
        <w:spacing w:after="0" w:line="31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49" w:lineRule="exact"/>
        <w:rPr>
          <w:sz w:val="20"/>
          <w:szCs w:val="20"/>
          <w:color w:val="auto"/>
        </w:rPr>
      </w:pPr>
    </w:p>
    <w:p>
      <w:pPr>
        <w:jc w:val="both"/>
        <w:ind w:left="660" w:right="300"/>
        <w:spacing w:after="0" w:line="301"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All other invested assets have been assessed for impairment. The carrying value of these other invested assets was $2,583 at March 31, 2020 and $1,914 at December 31, 2019.</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2" w:name="page13"/>
    <w:bookmarkEnd w:id="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 of Segment Information:</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Effective first quarter 2020, the Company’s results are being reported in our Consolidated Financial Statements in the following five primary operating segments – private passenger auto insurance, non-standard auto insurance, home and farm insurance, crop insurance, and commercial insurance. A sixth “all other” segment captures all other insurance business, including our assumed reinsurance lines of business.</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Commercial insurance was previously reported within the all other segment. All prior periods presented have been reclassified to conform to this presentation.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state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With the exception of Battle Creek, which files a stand-alone federal income tax return, we currently file a consolidated federal income tax return which includes NI Holdings and its wholly-owned subsidiaries. Direct Auto and Westminster became part of the consolidated federal income tax return as of their acquisition dates.</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While state premium taxes are included as a part of amortization of deferred policy acquisition costs, state income taxes are combined with federal income taxes within the financial reporting category labeled income taxes.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3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8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2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4" w:name="page15"/>
    <w:bookmarkEnd w:id="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Corporation (“SIPC”) up to $500. On occasion, balances for these accounts are maintained in excess of the SIPC insurance limit.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8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three month periods ended March 31, 2020 and 2019.</w:t>
      </w:r>
    </w:p>
    <w:p>
      <w:pPr>
        <w:spacing w:after="0" w:line="1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9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17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Intangible assets arising from the acquisition of Westminster in January 2020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asset, Westminster trade name, and VOBA assets will be amortized over twenty years, ten years, and twelve months, respectively, from the January 1, 2020 acquisition/valuation date.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5" w:name="page16"/>
    <w:bookmarkEnd w:id="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multi-peril commercial insurance in nine states and the District of Columbia.</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Westminster remains headquartered in Owings Mills, Maryland, and the current president of Westminster continues to manage the Westminster insurance operations along with the staff and management team in place at the time of the acquisition. The results of Westminster are included as part of the Company’s commercial business segment following the closing date.</w:t>
      </w:r>
    </w:p>
    <w:p>
      <w:pPr>
        <w:spacing w:after="0" w:line="18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did not make any adjustments during this period.</w:t>
      </w:r>
    </w:p>
    <w:p>
      <w:pPr>
        <w:spacing w:after="0" w:line="16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acquired Westminster business contributed revenues of $6,329 and net loss of $158 to the Company for the three months ended March 31, 2020. The following unaudited pro forma summary presents consolidated information of the Company as if the business combination had occurred on January 1, 2019:</w:t>
      </w:r>
    </w:p>
    <w:p>
      <w:pPr>
        <w:spacing w:after="0" w:line="180"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Pro forma</w:t>
      </w:r>
    </w:p>
    <w:p>
      <w:pPr>
        <w:spacing w:after="0" w:line="27"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65,757</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NI Holdings, Inc.</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w:t>
            </w:r>
          </w:p>
        </w:tc>
      </w:tr>
      <w:tr>
        <w:trPr>
          <w:trHeight w:val="216"/>
        </w:trPr>
        <w:tc>
          <w:tcPr>
            <w:tcW w:w="8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NI Holdings, Inc.</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in the above pro forma revenue and earnings.</w:t>
      </w:r>
    </w:p>
    <w:p>
      <w:pPr>
        <w:spacing w:after="0" w:line="170"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Westminster to reflect the deferral and amortization of policy acquisition costs and the additional amortization that would have been charged assuming the fair value adjustments to intangible assets had been applied from January 1, 2019, with the related income tax effects.</w:t>
      </w:r>
    </w:p>
    <w:p>
      <w:pPr>
        <w:spacing w:after="0" w:line="165"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The Company incurred acquisition-related costs of $828 during the three months ended March 31, 2020, and $83 during the third and fourth quarters of 2019, respectively. These expenses were reclassified to occur in first quarter 2019 in the pro forma amounts presented above.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paid $20,000 in cash consideration to the private shareholder of Westminster as of the closing date, and will pay an additional $20,000 in three equal annual installments. The acquisition of Westminster did not include any contingent consideration other than a provision regarding future changes to federal income tax rates. The following table summarizes the consideration transferred to acquire Westminster and the amounts of identified assets acquired and liabilities assumed at the acquisition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18,787</w:t>
            </w:r>
          </w:p>
        </w:tc>
      </w:tr>
      <w:tr>
        <w:trPr>
          <w:trHeight w:val="223"/>
        </w:trPr>
        <w:tc>
          <w:tcPr>
            <w:tcW w:w="10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consideration</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0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19,297</w:t>
            </w: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Fixed income securities, at fair value</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12,353</w:t>
            </w: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at fair value</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735</w:t>
            </w: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Premiums and agents' balances receivable</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8,507</w:t>
            </w: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Reinsurance recoverables on losses</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8"/>
                <w:szCs w:val="18"/>
                <w:color w:val="auto"/>
              </w:rPr>
            </w:pP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income tax recoverable</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network (included in goodwill and other intangibles)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w:t>
            </w: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Trade name (included in goodwill and other intangibles)</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4,177</w:t>
            </w:r>
          </w:p>
        </w:tc>
        <w:tc>
          <w:tcPr>
            <w:tcW w:w="80" w:type="dxa"/>
            <w:vAlign w:val="bottom"/>
            <w:shd w:val="clear" w:color="auto" w:fill="CCEEFF"/>
          </w:tcPr>
          <w:p>
            <w:pPr>
              <w:spacing w:after="0"/>
              <w:rPr>
                <w:sz w:val="18"/>
                <w:szCs w:val="18"/>
                <w:color w:val="auto"/>
              </w:rPr>
            </w:pP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(8,568)</w:t>
            </w: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Unearned premiums</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(16,611)</w:t>
            </w:r>
          </w:p>
        </w:tc>
      </w:tr>
      <w:tr>
        <w:trPr>
          <w:trHeight w:val="216"/>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(1,506)</w:t>
            </w:r>
          </w:p>
        </w:tc>
      </w:tr>
      <w:tr>
        <w:trPr>
          <w:trHeight w:val="216"/>
        </w:trPr>
        <w:tc>
          <w:tcPr>
            <w:tcW w:w="10140" w:type="dxa"/>
            <w:vAlign w:val="bottom"/>
          </w:tcPr>
          <w:p>
            <w:pPr>
              <w:ind w:left="160"/>
              <w:spacing w:after="0"/>
              <w:rPr>
                <w:sz w:val="20"/>
                <w:szCs w:val="20"/>
                <w:color w:val="auto"/>
              </w:rPr>
            </w:pPr>
            <w:r>
              <w:rPr>
                <w:rFonts w:ascii="Arial" w:cs="Arial" w:eastAsia="Arial" w:hAnsi="Arial"/>
                <w:sz w:val="18"/>
                <w:szCs w:val="18"/>
                <w:color w:val="auto"/>
              </w:rPr>
              <w:t>Reinsurance premiums payable</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(565)</w:t>
            </w:r>
          </w:p>
        </w:tc>
      </w:tr>
      <w:tr>
        <w:trPr>
          <w:trHeight w:val="229"/>
        </w:trPr>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r>
      <w:tr>
        <w:trPr>
          <w:trHeight w:val="263"/>
        </w:trPr>
        <w:tc>
          <w:tcPr>
            <w:tcW w:w="10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identifiable net assets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31,743</w:t>
            </w:r>
          </w:p>
        </w:tc>
        <w:tc>
          <w:tcPr>
            <w:tcW w:w="100" w:type="dxa"/>
            <w:vAlign w:val="bottom"/>
            <w:tcBorders>
              <w:bottom w:val="single" w:sz="8" w:color="CCEEFF"/>
            </w:tcBorders>
            <w:gridSpan w:val="2"/>
          </w:tcPr>
          <w:p>
            <w:pPr>
              <w:spacing w:after="0"/>
              <w:rPr>
                <w:sz w:val="22"/>
                <w:szCs w:val="22"/>
                <w:color w:val="auto"/>
              </w:rPr>
            </w:pPr>
          </w:p>
        </w:tc>
      </w:tr>
      <w:tr>
        <w:trPr>
          <w:trHeight w:val="196"/>
        </w:trPr>
        <w:tc>
          <w:tcPr>
            <w:tcW w:w="10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101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7,044</w:t>
            </w:r>
          </w:p>
        </w:tc>
        <w:tc>
          <w:tcPr>
            <w:tcW w:w="80" w:type="dxa"/>
            <w:vAlign w:val="bottom"/>
          </w:tcPr>
          <w:p>
            <w:pPr>
              <w:spacing w:after="0"/>
              <w:rPr>
                <w:sz w:val="21"/>
                <w:szCs w:val="21"/>
                <w:color w:val="auto"/>
              </w:rPr>
            </w:pPr>
          </w:p>
        </w:tc>
      </w:tr>
      <w:tr>
        <w:trPr>
          <w:trHeight w:val="20"/>
        </w:trPr>
        <w:tc>
          <w:tcPr>
            <w:tcW w:w="10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$8,507 and reinsurance recoverables on losses of $763. These are the gross amounts due from policyholders and reinsurers, respectively, none of which is anticipated to be uncollectible. The Company did not acquire any other material class of receivable as a result of the acquisition of Westminster.</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fair values of the acquired distribution network, state insurance licenses, Westminster trade name, and VOBA intangible assets of $6,700, $1,800, $500, and $4,177, respectively, are provisional pending receipt of the final valuation for those assets. The state insurance license intangible has an indefinite life, while the other intangible assets will be amortized over useful lives of up to twenty years.</w:t>
      </w:r>
    </w:p>
    <w:p>
      <w:pPr>
        <w:spacing w:after="0" w:line="39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January 2019, the Company adopted amended guidance from the Financial Accounting Standards Board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no</w:t>
      </w:r>
    </w:p>
    <w:p>
      <w:pPr>
        <w:sectPr>
          <w:pgSz w:w="11900" w:h="16838" w:orient="portrait"/>
          <w:cols w:equalWidth="0" w:num="1">
            <w:col w:w="11240"/>
          </w:cols>
          <w:pgMar w:left="320" w:top="226" w:right="339" w:bottom="1440" w:gutter="0" w:footer="0" w:header="0"/>
        </w:sectPr>
      </w:pP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7" w:name="page18"/>
    <w:bookmarkEnd w:id="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impact to the Company’s results of operations at the date of adoption. The after-tax change in accounting for equity securities did not affect the Company’s total shareholders’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(loss), which will add a level of volatility to our net income.</w:t>
      </w:r>
    </w:p>
    <w:p>
      <w:pPr>
        <w:spacing w:after="0" w:line="18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December 2019, the Company adopted guidance from the FASB that establishes the manner in which an entity recognizes the amount of revenue to which it expects to be entitled for the transfer of promised goods or services to customers. While the guidance replaces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As a result, there was no impact to the Company’s financial position, results of operations, or cash flows.</w:t>
      </w:r>
    </w:p>
    <w:p>
      <w:pPr>
        <w:spacing w:after="0" w:line="1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December 2019, the Company adopted amended guidance from the FASB that addressed diversity in how certain cash receipts and cash payments are presented and classified in the Consolidated Statement of Cash Flows, and the presentation of restricted cash in the Consolidated Statement of Cash Flows. The amendments provided clarity on the treatment of eight specifically defined types of cash inflows and outflows, and requires entities to explain the changes during a reporting period in the total of cash, cash equivalents, and amounts generally described as restricted cash or restricted cash equivalents. There was no impact to the Company’s financial position,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2020 and interim periods within fiscal years beginning after December 15, 2021. Early adoption is permitted for all entities. We do not expect the adoption of this new guidance to have a significant impact on our financial position, results of operations, or cash flows.</w:t>
      </w:r>
    </w:p>
    <w:p>
      <w:pPr>
        <w:spacing w:after="0" w:line="196"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filers with the Securities and Exchange Commission (“SEC”) excluding smaller reporting companies, and emerging growth companies that did not relinquish private company relief. For all other entities, this guidance is effective for annual reporting periods beginning after December 15, 2022 and interim periods within those fiscal years.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8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public business entities.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directly to retained earnings as of the beginning of the period of adoption. We are evaluating the requirements of this guidance and the potential impact to our financial position, results of operations, and cash flows.</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statement disclosures.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estimated fair value of investment securities as of March 31, 2020 and December 31, 2019,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6"/>
              </w:rPr>
              <w:t>March 31, 2020</w:t>
            </w: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48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Cost or Amortized</w:t>
            </w:r>
          </w:p>
        </w:tc>
        <w:tc>
          <w:tcPr>
            <w:tcW w:w="100" w:type="dxa"/>
            <w:vAlign w:val="bottom"/>
          </w:tcPr>
          <w:p>
            <w:pPr>
              <w:spacing w:after="0"/>
              <w:rPr>
                <w:sz w:val="16"/>
                <w:szCs w:val="16"/>
                <w:color w:val="auto"/>
              </w:rPr>
            </w:pPr>
          </w:p>
        </w:tc>
        <w:tc>
          <w:tcPr>
            <w:tcW w:w="15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Gross Unrealized</w:t>
            </w:r>
          </w:p>
        </w:tc>
        <w:tc>
          <w:tcPr>
            <w:tcW w:w="15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Gross Unrealized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340" w:type="dxa"/>
            <w:vAlign w:val="bottom"/>
          </w:tcPr>
          <w:p>
            <w:pPr>
              <w:spacing w:after="0"/>
              <w:rPr>
                <w:sz w:val="20"/>
                <w:szCs w:val="20"/>
                <w:color w:val="auto"/>
              </w:rPr>
            </w:pPr>
          </w:p>
        </w:tc>
        <w:tc>
          <w:tcPr>
            <w:tcW w:w="120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90"/>
              </w:rPr>
              <w:t>Losses</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18,594</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19,767</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62,206</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2,454</w:t>
            </w:r>
          </w:p>
        </w:tc>
        <w:tc>
          <w:tcPr>
            <w:tcW w:w="3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118,103</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1,908</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50,642</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c>
          <w:tcPr>
            <w:tcW w:w="3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27,589</w:t>
            </w:r>
          </w:p>
        </w:tc>
      </w:tr>
      <w:tr>
        <w:trPr>
          <w:trHeight w:val="22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32,312</w:t>
            </w:r>
          </w:p>
        </w:tc>
      </w:tr>
      <w:tr>
        <w:trPr>
          <w:trHeight w:val="209"/>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310,619</w:t>
            </w:r>
          </w:p>
        </w:tc>
        <w:tc>
          <w:tcPr>
            <w:tcW w:w="100" w:type="dxa"/>
            <w:vAlign w:val="bottom"/>
            <w:tcBorders>
              <w:bottom w:val="single" w:sz="8" w:color="CCEEFF"/>
            </w:tcBorders>
          </w:tcPr>
          <w:p>
            <w:pPr>
              <w:spacing w:after="0"/>
              <w:rPr>
                <w:sz w:val="18"/>
                <w:szCs w:val="18"/>
                <w:color w:val="auto"/>
              </w:rPr>
            </w:pPr>
          </w:p>
        </w:tc>
      </w:tr>
      <w:tr>
        <w:trPr>
          <w:trHeight w:val="210"/>
        </w:trPr>
        <w:tc>
          <w:tcPr>
            <w:tcW w:w="5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1,439</w:t>
            </w:r>
          </w:p>
        </w:tc>
        <w:tc>
          <w:tcPr>
            <w:tcW w:w="3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5,468</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1,481</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(1,254)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2,837</w:t>
            </w:r>
          </w:p>
        </w:tc>
        <w:tc>
          <w:tcPr>
            <w:tcW w:w="3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10,798</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4,780</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2,142</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4,148</w:t>
            </w:r>
          </w:p>
        </w:tc>
        <w:tc>
          <w:tcPr>
            <w:tcW w:w="3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10,155</w:t>
            </w: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09"/>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 securities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47,142</w:t>
            </w:r>
          </w:p>
        </w:tc>
        <w:tc>
          <w:tcPr>
            <w:tcW w:w="100" w:type="dxa"/>
            <w:vAlign w:val="bottom"/>
            <w:tcBorders>
              <w:bottom w:val="single" w:sz="8" w:color="CCEEFF"/>
            </w:tcBorders>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7"/>
              </w:rPr>
              <w:t>December 31, 2019</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48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Cost or Amortized</w:t>
            </w:r>
          </w:p>
        </w:tc>
        <w:tc>
          <w:tcPr>
            <w:tcW w:w="10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Gross Unrealized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20"/>
                <w:szCs w:val="20"/>
                <w:color w:val="auto"/>
              </w:rPr>
            </w:pPr>
          </w:p>
        </w:tc>
        <w:tc>
          <w:tcPr>
            <w:tcW w:w="114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80"/>
              </w:rPr>
              <w:t>Losses</w:t>
            </w:r>
          </w:p>
        </w:tc>
        <w:tc>
          <w:tcPr>
            <w:tcW w:w="1060" w:type="dxa"/>
            <w:vAlign w:val="bottom"/>
            <w:gridSpan w:val="4"/>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17,078</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17,546</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1,511</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56,652</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3,772</w:t>
            </w:r>
          </w:p>
        </w:tc>
        <w:tc>
          <w:tcPr>
            <w:tcW w:w="4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113,213</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51,486</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4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27,057</w:t>
            </w:r>
          </w:p>
        </w:tc>
        <w:tc>
          <w:tcPr>
            <w:tcW w:w="80" w:type="dxa"/>
            <w:vAlign w:val="bottom"/>
          </w:tcPr>
          <w:p>
            <w:pPr>
              <w:spacing w:after="0"/>
              <w:rPr>
                <w:sz w:val="18"/>
                <w:szCs w:val="18"/>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29,991</w:t>
            </w:r>
          </w:p>
        </w:tc>
        <w:tc>
          <w:tcPr>
            <w:tcW w:w="80" w:type="dxa"/>
            <w:vAlign w:val="bottom"/>
            <w:shd w:val="clear" w:color="auto" w:fill="CCEEFF"/>
          </w:tcPr>
          <w:p>
            <w:pPr>
              <w:spacing w:after="0"/>
              <w:rPr>
                <w:sz w:val="19"/>
                <w:szCs w:val="19"/>
                <w:color w:val="auto"/>
              </w:rPr>
            </w:pPr>
          </w:p>
        </w:tc>
      </w:tr>
      <w:tr>
        <w:trPr>
          <w:trHeight w:val="209"/>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1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2,342</w:t>
            </w:r>
          </w:p>
        </w:tc>
        <w:tc>
          <w:tcPr>
            <w:tcW w:w="4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6,996</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4,207</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9,612</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5,255</w:t>
            </w:r>
          </w:p>
        </w:tc>
        <w:tc>
          <w:tcPr>
            <w:tcW w:w="4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12,567</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4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5,929</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4,023</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9,299</w:t>
            </w:r>
          </w:p>
        </w:tc>
        <w:tc>
          <w:tcPr>
            <w:tcW w:w="80" w:type="dxa"/>
            <w:vAlign w:val="bottom"/>
            <w:shd w:val="clear" w:color="auto" w:fill="CCEEFF"/>
          </w:tcPr>
          <w:p>
            <w:pPr>
              <w:spacing w:after="0"/>
              <w:rPr>
                <w:sz w:val="18"/>
                <w:szCs w:val="18"/>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5,867</w:t>
            </w:r>
          </w:p>
        </w:tc>
        <w:tc>
          <w:tcPr>
            <w:tcW w:w="42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11,863</w:t>
            </w:r>
          </w:p>
        </w:tc>
        <w:tc>
          <w:tcPr>
            <w:tcW w:w="80" w:type="dxa"/>
            <w:vAlign w:val="bottom"/>
          </w:tcPr>
          <w:p>
            <w:pPr>
              <w:spacing w:after="0"/>
              <w:rPr>
                <w:sz w:val="19"/>
                <w:szCs w:val="19"/>
                <w:color w:val="auto"/>
              </w:rPr>
            </w:pPr>
          </w:p>
        </w:tc>
      </w:tr>
      <w:tr>
        <w:trPr>
          <w:trHeight w:val="209"/>
        </w:trPr>
        <w:tc>
          <w:tcPr>
            <w:tcW w:w="54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30,473</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20" w:right="160" w:firstLine="635"/>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5"/>
          </w:tcPr>
          <w:p>
            <w:pPr>
              <w:ind w:left="26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870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9"/>
                <w:szCs w:val="19"/>
                <w:color w:val="auto"/>
              </w:rPr>
            </w:pP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14,920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14,933</w:t>
            </w: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96,793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98,330</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54,366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55,110</w:t>
            </w: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31,703</w:t>
            </w:r>
          </w:p>
        </w:tc>
      </w:tr>
      <w:tr>
        <w:trPr>
          <w:trHeight w:val="229"/>
        </w:trPr>
        <w:tc>
          <w:tcPr>
            <w:tcW w:w="87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110,165</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110,543</w:t>
            </w:r>
          </w:p>
        </w:tc>
      </w:tr>
      <w:tr>
        <w:trPr>
          <w:trHeight w:val="223"/>
        </w:trPr>
        <w:tc>
          <w:tcPr>
            <w:tcW w:w="8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870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9"/>
                <w:szCs w:val="19"/>
                <w:color w:val="auto"/>
              </w:rPr>
            </w:pP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19,663</w:t>
            </w: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84,937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87,134</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55,927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58,466</w:t>
            </w: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22,148</w:t>
            </w:r>
          </w:p>
        </w:tc>
      </w:tr>
      <w:tr>
        <w:trPr>
          <w:trHeight w:val="230"/>
        </w:trPr>
        <w:tc>
          <w:tcPr>
            <w:tcW w:w="87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106,937</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108,534</w:t>
            </w:r>
          </w:p>
        </w:tc>
      </w:tr>
      <w:tr>
        <w:trPr>
          <w:trHeight w:val="223"/>
        </w:trPr>
        <w:tc>
          <w:tcPr>
            <w:tcW w:w="8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600" w:firstLine="635"/>
        <w:spacing w:after="0" w:line="277" w:lineRule="auto"/>
        <w:rPr>
          <w:sz w:val="20"/>
          <w:szCs w:val="20"/>
          <w:color w:val="auto"/>
        </w:rPr>
      </w:pPr>
      <w:r>
        <w:rPr>
          <w:rFonts w:ascii="Arial" w:cs="Arial" w:eastAsia="Arial" w:hAnsi="Arial"/>
          <w:sz w:val="18"/>
          <w:szCs w:val="18"/>
          <w:color w:val="auto"/>
        </w:rPr>
        <w:t>Fixed income securities with a fair value of $6,028 at March 31, 2020 and $5,585 at December 31, 2019, were deposited with various state regulatory agencies as required by law. The Company has not pledged any assets to secure any obligations.</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01"/>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gridSpan w:val="2"/>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12,239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12,239</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37,453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1,884</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3940" w:type="dxa"/>
            <w:vAlign w:val="bottom"/>
          </w:tcPr>
          <w:p>
            <w:pPr>
              <w:ind w:left="16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21,643</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4,292</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25,935</w:t>
            </w: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(2,141)</w:t>
            </w:r>
          </w:p>
        </w:tc>
      </w:tr>
      <w:tr>
        <w:trPr>
          <w:trHeight w:val="209"/>
        </w:trPr>
        <w:tc>
          <w:tcPr>
            <w:tcW w:w="39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Basic materials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Consumer, cyclical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3,485</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(1,254)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non-cyclical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(957)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(560)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r>
      <w:tr>
        <w:trPr>
          <w:trHeight w:val="230"/>
        </w:trPr>
        <w:tc>
          <w:tcPr>
            <w:tcW w:w="3940" w:type="dxa"/>
            <w:vAlign w:val="bottom"/>
          </w:tcPr>
          <w:p>
            <w:pPr>
              <w:ind w:left="160"/>
              <w:spacing w:after="0"/>
              <w:rPr>
                <w:sz w:val="20"/>
                <w:szCs w:val="20"/>
                <w:color w:val="auto"/>
              </w:rPr>
            </w:pPr>
            <w:r>
              <w:rPr>
                <w:rFonts w:ascii="Arial" w:cs="Arial" w:eastAsia="Arial" w:hAnsi="Arial"/>
                <w:sz w:val="18"/>
                <w:szCs w:val="18"/>
                <w:color w:val="auto"/>
              </w:rPr>
              <w:t>Utility</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09"/>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394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94,966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(10,600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100,025</w:t>
            </w:r>
          </w:p>
        </w:tc>
        <w:tc>
          <w:tcPr>
            <w:tcW w:w="2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8"/>
                <w:szCs w:val="18"/>
                <w:b w:val="1"/>
                <w:bCs w:val="1"/>
                <w:color w:val="auto"/>
                <w:w w:val="99"/>
              </w:rPr>
              <w:t>December 31, 2019</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gridSpan w:val="2"/>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16,197</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9"/>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26,841</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9"/>
        </w:trPr>
        <w:tc>
          <w:tcPr>
            <w:tcW w:w="394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10"/>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394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31,644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12,382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44,026</w:t>
            </w:r>
          </w:p>
        </w:tc>
        <w:tc>
          <w:tcPr>
            <w:tcW w:w="2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80" w:firstLine="635"/>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62" w:lineRule="exact"/>
        <w:rPr>
          <w:sz w:val="20"/>
          <w:szCs w:val="20"/>
          <w:color w:val="auto"/>
        </w:rPr>
      </w:pPr>
    </w:p>
    <w:p>
      <w:pPr>
        <w:ind w:left="20" w:right="100" w:firstLine="635"/>
        <w:spacing w:after="0" w:line="255"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record any impairments during the three month periods ended March 31, 2020 and 2019.</w:t>
      </w:r>
    </w:p>
    <w:p>
      <w:pPr>
        <w:spacing w:after="0" w:line="117" w:lineRule="exact"/>
        <w:rPr>
          <w:sz w:val="20"/>
          <w:szCs w:val="20"/>
          <w:color w:val="auto"/>
        </w:rPr>
      </w:pPr>
    </w:p>
    <w:p>
      <w:pPr>
        <w:ind w:left="20" w:right="40" w:firstLine="635"/>
        <w:spacing w:after="0" w:line="259" w:lineRule="auto"/>
        <w:rPr>
          <w:sz w:val="20"/>
          <w:szCs w:val="20"/>
          <w:color w:val="auto"/>
        </w:rPr>
      </w:pPr>
      <w:r>
        <w:rPr>
          <w:rFonts w:ascii="Arial" w:cs="Arial" w:eastAsia="Arial" w:hAnsi="Arial"/>
          <w:sz w:val="18"/>
          <w:szCs w:val="18"/>
          <w:color w:val="auto"/>
        </w:rPr>
        <w:t>As of March 31, 2020, we held 214 fixed income securities with unrealized losses. As of December 31, 2019, we held 88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Net investment income consisted of the following: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6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investment income</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Investment expenses</w:t>
            </w:r>
          </w:p>
        </w:tc>
        <w:tc>
          <w:tcPr>
            <w:tcW w:w="22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Net capital gain (loss) on investments consisted of the following:</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1,515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9"/>
        </w:trPr>
        <w:tc>
          <w:tcPr>
            <w:tcW w:w="8680" w:type="dxa"/>
            <w:vAlign w:val="bottom"/>
          </w:tcPr>
          <w:p>
            <w:pPr>
              <w:ind w:left="260"/>
              <w:spacing w:after="0"/>
              <w:rPr>
                <w:sz w:val="20"/>
                <w:szCs w:val="20"/>
                <w:color w:val="auto"/>
              </w:rPr>
            </w:pPr>
            <w:r>
              <w:rPr>
                <w:rFonts w:ascii="Arial" w:cs="Arial" w:eastAsia="Arial" w:hAnsi="Arial"/>
                <w:sz w:val="18"/>
                <w:szCs w:val="18"/>
                <w:color w:val="auto"/>
              </w:rPr>
              <w:t>Total gross realized gains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realized losses, excluding other-than-temporary impairment losses: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gross realized losses, excluding other-than-temporary impairment losses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(15,934)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Net capital gain (loss) on investments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0" w:right="120" w:firstLine="635"/>
        <w:spacing w:after="0" w:line="263"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March 31, 2020 and December 31, 2019 were fixed income securities.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260" w:firstLine="635"/>
        <w:spacing w:after="0" w:line="296" w:lineRule="auto"/>
        <w:rPr>
          <w:sz w:val="20"/>
          <w:szCs w:val="20"/>
          <w:color w:val="auto"/>
        </w:rPr>
      </w:pPr>
      <w:r>
        <w:rPr>
          <w:rFonts w:ascii="Arial" w:cs="Arial" w:eastAsia="Arial" w:hAnsi="Arial"/>
          <w:sz w:val="16"/>
          <w:szCs w:val="16"/>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March 31, 2020 or December 31, 2019.</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20" w:right="260" w:firstLine="635"/>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19,767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19,767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118,103</w:t>
            </w: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32,312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310,619</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Equity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5,468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10,798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4,780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10,155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56,637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17,546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17,546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56,652</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113,213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113,213</w:t>
            </w:r>
          </w:p>
        </w:tc>
        <w:tc>
          <w:tcPr>
            <w:tcW w:w="12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27,057</w:t>
            </w:r>
          </w:p>
        </w:tc>
        <w:tc>
          <w:tcPr>
            <w:tcW w:w="12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29,991</w:t>
            </w: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Equity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6,996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12,567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5,929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11,863</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09"/>
        </w:trPr>
        <w:tc>
          <w:tcPr>
            <w:tcW w:w="4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ind w:left="340"/>
              <w:spacing w:after="0"/>
              <w:rPr>
                <w:sz w:val="20"/>
                <w:szCs w:val="20"/>
                <w:color w:val="auto"/>
              </w:rPr>
            </w:pPr>
            <w:r>
              <w:rPr>
                <w:rFonts w:ascii="Arial" w:cs="Arial" w:eastAsia="Arial" w:hAnsi="Arial"/>
                <w:sz w:val="18"/>
                <w:szCs w:val="18"/>
                <w:color w:val="auto"/>
              </w:rPr>
              <w:t>Total assets at fair value</w:t>
            </w:r>
          </w:p>
        </w:tc>
        <w:tc>
          <w:tcPr>
            <w:tcW w:w="14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122,064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March 31, 2020 or December 31, 2019.</w:t>
      </w:r>
    </w:p>
    <w:p>
      <w:pPr>
        <w:sectPr>
          <w:pgSz w:w="11900" w:h="16838" w:orient="portrait"/>
          <w:cols w:equalWidth="0" w:num="1">
            <w:col w:w="11240"/>
          </w:cols>
          <w:pgMar w:left="320" w:top="226" w:right="339" w:bottom="144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ind w:left="20" w:right="320" w:firstLine="635"/>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41" w:lineRule="exact"/>
        <w:rPr>
          <w:sz w:val="20"/>
          <w:szCs w:val="20"/>
          <w:color w:val="auto"/>
        </w:rPr>
      </w:pPr>
    </w:p>
    <w:p>
      <w:pPr>
        <w:ind w:left="20" w:right="120" w:firstLine="635"/>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79" w:lineRule="exact"/>
        <w:rPr>
          <w:sz w:val="20"/>
          <w:szCs w:val="20"/>
          <w:color w:val="auto"/>
        </w:rPr>
      </w:pPr>
    </w:p>
    <w:p>
      <w:pPr>
        <w:ind w:left="20" w:right="140" w:firstLine="635"/>
        <w:spacing w:after="0" w:line="259" w:lineRule="auto"/>
        <w:rPr>
          <w:sz w:val="20"/>
          <w:szCs w:val="20"/>
          <w:color w:val="auto"/>
        </w:rPr>
      </w:pPr>
      <w:r>
        <w:rPr>
          <w:rFonts w:ascii="Arial" w:cs="Arial" w:eastAsia="Arial" w:hAnsi="Arial"/>
          <w:sz w:val="18"/>
          <w:szCs w:val="18"/>
          <w:color w:val="auto"/>
        </w:rPr>
        <w:t>As a group, during the three month period ended March 31, 2020, the Company retained the first $10,000 of weather-related losses from catastrophic events and had reinsurance under various reinsurance agreements up to $97,000 in excess of its $10,000 retained risk. During the year ended December 31, 2019, the Company retained the first $10,000 of weather-related losses from catastrophic events and had reinsurance under various reinsurance agreements up to $78,600 in excess of its $10,000 retained risk.</w:t>
      </w:r>
    </w:p>
    <w:p>
      <w:pPr>
        <w:spacing w:after="0" w:line="79" w:lineRule="exact"/>
        <w:rPr>
          <w:sz w:val="20"/>
          <w:szCs w:val="20"/>
          <w:color w:val="auto"/>
        </w:rPr>
      </w:pPr>
    </w:p>
    <w:p>
      <w:pPr>
        <w:ind w:left="20" w:right="140" w:firstLine="635"/>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ectPr>
          <w:pgSz w:w="11900" w:h="16838" w:orient="portrait"/>
          <w:cols w:equalWidth="0" w:num="1">
            <w:col w:w="11200"/>
          </w:cols>
          <w:pgMar w:left="320" w:top="226" w:right="379" w:bottom="1440" w:gutter="0" w:footer="0" w:header="0"/>
        </w:sectPr>
      </w:pPr>
    </w:p>
    <w:p>
      <w:pPr>
        <w:spacing w:after="0" w:line="84"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A reconciliation of direct to net premiums on both a written and an earned basis is as follows: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Ceded premium</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Percentage of assumed earned premium to direct earned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Ceded premium</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Percentage of assumed earned premium to direct earned premium</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Three Months Ended March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164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rPr>
              <w:t>Premiums Written</w:t>
            </w:r>
          </w:p>
        </w:tc>
        <w:tc>
          <w:tcPr>
            <w:tcW w:w="146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w w:val="94"/>
              </w:rPr>
              <w:t>Premiums Earned</w:t>
            </w: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62,972</w:t>
            </w:r>
          </w:p>
        </w:tc>
        <w:tc>
          <w:tcPr>
            <w:tcW w:w="220" w:type="dxa"/>
            <w:vAlign w:val="bottom"/>
          </w:tcPr>
          <w:p>
            <w:pPr>
              <w:spacing w:after="0"/>
              <w:rPr>
                <w:sz w:val="16"/>
                <w:szCs w:val="16"/>
                <w:color w:val="auto"/>
              </w:rPr>
            </w:pPr>
          </w:p>
        </w:tc>
        <w:tc>
          <w:tcPr>
            <w:tcW w:w="5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62,393</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(5,170)</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(5,221)</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08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3"/>
              </w:rPr>
              <w:t>Three Months Ended March 31, 2019</w:t>
            </w:r>
          </w:p>
        </w:tc>
      </w:tr>
      <w:tr>
        <w:trPr>
          <w:trHeight w:val="223"/>
        </w:trPr>
        <w:tc>
          <w:tcPr>
            <w:tcW w:w="20" w:type="dxa"/>
            <w:vAlign w:val="bottom"/>
          </w:tcPr>
          <w:p>
            <w:pPr>
              <w:spacing w:after="0"/>
              <w:rPr>
                <w:sz w:val="19"/>
                <w:szCs w:val="19"/>
                <w:color w:val="auto"/>
              </w:rPr>
            </w:pPr>
          </w:p>
        </w:tc>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Premiums Earned</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55,653</w:t>
            </w:r>
          </w:p>
        </w:tc>
        <w:tc>
          <w:tcPr>
            <w:tcW w:w="220" w:type="dxa"/>
            <w:vAlign w:val="bottom"/>
          </w:tcPr>
          <w:p>
            <w:pPr>
              <w:spacing w:after="0"/>
              <w:rPr>
                <w:sz w:val="16"/>
                <w:szCs w:val="16"/>
                <w:color w:val="auto"/>
              </w:rPr>
            </w:pPr>
          </w:p>
        </w:tc>
        <w:tc>
          <w:tcPr>
            <w:tcW w:w="5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52,253</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(2,773)</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(2,773)</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2">
            <w:col w:w="7400" w:space="700"/>
            <w:col w:w="3100"/>
          </w:cols>
          <w:pgMar w:left="320" w:top="226" w:right="379" w:bottom="1440" w:gutter="0" w:footer="0" w:header="0"/>
          <w:type w:val="continuous"/>
        </w:sectPr>
      </w:pPr>
    </w:p>
    <w:p>
      <w:pPr>
        <w:jc w:val="center"/>
        <w:ind w:right="-9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type w:val="continuous"/>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240"/>
          </w:cols>
          <w:pgMar w:left="320" w:top="226" w:right="339" w:bottom="1440" w:gutter="0" w:footer="0" w:header="0"/>
        </w:sect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direct to net losses and loss adjustment expenses is as follows: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u w:val="single" w:color="auto"/>
          <w:color w:val="auto"/>
        </w:rPr>
        <w:t>Three Months Ended March 31,</w:t>
      </w:r>
    </w:p>
    <w:p>
      <w:pPr>
        <w:spacing w:after="0" w:line="59"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p>
      <w:pPr>
        <w:spacing w:after="0"/>
        <w:tabs>
          <w:tab w:leader="none" w:pos="580" w:val="left"/>
          <w:tab w:leader="none" w:pos="1320" w:val="left"/>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33,892</w:t>
        <w:tab/>
        <w:t>$</w:t>
      </w:r>
      <w:r>
        <w:rPr>
          <w:sz w:val="20"/>
          <w:szCs w:val="20"/>
          <w:color w:val="auto"/>
        </w:rPr>
        <w:tab/>
      </w:r>
      <w:r>
        <w:rPr>
          <w:rFonts w:ascii="Arial" w:cs="Arial" w:eastAsia="Arial" w:hAnsi="Arial"/>
          <w:sz w:val="16"/>
          <w:szCs w:val="16"/>
          <w:color w:val="auto"/>
        </w:rPr>
        <w:t>26,631</w:t>
      </w:r>
    </w:p>
    <w:p>
      <w:pPr>
        <w:spacing w:after="0" w:line="23" w:lineRule="exact"/>
        <w:rPr>
          <w:sz w:val="20"/>
          <w:szCs w:val="20"/>
          <w:color w:val="auto"/>
        </w:rPr>
      </w:pPr>
    </w:p>
    <w:p>
      <w:pPr>
        <w:ind w:left="2180" w:hanging="1348"/>
        <w:spacing w:after="0"/>
        <w:tabs>
          <w:tab w:leader="none" w:pos="2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443</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(3,778)</w:t>
      </w:r>
      <w:r>
        <w:rPr>
          <w:rFonts w:ascii="Arial" w:cs="Arial" w:eastAsia="Arial" w:hAnsi="Arial"/>
          <w:sz w:val="17"/>
          <w:szCs w:val="17"/>
          <w:color w:val="auto"/>
        </w:rPr>
        <w:t>(840)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5" w:lineRule="exact"/>
        <w:rPr>
          <w:sz w:val="20"/>
          <w:szCs w:val="20"/>
          <w:color w:val="auto"/>
        </w:rPr>
      </w:pPr>
    </w:p>
    <w:p>
      <w:pPr>
        <w:spacing w:after="0"/>
        <w:tabs>
          <w:tab w:leader="none" w:pos="580" w:val="left"/>
          <w:tab w:leader="none" w:pos="1320" w:val="left"/>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30,422</w:t>
        <w:tab/>
        <w:t>$</w:t>
      </w:r>
      <w:r>
        <w:rPr>
          <w:sz w:val="20"/>
          <w:szCs w:val="20"/>
          <w:color w:val="auto"/>
        </w:rPr>
        <w:tab/>
      </w:r>
      <w:r>
        <w:rPr>
          <w:rFonts w:ascii="Arial" w:cs="Arial" w:eastAsia="Arial" w:hAnsi="Arial"/>
          <w:sz w:val="16"/>
          <w:szCs w:val="16"/>
          <w:color w:val="auto"/>
        </w:rPr>
        <w:t>26,234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0195" cy="2540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p>
      <w:pPr>
        <w:ind w:left="20" w:right="80" w:firstLine="635"/>
        <w:spacing w:after="0" w:line="277" w:lineRule="auto"/>
        <w:rPr>
          <w:sz w:val="20"/>
          <w:szCs w:val="20"/>
          <w:color w:val="auto"/>
        </w:rPr>
      </w:pPr>
      <w:r>
        <w:rPr>
          <w:rFonts w:ascii="Arial" w:cs="Arial" w:eastAsia="Arial" w:hAnsi="Arial"/>
          <w:sz w:val="18"/>
          <w:szCs w:val="18"/>
          <w:color w:val="auto"/>
        </w:rPr>
        <w:t>If 100% of our ceded reinsurance was cancelled as of March 31, 2020 or December 31, 2019, no ceded commissions would need to be returned to the reinsurers. Reinsurance contracts are typically effective from January 1 through December 31 each year.</w:t>
      </w:r>
    </w:p>
    <w:p>
      <w:pPr>
        <w:spacing w:after="0" w:line="38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was as follows:</w:t>
      </w:r>
    </w:p>
    <w:p>
      <w:pPr>
        <w:spacing w:after="0" w:line="127" w:lineRule="exact"/>
        <w:rPr>
          <w:sz w:val="20"/>
          <w:szCs w:val="20"/>
          <w:color w:val="auto"/>
        </w:rPr>
      </w:pPr>
    </w:p>
    <w:p>
      <w:pPr>
        <w:jc w:val="center"/>
        <w:ind w:left="8540"/>
        <w:spacing w:after="0"/>
        <w:rPr>
          <w:sz w:val="20"/>
          <w:szCs w:val="20"/>
          <w:color w:val="auto"/>
        </w:rPr>
      </w:pPr>
      <w:r>
        <w:rPr>
          <w:rFonts w:ascii="Arial" w:cs="Arial" w:eastAsia="Arial" w:hAnsi="Arial"/>
          <w:sz w:val="17"/>
          <w:szCs w:val="17"/>
          <w:b w:val="1"/>
          <w:bCs w:val="1"/>
          <w:u w:val="single" w:color="auto"/>
          <w:color w:val="auto"/>
        </w:rPr>
        <w:t>Three Months Ended March 31,</w:t>
      </w:r>
    </w:p>
    <w:p>
      <w:pPr>
        <w:spacing w:after="0" w:line="48" w:lineRule="exact"/>
        <w:rPr>
          <w:sz w:val="20"/>
          <w:szCs w:val="20"/>
          <w:color w:val="auto"/>
        </w:rPr>
      </w:pPr>
    </w:p>
    <w:p>
      <w:pPr>
        <w:ind w:left="9040"/>
        <w:spacing w:after="0"/>
        <w:tabs>
          <w:tab w:leader="none" w:pos="10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Deferral of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 of deferred policy acquisition 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end of period</w:t>
      </w: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Activity in the liability for unpaid losses and loss adjustment expenses is summarized as follows: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15,399</w:t>
            </w:r>
          </w:p>
        </w:tc>
        <w:tc>
          <w:tcPr>
            <w:tcW w:w="360" w:type="dxa"/>
            <w:vAlign w:val="bottom"/>
          </w:tcPr>
          <w:p>
            <w:pPr>
              <w:jc w:val="right"/>
              <w:ind w:right="170"/>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12,866</w:t>
            </w:r>
          </w:p>
        </w:tc>
        <w:tc>
          <w:tcPr>
            <w:tcW w:w="40" w:type="dxa"/>
            <w:vAlign w:val="bottom"/>
          </w:tcPr>
          <w:p>
            <w:pPr>
              <w:spacing w:after="0"/>
              <w:rPr>
                <w:sz w:val="15"/>
                <w:szCs w:val="15"/>
                <w:color w:val="auto"/>
              </w:rPr>
            </w:pPr>
          </w:p>
        </w:tc>
      </w:tr>
      <w:tr>
        <w:trPr>
          <w:trHeight w:val="216"/>
        </w:trPr>
        <w:tc>
          <w:tcPr>
            <w:tcW w:w="3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13,152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11,147</w:t>
            </w:r>
          </w:p>
        </w:tc>
        <w:tc>
          <w:tcPr>
            <w:tcW w:w="40" w:type="dxa"/>
            <w:vAlign w:val="bottom"/>
          </w:tcPr>
          <w:p>
            <w:pPr>
              <w:spacing w:after="0"/>
              <w:rPr>
                <w:sz w:val="18"/>
                <w:szCs w:val="18"/>
                <w:color w:val="auto"/>
              </w:rPr>
            </w:pPr>
          </w:p>
        </w:tc>
      </w:tr>
      <w:tr>
        <w:trPr>
          <w:trHeight w:val="244"/>
        </w:trPr>
        <w:tc>
          <w:tcPr>
            <w:tcW w:w="3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(9,387)</w:t>
            </w: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(9,222)</w:t>
            </w:r>
          </w:p>
        </w:tc>
      </w:tr>
      <w:tr>
        <w:trPr>
          <w:trHeight w:val="223"/>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19,164</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40" w:type="dxa"/>
            <w:vAlign w:val="bottom"/>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u w:val="single" w:color="auto"/>
          <w:color w:val="auto"/>
        </w:rPr>
        <w:t>Three Months Ended March 31,</w:t>
      </w:r>
    </w:p>
    <w:p>
      <w:pPr>
        <w:spacing w:after="0" w:line="59"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93,250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87,121</w:t>
            </w:r>
          </w:p>
        </w:tc>
      </w:tr>
      <w:tr>
        <w:trPr>
          <w:trHeight w:val="230"/>
        </w:trPr>
        <w:tc>
          <w:tcPr>
            <w:tcW w:w="3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4,045</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20"/>
                <w:szCs w:val="20"/>
                <w:color w:val="auto"/>
              </w:rPr>
            </w:pPr>
          </w:p>
        </w:tc>
      </w:t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incurred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2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Incurred related to:</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31,203</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(4,969)</w:t>
            </w:r>
          </w:p>
        </w:tc>
      </w:tr>
      <w:tr>
        <w:trPr>
          <w:trHeight w:val="210"/>
        </w:trPr>
        <w:tc>
          <w:tcPr>
            <w:tcW w:w="86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incurred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30,422</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12,532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11,064</w:t>
            </w:r>
          </w:p>
        </w:tc>
        <w:tc>
          <w:tcPr>
            <w:tcW w:w="2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26,330</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17,642</w:t>
            </w:r>
          </w:p>
        </w:tc>
      </w:t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38,862</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28,706</w:t>
            </w:r>
          </w:p>
        </w:tc>
      </w:tr>
      <w:tr>
        <w:trPr>
          <w:trHeight w:val="641"/>
        </w:trPr>
        <w:tc>
          <w:tcPr>
            <w:tcW w:w="34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97,400</w:t>
            </w:r>
          </w:p>
        </w:tc>
        <w:tc>
          <w:tcPr>
            <w:tcW w:w="3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85,560</w:t>
            </w:r>
          </w:p>
        </w:tc>
      </w:tr>
      <w:tr>
        <w:trPr>
          <w:trHeight w:val="230"/>
        </w:trPr>
        <w:tc>
          <w:tcPr>
            <w:tcW w:w="3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8,067</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20"/>
                <w:szCs w:val="20"/>
                <w:color w:val="auto"/>
              </w:rPr>
            </w:pPr>
          </w:p>
        </w:tc>
      </w:tr>
      <w:tr>
        <w:trPr>
          <w:trHeight w:val="223"/>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89,333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82,417</w:t>
            </w:r>
          </w:p>
        </w:tc>
        <w:tc>
          <w:tcPr>
            <w:tcW w:w="20" w:type="dxa"/>
            <w:vAlign w:val="bottom"/>
            <w:tcBorders>
              <w:bottom w:val="single" w:sz="8" w:color="auto"/>
            </w:tcBorders>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p>
      <w:pPr>
        <w:spacing w:after="0" w:line="110" w:lineRule="exact"/>
        <w:rPr>
          <w:sz w:val="20"/>
          <w:szCs w:val="20"/>
          <w:color w:val="auto"/>
        </w:rPr>
      </w:pPr>
    </w:p>
    <w:p>
      <w:pPr>
        <w:ind w:left="20" w:right="140" w:firstLine="635"/>
        <w:spacing w:after="0" w:line="263" w:lineRule="auto"/>
        <w:rPr>
          <w:sz w:val="20"/>
          <w:szCs w:val="20"/>
          <w:color w:val="auto"/>
        </w:rPr>
      </w:pPr>
      <w:r>
        <w:rPr>
          <w:rFonts w:ascii="Arial" w:cs="Arial" w:eastAsia="Arial" w:hAnsi="Arial"/>
          <w:sz w:val="18"/>
          <w:szCs w:val="18"/>
          <w:color w:val="auto"/>
        </w:rPr>
        <w:t>During the three months ended March 31, 2020, the Company’s reported losses and LAE included $510 of net unfavorable development on prior accident years, compared to $4,969 of net favorable development on prior accident years during the three months ended March 31, 2019. Increases and decreases are generally the result of ongoing analysis of loss development trends. As</w:t>
      </w:r>
    </w:p>
    <w:p>
      <w:pPr>
        <w:sectPr>
          <w:pgSz w:w="11900" w:h="16838" w:orient="portrait"/>
          <w:cols w:equalWidth="0" w:num="1">
            <w:col w:w="11240"/>
          </w:cols>
          <w:pgMar w:left="320" w:top="226" w:right="339" w:bottom="1440" w:gutter="0" w:footer="0" w:header="0"/>
          <w:type w:val="continuous"/>
        </w:sectPr>
      </w:pP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20" w:right="440"/>
        <w:spacing w:after="0" w:line="263" w:lineRule="auto"/>
        <w:rPr>
          <w:sz w:val="20"/>
          <w:szCs w:val="20"/>
          <w:color w:val="auto"/>
        </w:rPr>
      </w:pPr>
      <w:r>
        <w:rPr>
          <w:rFonts w:ascii="Arial" w:cs="Arial" w:eastAsia="Arial" w:hAnsi="Arial"/>
          <w:sz w:val="18"/>
          <w:szCs w:val="18"/>
          <w:color w:val="auto"/>
        </w:rPr>
        <w:t>additional information becomes known regarding individual claims, original estimates are increased or decreased accordingly. The net unfavorable development reported for the three months ended March 31, 2020 was attributable to our multi-peril crop insurance business from the 2019 crop year, partially offset by net favorable development in other segments.</w:t>
      </w:r>
    </w:p>
    <w:p>
      <w:pPr>
        <w:spacing w:after="0" w:line="7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March 31, 2020</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90"/>
              </w:rPr>
              <w:t>Estimated Useful Life</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15,014</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12,733</w:t>
            </w:r>
          </w:p>
        </w:tc>
        <w:tc>
          <w:tcPr>
            <w:tcW w:w="1680" w:type="dxa"/>
            <w:vAlign w:val="bottom"/>
          </w:tcPr>
          <w:p>
            <w:pPr>
              <w:jc w:val="right"/>
              <w:spacing w:after="0"/>
              <w:rPr>
                <w:sz w:val="20"/>
                <w:szCs w:val="20"/>
                <w:color w:val="auto"/>
              </w:rPr>
            </w:pPr>
            <w:r>
              <w:rPr>
                <w:rFonts w:ascii="Arial" w:cs="Arial" w:eastAsia="Arial" w:hAnsi="Arial"/>
                <w:sz w:val="18"/>
                <w:szCs w:val="18"/>
                <w:color w:val="auto"/>
              </w:rPr>
              <w:t>10 - 31 years</w:t>
            </w: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data processing equipment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2,944</w:t>
            </w: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2,796</w:t>
            </w:r>
          </w:p>
        </w:tc>
        <w:tc>
          <w:tcPr>
            <w:tcW w:w="168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10"/>
        </w:trPr>
        <w:tc>
          <w:tcPr>
            <w:tcW w:w="6480" w:type="dxa"/>
            <w:vAlign w:val="bottom"/>
          </w:tcPr>
          <w:p>
            <w:pPr>
              <w:ind w:left="340"/>
              <w:spacing w:after="0"/>
              <w:rPr>
                <w:sz w:val="20"/>
                <w:szCs w:val="20"/>
                <w:color w:val="auto"/>
              </w:rPr>
            </w:pPr>
            <w:r>
              <w:rPr>
                <w:rFonts w:ascii="Arial" w:cs="Arial" w:eastAsia="Arial" w:hAnsi="Arial"/>
                <w:sz w:val="18"/>
                <w:szCs w:val="18"/>
                <w:color w:val="auto"/>
              </w:rPr>
              <w:t>Gross cost</w:t>
            </w: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20,544</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(10,424)</w:t>
            </w:r>
          </w:p>
        </w:tc>
        <w:tc>
          <w:tcPr>
            <w:tcW w:w="4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(10,236)</w:t>
            </w:r>
          </w:p>
        </w:tc>
        <w:tc>
          <w:tcPr>
            <w:tcW w:w="1680" w:type="dxa"/>
            <w:vAlign w:val="bottom"/>
          </w:tcPr>
          <w:p>
            <w:pPr>
              <w:spacing w:after="0"/>
              <w:rPr>
                <w:sz w:val="19"/>
                <w:szCs w:val="19"/>
                <w:color w:val="auto"/>
              </w:rPr>
            </w:pPr>
          </w:p>
        </w:tc>
      </w:tr>
      <w:tr>
        <w:trPr>
          <w:trHeight w:val="223"/>
        </w:trPr>
        <w:tc>
          <w:tcPr>
            <w:tcW w:w="6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$187 and $142 for the three months ended March 31, 2020 and 2019, respectively.</w:t>
      </w:r>
    </w:p>
    <w:p>
      <w:pPr>
        <w:spacing w:after="0" w:line="200" w:lineRule="exact"/>
        <w:rPr>
          <w:sz w:val="20"/>
          <w:szCs w:val="20"/>
          <w:color w:val="auto"/>
        </w:rPr>
      </w:pP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Goodwill and Other Intangibles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goodwill by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March 31, 2020</w:t>
            </w:r>
          </w:p>
        </w:tc>
        <w:tc>
          <w:tcPr>
            <w:tcW w:w="1740" w:type="dxa"/>
            <w:vAlign w:val="bottom"/>
            <w:gridSpan w:val="7"/>
          </w:tcPr>
          <w:p>
            <w:pPr>
              <w:ind w:left="180"/>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2,628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spacing w:after="0"/>
              <w:rPr>
                <w:sz w:val="20"/>
                <w:szCs w:val="20"/>
                <w:color w:val="auto"/>
              </w:rPr>
            </w:pPr>
            <w:r>
              <w:rPr>
                <w:rFonts w:ascii="Arial" w:cs="Arial" w:eastAsia="Arial" w:hAnsi="Arial"/>
                <w:sz w:val="18"/>
                <w:szCs w:val="18"/>
                <w:color w:val="auto"/>
              </w:rPr>
              <w:t>Commercial from acquisition of Westminster</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w w:val="93"/>
              </w:rPr>
              <w:t>7,044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9,672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660"/>
              <w:spacing w:after="0"/>
              <w:rPr>
                <w:sz w:val="20"/>
                <w:szCs w:val="20"/>
                <w:color w:val="auto"/>
              </w:rPr>
            </w:pPr>
            <w:r>
              <w:rPr>
                <w:rFonts w:ascii="Arial" w:cs="Arial" w:eastAsia="Arial" w:hAnsi="Arial"/>
                <w:sz w:val="18"/>
                <w:szCs w:val="18"/>
                <w:b w:val="1"/>
                <w:bCs w:val="1"/>
                <w:i w:val="1"/>
                <w:iCs w:val="1"/>
                <w:color w:val="auto"/>
              </w:rPr>
              <w:t>Other Intangible Assets</w:t>
            </w: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ind w:left="660"/>
              <w:spacing w:after="0"/>
              <w:rPr>
                <w:sz w:val="20"/>
                <w:szCs w:val="20"/>
                <w:color w:val="auto"/>
              </w:rPr>
            </w:pPr>
            <w:r>
              <w:rPr>
                <w:rFonts w:ascii="Arial" w:cs="Arial" w:eastAsia="Arial" w:hAnsi="Arial"/>
                <w:sz w:val="18"/>
                <w:szCs w:val="18"/>
                <w:color w:val="auto"/>
                <w:w w:val="94"/>
              </w:rPr>
              <w:t>The following table presents the carrying amount of the Company’s other intangible assets: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Gross Carrying</w:t>
            </w:r>
          </w:p>
        </w:tc>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748</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Value of business acquired</w:t>
            </w:r>
          </w:p>
        </w:tc>
        <w:tc>
          <w:tcPr>
            <w:tcW w:w="20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4,177</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1,762</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subject to amortization</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1,946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1,900</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13,525</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1,946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Gross Carrying</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Amortization</w:t>
            </w:r>
          </w:p>
        </w:tc>
        <w:tc>
          <w:tcPr>
            <w:tcW w:w="22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w:t>
            </w:r>
          </w:p>
        </w:tc>
      </w:tr>
      <w:tr>
        <w:trPr>
          <w:trHeight w:val="210"/>
        </w:trPr>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460" w:type="dxa"/>
            <w:vAlign w:val="bottom"/>
          </w:tcPr>
          <w:p>
            <w:pPr>
              <w:jc w:val="right"/>
              <w:ind w:right="29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29"/>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Total subject to amortization</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80" w:type="dxa"/>
            <w:vAlign w:val="bottom"/>
            <w:gridSpan w:val="2"/>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74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$1,882 and $1,135 for the three months ended March 31, 2020 and 2019, respectively.</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20" w:right="240" w:firstLine="635"/>
        <w:spacing w:after="0" w:line="279" w:lineRule="auto"/>
        <w:rPr>
          <w:sz w:val="20"/>
          <w:szCs w:val="20"/>
          <w:color w:val="auto"/>
        </w:rPr>
      </w:pPr>
      <w:r>
        <w:rPr>
          <w:rFonts w:ascii="Arial" w:cs="Arial" w:eastAsia="Arial" w:hAnsi="Arial"/>
          <w:sz w:val="17"/>
          <w:szCs w:val="17"/>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$336 and $324 during the three months ended March 31, 2020 and 2019, respectively. Royalty amounts payable of $124 and $115 were accrued as a liability to the NDFB at March 31, 2020 and December 31, 2019, respectively.</w:t>
      </w:r>
    </w:p>
    <w:p>
      <w:pPr>
        <w:spacing w:after="0" w:line="63" w:lineRule="exact"/>
        <w:rPr>
          <w:sz w:val="20"/>
          <w:szCs w:val="20"/>
          <w:color w:val="auto"/>
        </w:rPr>
      </w:pPr>
    </w:p>
    <w:p>
      <w:pPr>
        <w:ind w:left="20" w:right="100" w:firstLine="635"/>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2019 exceeded the amount of statutory capital and surplus necessary to satisfy regulatory requirements, including the RBC requirements, by a significant margin.</w:t>
      </w:r>
    </w:p>
    <w:p>
      <w:pPr>
        <w:spacing w:after="0" w:line="68" w:lineRule="exact"/>
        <w:rPr>
          <w:sz w:val="20"/>
          <w:szCs w:val="20"/>
          <w:color w:val="auto"/>
        </w:rPr>
      </w:pPr>
    </w:p>
    <w:p>
      <w:pPr>
        <w:ind w:left="20" w:right="40" w:firstLine="635"/>
        <w:spacing w:after="0" w:line="272" w:lineRule="auto"/>
        <w:rPr>
          <w:sz w:val="20"/>
          <w:szCs w:val="20"/>
          <w:color w:val="auto"/>
        </w:rPr>
      </w:pPr>
      <w:r>
        <w:rPr>
          <w:rFonts w:ascii="Arial" w:cs="Arial" w:eastAsia="Arial" w:hAnsi="Arial"/>
          <w:sz w:val="17"/>
          <w:szCs w:val="17"/>
          <w:color w:val="auto"/>
        </w:rPr>
        <w:t>The amount available for payment of dividends from Nodak Insurance to NI Holdings during 2020 without the prior approval of the North Dakota Insurance Department is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three months ended March 31, 2020 or the year ended December 31, 2019.</w:t>
      </w:r>
    </w:p>
    <w:p>
      <w:pPr>
        <w:spacing w:after="0" w:line="69" w:lineRule="exact"/>
        <w:rPr>
          <w:sz w:val="20"/>
          <w:szCs w:val="20"/>
          <w:color w:val="auto"/>
        </w:rPr>
      </w:pPr>
    </w:p>
    <w:p>
      <w:pPr>
        <w:ind w:left="20" w:right="40" w:firstLine="635"/>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2020 without the prior approval of the Illinois Department of Insurance is $6,881 based upon the statutory net income of Direct Auto for the year ended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three months ended March 31, 2020 or the year ended December 31, 2019.</w:t>
      </w:r>
    </w:p>
    <w:p>
      <w:pPr>
        <w:spacing w:after="0" w:line="58" w:lineRule="exact"/>
        <w:rPr>
          <w:sz w:val="20"/>
          <w:szCs w:val="20"/>
          <w:color w:val="auto"/>
        </w:rPr>
      </w:pPr>
    </w:p>
    <w:p>
      <w:pPr>
        <w:ind w:left="20" w:right="100" w:firstLine="635"/>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2020 without the prior approval of the Maryland Insurance Administration is $636 based upon the statutory net investment income of Westminster for the year ended December 31, 2019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three months ended March 31, 2020.</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2019</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 (overdraft)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(716)</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4,801</w:t>
            </w:r>
          </w:p>
        </w:tc>
        <w:tc>
          <w:tcPr>
            <w:tcW w:w="80" w:type="dxa"/>
            <w:vAlign w:val="bottom"/>
          </w:tcPr>
          <w:p>
            <w:pPr>
              <w:spacing w:after="0"/>
              <w:rPr>
                <w:sz w:val="18"/>
                <w:szCs w:val="18"/>
                <w:color w:val="auto"/>
              </w:rPr>
            </w:pPr>
          </w:p>
        </w:tc>
      </w:tr>
      <w:tr>
        <w:trPr>
          <w:trHeight w:val="257"/>
        </w:trPr>
        <w:tc>
          <w:tcPr>
            <w:tcW w:w="824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26,907</w:t>
            </w: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26,330</w:t>
            </w:r>
          </w:p>
        </w:tc>
        <w:tc>
          <w:tcPr>
            <w:tcW w:w="80" w:type="dxa"/>
            <w:vAlign w:val="bottom"/>
            <w:shd w:val="clear" w:color="auto" w:fill="CCEEFF"/>
          </w:tcPr>
          <w:p>
            <w:pPr>
              <w:spacing w:after="0"/>
              <w:rPr>
                <w:sz w:val="22"/>
                <w:szCs w:val="22"/>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Accrued investment income</w:t>
            </w: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asset, net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r>
      <w:tr>
        <w:trPr>
          <w:trHeight w:val="263"/>
        </w:trPr>
        <w:tc>
          <w:tcPr>
            <w:tcW w:w="8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11,221</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10,622</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15,686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15,708</w:t>
            </w:r>
          </w:p>
        </w:tc>
        <w:tc>
          <w:tcPr>
            <w:tcW w:w="80" w:type="dxa"/>
            <w:vAlign w:val="bottom"/>
          </w:tcPr>
          <w:p>
            <w:pPr>
              <w:spacing w:after="0"/>
              <w:rPr>
                <w:sz w:val="18"/>
                <w:szCs w:val="18"/>
                <w:color w:val="auto"/>
              </w:rPr>
            </w:pPr>
          </w:p>
        </w:tc>
      </w:tr>
      <w:tr>
        <w:trPr>
          <w:trHeight w:val="257"/>
        </w:trPr>
        <w:tc>
          <w:tcPr>
            <w:tcW w:w="824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22"/>
                <w:szCs w:val="22"/>
                <w:color w:val="auto"/>
              </w:rPr>
            </w:pPr>
          </w:p>
        </w:tc>
      </w:tr>
      <w:tr>
        <w:trPr>
          <w:trHeight w:val="257"/>
        </w:trPr>
        <w:tc>
          <w:tcPr>
            <w:tcW w:w="824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4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1,706</w:t>
            </w:r>
          </w:p>
        </w:tc>
        <w:tc>
          <w:tcPr>
            <w:tcW w:w="80" w:type="dxa"/>
            <w:vAlign w:val="bottom"/>
          </w:tcPr>
          <w:p>
            <w:pPr>
              <w:spacing w:after="0"/>
              <w:rPr>
                <w:sz w:val="22"/>
                <w:szCs w:val="22"/>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9"/>
                <w:szCs w:val="19"/>
                <w:color w:val="auto"/>
              </w:rPr>
            </w:pPr>
          </w:p>
        </w:tc>
      </w:tr>
      <w:tr>
        <w:trPr>
          <w:trHeight w:val="210"/>
        </w:trPr>
        <w:tc>
          <w:tcPr>
            <w:tcW w:w="8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Equity:</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3,459</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9"/>
                <w:szCs w:val="19"/>
                <w:color w:val="auto"/>
              </w:rPr>
            </w:pPr>
          </w:p>
        </w:tc>
      </w:tr>
      <w:tr>
        <w:trPr>
          <w:trHeight w:val="210"/>
        </w:trPr>
        <w:tc>
          <w:tcPr>
            <w:tcW w:w="8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Total liabilities and equity</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38,175</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35,845</w:t>
            </w:r>
          </w:p>
        </w:tc>
        <w:tc>
          <w:tcPr>
            <w:tcW w:w="80" w:type="dxa"/>
            <w:vAlign w:val="bottom"/>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0" w:hanging="43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eliminated in consolidation.</w:t>
      </w:r>
    </w:p>
    <w:p>
      <w:pPr>
        <w:spacing w:after="0" w:line="117" w:lineRule="exact"/>
        <w:rPr>
          <w:sz w:val="20"/>
          <w:szCs w:val="20"/>
          <w:color w:val="auto"/>
        </w:rPr>
      </w:pPr>
    </w:p>
    <w:p>
      <w:pPr>
        <w:ind w:left="20" w:right="160" w:firstLine="635"/>
        <w:spacing w:after="0" w:line="263"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$42 and $31, respectively, during the three months ended March 31, 2020 and 2019, respectively. There were no statutory-basis expenses reported, after intercompany eliminations, during the three months ended March 31, 2020 and 2019.</w:t>
      </w:r>
    </w:p>
    <w:p>
      <w:pPr>
        <w:spacing w:after="0" w:line="39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ind w:left="20" w:right="40" w:firstLine="635"/>
        <w:spacing w:after="0" w:line="263" w:lineRule="auto"/>
        <w:rPr>
          <w:sz w:val="20"/>
          <w:szCs w:val="20"/>
          <w:color w:val="auto"/>
        </w:rPr>
      </w:pPr>
      <w:r>
        <w:rPr>
          <w:rFonts w:ascii="Arial" w:cs="Arial" w:eastAsia="Arial" w:hAnsi="Arial"/>
          <w:sz w:val="18"/>
          <w:szCs w:val="18"/>
          <w:color w:val="auto"/>
        </w:rPr>
        <w:t>The Company sponsors a money purchase plan that covers all Nodak Insurance eligible employees, and Westminster sponsors a profit sharing plan. Plan costs are funded annually as they are earned. The Company reported expenses related to the money purchase plan totaling $219 and $199 during the three months ended March 31, 2020 and 2019, respectively.</w:t>
      </w:r>
    </w:p>
    <w:p>
      <w:pPr>
        <w:spacing w:after="0" w:line="76" w:lineRule="exact"/>
        <w:rPr>
          <w:sz w:val="20"/>
          <w:szCs w:val="20"/>
          <w:color w:val="auto"/>
        </w:rPr>
      </w:pPr>
    </w:p>
    <w:p>
      <w:pPr>
        <w:ind w:left="20" w:right="160" w:firstLine="635"/>
        <w:spacing w:after="0" w:line="311" w:lineRule="auto"/>
        <w:rPr>
          <w:sz w:val="20"/>
          <w:szCs w:val="20"/>
          <w:color w:val="auto"/>
        </w:rPr>
      </w:pPr>
      <w:r>
        <w:rPr>
          <w:rFonts w:ascii="Arial" w:cs="Arial" w:eastAsia="Arial" w:hAnsi="Arial"/>
          <w:sz w:val="16"/>
          <w:szCs w:val="16"/>
          <w:color w:val="auto"/>
        </w:rPr>
        <w:t>The Company also sponsors a 401(k) plan with an automatic contribution to all eligible employees and a matching contribution for eligible employees of 50% up to 3% of eligible compensation. The Company reported expenses related to the 401(k) plan totaling $144 and $139 during the three months ended March 31, 2020 and 2019, respectively. All fees associated with both plans are deducted from the eligible employee accounts.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left="20" w:right="20" w:firstLine="635"/>
        <w:spacing w:after="0" w:line="257" w:lineRule="auto"/>
        <w:rPr>
          <w:sz w:val="20"/>
          <w:szCs w:val="20"/>
          <w:color w:val="auto"/>
        </w:rPr>
      </w:pPr>
      <w:r>
        <w:rPr>
          <w:rFonts w:ascii="Arial" w:cs="Arial" w:eastAsia="Arial" w:hAnsi="Arial"/>
          <w:sz w:val="18"/>
          <w:szCs w:val="18"/>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$14 and $13 during the three months ended March 31, 2020 and 2019, respectively.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ectPr>
          <w:pgSz w:w="11900" w:h="16838" w:orient="portrait"/>
          <w:cols w:equalWidth="0" w:num="1">
            <w:col w:w="11240"/>
          </w:cols>
          <w:pgMar w:left="320" w:top="226" w:right="339" w:bottom="1440" w:gutter="0" w:footer="0" w:header="0"/>
        </w:sectPr>
      </w:pP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30" w:name="page31"/>
    <w:bookmarkEnd w:id="3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4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Direct Auto, and Westminster do not participate in the ESOP. American West and Battle Creek have no employees.</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6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recognized compensation expense of $89 and $94 during the three months ended March 31, 2020 and 2019, respectively, related to the ESOP.</w:t>
      </w:r>
    </w:p>
    <w:p>
      <w:pPr>
        <w:spacing w:after="0" w:line="13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Through March 31, 2020 and December 31, 2019, the Company had released and allocated 72,945 ESOP shares to participants, with a remainder of 167,055 ESOP shares in suspense at March 31, 2020 and December 31, 2019. Using the Company’s quarter-end market price of $13.56 per share, the fair value of the unearned ESOP shares was $2,265 at March 31, 2020.</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1" w:name="page32"/>
    <w:bookmarkEnd w:id="3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ind w:left="20" w:right="220" w:firstLine="635"/>
        <w:spacing w:after="0" w:line="308" w:lineRule="auto"/>
        <w:rPr>
          <w:sz w:val="20"/>
          <w:szCs w:val="20"/>
          <w:color w:val="auto"/>
        </w:rPr>
      </w:pPr>
      <w:r>
        <w:rPr>
          <w:rFonts w:ascii="Arial" w:cs="Arial" w:eastAsia="Arial" w:hAnsi="Arial"/>
          <w:sz w:val="17"/>
          <w:szCs w:val="17"/>
          <w:color w:val="auto"/>
        </w:rPr>
        <w:t>Nodak Insurance has a $5,000 line of credit with Wells Fargo Bank, N.A., of which there were no outstanding amounts during the three months ended March 31, 2020, or the year ended December 31, 2019. This line of credit is scheduled to expire on October 31, 2020.</w:t>
      </w:r>
    </w:p>
    <w:p>
      <w:pPr>
        <w:spacing w:after="0" w:line="35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20" w:right="160" w:firstLine="635"/>
        <w:spacing w:after="0" w:line="308" w:lineRule="auto"/>
        <w:rPr>
          <w:sz w:val="20"/>
          <w:szCs w:val="20"/>
          <w:color w:val="auto"/>
        </w:rPr>
      </w:pPr>
      <w:r>
        <w:rPr>
          <w:rFonts w:ascii="Arial" w:cs="Arial" w:eastAsia="Arial" w:hAnsi="Arial"/>
          <w:sz w:val="17"/>
          <w:szCs w:val="17"/>
          <w:color w:val="auto"/>
        </w:rPr>
        <w:t>At March 31, 2020 and December 31, 2019, we had no unrecognized tax benefits, no accrued interest and penalties, and no significant uncertain tax positions. No interest and penalties were recognized during the three month periods ended March 31, 2020 or 2019.</w:t>
      </w:r>
    </w:p>
    <w:p>
      <w:pPr>
        <w:spacing w:after="0" w:line="38" w:lineRule="exact"/>
        <w:rPr>
          <w:sz w:val="20"/>
          <w:szCs w:val="20"/>
          <w:color w:val="auto"/>
        </w:rPr>
      </w:pPr>
    </w:p>
    <w:p>
      <w:pPr>
        <w:ind w:left="20" w:right="100" w:firstLine="635"/>
        <w:spacing w:after="0" w:line="277" w:lineRule="auto"/>
        <w:rPr>
          <w:sz w:val="20"/>
          <w:szCs w:val="20"/>
          <w:color w:val="auto"/>
        </w:rPr>
      </w:pPr>
      <w:r>
        <w:rPr>
          <w:rFonts w:ascii="Arial" w:cs="Arial" w:eastAsia="Arial" w:hAnsi="Arial"/>
          <w:sz w:val="18"/>
          <w:szCs w:val="18"/>
          <w:color w:val="auto"/>
        </w:rPr>
        <w:t>At March 31, 2020 and December 31, 2019, the Company, other than Battle Creek and Westminster, had no income tax related carryovers for net operating losses, alternative minimum tax credits, or capital losses.</w:t>
      </w:r>
    </w:p>
    <w:p>
      <w:pPr>
        <w:spacing w:after="0" w:line="62" w:lineRule="exact"/>
        <w:rPr>
          <w:sz w:val="20"/>
          <w:szCs w:val="20"/>
          <w:color w:val="auto"/>
        </w:rPr>
      </w:pPr>
    </w:p>
    <w:p>
      <w:pPr>
        <w:ind w:left="20" w:right="120" w:firstLine="635"/>
        <w:spacing w:after="0" w:line="277" w:lineRule="auto"/>
        <w:rPr>
          <w:sz w:val="20"/>
          <w:szCs w:val="20"/>
          <w:color w:val="auto"/>
        </w:rPr>
      </w:pPr>
      <w:r>
        <w:rPr>
          <w:rFonts w:ascii="Arial" w:cs="Arial" w:eastAsia="Arial" w:hAnsi="Arial"/>
          <w:sz w:val="18"/>
          <w:szCs w:val="18"/>
          <w:color w:val="auto"/>
        </w:rPr>
        <w:t>Battle Creek, which files its income tax returns on a stand-alone basis, had $4,652 of net operating loss carryover at December 31, 2019. The net operating loss carryforward expires beginning in 2021 through 2030.</w:t>
      </w:r>
    </w:p>
    <w:p>
      <w:pPr>
        <w:spacing w:after="0" w:line="62" w:lineRule="exact"/>
        <w:rPr>
          <w:sz w:val="20"/>
          <w:szCs w:val="20"/>
          <w:color w:val="auto"/>
        </w:rPr>
      </w:pPr>
    </w:p>
    <w:p>
      <w:pPr>
        <w:ind w:left="20" w:right="460" w:firstLine="635"/>
        <w:spacing w:after="0" w:line="277"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$874 of net operating loss carryover at December 31, 2019. This net operating loss carryforward expires in 2023.</w:t>
      </w:r>
    </w:p>
    <w:p>
      <w:pPr>
        <w:spacing w:after="0" w:line="38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left="20" w:right="160" w:firstLine="635"/>
        <w:spacing w:after="0" w:line="259"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2029. Our Nodak Insurance subsidiary leases a facility in Fargo, North Dakota under a non-cancellable operating lease expiring in 2024. There were expenses of $89 and $75 related to these leases during the three months ended March 31, 2020 and 2019,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have minimum future commitments under non-cancellable leases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 Future</w:t>
            </w:r>
          </w:p>
        </w:tc>
      </w:t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6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Minimum Commitments</w:t>
            </w:r>
          </w:p>
        </w:tc>
      </w:tr>
      <w:tr>
        <w:trPr>
          <w:trHeight w:val="209"/>
        </w:trPr>
        <w:tc>
          <w:tcPr>
            <w:tcW w:w="69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ind w:left="16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ind w:left="16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r>
      <w:tr>
        <w:trPr>
          <w:trHeight w:val="230"/>
        </w:trPr>
        <w:tc>
          <w:tcPr>
            <w:tcW w:w="692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portions of our home office building under non-cancellable operating leases.</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20" w:right="100" w:firstLine="635"/>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62" w:lineRule="exact"/>
        <w:rPr>
          <w:sz w:val="20"/>
          <w:szCs w:val="20"/>
          <w:color w:val="auto"/>
        </w:rPr>
      </w:pPr>
    </w:p>
    <w:p>
      <w:pPr>
        <w:ind w:left="20" w:firstLine="635"/>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March 31, 2020 or December 31, 2019.</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2" w:name="page33"/>
    <w:bookmarkEnd w:id="3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jc w:val="both"/>
        <w:ind w:left="3420" w:firstLine="103"/>
        <w:spacing w:after="0" w:line="361" w:lineRule="auto"/>
        <w:rPr>
          <w:sz w:val="20"/>
          <w:szCs w:val="20"/>
          <w:color w:val="auto"/>
        </w:rPr>
      </w:pPr>
      <w:r>
        <w:rPr>
          <w:rFonts w:ascii="Arial" w:cs="Arial" w:eastAsia="Arial" w:hAnsi="Arial"/>
          <w:sz w:val="15"/>
          <w:szCs w:val="15"/>
          <w:b w:val="1"/>
          <w:bCs w:val="1"/>
          <w:color w:val="auto"/>
        </w:rPr>
        <w:t>Notes to Unaudited Consolidated Financial Statements (dollar amounts in thousands, except per share amounts)</w:t>
      </w:r>
    </w:p>
    <w:p>
      <w:pPr>
        <w:spacing w:after="0" w:line="21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Issuance of treasury shares for vesting of restricted stock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22,119,380</w:t>
            </w:r>
          </w:p>
        </w:tc>
        <w:tc>
          <w:tcPr>
            <w:tcW w:w="20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22,192,894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(123,264)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19,042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16,705</w:t>
            </w:r>
          </w:p>
        </w:tc>
        <w:tc>
          <w:tcPr>
            <w:tcW w:w="40" w:type="dxa"/>
            <w:vAlign w:val="bottom"/>
          </w:tcPr>
          <w:p>
            <w:pPr>
              <w:spacing w:after="0"/>
              <w:rPr>
                <w:sz w:val="20"/>
                <w:szCs w:val="20"/>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22,015,158</w:t>
            </w: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22,209,499</w:t>
            </w:r>
          </w:p>
        </w:tc>
        <w:tc>
          <w:tcPr>
            <w:tcW w:w="40" w:type="dxa"/>
            <w:vAlign w:val="bottom"/>
          </w:tcPr>
          <w:p>
            <w:pPr>
              <w:spacing w:after="0"/>
              <w:rPr>
                <w:sz w:val="19"/>
                <w:szCs w:val="19"/>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220"/>
            <w:col w:w="3240"/>
          </w:cols>
          <w:pgMar w:left="320" w:top="226" w:right="339" w:bottom="1440" w:gutter="0" w:footer="0" w:header="0"/>
        </w:sectPr>
      </w:pPr>
    </w:p>
    <w:p>
      <w:pPr>
        <w:spacing w:after="0" w:line="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February 28, 2018, our Board of Directors approved an authorization for the repurchase of up to approximately $10 million of the Company’s outstanding common stock. We completed the repurchase of 191,265 shares of our common stock for $2,966 during 2018, and an additional 116,034 shares for $2,006 during 2019. During the three months ended March 31, 2020, we completed the repurchase of 123,264 shares of our common stock for $1,502. The cost of this treasury stock is a reduction of shareholders’ equity within our Consolidated Balance Sheet.</w:t>
      </w:r>
    </w:p>
    <w:p>
      <w:pPr>
        <w:spacing w:after="0" w:line="12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3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3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33" w:name="page34"/>
    <w:bookmarkEnd w:id="3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outstanding and unearned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RSUs earned during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March 31, 2020</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16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 Share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73,880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16.87</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57,100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(34,440)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96,540</w:t>
            </w:r>
          </w:p>
        </w:tc>
        <w:tc>
          <w:tcPr>
            <w:tcW w:w="10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r>
      <w:tr>
        <w:trPr>
          <w:trHeight w:val="411"/>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42,600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(31,260)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r>
      <w:tr>
        <w:trPr>
          <w:trHeight w:val="223"/>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107,880</w:t>
            </w:r>
          </w:p>
        </w:tc>
        <w:tc>
          <w:tcPr>
            <w:tcW w:w="10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680" w:space="320"/>
            <w:col w:w="324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At March 31, 2020, there was $962 of unrecognized compensation cost related to outstanding RSUs. That cost is expected to be recognized over a weighted-average period of 2.54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8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3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34" w:name="page35"/>
    <w:bookmarkEnd w:id="3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Weighted-Average</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8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PSUs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Per Share</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January 1, 2019</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PSUs granted during 2019 (at target)</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2019</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granted during 2020 (at target)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Units outstanding at March 31, 2020</w:t>
            </w: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174,600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15.15</w:t>
            </w: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32"/>
        </w:trPr>
        <w:tc>
          <w:tcPr>
            <w:tcW w:w="8000" w:type="dxa"/>
            <w:vAlign w:val="bottom"/>
          </w:tcPr>
          <w:p>
            <w:pPr>
              <w:ind w:left="660"/>
              <w:spacing w:after="0"/>
              <w:rPr>
                <w:sz w:val="20"/>
                <w:szCs w:val="20"/>
                <w:color w:val="auto"/>
              </w:rPr>
            </w:pPr>
            <w:r>
              <w:rPr>
                <w:rFonts w:ascii="Arial" w:cs="Arial" w:eastAsia="Arial" w:hAnsi="Arial"/>
                <w:sz w:val="18"/>
                <w:szCs w:val="18"/>
                <w:color w:val="auto"/>
              </w:rPr>
              <w:t>The following table shows the impact of PSU activity to the Company’s financial results: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 compensation expense, net of income taxes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March 31, 2020, there was $1,834 of unrecognized compensation cost related to outstanding PSUs. That cost is expected to be recognized over a weighted-average period of 2.07 years.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40" w:firstLine="635"/>
        <w:spacing w:after="0" w:line="259" w:lineRule="auto"/>
        <w:rPr>
          <w:sz w:val="20"/>
          <w:szCs w:val="20"/>
          <w:color w:val="auto"/>
        </w:rPr>
      </w:pPr>
      <w:r>
        <w:rPr>
          <w:rFonts w:ascii="Arial" w:cs="Arial" w:eastAsia="Arial" w:hAnsi="Arial"/>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22,218,073 and 22,228,630 during the three months ended March 31, 2020 and 2019, respectively.</w:t>
      </w:r>
    </w:p>
    <w:p>
      <w:pPr>
        <w:spacing w:after="0" w:line="79" w:lineRule="exact"/>
        <w:rPr>
          <w:sz w:val="20"/>
          <w:szCs w:val="20"/>
          <w:color w:val="auto"/>
        </w:rPr>
      </w:pPr>
    </w:p>
    <w:p>
      <w:pPr>
        <w:ind w:right="260" w:firstLine="635"/>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NI Holdings,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(3,587)</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22,218,073</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22,228,630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tcPr>
          <w:p>
            <w:pPr>
              <w:ind w:left="260"/>
              <w:spacing w:after="0"/>
              <w:rPr>
                <w:sz w:val="20"/>
                <w:szCs w:val="20"/>
                <w:color w:val="auto"/>
              </w:rPr>
            </w:pPr>
            <w:r>
              <w:rPr>
                <w:rFonts w:ascii="Arial" w:cs="Arial" w:eastAsia="Arial" w:hAnsi="Arial"/>
                <w:sz w:val="18"/>
                <w:szCs w:val="18"/>
                <w:color w:val="auto"/>
              </w:rPr>
              <w:t>Net income (loss) attributable to NI Holdings,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1"/>
              <w:spacing w:after="0"/>
              <w:rPr>
                <w:sz w:val="20"/>
                <w:szCs w:val="20"/>
                <w:color w:val="auto"/>
              </w:rPr>
            </w:pPr>
            <w:r>
              <w:rPr>
                <w:rFonts w:ascii="Arial" w:cs="Arial" w:eastAsia="Arial" w:hAnsi="Arial"/>
                <w:sz w:val="18"/>
                <w:szCs w:val="18"/>
                <w:color w:val="auto"/>
              </w:rPr>
              <w:t>(3,587)</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60"/>
              <w:spacing w:after="0"/>
              <w:rPr>
                <w:sz w:val="20"/>
                <w:szCs w:val="20"/>
                <w:color w:val="auto"/>
              </w:rPr>
            </w:pPr>
            <w:r>
              <w:rPr>
                <w:rFonts w:ascii="Arial" w:cs="Arial" w:eastAsia="Arial" w:hAnsi="Arial"/>
                <w:sz w:val="18"/>
                <w:szCs w:val="18"/>
                <w:color w:val="auto"/>
              </w:rPr>
              <w:t>Number of shares used in basic computation</w:t>
            </w:r>
          </w:p>
        </w:tc>
        <w:tc>
          <w:tcPr>
            <w:tcW w:w="22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Arial" w:cs="Arial" w:eastAsia="Arial" w:hAnsi="Arial"/>
                <w:sz w:val="18"/>
                <w:szCs w:val="18"/>
                <w:color w:val="auto"/>
              </w:rPr>
              <w:t>22,218,073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22,228,630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effect of dilutive securities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Add: RSUs and PSUs</w:t>
            </w:r>
          </w:p>
        </w:tc>
        <w:tc>
          <w:tcPr>
            <w:tcW w:w="220" w:type="dxa"/>
            <w:vAlign w:val="bottom"/>
          </w:tcPr>
          <w:p>
            <w:pPr>
              <w:spacing w:after="0"/>
              <w:rPr>
                <w:sz w:val="19"/>
                <w:szCs w:val="19"/>
                <w:color w:val="auto"/>
              </w:rPr>
            </w:pPr>
          </w:p>
        </w:tc>
        <w:tc>
          <w:tcPr>
            <w:tcW w:w="1460" w:type="dxa"/>
            <w:vAlign w:val="bottom"/>
            <w:gridSpan w:val="2"/>
          </w:tcPr>
          <w:p>
            <w:pPr>
              <w:jc w:val="right"/>
              <w:ind w:right="121"/>
              <w:spacing w:after="0"/>
              <w:rPr>
                <w:sz w:val="20"/>
                <w:szCs w:val="20"/>
                <w:color w:val="auto"/>
              </w:rPr>
            </w:pPr>
            <w:r>
              <w:rPr>
                <w:rFonts w:ascii="Arial" w:cs="Arial" w:eastAsia="Arial" w:hAnsi="Arial"/>
                <w:sz w:val="18"/>
                <w:szCs w:val="18"/>
                <w:color w:val="auto"/>
              </w:rPr>
              <w:t>121,251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Number of shares used in diluted computation</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22,278,779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140"/>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 month periods ended March 31, 2020 and 2019. For presentation in these tables, “LAE” refers to loss adjustment expenses.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4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7" w:name="page38"/>
    <w:bookmarkEnd w:id="3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8"/>
                <w:szCs w:val="18"/>
                <w:b w:val="1"/>
                <w:bCs w:val="1"/>
                <w:color w:val="auto"/>
                <w:w w:val="93"/>
              </w:rPr>
              <w:t>Three Months Ended March 31, 2020</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rPr>
              <w:t>Non-Standard</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Auto</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Auto</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Farm</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Crop</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Commercial</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All Other</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62,393</w:t>
            </w: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(5,221)</w:t>
            </w:r>
          </w:p>
        </w:tc>
      </w:tr>
      <w:tr>
        <w:trPr>
          <w:trHeight w:val="209"/>
        </w:trPr>
        <w:tc>
          <w:tcPr>
            <w:tcW w:w="264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58,772</w:t>
            </w: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5,940</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7,668</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2,811</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33,892</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(3,778)</w:t>
            </w:r>
          </w:p>
        </w:tc>
      </w:tr>
      <w:tr>
        <w:trPr>
          <w:trHeight w:val="210"/>
        </w:trPr>
        <w:tc>
          <w:tcPr>
            <w:tcW w:w="26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losses and LAE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5,197</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20,159</w:t>
            </w:r>
          </w:p>
        </w:tc>
      </w:tr>
      <w:tr>
        <w:trPr>
          <w:trHeight w:val="210"/>
        </w:trPr>
        <w:tc>
          <w:tcPr>
            <w:tcW w:w="2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r>
      <w:tr>
        <w:trPr>
          <w:trHeight w:val="209"/>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0"/>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capital loss on investments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loss attributable to NI</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1,971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(14,919)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29210</wp:posOffset>
            </wp:positionV>
            <wp:extent cx="634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(4,395)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6343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(3,555)</w:t>
      </w:r>
    </w:p>
    <w:p>
      <w:pPr>
        <w:spacing w:after="0" w:line="23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6343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(3,587)</w:t>
      </w:r>
    </w:p>
    <w:p>
      <w:pPr>
        <w:spacing w:after="0" w:line="50" w:lineRule="exact"/>
        <w:rPr>
          <w:sz w:val="20"/>
          <w:szCs w:val="20"/>
          <w:color w:val="auto"/>
        </w:rPr>
      </w:pPr>
    </w:p>
    <w:p>
      <w:pPr>
        <w:sectPr>
          <w:pgSz w:w="11900" w:h="16838" w:orient="portrait"/>
          <w:cols w:equalWidth="0" w:num="2">
            <w:col w:w="9860" w:space="720"/>
            <w:col w:w="66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6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Non-GAAP Ratios: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LAE ratio</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46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r>
      <w:tr>
        <w:trPr>
          <w:trHeight w:val="216"/>
        </w:trPr>
        <w:tc>
          <w:tcPr>
            <w:tcW w:w="2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Balances at March 31, 2020:</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Premiums and agents’ balances</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18,657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9,254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48,283</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rPr>
              <w:t>Deferred policy acquisition</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costs</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5,175</w:t>
            </w: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4,952</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7,124</w:t>
            </w:r>
          </w:p>
        </w:tc>
        <w:tc>
          <w:tcPr>
            <w:tcW w:w="4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1,504</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19,164</w:t>
            </w: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8,067</w:t>
            </w:r>
          </w:p>
        </w:tc>
      </w:tr>
      <w:tr>
        <w:trPr>
          <w:trHeight w:val="202"/>
        </w:trPr>
        <w:tc>
          <w:tcPr>
            <w:tcW w:w="2620" w:type="dxa"/>
            <w:vAlign w:val="bottom"/>
          </w:tcPr>
          <w:p>
            <w:pPr>
              <w:ind w:left="260"/>
              <w:spacing w:after="0" w:line="201" w:lineRule="exact"/>
              <w:rPr>
                <w:sz w:val="20"/>
                <w:szCs w:val="20"/>
                <w:color w:val="auto"/>
              </w:rPr>
            </w:pPr>
            <w:r>
              <w:rPr>
                <w:rFonts w:ascii="Arial" w:cs="Arial" w:eastAsia="Arial" w:hAnsi="Arial"/>
                <w:sz w:val="18"/>
                <w:szCs w:val="18"/>
                <w:color w:val="auto"/>
                <w:w w:val="97"/>
              </w:rPr>
              <w:t>Receivable from Federal Crop</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Insurance Corporation</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5,240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5,240</w:t>
            </w: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Goodwill and other intangibles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18,354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21,251</w:t>
            </w:r>
          </w:p>
        </w:tc>
      </w:tr>
      <w:tr>
        <w:trPr>
          <w:trHeight w:val="216"/>
        </w:trPr>
        <w:tc>
          <w:tcPr>
            <w:tcW w:w="2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Unpaid losses and LAE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19,952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10,401</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3,945</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12,248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8,854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97,400</w:t>
            </w:r>
          </w:p>
        </w:tc>
      </w:tr>
      <w:tr>
        <w:trPr>
          <w:trHeight w:val="230"/>
        </w:trPr>
        <w:tc>
          <w:tcPr>
            <w:tcW w:w="262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28,426</w:t>
            </w: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17,260</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39,542</w:t>
            </w:r>
          </w:p>
        </w:tc>
        <w:tc>
          <w:tcPr>
            <w:tcW w:w="4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18,444</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2,738</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106,410</w:t>
            </w: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8"/>
                <w:szCs w:val="18"/>
                <w:b w:val="1"/>
                <w:bCs w:val="1"/>
                <w:color w:val="auto"/>
                <w:w w:val="93"/>
              </w:rPr>
              <w:t>Three Months Ended March 31, 2019</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rPr>
              <w:t>Non-Standard</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(2,773)</w:t>
            </w: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50,506</w:t>
            </w: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7,156</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(486)</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26,631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r>
      <w:tr>
        <w:trPr>
          <w:trHeight w:val="209"/>
        </w:trPr>
        <w:tc>
          <w:tcPr>
            <w:tcW w:w="26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losses and LAE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100" w:type="dxa"/>
            <w:vAlign w:val="bottom"/>
            <w:shd w:val="clear" w:color="auto" w:fill="CCEEFF"/>
          </w:tcPr>
          <w:p>
            <w:pPr>
              <w:spacing w:after="0"/>
              <w:rPr>
                <w:sz w:val="18"/>
                <w:szCs w:val="18"/>
                <w:color w:val="auto"/>
              </w:rPr>
            </w:pPr>
          </w:p>
        </w:tc>
      </w:tr>
      <w:tr>
        <w:trPr>
          <w:trHeight w:val="209"/>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5,478</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16,694</w:t>
            </w:r>
          </w:p>
        </w:tc>
      </w:tr>
      <w:tr>
        <w:trPr>
          <w:trHeight w:val="210"/>
        </w:trPr>
        <w:tc>
          <w:tcPr>
            <w:tcW w:w="2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Borders>
              <w:bottom w:val="single" w:sz="8" w:color="CCEEFF"/>
            </w:tcBorders>
          </w:tcPr>
          <w:p>
            <w:pPr>
              <w:spacing w:after="0"/>
              <w:rPr>
                <w:sz w:val="18"/>
                <w:szCs w:val="18"/>
                <w:color w:val="auto"/>
              </w:rPr>
            </w:pPr>
          </w:p>
        </w:tc>
      </w:tr>
      <w:tr>
        <w:trPr>
          <w:trHeight w:val="209"/>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09"/>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w:t>
            </w:r>
          </w:p>
        </w:tc>
      </w:tr>
      <w:tr>
        <w:trPr>
          <w:trHeight w:val="209"/>
        </w:trPr>
        <w:tc>
          <w:tcPr>
            <w:tcW w:w="264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17,644</w:t>
            </w:r>
          </w:p>
        </w:tc>
        <w:tc>
          <w:tcPr>
            <w:tcW w:w="100" w:type="dxa"/>
            <w:vAlign w:val="bottom"/>
          </w:tcPr>
          <w:p>
            <w:pPr>
              <w:spacing w:after="0"/>
              <w:rPr>
                <w:sz w:val="18"/>
                <w:szCs w:val="18"/>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13,796</w:t>
            </w: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182"/>
        </w:trPr>
        <w:tc>
          <w:tcPr>
            <w:tcW w:w="2640" w:type="dxa"/>
            <w:vAlign w:val="bottom"/>
          </w:tcPr>
          <w:p>
            <w:pPr>
              <w:ind w:left="260"/>
              <w:spacing w:after="0" w:line="182" w:lineRule="exact"/>
              <w:rPr>
                <w:sz w:val="20"/>
                <w:szCs w:val="20"/>
                <w:color w:val="auto"/>
              </w:rPr>
            </w:pPr>
            <w:r>
              <w:rPr>
                <w:rFonts w:ascii="Arial" w:cs="Arial" w:eastAsia="Arial" w:hAnsi="Arial"/>
                <w:sz w:val="18"/>
                <w:szCs w:val="18"/>
                <w:color w:val="auto"/>
              </w:rPr>
              <w:t>Net loss attributable to NI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2640" w:type="dxa"/>
            <w:vAlign w:val="bottom"/>
          </w:tcPr>
          <w:p>
            <w:pPr>
              <w:ind w:left="260"/>
              <w:spacing w:after="0"/>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r>
      <w:tr>
        <w:trPr>
          <w:trHeight w:val="197"/>
        </w:trPr>
        <w:tc>
          <w:tcPr>
            <w:tcW w:w="2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26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March 31, 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Premiums and agents’ balances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38,502</w:t>
            </w:r>
          </w:p>
        </w:tc>
      </w:tr>
      <w:tr>
        <w:trPr>
          <w:trHeight w:val="202"/>
        </w:trPr>
        <w:tc>
          <w:tcPr>
            <w:tcW w:w="2640" w:type="dxa"/>
            <w:vAlign w:val="bottom"/>
          </w:tcPr>
          <w:p>
            <w:pPr>
              <w:ind w:left="260"/>
              <w:spacing w:after="0" w:line="201" w:lineRule="exact"/>
              <w:rPr>
                <w:sz w:val="20"/>
                <w:szCs w:val="20"/>
                <w:color w:val="auto"/>
              </w:rPr>
            </w:pPr>
            <w:r>
              <w:rPr>
                <w:rFonts w:ascii="Arial" w:cs="Arial" w:eastAsia="Arial" w:hAnsi="Arial"/>
                <w:sz w:val="18"/>
                <w:szCs w:val="18"/>
                <w:color w:val="auto"/>
              </w:rPr>
              <w:t>Deferred policy acquisition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costs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5,452</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14,791</w:t>
            </w: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w:t>
            </w:r>
          </w:p>
        </w:tc>
      </w:tr>
      <w:tr>
        <w:trPr>
          <w:trHeight w:val="202"/>
        </w:trPr>
        <w:tc>
          <w:tcPr>
            <w:tcW w:w="2640" w:type="dxa"/>
            <w:vAlign w:val="bottom"/>
          </w:tcPr>
          <w:p>
            <w:pPr>
              <w:ind w:left="260"/>
              <w:spacing w:after="0" w:line="201" w:lineRule="exact"/>
              <w:rPr>
                <w:sz w:val="20"/>
                <w:szCs w:val="20"/>
                <w:color w:val="auto"/>
              </w:rPr>
            </w:pPr>
            <w:r>
              <w:rPr>
                <w:rFonts w:ascii="Arial" w:cs="Arial" w:eastAsia="Arial" w:hAnsi="Arial"/>
                <w:sz w:val="18"/>
                <w:szCs w:val="18"/>
                <w:color w:val="auto"/>
                <w:w w:val="98"/>
              </w:rPr>
              <w:t>Receivable from Federal Crop</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Insurance Corporation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14,282</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14,282</w:t>
            </w: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Goodwill and other intangibles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Unpaid losses and LAE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46,641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85,560</w:t>
            </w: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27,110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18,845</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37,476</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2,599</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88,171</w:t>
            </w:r>
          </w:p>
        </w:tc>
      </w:tr>
    </w:tbl>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4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(loss) on investments,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38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right="78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We have evaluated subsequent events through May 6, 2020, the date these consolidated financial statements were available for issuance. </w:t>
      </w:r>
      <w:r>
        <w:rPr>
          <w:rFonts w:ascii="Arial" w:cs="Arial" w:eastAsia="Arial" w:hAnsi="Arial"/>
          <w:sz w:val="18"/>
          <w:szCs w:val="18"/>
          <w:i w:val="1"/>
          <w:iCs w:val="1"/>
          <w:color w:val="auto"/>
        </w:rPr>
        <w:t>COVID-19 Pandemic</w:t>
      </w:r>
    </w:p>
    <w:p>
      <w:pPr>
        <w:spacing w:after="0" w:line="1" w:lineRule="exact"/>
        <w:rPr>
          <w:sz w:val="20"/>
          <w:szCs w:val="20"/>
          <w:color w:val="auto"/>
        </w:rPr>
      </w:pPr>
    </w:p>
    <w:p>
      <w:pPr>
        <w:ind w:left="20" w:right="80" w:firstLine="635"/>
        <w:spacing w:after="0" w:line="293" w:lineRule="auto"/>
        <w:rPr>
          <w:sz w:val="20"/>
          <w:szCs w:val="20"/>
          <w:color w:val="auto"/>
        </w:rPr>
      </w:pPr>
      <w:r>
        <w:rPr>
          <w:rFonts w:ascii="Arial" w:cs="Arial" w:eastAsia="Arial" w:hAnsi="Arial"/>
          <w:sz w:val="16"/>
          <w:szCs w:val="16"/>
          <w:color w:val="auto"/>
        </w:rPr>
        <w:t>Beginning in March 2020, the global pandemic associated with novel coronavirus COVID-19 (“COVID-19”) and related economic conditions began to impact the Company's results. For the three months ended March 31, 2020, the Company’s underwriting results were impacted by reduced net premiums earned in our non-standard auto segment. The Company also incurred net unrealized investment losses driven by the impact of changes in fair value on the Company’s equity investments, attributable to the recent disruption in global financial markets. The actual long-term impact of the pandemic on the property and casualty industry is highly uncertain and will not be known for some time. In the short-term, we expect decreased economic activity to pressure overall top-line growth while negatively impacting investment results, dependent on the extent and duration of the economic contraction.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9"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Nodak Agency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American West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Primero – an indirect,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Battle Creek – an affiliated company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Auto – a wholly-owned subsidiary of NI Holdings;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Westminster – a wholly-owned subsidiary of NI Holdings.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is an inactive shell corporation.</w:t>
      </w:r>
    </w:p>
    <w:p>
      <w:pPr>
        <w:spacing w:after="0" w:line="18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On August 31, 2018, NI Holdings completed the acquisition of 100% of the common stock of Direct Auto Insurance Company (“Direct Auto”) from private shareholders and Direct Auto became a consolidated subsidiary of the Company. The results of Direct Auto are included as part of the Company’s non-standard auto business segment following the closing date.</w:t>
      </w:r>
    </w:p>
    <w:p>
      <w:pPr>
        <w:spacing w:after="0" w:line="143"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The results of Westminster are included as part of the Company’s commercial business segment following the closing date.</w:t>
      </w:r>
    </w:p>
    <w:p>
      <w:pPr>
        <w:spacing w:after="0" w:line="15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Federation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Westminster offers commercial multi-peril insurance in the Mid-Atlantic region of the United States.</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Nodak Insurance and Battle Creek are rated “A” by A.M. Best, which is the third highest out of a possible 15 ratings. American West and Westminster are rated “A-”. Primero and Direct Auto are unrated.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686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CHART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Nodak Mutual Group, Inc.</w:t>
      </w:r>
    </w:p>
    <w:p>
      <w:pPr>
        <w:spacing w:after="0" w:line="239"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 55%</w:t>
      </w:r>
    </w:p>
    <w:p>
      <w:pPr>
        <w:spacing w:after="0" w:line="23" w:lineRule="exact"/>
        <w:rPr>
          <w:sz w:val="20"/>
          <w:szCs w:val="20"/>
          <w:color w:val="auto"/>
        </w:rPr>
      </w:pPr>
    </w:p>
    <w:p>
      <w:pPr>
        <w:jc w:val="center"/>
        <w:ind w:right="224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NI Holdings, Inc.</w:t>
      </w:r>
    </w:p>
    <w:p>
      <w:pPr>
        <w:spacing w:after="0" w:line="23" w:lineRule="exact"/>
        <w:rPr>
          <w:sz w:val="20"/>
          <w:szCs w:val="20"/>
          <w:color w:val="auto"/>
        </w:rPr>
      </w:pPr>
    </w:p>
    <w:tbl>
      <w:tblPr>
        <w:tblLayout w:type="fixed"/>
        <w:tblInd w:w="27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2"/>
          </w:tcPr>
          <w:p>
            <w:pPr>
              <w:jc w:val="right"/>
              <w:ind w:right="290"/>
              <w:spacing w:after="0" w:line="195" w:lineRule="exact"/>
              <w:rPr>
                <w:sz w:val="20"/>
                <w:szCs w:val="20"/>
                <w:color w:val="auto"/>
              </w:rPr>
            </w:pPr>
            <w:r>
              <w:rPr>
                <w:rFonts w:ascii="Arial" w:cs="Arial" w:eastAsia="Arial" w:hAnsi="Arial"/>
                <w:sz w:val="18"/>
                <w:szCs w:val="18"/>
                <w:color w:val="auto"/>
              </w:rPr>
              <w:t>100%</w:t>
            </w:r>
          </w:p>
        </w:tc>
        <w:tc>
          <w:tcPr>
            <w:tcW w:w="2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360" w:type="dxa"/>
            <w:vAlign w:val="bottom"/>
            <w:gridSpan w:val="2"/>
          </w:tcPr>
          <w:p>
            <w:pPr>
              <w:spacing w:after="0"/>
              <w:rPr>
                <w:sz w:val="20"/>
                <w:szCs w:val="20"/>
                <w:color w:val="auto"/>
              </w:rPr>
            </w:pPr>
          </w:p>
        </w:tc>
        <w:tc>
          <w:tcPr>
            <w:tcW w:w="196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0"/>
              </w:rPr>
              <w:t>ownership</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40" w:type="dxa"/>
            <w:vAlign w:val="bottom"/>
            <w:tcBorders>
              <w:top w:val="single" w:sz="8" w:color="auto"/>
              <w:left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2"/>
              </w:rPr>
              <w:t>Direct Auto Insurance</w:t>
            </w:r>
          </w:p>
        </w:tc>
        <w:tc>
          <w:tcPr>
            <w:tcW w:w="240" w:type="dxa"/>
            <w:vAlign w:val="bottom"/>
            <w:tcBorders>
              <w:right w:val="single" w:sz="8" w:color="auto"/>
            </w:tcBorders>
          </w:tcPr>
          <w:p>
            <w:pPr>
              <w:spacing w:after="0"/>
              <w:rPr>
                <w:sz w:val="16"/>
                <w:szCs w:val="16"/>
                <w:color w:val="auto"/>
              </w:rPr>
            </w:pPr>
          </w:p>
        </w:tc>
        <w:tc>
          <w:tcPr>
            <w:tcW w:w="5560" w:type="dxa"/>
            <w:vAlign w:val="bottom"/>
            <w:tcBorders>
              <w:top w:val="single" w:sz="8" w:color="auto"/>
              <w:right w:val="single" w:sz="8" w:color="auto"/>
            </w:tcBorders>
            <w:gridSpan w:val="5"/>
            <w:vMerge w:val="restart"/>
          </w:tcPr>
          <w:p>
            <w:pPr>
              <w:ind w:left="1780"/>
              <w:spacing w:after="0"/>
              <w:rPr>
                <w:sz w:val="20"/>
                <w:szCs w:val="20"/>
                <w:color w:val="auto"/>
              </w:rPr>
            </w:pPr>
            <w:r>
              <w:rPr>
                <w:rFonts w:ascii="Arial" w:cs="Arial" w:eastAsia="Arial" w:hAnsi="Arial"/>
                <w:sz w:val="18"/>
                <w:szCs w:val="18"/>
                <w:color w:val="auto"/>
              </w:rPr>
              <w:t>Nodak Insurance Company</w:t>
            </w:r>
          </w:p>
        </w:tc>
        <w:tc>
          <w:tcPr>
            <w:tcW w:w="260" w:type="dxa"/>
            <w:vAlign w:val="bottom"/>
            <w:tcBorders>
              <w:right w:val="single" w:sz="8" w:color="auto"/>
            </w:tcBorders>
          </w:tcPr>
          <w:p>
            <w:pPr>
              <w:spacing w:after="0"/>
              <w:rPr>
                <w:sz w:val="16"/>
                <w:szCs w:val="16"/>
                <w:color w:val="auto"/>
              </w:rPr>
            </w:pPr>
          </w:p>
        </w:tc>
        <w:tc>
          <w:tcPr>
            <w:tcW w:w="2320" w:type="dxa"/>
            <w:vAlign w:val="bottom"/>
            <w:tcBorders>
              <w:top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1"/>
              </w:rPr>
              <w:t>Westminster American</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40" w:type="dxa"/>
            <w:vAlign w:val="bottom"/>
            <w:tcBorders>
              <w:right w:val="single" w:sz="8" w:color="auto"/>
            </w:tcBorders>
          </w:tcPr>
          <w:p>
            <w:pPr>
              <w:spacing w:after="0"/>
              <w:rPr>
                <w:sz w:val="10"/>
                <w:szCs w:val="10"/>
                <w:color w:val="auto"/>
              </w:rPr>
            </w:pPr>
          </w:p>
        </w:tc>
        <w:tc>
          <w:tcPr>
            <w:tcW w:w="5560" w:type="dxa"/>
            <w:vAlign w:val="bottom"/>
            <w:tcBorders>
              <w:right w:val="single" w:sz="8" w:color="auto"/>
            </w:tcBorders>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0"/>
              </w:rPr>
              <w:t>Insurance Company</w:t>
            </w: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32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360" w:type="dxa"/>
            <w:vAlign w:val="bottom"/>
            <w:gridSpan w:val="2"/>
          </w:tcPr>
          <w:p>
            <w:pPr>
              <w:spacing w:after="0"/>
              <w:rPr>
                <w:sz w:val="20"/>
                <w:szCs w:val="20"/>
                <w:color w:val="auto"/>
              </w:rPr>
            </w:pPr>
          </w:p>
        </w:tc>
        <w:tc>
          <w:tcPr>
            <w:tcW w:w="196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ownership</w:t>
            </w:r>
          </w:p>
        </w:tc>
        <w:tc>
          <w:tcPr>
            <w:tcW w:w="1380" w:type="dxa"/>
            <w:vAlign w:val="bottom"/>
            <w:gridSpan w:val="2"/>
          </w:tcPr>
          <w:p>
            <w:pPr>
              <w:spacing w:after="0"/>
              <w:rPr>
                <w:sz w:val="20"/>
                <w:szCs w:val="20"/>
                <w:color w:val="auto"/>
              </w:rPr>
            </w:pPr>
          </w:p>
        </w:tc>
        <w:tc>
          <w:tcPr>
            <w:tcW w:w="1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Affiliation</w:t>
            </w:r>
          </w:p>
        </w:tc>
        <w:tc>
          <w:tcPr>
            <w:tcW w:w="1360" w:type="dxa"/>
            <w:vAlign w:val="bottom"/>
            <w:gridSpan w:val="2"/>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40" w:type="dxa"/>
            <w:vAlign w:val="bottom"/>
            <w:tcBorders>
              <w:top w:val="single" w:sz="8" w:color="auto"/>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Nodak Agency, Inc.</w:t>
            </w:r>
          </w:p>
        </w:tc>
        <w:tc>
          <w:tcPr>
            <w:tcW w:w="240" w:type="dxa"/>
            <w:vAlign w:val="bottom"/>
            <w:tcBorders>
              <w:right w:val="single" w:sz="8" w:color="auto"/>
            </w:tcBorders>
          </w:tcPr>
          <w:p>
            <w:pPr>
              <w:spacing w:after="0"/>
              <w:rPr>
                <w:sz w:val="16"/>
                <w:szCs w:val="16"/>
                <w:color w:val="auto"/>
              </w:rPr>
            </w:pPr>
          </w:p>
        </w:tc>
        <w:tc>
          <w:tcPr>
            <w:tcW w:w="3080" w:type="dxa"/>
            <w:vAlign w:val="bottom"/>
            <w:tcBorders>
              <w:top w:val="single" w:sz="8" w:color="auto"/>
              <w:right w:val="single" w:sz="8" w:color="auto"/>
            </w:tcBorders>
            <w:gridSpan w:val="2"/>
          </w:tcPr>
          <w:p>
            <w:pPr>
              <w:ind w:left="600"/>
              <w:spacing w:after="0" w:line="195" w:lineRule="exact"/>
              <w:rPr>
                <w:sz w:val="20"/>
                <w:szCs w:val="20"/>
                <w:color w:val="auto"/>
              </w:rPr>
            </w:pPr>
            <w:r>
              <w:rPr>
                <w:rFonts w:ascii="Arial" w:cs="Arial" w:eastAsia="Arial" w:hAnsi="Arial"/>
                <w:sz w:val="18"/>
                <w:szCs w:val="18"/>
                <w:color w:val="auto"/>
              </w:rPr>
              <w:t>American West Insurance</w:t>
            </w:r>
          </w:p>
        </w:tc>
        <w:tc>
          <w:tcPr>
            <w:tcW w:w="26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2"/>
          </w:tcPr>
          <w:p>
            <w:pPr>
              <w:ind w:left="360"/>
              <w:spacing w:after="0" w:line="195" w:lineRule="exact"/>
              <w:rPr>
                <w:sz w:val="20"/>
                <w:szCs w:val="20"/>
                <w:color w:val="auto"/>
              </w:rPr>
            </w:pPr>
            <w:r>
              <w:rPr>
                <w:rFonts w:ascii="Arial" w:cs="Arial" w:eastAsia="Arial" w:hAnsi="Arial"/>
                <w:sz w:val="18"/>
                <w:szCs w:val="18"/>
                <w:color w:val="auto"/>
              </w:rPr>
              <w:t>Battle Creek Mutual</w:t>
            </w:r>
          </w:p>
        </w:tc>
        <w:tc>
          <w:tcPr>
            <w:tcW w:w="260" w:type="dxa"/>
            <w:vAlign w:val="bottom"/>
            <w:tcBorders>
              <w:right w:val="single" w:sz="8" w:color="auto"/>
            </w:tcBorders>
          </w:tcPr>
          <w:p>
            <w:pPr>
              <w:spacing w:after="0"/>
              <w:rPr>
                <w:sz w:val="16"/>
                <w:szCs w:val="16"/>
                <w:color w:val="auto"/>
              </w:rPr>
            </w:pPr>
          </w:p>
        </w:tc>
        <w:tc>
          <w:tcPr>
            <w:tcW w:w="232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Tri-State, Ltd</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gridSpan w:val="2"/>
            <w:vMerge w:val="restart"/>
          </w:tcPr>
          <w:p>
            <w:pPr>
              <w:ind w:left="1180"/>
              <w:spacing w:after="0"/>
              <w:rPr>
                <w:sz w:val="20"/>
                <w:szCs w:val="20"/>
                <w:color w:val="auto"/>
              </w:rPr>
            </w:pPr>
            <w:r>
              <w:rPr>
                <w:rFonts w:ascii="Arial" w:cs="Arial" w:eastAsia="Arial" w:hAnsi="Arial"/>
                <w:sz w:val="18"/>
                <w:szCs w:val="18"/>
                <w:color w:val="auto"/>
              </w:rPr>
              <w:t>Company</w:t>
            </w:r>
          </w:p>
        </w:tc>
        <w:tc>
          <w:tcPr>
            <w:tcW w:w="26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gridSpan w:val="2"/>
            <w:vMerge w:val="restart"/>
          </w:tcPr>
          <w:p>
            <w:pPr>
              <w:ind w:left="360"/>
              <w:spacing w:after="0"/>
              <w:rPr>
                <w:sz w:val="20"/>
                <w:szCs w:val="20"/>
                <w:color w:val="auto"/>
              </w:rPr>
            </w:pPr>
            <w:r>
              <w:rPr>
                <w:rFonts w:ascii="Arial" w:cs="Arial" w:eastAsia="Arial" w:hAnsi="Arial"/>
                <w:sz w:val="18"/>
                <w:szCs w:val="18"/>
                <w:color w:val="auto"/>
              </w:rPr>
              <w:t>Insurance Company</w:t>
            </w:r>
          </w:p>
        </w:tc>
        <w:tc>
          <w:tcPr>
            <w:tcW w:w="2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308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22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1"/>
              </w:rPr>
              <w:t>Primero Insurance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selected amounts from the Company’s Unaudited Consolidated Statements of Operations and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can be found later in this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premiums earned</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58,772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50,506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2019</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301,791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309,803</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18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Beginning in March 2020, the global pandemic associated with the novel coronavirus COVID-19 and related economic conditions began to impact the property casualty industry and the Company’s results of operations. The actual long-term impact of the pandemic on the property and casualty industry is highly uncertain and will not be known for some time. In the short-term, we expect decreased economic activity to pressure overall top-line growth while negatively impacting investment results, dependent on the extent and duration of the economic contraction. We also expect reduced loss frequency to continue in private passenger and non-standard auto lines, due to decreased miles driven during this time.</w:t>
      </w:r>
    </w:p>
    <w:p>
      <w:pPr>
        <w:spacing w:after="0" w:line="13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monitor the marketplace both on a regional and line of business basis. The private passenger market place would best be described as stable with ample capacity to grow business with a challenging pricing environment. Rates for private passenger are competitive across the upper Midwest with few companies increasing price to offset challenging underwriting results. The non-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standard auto market is competitive with companies seeking to grow this line, but, similar to the private passenger auto line, pricing is difficult and results challenging. In the property lines of business, companies seem to be increasing price in the loss prone areas and holding prices steady in non-loss states.</w:t>
      </w:r>
    </w:p>
    <w:p>
      <w:pPr>
        <w:spacing w:after="0" w:line="8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insured,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9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8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other than some of our auto lines and the non-standard auto policies, typically have a term of twelve months. For example, for an annual policy that is written on July 1, 2019, one-half of the premiums would be earned in 2019 and the other half would be earned in 2020.</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18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6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Beginning in 2019, in accordance with a change in accounting principle, changes in unrealized gains and losses on the Company’s investments in equity securities are included in net income as part of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The changes in unrealized gains and losses on fixed income securities continue to be recorded in other comprehensive income, net of income taxes. The new accounting treatment has no effect on total shareholders’ equity.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NI Holdings’ portfolio of investments is managed by Conning, Inc., Disciplined Growth Investors, CIBC Personal Wealth Management, and Morgan Stanley Wealth Management. These investment managers have discretion to buy and sell securities in accordance with the investment policy approved by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18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5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98"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period, net income (loss) is divided by the average of the beginning and ending equity for that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9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45" w:name="page46"/>
    <w:bookmarkEnd w:id="45"/>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consists of (1) case reserves, which are reserves for claims that have been reported to it, and (2) reserves for claims that have been incurred but have not yet been reported and for the future development of case reserves (“IBNR”).</w:t>
      </w:r>
    </w:p>
    <w:p>
      <w:pPr>
        <w:spacing w:after="0" w:line="13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52"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4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18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6"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24"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6" w:name="page47"/>
    <w:bookmarkEnd w:id="46"/>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9" w:lineRule="exact"/>
        <w:rPr>
          <w:sz w:val="20"/>
          <w:szCs w:val="20"/>
          <w:color w:val="auto"/>
        </w:rPr>
      </w:pPr>
    </w:p>
    <w:p>
      <w:pPr>
        <w:ind w:left="660" w:right="360"/>
        <w:spacing w:after="0" w:line="453" w:lineRule="auto"/>
        <w:rPr>
          <w:sz w:val="20"/>
          <w:szCs w:val="20"/>
          <w:color w:val="auto"/>
        </w:rPr>
      </w:pPr>
      <w:r>
        <w:rPr>
          <w:rFonts w:ascii="Arial" w:cs="Arial" w:eastAsia="Arial" w:hAnsi="Arial"/>
          <w:sz w:val="18"/>
          <w:szCs w:val="18"/>
          <w:color w:val="auto"/>
        </w:rPr>
        <w:t xml:space="preserve">Other factors that have or can have an impact on the Company’s case and IBNR reserves include but are not limited to those described below. </w:t>
      </w:r>
      <w:r>
        <w:rPr>
          <w:rFonts w:ascii="Arial" w:cs="Arial" w:eastAsia="Arial" w:hAnsi="Arial"/>
          <w:sz w:val="18"/>
          <w:szCs w:val="18"/>
          <w:u w:val="single" w:color="auto"/>
          <w:color w:val="auto"/>
        </w:rPr>
        <w:t>Changes in liability law and public attitudes regarding damage awards</w:t>
      </w:r>
    </w:p>
    <w:p>
      <w:pPr>
        <w:spacing w:after="0" w:line="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19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During 2018, the state of Nevada mandated the incorporation of higher minimum liabilities for nonstandard auto insurance policies written in the state. Similar mandates are scheduled to occur in the state of Arizona during 2020. While it is certain that these actions increase the average claim cost experienced in the state, the actual amount is subject to judgement until further claim experience is obtained.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7" w:name="page48"/>
    <w:bookmarkEnd w:id="47"/>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98"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8" w:name="page49"/>
    <w:bookmarkEnd w:id="48"/>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240" w:type="dxa"/>
            <w:vAlign w:val="bottom"/>
          </w:tcPr>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2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2019</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Case reserves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IBNR reserves</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3,040</w:t>
            </w:r>
          </w:p>
        </w:tc>
      </w:tr>
      <w:tr>
        <w:trPr>
          <w:trHeight w:val="209"/>
        </w:trPr>
        <w:tc>
          <w:tcPr>
            <w:tcW w:w="8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24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r>
      <w:tr>
        <w:trPr>
          <w:trHeight w:val="223"/>
        </w:trPr>
        <w:tc>
          <w:tcPr>
            <w:tcW w:w="8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2020</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Case Reserves</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IBNR Reserves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Total Reserves</w:t>
            </w:r>
          </w:p>
        </w:tc>
        <w:tc>
          <w:tcPr>
            <w:tcW w:w="10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Non-standard auto</w:t>
            </w: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59,729</w:t>
            </w:r>
          </w:p>
        </w:tc>
        <w:tc>
          <w:tcPr>
            <w:tcW w:w="3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(17,729)</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7,319</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3,082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Crop</w:t>
            </w: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3,777</w:t>
            </w:r>
          </w:p>
        </w:tc>
        <w:tc>
          <w:tcPr>
            <w:tcW w:w="3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4,463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12,248</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All other</w:t>
            </w: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4,172</w:t>
            </w:r>
          </w:p>
        </w:tc>
        <w:tc>
          <w:tcPr>
            <w:tcW w:w="3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4,682</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8,854</w:t>
            </w:r>
          </w:p>
        </w:tc>
      </w:tr>
      <w:tr>
        <w:trPr>
          <w:trHeight w:val="209"/>
        </w:trPr>
        <w:tc>
          <w:tcPr>
            <w:tcW w:w="6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6,889</w:t>
            </w:r>
          </w:p>
        </w:tc>
        <w:tc>
          <w:tcPr>
            <w:tcW w:w="3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1,178</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8,067</w:t>
            </w:r>
          </w:p>
        </w:tc>
      </w:tr>
      <w:tr>
        <w:trPr>
          <w:trHeight w:val="223"/>
        </w:trPr>
        <w:tc>
          <w:tcPr>
            <w:tcW w:w="6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1"/>
              </w:rPr>
              <w:t>December 31, 2019</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Case Reserves</w:t>
            </w:r>
          </w:p>
        </w:tc>
        <w:tc>
          <w:tcPr>
            <w:tcW w:w="18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IBNR Reserves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Total Reserves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Non-standard auto</w:t>
            </w:r>
          </w:p>
        </w:tc>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55,623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(11,645)</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43,978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Crop</w:t>
            </w:r>
          </w:p>
        </w:tc>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8,411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All other</w:t>
            </w:r>
          </w:p>
        </w:tc>
        <w:tc>
          <w:tcPr>
            <w:tcW w:w="2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4,232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4,990</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2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2,867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1,178</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vMerge w:val="restart"/>
          </w:tcPr>
          <w:p>
            <w:pPr>
              <w:jc w:val="right"/>
              <w:ind w:right="1112"/>
              <w:spacing w:after="0"/>
              <w:rPr>
                <w:sz w:val="20"/>
                <w:szCs w:val="20"/>
                <w:color w:val="auto"/>
              </w:rPr>
            </w:pPr>
            <w:r>
              <w:rPr>
                <w:rFonts w:ascii="Arial" w:cs="Arial" w:eastAsia="Arial" w:hAnsi="Arial"/>
                <w:sz w:val="22"/>
                <w:szCs w:val="22"/>
                <w:color w:val="auto"/>
              </w:rPr>
              <w:t>47</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49" w:name="page50"/>
    <w:bookmarkEnd w:id="49"/>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18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March 31, 2020, the impact of a 1% change in our estimate for unpaid losses and LAE, net of reinsurance recoverables, on our net income, after federal income taxes of 21%, would be approximately $706.</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net income after federal income taxes of 21%, resulting from various changes from the inflation factor implicitly embedded in the estimated payment pattern as of December 31, 2019, which is deemed consistent with March 31, 2020 excluding the addition of the Westminster liability for unpaid losses and LAE.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47"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Change in Inflation</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Impact on After-Tax Earnings</w:t>
            </w:r>
          </w:p>
        </w:tc>
      </w:tr>
      <w:tr>
        <w:trPr>
          <w:trHeight w:val="210"/>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(1,103)</w:t>
            </w: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1,128</w:t>
            </w:r>
          </w:p>
        </w:tc>
      </w:tr>
      <w:tr>
        <w:trPr>
          <w:trHeight w:val="216"/>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3,463</w:t>
            </w:r>
          </w:p>
        </w:tc>
      </w:tr>
      <w:tr>
        <w:trPr>
          <w:trHeight w:val="230"/>
        </w:trPr>
        <w:tc>
          <w:tcPr>
            <w:tcW w:w="25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5,910</w:t>
            </w:r>
          </w:p>
        </w:tc>
      </w:tr>
    </w:tbl>
    <w:p>
      <w:pPr>
        <w:spacing w:after="0" w:line="36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19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federal income taxes of 21% that results from various changes to the level of case reserves as of December 31, 2019, which is deemed consistent with March 31, 2020 excluding the addition of the Westminster liability for unpaid losses and LAE. This variance in future IBNR emergence could occur in one year or over multiple years, depending when the change is recognized.</w:t>
      </w:r>
    </w:p>
    <w:p>
      <w:pPr>
        <w:spacing w:after="0" w:line="130"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5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 in Case Reserves</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Impact on After-Tax Earnings</w:t>
            </w:r>
          </w:p>
        </w:tc>
      </w:tr>
      <w:tr>
        <w:trPr>
          <w:trHeight w:val="210"/>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7,127</w:t>
            </w: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3,563</w:t>
            </w:r>
          </w:p>
        </w:tc>
      </w:tr>
      <w:tr>
        <w:trPr>
          <w:trHeight w:val="216"/>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1,425</w:t>
            </w: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right"/>
              <w:ind w:right="350"/>
              <w:spacing w:after="0"/>
              <w:rPr>
                <w:sz w:val="20"/>
                <w:szCs w:val="20"/>
                <w:color w:val="auto"/>
              </w:rPr>
            </w:pPr>
            <w:r>
              <w:rPr>
                <w:rFonts w:ascii="Arial" w:cs="Arial" w:eastAsia="Arial" w:hAnsi="Arial"/>
                <w:sz w:val="18"/>
                <w:szCs w:val="18"/>
                <w:color w:val="auto"/>
              </w:rPr>
              <w:t>(1,425)</w:t>
            </w:r>
          </w:p>
        </w:tc>
      </w:tr>
      <w:tr>
        <w:trPr>
          <w:trHeight w:val="216"/>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(3,563)</w:t>
            </w:r>
          </w:p>
        </w:tc>
      </w:tr>
      <w:tr>
        <w:trPr>
          <w:trHeight w:val="230"/>
        </w:trPr>
        <w:tc>
          <w:tcPr>
            <w:tcW w:w="25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jc w:val="right"/>
              <w:ind w:right="350"/>
              <w:spacing w:after="0"/>
              <w:rPr>
                <w:sz w:val="20"/>
                <w:szCs w:val="20"/>
                <w:color w:val="auto"/>
              </w:rPr>
            </w:pPr>
            <w:r>
              <w:rPr>
                <w:rFonts w:ascii="Arial" w:cs="Arial" w:eastAsia="Arial" w:hAnsi="Arial"/>
                <w:sz w:val="18"/>
                <w:szCs w:val="18"/>
                <w:color w:val="auto"/>
              </w:rPr>
              <w:t>(7,127)</w:t>
            </w: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shareholders’ equity as a component of other comprehensive income (loss) and, accordingly, have no effect on net income (loss). Effective January 1, 2019, changes in unrealized investment gains or losses on equity securities will be recorded in net income (loss), rather than as a component of other comprehensive income (loss). Investment income is recognized when earned, and realized capital gains and losses on investments are recognized when investments are sold, or an other-than-temporary impairment is recognized.</w:t>
      </w:r>
    </w:p>
    <w:p>
      <w:pPr>
        <w:spacing w:after="0" w:line="1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NI Holdings evaluates securities for other-than-temporary impairment (“OTTI”) at least on a quarterly basis. For periods subsequent to December 31, 2018, this evaluation includes only fixed income securities. Prior to January 1, 2019, this evaluation included both fixed income and equity securities. NI Holdings assesses whether OTTI is present when the fair value of a security is less than its amortized cost. OTTI is considered to have occurred with respect to fixed income securities if (1) an entity intends to sell</w:t>
      </w:r>
    </w:p>
    <w:p>
      <w:pPr>
        <w:sectPr>
          <w:pgSz w:w="11900" w:h="16838" w:orient="portrait"/>
          <w:cols w:equalWidth="0" w:num="1">
            <w:col w:w="11240"/>
          </w:cols>
          <w:pgMar w:left="320" w:top="226" w:right="339" w:bottom="1440" w:gutter="0" w:footer="0" w:header="0"/>
        </w:sectPr>
      </w:pP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0" w:name="page51"/>
    <w:bookmarkEnd w:id="50"/>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March 31, 2020, NI Holdings’ investment portfolio experienced a decrease in net unrealized gains of $20,538.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Change</w:t>
            </w: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8"/>
                <w:szCs w:val="18"/>
                <w:color w:val="auto"/>
              </w:rPr>
              <w:t>Gross unrealized gains</w:t>
            </w:r>
          </w:p>
        </w:tc>
        <w:tc>
          <w:tcPr>
            <w:tcW w:w="216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7,912</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317</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losses</w:t>
            </w:r>
          </w:p>
        </w:tc>
        <w:tc>
          <w:tcPr>
            <w:tcW w:w="1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(5,275)</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(4,921)</w:t>
            </w:r>
          </w:p>
        </w:tc>
      </w:tr>
      <w:tr>
        <w:trPr>
          <w:trHeight w:val="209"/>
        </w:trPr>
        <w:tc>
          <w:tcPr>
            <w:tcW w:w="5060" w:type="dxa"/>
            <w:vAlign w:val="bottom"/>
          </w:tcPr>
          <w:p>
            <w:pPr>
              <w:ind w:left="260"/>
              <w:spacing w:after="0"/>
              <w:rPr>
                <w:sz w:val="20"/>
                <w:szCs w:val="20"/>
                <w:color w:val="auto"/>
              </w:rPr>
            </w:pPr>
            <w:r>
              <w:rPr>
                <w:rFonts w:ascii="Arial" w:cs="Arial" w:eastAsia="Arial" w:hAnsi="Arial"/>
                <w:sz w:val="18"/>
                <w:szCs w:val="18"/>
                <w:color w:val="auto"/>
              </w:rPr>
              <w:t>Net fixed income unrealized gains (losses)</w:t>
            </w:r>
          </w:p>
        </w:tc>
        <w:tc>
          <w:tcPr>
            <w:tcW w:w="17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8"/>
              </w:rPr>
              <w:t>2,637</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securities: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gains</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12,143</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Gross unrealized losses</w:t>
            </w: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(6,181)</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(5,199)</w:t>
            </w:r>
          </w:p>
        </w:tc>
      </w:tr>
      <w:tr>
        <w:trPr>
          <w:trHeight w:val="210"/>
        </w:trPr>
        <w:tc>
          <w:tcPr>
            <w:tcW w:w="5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equity unrealized gains</w:t>
            </w:r>
          </w:p>
        </w:tc>
        <w:tc>
          <w:tcPr>
            <w:tcW w:w="1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5,962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gains</w:t>
            </w:r>
          </w:p>
        </w:tc>
        <w:tc>
          <w:tcPr>
            <w:tcW w:w="21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8,599</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29,137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fixed income portion of the portfolio experienced a decrease in net unrealized gains of $4,604 during the three months ended March 31, 2020. This decrease was primarily the result of stress in the credit markets stemming from COVID-19 along with plummeting oil prices in March 2020. Resulting liquidity and increased downgrade/default risk in the corporate and municipal bond markets led to substantial widening credit spreads and price declines across our portfolio. The net decrease is reflected directly in shareholders’ equity as a component of accumulated other comprehensive income.</w:t>
      </w:r>
    </w:p>
    <w:p>
      <w:pPr>
        <w:spacing w:after="0" w:line="11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equity portion of the portfolio experienced decreases in unrealized gains and increases in unrealized losses, which are attributed to the unfavorable conditions in the stock market during the three months ended March 31, 2020, brought about by the COVID-19 pandemic and a significant drop in oil prices. The net decrease of $15,934 is included in net capital gains (losses) on investments on the Company’s Consolidated Statements of Operations.</w:t>
      </w:r>
    </w:p>
    <w:p>
      <w:pPr>
        <w:spacing w:after="0" w:line="16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4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the three months ended March 31, 2020, NI Holdings did not recognize any other-than-temporary impairments of its investment securities. For the year ended December 31, 2019, NI Holdings did not recognize any other-than-temporary impairments of its investment securities.</w:t>
      </w:r>
    </w:p>
    <w:p>
      <w:pPr>
        <w:spacing w:after="0" w:line="10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more information on the Company’s investments, see Note 6 to the Unaudited Consolidated Financial Statements, included elsewhere in this Form 10-Q.</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6" w:lineRule="exact"/>
        <w:rPr>
          <w:sz w:val="20"/>
          <w:szCs w:val="20"/>
          <w:color w:val="auto"/>
        </w:rPr>
      </w:pPr>
    </w:p>
    <w:p>
      <w:pPr>
        <w:ind w:left="1960" w:right="520" w:hanging="1295"/>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30" w:lineRule="exact"/>
        <w:rPr>
          <w:sz w:val="20"/>
          <w:szCs w:val="20"/>
          <w:color w:val="auto"/>
        </w:rPr>
      </w:pPr>
    </w:p>
    <w:p>
      <w:pPr>
        <w:ind w:left="1960" w:right="60" w:hanging="1295"/>
        <w:spacing w:after="0" w:line="275" w:lineRule="auto"/>
        <w:tabs>
          <w:tab w:leader="none" w:pos="19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36" w:lineRule="exact"/>
        <w:rPr>
          <w:sz w:val="20"/>
          <w:szCs w:val="20"/>
          <w:color w:val="auto"/>
        </w:rPr>
      </w:pPr>
    </w:p>
    <w:p>
      <w:pPr>
        <w:ind w:left="1960" w:right="160" w:hanging="1295"/>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3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 at March 31, 2020 or December 31, 2019.</w:t>
      </w:r>
    </w:p>
    <w:p>
      <w:pPr>
        <w:spacing w:after="0" w:line="15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2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three month period ended March 31, 2020 or the year ended December 31, 2019. The classification within the fair value hierarchy is then confirmed based on the final conclusions from the pricing review.</w:t>
      </w:r>
    </w:p>
    <w:p>
      <w:pPr>
        <w:spacing w:after="0" w:line="13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Form 10-Q.</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43"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$4,177 and established at the closing date. This VOBA intangible asset will be amortized into expense as the acquired unearned premiums are reported into income, in the same way as DAC.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2020 and December 31, 2019, DAC, the VOBA intangible asset, and the related liability for unearned premiums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2019</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89,276</w:t>
            </w: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method followed in computing DAC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DAC. If the estimation of net realizable value indicates that DAC are not recoverable, they would be written off or a premium deficiency reserve would be established.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NI Holdings had gross deferred income tax assets of $7,138 at March 31, 2020 and $6,294 at December 31, 2019,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$594 was maintained at March 31, 2020 and December 31, 2019.</w:t>
      </w:r>
    </w:p>
    <w:p>
      <w:pPr>
        <w:spacing w:after="0" w:line="14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NI Holdings had gross deferred income tax liabilities of $8,966 at March 31, 2020 and $10,290 at December 31, 2019, arising primarily from DAC, net unrealized capital gains on investments, and intangible assets.</w:t>
      </w:r>
    </w:p>
    <w:p>
      <w:pPr>
        <w:spacing w:after="0" w:line="130"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3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March 31, 2020, NI Holdings had no material unrecognized income tax benefits or accrued interest and penalties. Federal tax years 2014 through 2018 are open for examination.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the second quarter, and earned ratably over the period of risk, which extends into the fourth quarter.</w:t>
      </w:r>
    </w:p>
    <w:p>
      <w:pPr>
        <w:spacing w:after="0" w:line="13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4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43"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Premiums in the commercial lines of business are generally written throughout the year and earned throughout the year. Losses on this business are also incurred throughout the year, but generally are more frequent during the winter months from water and freeze claims.</w:t>
      </w:r>
    </w:p>
    <w:p>
      <w:pPr>
        <w:spacing w:after="0" w:line="10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22 to the Unaudited Consolidated Financial Statements, included elsewhere in this Form 10-Q.</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54" w:name="page55"/>
    <w:bookmarkEnd w:id="54"/>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2020 and 2019</w:t>
      </w:r>
    </w:p>
    <w:p>
      <w:pPr>
        <w:spacing w:after="0" w:line="18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consolidated net loss for NI Holdings was $3,555 for the three months ended March 31, 2020 compared to net income of $13,796 for the three months ended March 31, 2019. The major components of NI Holdings’ operating revenues and net income for the two periods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58,772</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50,506</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and other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8"/>
                <w:szCs w:val="18"/>
                <w:color w:val="auto"/>
              </w:rPr>
            </w:pPr>
          </w:p>
        </w:tc>
      </w:tr>
      <w:tr>
        <w:trPr>
          <w:trHeight w:val="229"/>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capital gain (loss) on investments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(14,919)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7,859</w:t>
            </w:r>
          </w:p>
        </w:tc>
        <w:tc>
          <w:tcPr>
            <w:tcW w:w="80" w:type="dxa"/>
            <w:vAlign w:val="bottom"/>
            <w:shd w:val="clear" w:color="auto" w:fill="CCEEFF"/>
          </w:tcPr>
          <w:p>
            <w:pPr>
              <w:spacing w:after="0"/>
              <w:rPr>
                <w:sz w:val="19"/>
                <w:szCs w:val="19"/>
                <w:color w:val="auto"/>
              </w:rPr>
            </w:pPr>
          </w:p>
        </w:tc>
      </w:tr>
      <w:tr>
        <w:trPr>
          <w:trHeight w:val="209"/>
        </w:trPr>
        <w:tc>
          <w:tcPr>
            <w:tcW w:w="77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revenues</w:t>
            </w:r>
          </w:p>
        </w:tc>
        <w:tc>
          <w:tcPr>
            <w:tcW w:w="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Components of net income (loss):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58,772</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50,506</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Losses and loss adjustment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30,422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26,234</w:t>
            </w:r>
          </w:p>
        </w:tc>
        <w:tc>
          <w:tcPr>
            <w:tcW w:w="80" w:type="dxa"/>
            <w:vAlign w:val="bottom"/>
          </w:tcPr>
          <w:p>
            <w:pPr>
              <w:spacing w:after="0"/>
              <w:rPr>
                <w:sz w:val="18"/>
                <w:szCs w:val="18"/>
                <w:color w:val="auto"/>
              </w:rPr>
            </w:pPr>
          </w:p>
        </w:tc>
      </w:tr>
      <w:tr>
        <w:trPr>
          <w:trHeight w:val="230"/>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20,159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16,694</w:t>
            </w:r>
          </w:p>
        </w:tc>
        <w:tc>
          <w:tcPr>
            <w:tcW w:w="80" w:type="dxa"/>
            <w:vAlign w:val="bottom"/>
            <w:shd w:val="clear" w:color="auto" w:fill="CCEEFF"/>
          </w:tcPr>
          <w:p>
            <w:pPr>
              <w:spacing w:after="0"/>
              <w:rPr>
                <w:sz w:val="19"/>
                <w:szCs w:val="19"/>
                <w:color w:val="auto"/>
              </w:rPr>
            </w:pPr>
          </w:p>
        </w:tc>
      </w:tr>
      <w:tr>
        <w:trPr>
          <w:trHeight w:val="209"/>
        </w:trPr>
        <w:tc>
          <w:tcPr>
            <w:tcW w:w="7720" w:type="dxa"/>
            <w:vAlign w:val="bottom"/>
          </w:tcPr>
          <w:p>
            <w:pPr>
              <w:ind w:left="400"/>
              <w:spacing w:after="0"/>
              <w:rPr>
                <w:sz w:val="20"/>
                <w:szCs w:val="20"/>
                <w:color w:val="auto"/>
              </w:rPr>
            </w:pPr>
            <w:r>
              <w:rPr>
                <w:rFonts w:ascii="Arial" w:cs="Arial" w:eastAsia="Arial" w:hAnsi="Arial"/>
                <w:sz w:val="18"/>
                <w:szCs w:val="18"/>
                <w:color w:val="auto"/>
              </w:rPr>
              <w:t>Underwriting gain</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and other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8"/>
                <w:szCs w:val="18"/>
                <w:color w:val="auto"/>
              </w:rPr>
            </w:pPr>
          </w:p>
        </w:tc>
      </w:tr>
      <w:tr>
        <w:trPr>
          <w:trHeight w:val="230"/>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capital gain (loss) on investments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(14,919)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7,859</w:t>
            </w:r>
          </w:p>
        </w:tc>
        <w:tc>
          <w:tcPr>
            <w:tcW w:w="80" w:type="dxa"/>
            <w:vAlign w:val="bottom"/>
            <w:shd w:val="clear" w:color="auto" w:fill="CCEEFF"/>
          </w:tcPr>
          <w:p>
            <w:pPr>
              <w:spacing w:after="0"/>
              <w:rPr>
                <w:sz w:val="19"/>
                <w:szCs w:val="19"/>
                <w:color w:val="auto"/>
              </w:rPr>
            </w:pPr>
          </w:p>
        </w:tc>
      </w:tr>
      <w:tr>
        <w:trPr>
          <w:trHeight w:val="209"/>
        </w:trPr>
        <w:tc>
          <w:tcPr>
            <w:tcW w:w="7720" w:type="dxa"/>
            <w:vAlign w:val="bottom"/>
          </w:tcPr>
          <w:p>
            <w:pPr>
              <w:ind w:left="400"/>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Beginning in March 2020, the global pandemic associated with COVID-19 and related economic conditions began to impact the Company’s results. For the three months ended March 31, 2020, the Company’s underwriting results were impacted by reduced net premiums earned in our non-standard auto segment. The Company also incurred net unrealized investment losses driven by the impact of changes in fair value on the Company’s equity investments, attributable to the recent disruption in global financial markets. For further discussion regarding the potential impacts of COVID-19 and related economic conditions of the Company, see “Part II – Item 1A – Risk Factors”.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net premiums earned for the three months ended March 31, 2020 increased $8,266, or 16.4%, compared to a year ago.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538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17,299</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16,092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14,591</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16,789</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r>
      <w:tr>
        <w:trPr>
          <w:trHeight w:val="230"/>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2,034</w:t>
            </w:r>
          </w:p>
        </w:tc>
        <w:tc>
          <w:tcPr>
            <w:tcW w:w="80" w:type="dxa"/>
            <w:vAlign w:val="bottom"/>
            <w:shd w:val="clear" w:color="auto" w:fill="CCEEFF"/>
          </w:tcPr>
          <w:p>
            <w:pPr>
              <w:spacing w:after="0"/>
              <w:rPr>
                <w:sz w:val="19"/>
                <w:szCs w:val="19"/>
                <w:color w:val="auto"/>
              </w:rPr>
            </w:pPr>
          </w:p>
        </w:tc>
      </w:tr>
      <w:tr>
        <w:trPr>
          <w:trHeight w:val="223"/>
        </w:trPr>
        <w:tc>
          <w:tcPr>
            <w:tcW w:w="5380" w:type="dxa"/>
            <w:vAlign w:val="bottom"/>
          </w:tcPr>
          <w:p>
            <w:pPr>
              <w:ind w:left="400"/>
              <w:spacing w:after="0"/>
              <w:rPr>
                <w:sz w:val="20"/>
                <w:szCs w:val="20"/>
                <w:color w:val="auto"/>
              </w:rPr>
            </w:pPr>
            <w:r>
              <w:rPr>
                <w:rFonts w:ascii="Arial" w:cs="Arial" w:eastAsia="Arial" w:hAnsi="Arial"/>
                <w:sz w:val="18"/>
                <w:szCs w:val="18"/>
                <w:color w:val="auto"/>
              </w:rPr>
              <w:t>Total net premiums earned</w:t>
            </w:r>
          </w:p>
        </w:tc>
        <w:tc>
          <w:tcPr>
            <w:tcW w:w="3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538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62,393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52,253</w:t>
            </w: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r>
      <w:tr>
        <w:trPr>
          <w:trHeight w:val="229"/>
        </w:trPr>
        <w:tc>
          <w:tcPr>
            <w:tcW w:w="538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(5,221)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r>
      <w:tr>
        <w:trPr>
          <w:trHeight w:val="223"/>
        </w:trPr>
        <w:tc>
          <w:tcPr>
            <w:tcW w:w="53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5" w:name="page56"/>
    <w:bookmarkEnd w:id="55"/>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Direct premiums earned for the first quarter of 2020 increased $10,140, or 19.4%, from the first quarter of 2019. The addition of the Westminster commercial business contributed $8,347 in direct premiums earned during the three months ended March 31, 2020.</w:t>
      </w:r>
    </w:p>
    <w:p>
      <w:pPr>
        <w:spacing w:after="0" w:line="13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Assumed premiums earned increased $574, due to increasing our participation in the assumed domestic and international business in our all other segment. Ceded premiums earned increased significantly, reflecting the additional amounts ceded for the Westminster commercial business as well as increasing our overall reinsurance coverage limits.</w:t>
      </w:r>
    </w:p>
    <w:p>
      <w:pPr>
        <w:spacing w:after="0" w:line="15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personal lines of business (private passenger auto, home and farm) continued to grow in South Dakota and Nebraska. Our North Dakota business grew modestly. Our non-standard auto premiums decreased year-over-year due to the COVID-19 pandemic, which negatively impacted policy counts in this segment across all states. We anticipate that second quarter will reflect a larger year-over-year decrease in non-standard auto premiums as the pandemic and related economic implications continue.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NI Holdings’ net losses and LAE for the three months ended March 31, 2020 increased $4,188, or 16.0%, compared to a year ago, due primarily to the addition of Westminster. The Company’s loss and LAE ratio remained relatively unchanged.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53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11,129</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10,105</w:t>
            </w: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7,156</w:t>
            </w: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8,002</w:t>
            </w: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r>
      <w:tr>
        <w:trPr>
          <w:trHeight w:val="230"/>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9"/>
                <w:szCs w:val="19"/>
                <w:color w:val="auto"/>
              </w:rPr>
            </w:pPr>
          </w:p>
        </w:tc>
      </w:tr>
      <w:tr>
        <w:trPr>
          <w:trHeight w:val="223"/>
        </w:trPr>
        <w:tc>
          <w:tcPr>
            <w:tcW w:w="5320" w:type="dxa"/>
            <w:vAlign w:val="bottom"/>
          </w:tcPr>
          <w:p>
            <w:pPr>
              <w:ind w:left="400"/>
              <w:spacing w:after="0"/>
              <w:rPr>
                <w:sz w:val="20"/>
                <w:szCs w:val="20"/>
                <w:color w:val="auto"/>
              </w:rPr>
            </w:pPr>
            <w:r>
              <w:rPr>
                <w:rFonts w:ascii="Arial" w:cs="Arial" w:eastAsia="Arial" w:hAnsi="Arial"/>
                <w:sz w:val="18"/>
                <w:szCs w:val="18"/>
                <w:color w:val="auto"/>
              </w:rPr>
              <w:t>Total net losses and LAE</w:t>
            </w:r>
          </w:p>
        </w:tc>
        <w:tc>
          <w:tcPr>
            <w:tcW w:w="3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ind w:left="400"/>
              <w:spacing w:after="0"/>
              <w:rPr>
                <w:sz w:val="20"/>
                <w:szCs w:val="20"/>
                <w:color w:val="auto"/>
              </w:rPr>
            </w:pPr>
            <w:r>
              <w:rPr>
                <w:rFonts w:ascii="Arial" w:cs="Arial" w:eastAsia="Arial" w:hAnsi="Arial"/>
                <w:sz w:val="18"/>
                <w:szCs w:val="18"/>
                <w:color w:val="auto"/>
              </w:rPr>
              <w:t>Total loss and LAE ratio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overall loss and LAE experience was fairly consistent year-over-year, across most segments of the Company. Loss and LAE ratios improved in non-standard auto, home and farm, and all other, while private passenger auto increased modestly.</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Losses were generally consistent year-over-year in private passenger and non-standard auto. In home and farm, losses and LAE decreased by $1,464, or 18.3%, primarily as a result of lower weather-related losses. These reduced losses were partially offset by increased losses and LAE of $3,395 in commercial due to Westminster’s results being added to the segment.</w:t>
      </w:r>
    </w:p>
    <w:p>
      <w:pPr>
        <w:spacing w:after="0" w:line="14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loss and LAE ratio for non-standard auto continued to improve as the rate increases and underwriting actions appear to have addressed the profitability issues.</w:t>
      </w:r>
    </w:p>
    <w:p>
      <w:pPr>
        <w:spacing w:after="0" w:line="143"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2019 multi-peril crop insurance business ended the year with less than 50% of the corn in North Dakota harvested and we carried a significant number of open claims as of December 31, 2019. Many of those claims have been settled during the quarter as crops have been harvested. The significant number of open claims at year-end has produced unfavorable loss development of $2,367 on a net basis as these claims have been settled in 2020.</w:t>
      </w:r>
    </w:p>
    <w:p>
      <w:pPr>
        <w:spacing w:after="0" w:line="10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three months ended March 31, 2020, reported losses and LAE included $510 of net unfavorable development on prior accident years, compared to $4,969 of net favorable development on prior accident years during the three months ended March 31, 2019.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$3,465, or 20.8%, during the three months ended March 31, 2020 compared to a year ago.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60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100" w:type="dxa"/>
            <w:vAlign w:val="bottom"/>
            <w:shd w:val="clear" w:color="auto" w:fill="CCEEFF"/>
          </w:tcPr>
          <w:p>
            <w:pPr>
              <w:spacing w:after="0"/>
              <w:rPr>
                <w:sz w:val="18"/>
                <w:szCs w:val="18"/>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(13,152)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(11,147)</w:t>
            </w:r>
          </w:p>
        </w:tc>
      </w:tr>
      <w:tr>
        <w:trPr>
          <w:trHeight w:val="209"/>
        </w:trPr>
        <w:tc>
          <w:tcPr>
            <w:tcW w:w="6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underwriting and general expenses</w:t>
            </w:r>
          </w:p>
        </w:tc>
        <w:tc>
          <w:tcPr>
            <w:tcW w:w="2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9,222</w:t>
            </w:r>
          </w:p>
        </w:tc>
      </w:tr>
      <w:tr>
        <w:trPr>
          <w:trHeight w:val="223"/>
        </w:trPr>
        <w:tc>
          <w:tcPr>
            <w:tcW w:w="6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reported expenses</w:t>
            </w: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Underlying expenses were $5,305 higher in the three months ended March 31, 2020 compared to a year ago. The new Westminster subsidiary contributed $4,277 of underlying expenses to the current quarter, including $1,868 amortization of other intangibles. Underlying expenses were also elevated due to costs related to the acquisition of Westminster.</w:t>
      </w:r>
    </w:p>
    <w:p>
      <w:pPr>
        <w:spacing w:after="0" w:line="143"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Expense deferrals were $2,005 higher in the three months ended March 31, 2020 compared to 2019, while amortization of those costs was only slightly higher in 2020. Westminster contributed $1,556 of new expense deferrals in 2020, while private passenger auto, home and farm business grew.</w:t>
      </w:r>
    </w:p>
    <w:p>
      <w:pPr>
        <w:spacing w:after="0" w:line="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expense ratio of 34.3% for the three months ended March 31, 2020 was 1.2 percentage points higher than the expense ratio in the first quarter of 2019 related to the acquisition of Westminster.</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526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6,194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3,585</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355</w:t>
            </w:r>
          </w:p>
        </w:tc>
      </w:tr>
      <w:tr>
        <w:trPr>
          <w:trHeight w:val="230"/>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r>
      <w:tr>
        <w:trPr>
          <w:trHeight w:val="223"/>
        </w:trPr>
        <w:tc>
          <w:tcPr>
            <w:tcW w:w="5260" w:type="dxa"/>
            <w:vAlign w:val="bottom"/>
          </w:tcPr>
          <w:p>
            <w:pPr>
              <w:ind w:left="400"/>
              <w:spacing w:after="0"/>
              <w:rPr>
                <w:sz w:val="20"/>
                <w:szCs w:val="20"/>
                <w:color w:val="auto"/>
              </w:rPr>
            </w:pPr>
            <w:r>
              <w:rPr>
                <w:rFonts w:ascii="Arial" w:cs="Arial" w:eastAsia="Arial" w:hAnsi="Arial"/>
                <w:sz w:val="18"/>
                <w:szCs w:val="18"/>
                <w:color w:val="auto"/>
              </w:rPr>
              <w:t>Total underwriting gain</w:t>
            </w:r>
          </w:p>
        </w:tc>
        <w:tc>
          <w:tcPr>
            <w:tcW w:w="3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ind w:left="400"/>
              <w:spacing w:after="0"/>
              <w:rPr>
                <w:sz w:val="20"/>
                <w:szCs w:val="20"/>
                <w:color w:val="auto"/>
              </w:rPr>
            </w:pPr>
            <w:r>
              <w:rPr>
                <w:rFonts w:ascii="Arial" w:cs="Arial" w:eastAsia="Arial" w:hAnsi="Arial"/>
                <w:sz w:val="18"/>
                <w:szCs w:val="18"/>
                <w:color w:val="auto"/>
              </w:rPr>
              <w:t>Total loss and LAE ratio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gain from underwriting operations increased 8.1% when compared to 2019. The combined ratio increased modestly during the same period.</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combined ratio for the private passenger auto segment was consistent year-over-year. While we anticipate that the frequency of claims will decrease in the second quarter as people are driving less during the COVID-19 pandemic, actual projections are difficult to determine. None of our writing states of North Dakota, South Dakota, or Nebraska have stay-at-home or shelter-in-place orders. The overall impact of COVID-19 on the auto insurance industry in our markets will continue to develop over time.</w:t>
      </w:r>
    </w:p>
    <w:p>
      <w:pPr>
        <w:sectPr>
          <w:pgSz w:w="11900" w:h="16838" w:orient="portrait"/>
          <w:cols w:equalWidth="0" w:num="1">
            <w:col w:w="11240"/>
          </w:cols>
          <w:pgMar w:left="320" w:top="226" w:right="339" w:bottom="1440" w:gutter="0" w:footer="0" w:header="0"/>
        </w:sectPr>
      </w:pP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7" w:name="page58"/>
    <w:bookmarkEnd w:id="57"/>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the non-standard auto segment, some improvement in the combined ratio has been realized as rate increases and underwriting actions had a positive impact on the Primero book of business. As with the private passenger auto segment, we expect to see the impact of the COVID-19 pandemic play out over time as people are driving less, specifically in Las Vegas and Chicago where there are stay-at-home orders in place.</w:t>
      </w:r>
    </w:p>
    <w:p>
      <w:pPr>
        <w:spacing w:after="0" w:line="13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combined ratio for the home and farm segment improved substantially as North Dakota experienced a lower amount of snowfall in the first quarter, resulting in fewer collapse losses on the farm line. In addition, fewer weather-related claims in both South Dakota and Nebraska has helped to lower the losses for the homeowners line in these states. The improved weather losses combined with some modest rate adjustments has resulted in a good start to 2020 for these lines of business.</w:t>
      </w:r>
    </w:p>
    <w:p>
      <w:pPr>
        <w:spacing w:after="0" w:line="14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For the commercial segment, the results of Westminster are now being combined with the commercial business of Nodak Insurance. Underwriting expenses during the first quarter for Westminster were elevated due to the impact of one-time expenses causing the combined ratio to be elevated. While we anticipate that the combined ratio will improve, the COVID-19 pandemic is also impacting this segment as certain states are mandating that companies waive certain fees, require companies to offer renewals on all business, and defer premium payments for collection at a later date. This has the potential to cause elevated combined ratios as expenses are likely to increase and the potential for uncollectable premiums also increases.</w:t>
      </w:r>
    </w:p>
    <w:p>
      <w:pPr>
        <w:spacing w:after="0" w:line="121"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For the crop segment, the combined ratio is elevated due to the high percentage of unharvested corn that remained in the field (52% in North Dakota). As these fields were harvested, the losses were higher than anticipated, resulting in adverse development for this segment during the quarter.</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NI Holdings had fee and other income of $362 for the three months ended March 31, 2020, compared to $464 for the three months ended March 31, 2019. Fee income attributable to the non-standard auto segment is a key component in measuring its profitability. Fee income on this business decreased to $329 for the three months ended March 31, 2020 from $470 for the three months ended March 31, 2019, as the amount of new inforce polices in Primero has dropped considerably. Primero has also started to temporarily waive some of its policy maintenance fees as a response to the COVID-19 pandemic.</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598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Investment expenses</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r>
      <w:tr>
        <w:trPr>
          <w:trHeight w:val="223"/>
        </w:trPr>
        <w:tc>
          <w:tcPr>
            <w:tcW w:w="5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investment income</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Investment income, net of investment expense, increased $228 for the three months ended March 31, 2020 compared to a year ago. This increase is attributable to the increase in invested assets, due primarily to the acquisition of Westminster and net cash from operating activities during 2019. The weighted average gross yield on invested assets increased to 2.7% in 2020 from 2.4% in 2019.</w:t>
      </w:r>
    </w:p>
    <w:p>
      <w:pPr>
        <w:spacing w:after="0" w:line="1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2020, our overall book yield for our combined fixed income and equity portfolio was 2.9%, excluding Westminster. The average duration was 3.4 years at March 31, 2020.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(Loss) on Investments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realized capital gains on investment of $1,015 for the three months ended March 31, 2020, compared to gains of $559 a year ago.</w:t>
      </w:r>
    </w:p>
    <w:p>
      <w:pPr>
        <w:spacing w:after="0" w:line="20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Effective January 1, 2019, in accordance with a change in accounting principle, market fluctuations on our equity securities are reflected in the Company’s results of operations. NI Holdings reported a net loss of $15,934 attributed to the change in unrealized appreciation of its equity securities for the three months ended March 31, 2020, compared to a net gain of $7,300 for the three months ended March 31, 2019. Prior to January 1, 2019, such unrealized gains and losses were included in other comprehensive income. This significant loss was due to the COVID-19 pandemic and the related economic implications on businesses and the stock market.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markets have partially rebounded during second quarter, but we anticipate additional volatility throughout the remainder of the pandemic and economic recovery period.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three months ended March 31, 2020 and 2019.</w:t>
      </w:r>
    </w:p>
    <w:p>
      <w:pPr>
        <w:spacing w:after="0" w:line="1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it will, from time to time, make sales of securities that are not impaired, consistent with our investment goals and policies. At March 31, 2020, the Company had net unrealized gains on fixed income securities of $2,637 and net unrealized gains on equity securities of $5,962. At December 31, 2019, the Company had net unrealized gains on fixed income securities of $7,241 and net unrealized gains on equity securities of $21,896. The decrease in the fair value of our fixed income securities was primarily the result of stress in the credit markets stemming from COVID-19 along with plummeting oil prices in March 2020. Resulting liquidity and increased downgrade/default risk in the corporate and municipal bond markets led to substantial widening credit spreads and price declines across our portfolio.</w:t>
      </w:r>
    </w:p>
    <w:p>
      <w:pPr>
        <w:spacing w:after="0" w:line="15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will continue to monitor these securities throughout the remainder of the COVID-19 pandemic and economic recovery period.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(Loss) before Income Taxes</w:t>
      </w:r>
    </w:p>
    <w:p>
      <w:pPr>
        <w:spacing w:after="0" w:line="19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March 31, 2020, NI Holdings had pre-tax loss of $4,395 compared to pre-tax income of $17,644 for the three months ended March 31, 2019. The decrease in pre-tax results was largely attributable to the $23,234 fluctuation in the change in net unrealized gains in our equity portfolio between the first quarter of 2020 and 2019.</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recorded income tax benefit of $840 for the three months ended March 31, 2020, compared to income tax expense of $3,848 for the three months ended March 31, 2019. A portion of income tax expense relates to state income taxes primarily for the state of Illinois. Our effective tax rate for the first quarter of 2020 was 19.1% compared to an effective tax rate of 21.8% for the first quarter of 2019.</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remained at $594 as of March 31, 2020, the same amount as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w:t>
      </w:r>
    </w:p>
    <w:p>
      <w:pPr>
        <w:spacing w:after="0" w:line="18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For the three months ended March 31, 2020, NI Holdings had net loss before non-controlling interest of $3,555 compared to net income of $13,796 for the three months ended March 31, 2019. This decrease in net income was primarily attributable to the fluctuation in the change in net unrealized gains in our equity portfolio between the first quarter of 2020 and 2019.</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For the three months ended March 31, 2020, NI Holdings had annualized return on average equity, after non-controlling interest, of -4.7% compared to annualized return on average equity, after non-controlling interest, of 19.6% for the three months ended March 31, 2019. Average equity is calculated as the average between beginning and ending equity excluding non-controlling interest for the period.</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59" w:name="page60"/>
    <w:bookmarkEnd w:id="59"/>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40" w:type="dxa"/>
            <w:vAlign w:val="bottom"/>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investments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416,981</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419,923</w:t>
            </w:r>
          </w:p>
        </w:tc>
        <w:tc>
          <w:tcPr>
            <w:tcW w:w="0" w:type="dxa"/>
            <w:vAlign w:val="bottom"/>
          </w:tcPr>
          <w:p>
            <w:pPr>
              <w:spacing w:after="0"/>
              <w:rPr>
                <w:sz w:val="1"/>
                <w:szCs w:val="1"/>
                <w:color w:val="auto"/>
              </w:rPr>
            </w:pPr>
          </w:p>
        </w:tc>
      </w:tr>
      <w:tr>
        <w:trPr>
          <w:trHeight w:val="209"/>
        </w:trPr>
        <w:tc>
          <w:tcPr>
            <w:tcW w:w="8240" w:type="dxa"/>
            <w:vAlign w:val="bottom"/>
          </w:tcPr>
          <w:p>
            <w:pPr>
              <w:ind w:left="200"/>
              <w:spacing w:after="0"/>
              <w:rPr>
                <w:sz w:val="20"/>
                <w:szCs w:val="20"/>
                <w:color w:val="auto"/>
              </w:rPr>
            </w:pPr>
            <w:r>
              <w:rPr>
                <w:rFonts w:ascii="Arial" w:cs="Arial" w:eastAsia="Arial" w:hAnsi="Arial"/>
                <w:sz w:val="18"/>
                <w:szCs w:val="18"/>
                <w:color w:val="auto"/>
              </w:rPr>
              <w:t>Premiums and agents’ balances receivable</w:t>
            </w: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30"/>
        </w:trPr>
        <w:tc>
          <w:tcPr>
            <w:tcW w:w="8240" w:type="dxa"/>
            <w:vAlign w:val="bottom"/>
          </w:tcPr>
          <w:p>
            <w:pPr>
              <w:ind w:left="200"/>
              <w:spacing w:after="0"/>
              <w:rPr>
                <w:sz w:val="20"/>
                <w:szCs w:val="20"/>
                <w:color w:val="auto"/>
              </w:rPr>
            </w:pPr>
            <w:r>
              <w:rPr>
                <w:rFonts w:ascii="Arial" w:cs="Arial" w:eastAsia="Arial" w:hAnsi="Arial"/>
                <w:sz w:val="18"/>
                <w:szCs w:val="18"/>
                <w:color w:val="auto"/>
              </w:rPr>
              <w:t>Receivable from Federal Crop Insurance Corporation</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and other intangibles</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29"/>
        </w:trPr>
        <w:tc>
          <w:tcPr>
            <w:tcW w:w="82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Unpaid losses and loss adjustment expenses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liabilities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97,400</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93,250</w:t>
            </w:r>
          </w:p>
        </w:tc>
      </w:tr>
      <w:tr>
        <w:trPr>
          <w:trHeight w:val="229"/>
        </w:trPr>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106,410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89,276</w:t>
            </w:r>
          </w:p>
        </w:tc>
      </w:tr>
      <w:tr>
        <w:trPr>
          <w:trHeight w:val="230"/>
        </w:trPr>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30,783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15,830</w:t>
            </w:r>
          </w:p>
        </w:tc>
      </w:tr>
      <w:tr>
        <w:trPr>
          <w:trHeight w:val="224"/>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198,356</w:t>
            </w:r>
          </w:p>
        </w:tc>
      </w:tr>
    </w:tbl>
    <w:p>
      <w:pPr>
        <w:spacing w:after="0" w:line="200" w:lineRule="exact"/>
        <w:rPr>
          <w:sz w:val="20"/>
          <w:szCs w:val="20"/>
          <w:color w:val="auto"/>
        </w:rPr>
      </w:pPr>
    </w:p>
    <w:p>
      <w:pPr>
        <w:sectPr>
          <w:pgSz w:w="11900" w:h="16838" w:orient="portrait"/>
          <w:cols w:equalWidth="0" w:num="2">
            <w:col w:w="7520" w:space="720"/>
            <w:col w:w="3000"/>
          </w:cols>
          <w:pgMar w:left="320" w:top="226"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301,791</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309,803</w:t>
            </w:r>
          </w:p>
        </w:tc>
        <w:tc>
          <w:tcPr>
            <w:tcW w:w="80" w:type="dxa"/>
            <w:vAlign w:val="bottom"/>
            <w:shd w:val="clear" w:color="auto" w:fill="CCEEFF"/>
          </w:tcPr>
          <w:p>
            <w:pPr>
              <w:spacing w:after="0"/>
              <w:rPr>
                <w:sz w:val="19"/>
                <w:szCs w:val="19"/>
                <w:color w:val="auto"/>
              </w:rPr>
            </w:pPr>
          </w:p>
        </w:tc>
      </w:tr>
      <w:tr>
        <w:trPr>
          <w:trHeight w:val="223"/>
        </w:trPr>
        <w:tc>
          <w:tcPr>
            <w:tcW w:w="824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March 31, 2020, NI Holdings’ total assets increased by $28,225, or 5.6%, from December 31, 2019. Cash and investments decreased due to market fluctuations in both the fixed income and equity markets, partially offset by acquired Westminster assets. Premiums and agents’ balances receivable increased in the non-standard auto business, in addition to the acquired Westminster receivables. DAC increased due partly to Westminster commercial business generated during the quarter. The receivable from the Federal Crop Insurance Corporation decreased due to a partial collection. Goodwill and other intangibles recognized in the Westminster acquisition was $20,221, less $1,868 of amortization during the first quarter of 2020. Other assets increased as well from property and equipment and reinsurance recoverables in the Westminster acquisition.</w:t>
      </w:r>
    </w:p>
    <w:p>
      <w:pPr>
        <w:spacing w:after="0" w:line="15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At March 31, 2020, total liabilities increased by $36,237, or 18.3%, from December 31, 2019. Unpaid losses and loss adjustment expenses increased due to Westminster liabilities of $8,568, partially offset by payments against prior year claims. Unearned premiums increased due to Westminster acquired amounts of $16,611.</w:t>
      </w:r>
    </w:p>
    <w:p>
      <w:pPr>
        <w:spacing w:after="0" w:line="14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Total equity decreased by $8,012, or 2.6%, during the three months ended March 31, 2020. The decrease in equity reflects a consolidated net loss of $3,555 for the three-month period, share repurchases of $1,502, and lower fair values of our fixed income securities.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0" w:name="page61"/>
    <w:bookmarkEnd w:id="60"/>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hoped to use for strategic acquisitions. However, these monies are available if necessary to meet the demands of claim settlements and operating expenses.</w:t>
      </w:r>
    </w:p>
    <w:p>
      <w:pPr>
        <w:spacing w:after="0" w:line="16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currently anticipate that cash generated from our operations and available from our investment portfolio and initial public offering net proceeds will be sufficient to fund our operations. However, as described above, the COVID-19 pandemic has, and we expect will continue to, adversely affected premiums and losses. In addition, COVID-19 has resulted in volatility in the credit and financial markets, which has adversely affected our investment portfolio and could increase the cost of capital and/or our ability to access additional capital if the need arises.</w:t>
      </w:r>
    </w:p>
    <w:p>
      <w:pPr>
        <w:spacing w:after="0" w:line="13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payable in installments over three years.</w:t>
      </w:r>
    </w:p>
    <w:p>
      <w:pPr>
        <w:spacing w:after="0" w:line="130"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three months ended March 31, 2020 and 2019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(7,578)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(3,032)</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(1,533)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844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months ended March 31, 2020, net cash provided by operating activities totaled $3,616 compared to $4,231 a year ago. The consolidated net loss of $3,555 for the three months ended March 31, 2020 compared to consolidated net income of $13,796 for the same period a year ago. The decrease in net income was offset by the impact of changes in the receivable from the Federal Crop Insurance Corporation, as well as the net decrease in unrealized gains on equity investments in evaluating net cash from operating activities.</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three months ended March 31, 2020, net cash used by investing activities totaled $7,578 compared to $3,032 a year ago. In the first quarter of 2020, the purchase price for Westminster was $703 more than the cash and cash equivalents received in the acquisition. Both the current and prior year reflect the impact of investing excess cash generated from operations into longer term investments.</w:t>
      </w:r>
    </w:p>
    <w:p>
      <w:pPr>
        <w:spacing w:after="0" w:line="15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three months ended March 31, 2020, net cash used by financing activities totaled $1,533 compared to $22 a year ago. The Company repurchased shares of its own common stock for $1,502 during 2020.</w:t>
      </w:r>
    </w:p>
    <w:p>
      <w:pPr>
        <w:spacing w:after="0" w:line="13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recent initial public offering, NI Holdings’ principal source of long-term liquidity will be dividend payments from its directly-owned subsidiaries.</w:t>
      </w:r>
    </w:p>
    <w:p>
      <w:pPr>
        <w:spacing w:after="0" w:line="13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amount available for payment of dividends from Nodak Insurance to us during 2020 without the prior approval of the North Dakota Insurance Department is approximately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three months ended March 31, 2020 or the year ended December 31, 2019.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 w:name="page62"/>
    <w:bookmarkEnd w:id="61"/>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3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2020 without the prior approval of the Illinois Department of Insurance is $6,881 based upon the policyholders’ surplus of Direct Auto at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three months ended March 31, 2020 or the year ended December 31, 2019.</w:t>
      </w:r>
    </w:p>
    <w:p>
      <w:pPr>
        <w:spacing w:after="0" w:line="12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2020 without the prior approval of the Maryland Insurance Administration is $636 based upon the statutory net investment income of Westminster for the year ended December 31, 2019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three months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5 to the Unaudited Consolidated Financial Statements,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2" w:name="page63"/>
    <w:bookmarkEnd w:id="62"/>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assessment of market risk as of March 31, 2020 indicates there have been no material changes in the quantitative and qualitative disclosures from those in our Annual Report on Form 10-K for the year ended December 31, 2019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15d-15(a)) as of March 31, 2020. Based on that evaluation, the Chief Executive Officer and Chief Financial Officer have concluded that the Company’s current disclosure controls and procedures are effective.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March 31, 2020, to which this report relates that have materially affected, or are reasonably likely to materially affect the Company’s internal control over financial reporting.</w:t>
      </w:r>
    </w:p>
    <w:p>
      <w:pPr>
        <w:spacing w:after="0" w:line="6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63" w:name="page64"/>
    <w:bookmarkEnd w:id="63"/>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a discussion of the Company’s potential risk or uncertainties, please see “Part 1 – Item 1A – Risk Factors” and “Part II – Item 7 – Management’s Discussion and Analysis of Financial Condition and Results of Operations” in the Company’s 2019 Annual Report filed with the SEC, and “Part 1 – Item 2 – Management’s Discussion and Analysis of Financial Condition and Results of Operations” herein, in each case as updated by the Company’s periodic filings with the SEC. Other than as described below, there have been no material changes to the risk factors disclosed in Part I – Item 1A of the Company’s 2019 Annual Report.</w:t>
      </w:r>
    </w:p>
    <w:p>
      <w:pPr>
        <w:spacing w:after="0" w:line="143"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The impact of COVID-19 and responses thereto, and related risks, could materially affect our results of operations, financial position, and/or liquidity.</w:t>
      </w:r>
    </w:p>
    <w:p>
      <w:pPr>
        <w:spacing w:after="0" w:line="13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Beginning in March 2020, the global pandemic related to novel coronavirus COVID-19 began to impact the global and U.S. economy. The extent of this pandemic continues to evolve, thus the direct and indirect impacts of COVID-19 are not yet known and may not emerge for some time. We have experienced a decrease in premiums due to the COVID-19 pandemic, which has negatively impacted policy counts for certain of our segments across all states. We expect that premiums may continue to decrease as individuals and businesses reduce travel and seek to limit expenses, including the cost of insurance.</w:t>
      </w:r>
    </w:p>
    <w:p>
      <w:pPr>
        <w:spacing w:after="0" w:line="14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Federal, state, and local government actions to address and contain the impact of COVID-19 may adversely affect us. For example, we could be subject to proposed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policies or our right to collect premiums. At least one state regulator has issued an order requiring insurers to issue premium refunds, and regulators in other states could take similar actions. It is also possible that changes in economic conditions and steps taken by federal, state, and local governments in response to COVID-19 could require an increase in taxes at the federal, state, and local levels, which would adversely impact our results of operations.</w:t>
      </w:r>
    </w:p>
    <w:p>
      <w:pPr>
        <w:spacing w:after="0" w:line="1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disruption in the financial markets related to COVID-19 has contributed to net unrealized investment losses, primarily due to the impact of changes in fair value on our equity investments and, to a lesser extent, on our fixed income investment portfolio. Our corporate fixed income portfolio may be adversely impacted by ratings downgrades, increased bankruptcies, and credit spread widening in distressed industries. In addition, many state and local governments may be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residential and commercial mortgage-backed securities, which could be adversely impacted by declines in real estate valuations and/or financial market disruption, including a heightened collection risk on the underlying mortgages. Further disruptions in global financial markets due to the continuing impact of COVID-19 could result in additional net realized and unrealized investment losses. In addition, declines in fixed income yields would result in decreases in net investment income from future investment activity, including re-investments.</w:t>
      </w:r>
    </w:p>
    <w:p>
      <w:pPr>
        <w:spacing w:after="0" w:line="15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that the impact of COVID-19 on general economic activity will negatively impact our premium volumes. We began to experience this impact in March 2020 and expect it to persist and be more significant in the second quarter of 2020. We also expect this impact will further persist for the remainder of 2020 and beyond, but the degree of the impact will depend on the extent and duration of the economic contraction. As a result of the anticipated impact of the pandemic on our earned premiums, we expect an increase in our underwriting expense ratio in the near term.</w:t>
      </w:r>
    </w:p>
    <w:p>
      <w:pPr>
        <w:spacing w:after="0" w:line="13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It is possible that changes in economic conditions and steps taken by the federal government and the Federal Reserve in response to COVID-19 could lead to higher inflation than we had anticipated, which could in turn lead to an increase in our loss costs and the need to strengthen claims and claim adjustment expense reserves. These impacts of inflation on loss costs and claims and claim adjustment expense reserves could be more pronounced for those lines of business that require a relatively longer period of time to finalize and settle claims for a given accident year and, accordingly, are relatively more inflation sensitive. Inflation could also adversely impact our general and administrative expenses. Changes in interest rates caused by inflation affect the carrying value of our fixed maturity investments and returns on our fixed maturity and short-term investments. An increase in interest rates reduces the market value of existing fixed maturity investments, thereby negatively impacting our book value.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4" w:name="page65"/>
    <w:bookmarkEnd w:id="64"/>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initial public offering.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Westminster was acquired on January 1, 2020 for a purchase price of $40,000, subject to certain adjustments. The Company paid $20,000 from the net proceeds from the initial public offering at time of closing. The Company will pay the remaining $20,000, subject to certain adjustments, in three equal installments on each of the first and second anniversaries of the closing, and on the first business day of the month preceding the third anniversary of the closing. The Company anticipates using the net proceeds from the initial public offering to satisfy these obligations.</w:t>
      </w:r>
    </w:p>
    <w:p>
      <w:pPr>
        <w:spacing w:after="0" w:line="171"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From time to time, the Company may also repurchase its own stock. These repurchases may be used to satisfy its obligations under the equity incentive plans or may be done for other reasons. To date, the Company has used the net proceeds from the initial public offering to fund these buyback programs.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on January 17, 2017.</w:t>
      </w:r>
    </w:p>
    <w:p>
      <w:pPr>
        <w:spacing w:after="0" w:line="170"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On February 28, 2018, our Board of Directors approved an authorization for the repurchase of up to approximately $10,000 of the Company’s outstanding common stock. Prior to 2020, we repurchased 307,299 shares of our common stock for $5,002 under this authorization. During the three months ended March 31, 2020, we repurchased an additional 123,264 shares of our common stock for $1,502.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90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Purchased</w:t>
            </w:r>
          </w:p>
        </w:tc>
        <w:tc>
          <w:tcPr>
            <w:tcW w:w="190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of Shares That May Yet</w:t>
            </w:r>
          </w:p>
        </w:tc>
      </w:tr>
      <w:tr>
        <w:trPr>
          <w:trHeight w:val="217"/>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Total Number of</w:t>
            </w:r>
          </w:p>
        </w:tc>
        <w:tc>
          <w:tcPr>
            <w:tcW w:w="1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Average Price</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as Part of Publicly</w:t>
            </w:r>
          </w:p>
        </w:tc>
        <w:tc>
          <w:tcPr>
            <w:tcW w:w="190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Be Purchased Under the</w:t>
            </w:r>
          </w:p>
        </w:tc>
      </w:tr>
      <w:tr>
        <w:trPr>
          <w:trHeight w:val="219"/>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Paid</w:t>
            </w: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9"/>
                <w:szCs w:val="19"/>
                <w:color w:val="auto"/>
              </w:rPr>
            </w:pPr>
          </w:p>
        </w:tc>
        <w:tc>
          <w:tcPr>
            <w:tcW w:w="1780" w:type="dxa"/>
            <w:vAlign w:val="bottom"/>
            <w:gridSpan w:val="3"/>
          </w:tcPr>
          <w:p>
            <w:pPr>
              <w:jc w:val="center"/>
              <w:ind w:right="20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Period in 2020</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3"/>
                <w:szCs w:val="2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Per Share</w:t>
            </w:r>
          </w:p>
        </w:tc>
        <w:tc>
          <w:tcPr>
            <w:tcW w:w="1660" w:type="dxa"/>
            <w:vAlign w:val="bottom"/>
            <w:gridSpan w:val="2"/>
          </w:tcPr>
          <w:p>
            <w:pPr>
              <w:jc w:val="center"/>
              <w:ind w:right="20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2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 thousands)</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1-31, 2020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February 1-29, 2020</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1-31, 2020</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123,264</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12.19</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123,264</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3,496</w:t>
            </w:r>
          </w:p>
        </w:tc>
        <w:tc>
          <w:tcPr>
            <w:tcW w:w="80" w:type="dxa"/>
            <w:vAlign w:val="bottom"/>
            <w:shd w:val="clear" w:color="auto" w:fill="CCEEFF"/>
          </w:tcPr>
          <w:p>
            <w:pPr>
              <w:spacing w:after="0"/>
              <w:rPr>
                <w:sz w:val="19"/>
                <w:szCs w:val="19"/>
                <w:color w:val="auto"/>
              </w:rPr>
            </w:pPr>
          </w:p>
        </w:tc>
      </w:tr>
      <w:tr>
        <w:trPr>
          <w:trHeight w:val="223"/>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123,264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123,264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20" w:right="460" w:hanging="688"/>
        <w:spacing w:after="0" w:line="194" w:lineRule="auto"/>
        <w:tabs>
          <w:tab w:leader="none" w:pos="8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Shares purchased pursuant to the March 5, 2018 publicly announced share repurchase authorization of up to approximately $10,000 of the Company’s outstanding common stock.</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5" w:name="page66"/>
    <w:bookmarkEnd w:id="65"/>
    <w:p>
      <w:pPr>
        <w:spacing w:after="0" w:line="223" w:lineRule="auto"/>
        <w:framePr w:w="460" w:h="160" w:wrap="auto" w:vAnchor="page" w:hAnchor="page" w:x="940" w:y="3085"/>
        <w:rPr>
          <w:rFonts w:ascii="Arial" w:cs="Arial" w:eastAsia="Arial" w:hAnsi="Arial"/>
          <w:sz w:val="15"/>
          <w:szCs w:val="15"/>
          <w:color w:val="auto"/>
        </w:rPr>
      </w:pPr>
      <w:r>
        <w:rPr>
          <w:rFonts w:ascii="Arial" w:cs="Arial" w:eastAsia="Arial" w:hAnsi="Arial"/>
          <w:sz w:val="15"/>
          <w:szCs w:val="15"/>
          <w:color w:val="auto"/>
        </w:rPr>
        <w:t>None</w:t>
      </w:r>
    </w:p>
    <w:p>
      <w:pPr>
        <w:spacing w:after="0" w:line="209" w:lineRule="auto"/>
        <w:framePr w:w="1420" w:h="160" w:wrap="auto" w:vAnchor="page" w:hAnchor="page" w:x="280" w:y="3625"/>
        <w:rPr>
          <w:rFonts w:ascii="Arial" w:cs="Arial" w:eastAsia="Arial" w:hAnsi="Arial"/>
          <w:sz w:val="16"/>
          <w:szCs w:val="16"/>
          <w:b w:val="1"/>
          <w:bCs w:val="1"/>
          <w:color w:val="auto"/>
        </w:rPr>
      </w:pPr>
      <w:r>
        <w:rPr>
          <w:rFonts w:ascii="Arial" w:cs="Arial" w:eastAsia="Arial" w:hAnsi="Arial"/>
          <w:sz w:val="16"/>
          <w:szCs w:val="16"/>
          <w:b w:val="1"/>
          <w:bCs w:val="1"/>
          <w:color w:val="auto"/>
        </w:rPr>
        <w:t>Item 6. - Exhibits</w:t>
      </w:r>
    </w:p>
    <w:p>
      <w:pPr>
        <w:spacing w:after="0" w:line="209" w:lineRule="auto"/>
        <w:framePr w:w="640" w:h="160" w:wrap="auto" w:vAnchor="page" w:hAnchor="page" w:x="540" w:y="4232"/>
        <w:rPr>
          <w:rFonts w:ascii="Arial" w:cs="Arial" w:eastAsia="Arial" w:hAnsi="Arial"/>
          <w:sz w:val="16"/>
          <w:szCs w:val="16"/>
          <w:b w:val="1"/>
          <w:bCs w:val="1"/>
          <w:color w:val="auto"/>
        </w:rPr>
      </w:pPr>
      <w:r>
        <w:rPr>
          <w:rFonts w:ascii="Arial" w:cs="Arial" w:eastAsia="Arial" w:hAnsi="Arial"/>
          <w:sz w:val="16"/>
          <w:szCs w:val="16"/>
          <w:b w:val="1"/>
          <w:bCs w:val="1"/>
          <w:color w:val="auto"/>
        </w:rPr>
        <w:t>Exhibit</w:t>
      </w:r>
    </w:p>
    <w:p>
      <w:pPr>
        <w:spacing w:after="0" w:line="209" w:lineRule="auto"/>
        <w:framePr w:w="720" w:h="160" w:wrap="auto" w:vAnchor="page" w:hAnchor="page" w:x="540" w:y="4448"/>
        <w:rPr>
          <w:rFonts w:ascii="Arial" w:cs="Arial" w:eastAsia="Arial" w:hAnsi="Arial"/>
          <w:sz w:val="16"/>
          <w:szCs w:val="16"/>
          <w:b w:val="1"/>
          <w:bCs w:val="1"/>
          <w:color w:val="auto"/>
        </w:rPr>
      </w:pPr>
      <w:r>
        <w:rPr>
          <w:rFonts w:ascii="Arial" w:cs="Arial" w:eastAsia="Arial" w:hAnsi="Arial"/>
          <w:sz w:val="16"/>
          <w:szCs w:val="16"/>
          <w:b w:val="1"/>
          <w:bCs w:val="1"/>
          <w:color w:val="auto"/>
        </w:rPr>
        <w:t>Number</w:t>
      </w:r>
    </w:p>
    <w:p>
      <w:pPr>
        <w:spacing w:after="0" w:line="182" w:lineRule="auto"/>
        <w:framePr w:w="520" w:h="201" w:wrap="auto" w:vAnchor="page" w:hAnchor="page" w:x="540" w:y="4677"/>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3.1 </w:t>
      </w:r>
      <w:r>
        <w:rPr>
          <w:rFonts w:ascii="Arial" w:cs="Arial" w:eastAsia="Arial" w:hAnsi="Arial"/>
          <w:sz w:val="23"/>
          <w:szCs w:val="23"/>
          <w:b w:val="1"/>
          <w:bCs w:val="1"/>
          <w:color w:val="auto"/>
          <w:vertAlign w:val="superscript"/>
        </w:rPr>
        <w:t>(1)</w:t>
      </w:r>
    </w:p>
    <w:p>
      <w:pPr>
        <w:spacing w:after="0" w:line="182" w:lineRule="auto"/>
        <w:framePr w:w="520" w:h="201" w:wrap="auto" w:vAnchor="page" w:hAnchor="page" w:x="540" w:y="515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3.2 </w:t>
      </w:r>
      <w:r>
        <w:rPr>
          <w:rFonts w:ascii="Arial" w:cs="Arial" w:eastAsia="Arial" w:hAnsi="Arial"/>
          <w:sz w:val="23"/>
          <w:szCs w:val="23"/>
          <w:b w:val="1"/>
          <w:bCs w:val="1"/>
          <w:color w:val="auto"/>
          <w:vertAlign w:val="superscript"/>
        </w:rPr>
        <w:t>(2)</w:t>
      </w:r>
    </w:p>
    <w:p>
      <w:pPr>
        <w:spacing w:after="0" w:line="223" w:lineRule="auto"/>
        <w:framePr w:w="380" w:h="160" w:wrap="auto" w:vAnchor="page" w:hAnchor="page" w:x="540" w:y="5623"/>
        <w:rPr>
          <w:rFonts w:ascii="Arial" w:cs="Arial" w:eastAsia="Arial" w:hAnsi="Arial"/>
          <w:sz w:val="15"/>
          <w:szCs w:val="15"/>
          <w:b w:val="1"/>
          <w:bCs w:val="1"/>
          <w:color w:val="auto"/>
        </w:rPr>
      </w:pPr>
      <w:r>
        <w:rPr>
          <w:rFonts w:ascii="Arial" w:cs="Arial" w:eastAsia="Arial" w:hAnsi="Arial"/>
          <w:sz w:val="15"/>
          <w:szCs w:val="15"/>
          <w:b w:val="1"/>
          <w:bCs w:val="1"/>
          <w:color w:val="auto"/>
        </w:rPr>
        <w:t>31.1</w:t>
      </w:r>
    </w:p>
    <w:p>
      <w:pPr>
        <w:spacing w:after="0" w:line="223" w:lineRule="auto"/>
        <w:framePr w:w="380" w:h="160" w:wrap="auto" w:vAnchor="page" w:hAnchor="page" w:x="540" w:y="6271"/>
        <w:rPr>
          <w:rFonts w:ascii="Arial" w:cs="Arial" w:eastAsia="Arial" w:hAnsi="Arial"/>
          <w:sz w:val="15"/>
          <w:szCs w:val="15"/>
          <w:b w:val="1"/>
          <w:bCs w:val="1"/>
          <w:color w:val="auto"/>
        </w:rPr>
      </w:pPr>
      <w:r>
        <w:rPr>
          <w:rFonts w:ascii="Arial" w:cs="Arial" w:eastAsia="Arial" w:hAnsi="Arial"/>
          <w:sz w:val="15"/>
          <w:szCs w:val="15"/>
          <w:b w:val="1"/>
          <w:bCs w:val="1"/>
          <w:color w:val="auto"/>
        </w:rPr>
        <w:t>31.2</w:t>
      </w:r>
    </w:p>
    <w:p>
      <w:pPr>
        <w:spacing w:after="0" w:line="211" w:lineRule="auto"/>
        <w:framePr w:w="1600" w:h="192" w:wrap="auto" w:vAnchor="page" w:hAnchor="page" w:x="340" w:y="245"/>
        <w:rPr>
          <w:rFonts w:ascii="Arial" w:cs="Arial" w:eastAsia="Arial" w:hAnsi="Arial"/>
          <w:sz w:val="19"/>
          <w:szCs w:val="19"/>
          <w:b w:val="1"/>
          <w:bCs w:val="1"/>
          <w:i w:val="1"/>
          <w:iCs w:val="1"/>
          <w:u w:val="single" w:color="auto"/>
          <w:color w:val="0000EE"/>
        </w:rPr>
      </w:pPr>
      <w:hyperlink w:anchor="page2">
        <w:r>
          <w:rPr>
            <w:rFonts w:ascii="Arial" w:cs="Arial" w:eastAsia="Arial" w:hAnsi="Arial"/>
            <w:sz w:val="19"/>
            <w:szCs w:val="19"/>
            <w:b w:val="1"/>
            <w:bCs w:val="1"/>
            <w:i w:val="1"/>
            <w:iCs w:val="1"/>
            <w:u w:val="single" w:color="auto"/>
            <w:color w:val="0000EE"/>
          </w:rPr>
          <w:t>Table of Contents</w:t>
        </w:r>
      </w:hyperlink>
    </w:p>
    <w:p>
      <w:pPr>
        <w:spacing w:after="0" w:line="319" w:lineRule="auto"/>
        <w:framePr w:w="3200" w:h="552" w:wrap="auto" w:vAnchor="page" w:hAnchor="page" w:x="280" w:y="817"/>
        <w:rPr>
          <w:rFonts w:ascii="Arial" w:cs="Arial" w:eastAsia="Arial" w:hAnsi="Arial"/>
          <w:sz w:val="18"/>
          <w:szCs w:val="18"/>
          <w:i w:val="1"/>
          <w:iCs w:val="1"/>
          <w:u w:val="single" w:color="auto"/>
          <w:color w:val="0000EE"/>
        </w:rPr>
      </w:pPr>
      <w:r>
        <w:rPr>
          <w:rFonts w:ascii="Arial" w:cs="Arial" w:eastAsia="Arial" w:hAnsi="Arial"/>
          <w:sz w:val="18"/>
          <w:szCs w:val="18"/>
          <w:b w:val="1"/>
          <w:bCs w:val="1"/>
          <w:i w:val="1"/>
          <w:iCs w:val="1"/>
          <w:u w:val="single" w:color="auto"/>
          <w:color w:val="0000EE"/>
        </w:rPr>
        <w:t xml:space="preserve">Item 3. - Defaults upon Senior Securities </w:t>
      </w:r>
      <w:r>
        <w:rPr>
          <w:rFonts w:ascii="Arial" w:cs="Arial" w:eastAsia="Arial" w:hAnsi="Arial"/>
          <w:sz w:val="18"/>
          <w:szCs w:val="18"/>
          <w:i w:val="1"/>
          <w:iCs w:val="1"/>
          <w:u w:val="single" w:color="auto"/>
          <w:color w:val="0000EE"/>
        </w:rPr>
        <w:t>Not Applicable</w:t>
      </w:r>
    </w:p>
    <w:p>
      <w:pPr>
        <w:spacing w:after="0" w:line="209" w:lineRule="auto"/>
        <w:framePr w:w="2620" w:h="160" w:wrap="auto" w:vAnchor="page" w:hAnchor="page" w:x="280" w:y="1748"/>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Item 4. - Mine Safety Disclosures</w:t>
      </w:r>
    </w:p>
    <w:p>
      <w:pPr>
        <w:spacing w:after="0" w:line="196" w:lineRule="auto"/>
        <w:framePr w:w="1180" w:h="160" w:wrap="auto" w:vAnchor="page" w:hAnchor="page" w:x="940" w:y="2153"/>
        <w:rPr>
          <w:rFonts w:ascii="Arial" w:cs="Arial" w:eastAsia="Arial" w:hAnsi="Arial"/>
          <w:sz w:val="17"/>
          <w:szCs w:val="17"/>
          <w:b w:val="1"/>
          <w:bCs w:val="1"/>
          <w:i w:val="1"/>
          <w:iCs w:val="1"/>
          <w:u w:val="single" w:color="auto"/>
          <w:color w:val="0000EE"/>
        </w:rPr>
      </w:pPr>
      <w:r>
        <w:rPr>
          <w:rFonts w:ascii="Arial" w:cs="Arial" w:eastAsia="Arial" w:hAnsi="Arial"/>
          <w:sz w:val="17"/>
          <w:szCs w:val="17"/>
          <w:b w:val="1"/>
          <w:bCs w:val="1"/>
          <w:i w:val="1"/>
          <w:iCs w:val="1"/>
          <w:u w:val="single" w:color="auto"/>
          <w:color w:val="0000EE"/>
        </w:rPr>
        <w:t>Not Applicable</w:t>
      </w:r>
    </w:p>
    <w:p>
      <w:pPr>
        <w:spacing w:after="0" w:line="196" w:lineRule="auto"/>
        <w:framePr w:w="2220" w:h="160" w:wrap="auto" w:vAnchor="page" w:hAnchor="page" w:x="280" w:y="2693"/>
        <w:rPr>
          <w:rFonts w:ascii="Arial" w:cs="Arial" w:eastAsia="Arial" w:hAnsi="Arial"/>
          <w:sz w:val="17"/>
          <w:szCs w:val="17"/>
          <w:b w:val="1"/>
          <w:bCs w:val="1"/>
          <w:i w:val="1"/>
          <w:iCs w:val="1"/>
          <w:u w:val="single" w:color="auto"/>
          <w:color w:val="0000EE"/>
        </w:rPr>
      </w:pPr>
      <w:r>
        <w:rPr>
          <w:rFonts w:ascii="Arial" w:cs="Arial" w:eastAsia="Arial" w:hAnsi="Arial"/>
          <w:sz w:val="17"/>
          <w:szCs w:val="17"/>
          <w:b w:val="1"/>
          <w:bCs w:val="1"/>
          <w:i w:val="1"/>
          <w:iCs w:val="1"/>
          <w:u w:val="single" w:color="auto"/>
          <w:color w:val="0000EE"/>
        </w:rPr>
        <w:t>Item 5. - Other Information</w:t>
      </w: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200" w:lineRule="exact"/>
        <w:rPr>
          <w:rFonts w:ascii="Arial" w:cs="Arial" w:eastAsia="Arial" w:hAnsi="Arial"/>
          <w:sz w:val="17"/>
          <w:szCs w:val="17"/>
          <w:b w:val="1"/>
          <w:bCs w:val="1"/>
          <w:i w:val="1"/>
          <w:iCs w:val="1"/>
          <w:u w:val="single" w:color="auto"/>
          <w:color w:val="0000EE"/>
        </w:rPr>
      </w:pPr>
    </w:p>
    <w:p>
      <w:pPr>
        <w:spacing w:after="0" w:line="388" w:lineRule="exact"/>
        <w:rPr>
          <w:rFonts w:ascii="Arial" w:cs="Arial" w:eastAsia="Arial" w:hAnsi="Arial"/>
          <w:sz w:val="17"/>
          <w:szCs w:val="17"/>
          <w:b w:val="1"/>
          <w:bCs w:val="1"/>
          <w:i w:val="1"/>
          <w:iCs w:val="1"/>
          <w:u w:val="single" w:color="auto"/>
          <w:color w:val="0000EE"/>
        </w:rPr>
      </w:pPr>
    </w:p>
    <w:p>
      <w:pPr>
        <w:ind w:left="5609"/>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7"/>
          <w:szCs w:val="17"/>
          <w:b w:val="1"/>
          <w:bCs w:val="1"/>
          <w:i w:val="1"/>
          <w:iCs w:val="1"/>
          <w:u w:val="single" w:color="auto"/>
          <w:color w:val="0000EE"/>
        </w:rPr>
      </w:pPr>
      <w:r>
        <w:rPr>
          <w:rFonts w:ascii="Arial" w:cs="Arial" w:eastAsia="Arial" w:hAnsi="Arial"/>
          <w:sz w:val="17"/>
          <w:szCs w:val="17"/>
          <w:b w:val="1"/>
          <w:bCs w:val="1"/>
          <w:i w:val="1"/>
          <w:iCs w:val="1"/>
          <w:u w:val="single" w:color="auto"/>
          <w:color w:val="0000EE"/>
        </w:rPr>
        <w:drawing>
          <wp:anchor simplePos="0" relativeHeight="251657728" behindDoc="1" locked="0" layoutInCell="0" allowOverlap="1">
            <wp:simplePos x="0" y="0"/>
            <wp:positionH relativeFrom="column">
              <wp:posOffset>-153670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rFonts w:ascii="Arial" w:cs="Arial" w:eastAsia="Arial" w:hAnsi="Arial"/>
          <w:sz w:val="17"/>
          <w:szCs w:val="17"/>
          <w:b w:val="1"/>
          <w:bCs w:val="1"/>
          <w:i w:val="1"/>
          <w:iCs w:val="1"/>
          <w:u w:val="single" w:color="auto"/>
          <w:color w:val="0000EE"/>
        </w:rPr>
      </w:pPr>
    </w:p>
    <w:p>
      <w:pPr>
        <w:ind w:left="1109"/>
        <w:spacing w:after="0"/>
        <w:rPr>
          <w:rFonts w:ascii="Arial" w:cs="Arial" w:eastAsia="Arial" w:hAnsi="Arial"/>
          <w:sz w:val="18"/>
          <w:szCs w:val="18"/>
          <w:color w:val="0000EE"/>
        </w:rPr>
      </w:pPr>
      <w:hyperlink r:id="rId122">
        <w:r>
          <w:rPr>
            <w:rFonts w:ascii="Arial" w:cs="Arial" w:eastAsia="Arial" w:hAnsi="Arial"/>
            <w:sz w:val="18"/>
            <w:szCs w:val="18"/>
            <w:u w:val="single" w:color="auto"/>
            <w:color w:val="0000EE"/>
          </w:rPr>
          <w:t>Amendment to Bylaws, dated as of February 25, 2020</w:t>
        </w:r>
      </w:hyperlink>
      <w:r>
        <w:rPr>
          <w:rFonts w:ascii="Arial" w:cs="Arial" w:eastAsia="Arial" w:hAnsi="Arial"/>
          <w:sz w:val="18"/>
          <w:szCs w:val="18"/>
          <w:color w:val="000000"/>
        </w:rPr>
        <w:t>.</w:t>
      </w:r>
    </w:p>
    <w:p>
      <w:pPr>
        <w:spacing w:after="0" w:line="265" w:lineRule="exact"/>
        <w:rPr>
          <w:rFonts w:ascii="Arial" w:cs="Arial" w:eastAsia="Arial" w:hAnsi="Arial"/>
          <w:sz w:val="17"/>
          <w:szCs w:val="17"/>
          <w:b w:val="1"/>
          <w:bCs w:val="1"/>
          <w:i w:val="1"/>
          <w:iCs w:val="1"/>
          <w:u w:val="single" w:color="auto"/>
          <w:color w:val="0000EE"/>
        </w:rPr>
      </w:pPr>
    </w:p>
    <w:p>
      <w:pPr>
        <w:ind w:left="1109"/>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Amendment No. 2 to Bylaws, dated as of April 16, 2020.</w:t>
        </w:r>
      </w:hyperlink>
    </w:p>
    <w:p>
      <w:pPr>
        <w:spacing w:after="0" w:line="266" w:lineRule="exact"/>
        <w:rPr>
          <w:rFonts w:ascii="Arial" w:cs="Arial" w:eastAsia="Arial" w:hAnsi="Arial"/>
          <w:sz w:val="17"/>
          <w:szCs w:val="17"/>
          <w:b w:val="1"/>
          <w:bCs w:val="1"/>
          <w:i w:val="1"/>
          <w:iCs w:val="1"/>
          <w:u w:val="single" w:color="auto"/>
          <w:color w:val="0000EE"/>
        </w:rPr>
      </w:pPr>
    </w:p>
    <w:p>
      <w:pPr>
        <w:ind w:left="1109" w:right="120"/>
        <w:spacing w:after="0" w:line="277"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Principal Executive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ind w:left="1109" w:right="180"/>
        <w:spacing w:after="0" w:line="277"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 of Principal Financial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ind w:left="1109" w:right="40" w:hanging="1109"/>
        <w:spacing w:after="0" w:line="277" w:lineRule="auto"/>
        <w:tabs>
          <w:tab w:leader="none" w:pos="1109" w:val="left"/>
        </w:tabs>
        <w:numPr>
          <w:ilvl w:val="0"/>
          <w:numId w:val="33"/>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tbl>
      <w:tblPr>
        <w:tblLayout w:type="fixed"/>
        <w:tblInd w:w="9"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7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700" w:type="dxa"/>
            <w:vAlign w:val="bottom"/>
          </w:tcPr>
          <w:p>
            <w:pPr>
              <w:ind w:left="220"/>
              <w:spacing w:after="0"/>
              <w:rPr>
                <w:sz w:val="20"/>
                <w:szCs w:val="20"/>
                <w:color w:val="auto"/>
              </w:rPr>
            </w:pPr>
            <w:r>
              <w:rPr>
                <w:rFonts w:ascii="Arial" w:cs="Arial" w:eastAsia="Arial" w:hAnsi="Arial"/>
                <w:sz w:val="18"/>
                <w:szCs w:val="18"/>
                <w:color w:val="auto"/>
                <w:w w:val="97"/>
              </w:rPr>
              <w:t>XBRL Taxonomy Extension Schema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700" w:type="dxa"/>
            <w:vAlign w:val="bottom"/>
          </w:tcPr>
          <w:p>
            <w:pPr>
              <w:ind w:left="2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22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2" w:lineRule="exact"/>
        <w:rPr>
          <w:rFonts w:ascii="Arial" w:cs="Arial" w:eastAsia="Arial" w:hAnsi="Arial"/>
          <w:sz w:val="18"/>
          <w:szCs w:val="18"/>
          <w:color w:val="auto"/>
        </w:rPr>
      </w:pPr>
    </w:p>
    <w:p>
      <w:pPr>
        <w:ind w:left="329" w:hanging="316"/>
        <w:spacing w:after="0"/>
        <w:tabs>
          <w:tab w:leader="none" w:pos="3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March 2, 2020 and incorporated herein by reference.</w:t>
      </w:r>
    </w:p>
    <w:p>
      <w:pPr>
        <w:spacing w:after="0" w:line="248" w:lineRule="exact"/>
        <w:rPr>
          <w:rFonts w:ascii="Arial" w:cs="Arial" w:eastAsia="Arial" w:hAnsi="Arial"/>
          <w:sz w:val="16"/>
          <w:szCs w:val="16"/>
          <w:color w:val="auto"/>
        </w:rPr>
      </w:pPr>
    </w:p>
    <w:p>
      <w:pPr>
        <w:ind w:left="329" w:hanging="316"/>
        <w:spacing w:after="0"/>
        <w:tabs>
          <w:tab w:leader="none" w:pos="3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April 22, 2020 and incorporated herein by reference.</w:t>
      </w:r>
    </w:p>
    <w:p>
      <w:pPr>
        <w:spacing w:after="0" w:line="214" w:lineRule="exact"/>
        <w:rPr>
          <w:rFonts w:ascii="Arial" w:cs="Arial" w:eastAsia="Arial" w:hAnsi="Arial"/>
          <w:sz w:val="18"/>
          <w:szCs w:val="18"/>
          <w:color w:val="auto"/>
        </w:rPr>
      </w:pPr>
    </w:p>
    <w:p>
      <w:pPr>
        <w:jc w:val="center"/>
        <w:ind w:right="31"/>
        <w:spacing w:after="0"/>
        <w:rPr>
          <w:sz w:val="20"/>
          <w:szCs w:val="20"/>
          <w:color w:val="auto"/>
        </w:rPr>
      </w:pPr>
      <w:r>
        <w:rPr>
          <w:rFonts w:ascii="Arial" w:cs="Arial" w:eastAsia="Arial" w:hAnsi="Arial"/>
          <w:sz w:val="22"/>
          <w:szCs w:val="22"/>
          <w:color w:val="auto"/>
        </w:rPr>
        <w:t>64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-153670</wp:posOffset>
            </wp:positionH>
            <wp:positionV relativeFrom="paragraph">
              <wp:posOffset>-635</wp:posOffset>
            </wp:positionV>
            <wp:extent cx="71323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849"/>
          </w:cols>
          <w:pgMar w:left="571" w:top="1440" w:right="479" w:bottom="1440" w:gutter="0" w:footer="0" w:header="0"/>
        </w:sectPr>
      </w:pPr>
    </w:p>
    <w:bookmarkStart w:id="66" w:name="page67"/>
    <w:bookmarkEnd w:id="66"/>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6,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40"/>
          </w:cols>
          <w:pgMar w:left="320" w:top="226" w:right="9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ind w:left="2820"/>
              <w:spacing w:after="0"/>
              <w:rPr>
                <w:sz w:val="20"/>
                <w:szCs w:val="20"/>
                <w:color w:val="auto"/>
              </w:rPr>
            </w:pPr>
            <w:r>
              <w:rPr>
                <w:rFonts w:ascii="Arial" w:cs="Arial" w:eastAsia="Arial" w:hAnsi="Arial"/>
                <w:sz w:val="18"/>
                <w:szCs w:val="18"/>
                <w:color w:val="auto"/>
              </w:rPr>
              <w:t>May 6, 2020</w:t>
            </w: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4360" w:type="dxa"/>
            <w:vAlign w:val="bottom"/>
          </w:tcPr>
          <w:p>
            <w:pPr>
              <w:spacing w:after="0"/>
              <w:rPr>
                <w:sz w:val="18"/>
                <w:szCs w:val="18"/>
                <w:color w:val="auto"/>
              </w:rPr>
            </w:pPr>
          </w:p>
        </w:tc>
      </w:tr>
      <w:tr>
        <w:trPr>
          <w:trHeight w:val="222"/>
        </w:trPr>
        <w:tc>
          <w:tcPr>
            <w:tcW w:w="468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46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680" w:type="dxa"/>
            <w:vAlign w:val="bottom"/>
          </w:tcPr>
          <w:p>
            <w:pPr>
              <w:spacing w:after="0"/>
              <w:rPr>
                <w:sz w:val="20"/>
                <w:szCs w:val="20"/>
                <w:color w:val="auto"/>
              </w:rPr>
            </w:pPr>
          </w:p>
        </w:tc>
        <w:tc>
          <w:tcPr>
            <w:tcW w:w="65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358"/>
        </w:trPr>
        <w:tc>
          <w:tcPr>
            <w:tcW w:w="46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026"/>
              <w:spacing w:after="0"/>
              <w:rPr>
                <w:sz w:val="20"/>
                <w:szCs w:val="20"/>
                <w:color w:val="auto"/>
              </w:rPr>
            </w:pPr>
            <w:r>
              <w:rPr>
                <w:rFonts w:ascii="Arial" w:cs="Arial" w:eastAsia="Arial" w:hAnsi="Arial"/>
                <w:sz w:val="22"/>
                <w:szCs w:val="22"/>
                <w:color w:val="auto"/>
              </w:rPr>
              <w:t>66</w:t>
            </w: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ind w:left="2820"/>
              <w:spacing w:after="0"/>
              <w:rPr>
                <w:sz w:val="20"/>
                <w:szCs w:val="20"/>
                <w:color w:val="auto"/>
              </w:rPr>
            </w:pPr>
            <w:r>
              <w:rPr>
                <w:rFonts w:ascii="Arial" w:cs="Arial" w:eastAsia="Arial" w:hAnsi="Arial"/>
                <w:sz w:val="18"/>
                <w:szCs w:val="18"/>
                <w:color w:val="auto"/>
              </w:rPr>
              <w:t>May 6, 2020</w:t>
            </w: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4700" w:type="dxa"/>
            <w:vAlign w:val="bottom"/>
          </w:tcPr>
          <w:p>
            <w:pPr>
              <w:spacing w:after="0"/>
              <w:rPr>
                <w:sz w:val="18"/>
                <w:szCs w:val="18"/>
                <w:color w:val="auto"/>
              </w:rPr>
            </w:pPr>
          </w:p>
        </w:tc>
      </w:tr>
      <w:tr>
        <w:trPr>
          <w:trHeight w:val="222"/>
        </w:trPr>
        <w:tc>
          <w:tcPr>
            <w:tcW w:w="468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Brian R. Doom</w:t>
            </w:r>
          </w:p>
        </w:tc>
      </w:tr>
      <w:tr>
        <w:trPr>
          <w:trHeight w:val="216"/>
        </w:trPr>
        <w:tc>
          <w:tcPr>
            <w:tcW w:w="46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6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655"/>
        </w:trPr>
        <w:tc>
          <w:tcPr>
            <w:tcW w:w="46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67</w:t>
            </w: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March 31, 2020,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May 6, 2020</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800" w:type="dxa"/>
            <w:vAlign w:val="bottom"/>
            <w:gridSpan w:val="2"/>
          </w:tcPr>
          <w:p>
            <w:pPr>
              <w:spacing w:after="0"/>
              <w:rPr>
                <w:sz w:val="17"/>
                <w:szCs w:val="17"/>
                <w:color w:val="auto"/>
              </w:rPr>
            </w:pPr>
          </w:p>
        </w:tc>
      </w:tr>
      <w:tr>
        <w:trPr>
          <w:trHeight w:val="222"/>
        </w:trPr>
        <w:tc>
          <w:tcPr>
            <w:tcW w:w="186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18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1860" w:type="dxa"/>
            <w:vAlign w:val="bottom"/>
          </w:tcPr>
          <w:p>
            <w:pPr>
              <w:spacing w:after="0"/>
              <w:rPr>
                <w:sz w:val="20"/>
                <w:szCs w:val="20"/>
                <w:color w:val="auto"/>
              </w:rPr>
            </w:pPr>
          </w:p>
        </w:tc>
        <w:tc>
          <w:tcPr>
            <w:tcW w:w="2740" w:type="dxa"/>
            <w:vAlign w:val="bottom"/>
            <w:gridSpan w:val="3"/>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08"/>
        </w:trPr>
        <w:tc>
          <w:tcPr>
            <w:tcW w:w="1860" w:type="dxa"/>
            <w:vAlign w:val="bottom"/>
          </w:tcPr>
          <w:p>
            <w:pPr>
              <w:spacing w:after="0"/>
              <w:rPr>
                <w:sz w:val="20"/>
                <w:szCs w:val="20"/>
                <w:color w:val="auto"/>
              </w:rPr>
            </w:pPr>
            <w:r>
              <w:rPr>
                <w:rFonts w:ascii="Arial" w:cs="Arial" w:eastAsia="Arial" w:hAnsi="Arial"/>
                <w:sz w:val="18"/>
                <w:szCs w:val="18"/>
                <w:color w:val="auto"/>
              </w:rPr>
              <w:t>May 6, 2020</w:t>
            </w: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 Doom</w:t>
            </w:r>
          </w:p>
        </w:tc>
        <w:tc>
          <w:tcPr>
            <w:tcW w:w="70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Brian R. Doom</w:t>
            </w:r>
          </w:p>
        </w:tc>
      </w:tr>
      <w:tr>
        <w:trPr>
          <w:trHeight w:val="216"/>
        </w:trPr>
        <w:tc>
          <w:tcPr>
            <w:tcW w:w="18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860" w:type="dxa"/>
            <w:vAlign w:val="bottom"/>
          </w:tcPr>
          <w:p>
            <w:pPr>
              <w:spacing w:after="0"/>
              <w:rPr>
                <w:sz w:val="20"/>
                <w:szCs w:val="20"/>
                <w:color w:val="auto"/>
              </w:rPr>
            </w:pPr>
          </w:p>
        </w:tc>
        <w:tc>
          <w:tcPr>
            <w:tcW w:w="2740" w:type="dxa"/>
            <w:vAlign w:val="bottom"/>
            <w:gridSpan w:val="3"/>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2"/>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1."/>
      <w:numFmt w:val="decimal"/>
      <w:start w:val="4"/>
    </w:lvl>
  </w:abstractNum>
  <w:abstractNum w:abstractNumId="10">
    <w:nsid w:val="75A2A8D4"/>
    <w:multiLevelType w:val="hybridMultilevel"/>
    <w:lvl w:ilvl="0">
      <w:lvlJc w:val="left"/>
      <w:lvlText w:val="%1."/>
      <w:numFmt w:val="decimal"/>
      <w:start w:val="5"/>
    </w:lvl>
  </w:abstractNum>
  <w:abstractNum w:abstractNumId="11">
    <w:nsid w:val="8EDBDAB"/>
    <w:multiLevelType w:val="hybridMultilevel"/>
    <w:lvl w:ilvl="0">
      <w:lvlJc w:val="left"/>
      <w:lvlText w:val="%1."/>
      <w:numFmt w:val="decimal"/>
      <w:start w:val="6"/>
    </w:lvl>
  </w:abstractNum>
  <w:abstractNum w:abstractNumId="12">
    <w:nsid w:val="79838CB2"/>
    <w:multiLevelType w:val="hybridMultilevel"/>
    <w:lvl w:ilvl="0">
      <w:lvlJc w:val="left"/>
      <w:lvlText w:val="%1."/>
      <w:numFmt w:val="decimal"/>
      <w:start w:val="7"/>
    </w:lvl>
  </w:abstractNum>
  <w:abstractNum w:abstractNumId="13">
    <w:nsid w:val="4353D0CD"/>
    <w:multiLevelType w:val="hybridMultilevel"/>
    <w:lvl w:ilvl="0">
      <w:lvlJc w:val="left"/>
      <w:lvlText w:val="%1."/>
      <w:numFmt w:val="decimal"/>
      <w:start w:val="8"/>
    </w:lvl>
  </w:abstractNum>
  <w:abstractNum w:abstractNumId="14">
    <w:nsid w:val="B03E0C6"/>
    <w:multiLevelType w:val="hybridMultilevel"/>
    <w:lvl w:ilvl="0">
      <w:lvlJc w:val="left"/>
      <w:lvlText w:val="%1"/>
      <w:numFmt w:val="decimal"/>
      <w:start w:val="308"/>
    </w:lvl>
  </w:abstractNum>
  <w:abstractNum w:abstractNumId="15">
    <w:nsid w:val="189A769B"/>
    <w:multiLevelType w:val="hybridMultilevel"/>
    <w:lvl w:ilvl="0">
      <w:lvlJc w:val="left"/>
      <w:lvlText w:val="%1."/>
      <w:numFmt w:val="decimal"/>
      <w:start w:val="9"/>
    </w:lvl>
  </w:abstractNum>
  <w:abstractNum w:abstractNumId="16">
    <w:nsid w:val="54E49EB4"/>
    <w:multiLevelType w:val="hybridMultilevel"/>
    <w:lvl w:ilvl="0">
      <w:lvlJc w:val="left"/>
      <w:lvlText w:val="%1."/>
      <w:numFmt w:val="decimal"/>
      <w:start w:val="10"/>
    </w:lvl>
  </w:abstractNum>
  <w:abstractNum w:abstractNumId="17">
    <w:nsid w:val="71F32454"/>
    <w:multiLevelType w:val="hybridMultilevel"/>
    <w:lvl w:ilvl="0">
      <w:lvlJc w:val="left"/>
      <w:lvlText w:val="%1."/>
      <w:numFmt w:val="decimal"/>
      <w:start w:val="11"/>
    </w:lvl>
  </w:abstractNum>
  <w:abstractNum w:abstractNumId="18">
    <w:nsid w:val="2CA88611"/>
    <w:multiLevelType w:val="hybridMultilevel"/>
    <w:lvl w:ilvl="0">
      <w:lvlJc w:val="left"/>
      <w:lvlText w:val="%1."/>
      <w:numFmt w:val="decimal"/>
      <w:start w:val="13"/>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4"/>
    </w:lvl>
  </w:abstractNum>
  <w:abstractNum w:abstractNumId="21">
    <w:nsid w:val="3A95F874"/>
    <w:multiLevelType w:val="hybridMultilevel"/>
    <w:lvl w:ilvl="0">
      <w:lvlJc w:val="left"/>
      <w:lvlText w:val="%1."/>
      <w:numFmt w:val="decimal"/>
      <w:start w:val="15"/>
    </w:lvl>
  </w:abstractNum>
  <w:abstractNum w:abstractNumId="22">
    <w:nsid w:val="8138641"/>
    <w:multiLevelType w:val="hybridMultilevel"/>
    <w:lvl w:ilvl="0">
      <w:lvlJc w:val="left"/>
      <w:lvlText w:val="%1."/>
      <w:numFmt w:val="decimal"/>
      <w:start w:val="16"/>
    </w:lvl>
  </w:abstractNum>
  <w:abstractNum w:abstractNumId="23">
    <w:nsid w:val="1E7FF521"/>
    <w:multiLevelType w:val="hybridMultilevel"/>
    <w:lvl w:ilvl="0">
      <w:lvlJc w:val="left"/>
      <w:lvlText w:val="%1."/>
      <w:numFmt w:val="decimal"/>
      <w:start w:val="17"/>
    </w:lvl>
  </w:abstractNum>
  <w:abstractNum w:abstractNumId="24">
    <w:nsid w:val="7C3DBD3D"/>
    <w:multiLevelType w:val="hybridMultilevel"/>
    <w:lvl w:ilvl="0">
      <w:lvlJc w:val="left"/>
      <w:lvlText w:val="%1."/>
      <w:numFmt w:val="decimal"/>
      <w:start w:val="18"/>
    </w:lvl>
  </w:abstractNum>
  <w:abstractNum w:abstractNumId="25">
    <w:nsid w:val="737B8DDC"/>
    <w:multiLevelType w:val="hybridMultilevel"/>
    <w:lvl w:ilvl="0">
      <w:lvlJc w:val="left"/>
      <w:lvlText w:val="%1."/>
      <w:numFmt w:val="decimal"/>
      <w:start w:val="19"/>
    </w:lvl>
  </w:abstractNum>
  <w:abstractNum w:abstractNumId="26">
    <w:nsid w:val="6CEAF087"/>
    <w:multiLevelType w:val="hybridMultilevel"/>
    <w:lvl w:ilvl="0">
      <w:lvlJc w:val="left"/>
      <w:lvlText w:val="%1."/>
      <w:numFmt w:val="decimal"/>
      <w:start w:val="20"/>
    </w:lvl>
  </w:abstractNum>
  <w:abstractNum w:abstractNumId="27">
    <w:nsid w:val="22221A70"/>
    <w:multiLevelType w:val="hybridMultilevel"/>
    <w:lvl w:ilvl="0">
      <w:lvlJc w:val="left"/>
      <w:lvlText w:val="%1."/>
      <w:numFmt w:val="decimal"/>
      <w:start w:val="21"/>
    </w:lvl>
  </w:abstractNum>
  <w:abstractNum w:abstractNumId="28">
    <w:nsid w:val="4516DDE9"/>
    <w:multiLevelType w:val="hybridMultilevel"/>
    <w:lvl w:ilvl="0">
      <w:lvlJc w:val="left"/>
      <w:lvlText w:val="%1."/>
      <w:numFmt w:val="decimal"/>
      <w:start w:val="22"/>
    </w:lvl>
  </w:abstractNum>
  <w:abstractNum w:abstractNumId="29">
    <w:nsid w:val="3006C83E"/>
    <w:multiLevelType w:val="hybridMultilevel"/>
    <w:lvl w:ilvl="0">
      <w:lvlJc w:val="left"/>
      <w:lvlText w:val="%1."/>
      <w:numFmt w:val="decimal"/>
      <w:start w:val="23"/>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32"/>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2" Type="http://schemas.openxmlformats.org/officeDocument/2006/relationships/hyperlink" Target="http://www.sec.gov/Archives/edgar/data/1681206/000117494720000269/ex3-1.htm" TargetMode="External"/><Relationship Id="rId123" Type="http://schemas.openxmlformats.org/officeDocument/2006/relationships/hyperlink" Target="http://www.sec.gov/Archives/edgar/data/1681206/00011749472000058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2020-05-06T15:19:26Z</dcterms:created>
  <dcterms:modified xsi:type="dcterms:W3CDTF">2020-05-06T15:19:26Z</dcterms:modified>
</cp:coreProperties>
</file>