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85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850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17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81" w:lineRule="exact"/>
        <w:rPr>
          <w:sz w:val="24"/>
          <w:szCs w:val="24"/>
          <w:color w:val="auto"/>
        </w:rPr>
      </w:pPr>
    </w:p>
    <w:p>
      <w:pPr>
        <w:ind w:right="1740" w:firstLine="8"/>
        <w:spacing w:after="0" w:line="282"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rPr>
              <w:t>NORTH DAKOTA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81-2683619</w:t>
            </w:r>
          </w:p>
        </w:tc>
        <w:tc>
          <w:tcPr>
            <w:tcW w:w="6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3"/>
              </w:rPr>
              <w:t>Identification No.)</w:t>
            </w:r>
          </w:p>
        </w:tc>
      </w:tr>
      <w:tr>
        <w:trPr>
          <w:trHeight w:val="481"/>
        </w:trPr>
        <w:tc>
          <w:tcPr>
            <w:tcW w:w="1360" w:type="dxa"/>
            <w:vAlign w:val="bottom"/>
          </w:tcPr>
          <w:p>
            <w:pPr>
              <w:spacing w:after="0"/>
              <w:rPr>
                <w:sz w:val="24"/>
                <w:szCs w:val="24"/>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1101 First Avenue North</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2"/>
              </w:rPr>
              <w:t>Fargo, North Dakota</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58102</w:t>
            </w:r>
          </w:p>
        </w:tc>
        <w:tc>
          <w:tcPr>
            <w:tcW w:w="680" w:type="dxa"/>
            <w:vAlign w:val="bottom"/>
          </w:tcPr>
          <w:p>
            <w:pPr>
              <w:spacing w:after="0"/>
              <w:rPr>
                <w:sz w:val="20"/>
                <w:szCs w:val="20"/>
                <w:color w:val="auto"/>
              </w:rPr>
            </w:pPr>
          </w:p>
        </w:tc>
      </w:tr>
      <w:tr>
        <w:trPr>
          <w:trHeight w:val="257"/>
        </w:trPr>
        <w:tc>
          <w:tcPr>
            <w:tcW w:w="45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(701) 298-4200</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54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513"/>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Not applicable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3"/>
        </w:trPr>
        <w:tc>
          <w:tcPr>
            <w:tcW w:w="136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gridSpan w:val="7"/>
          </w:tcPr>
          <w:p>
            <w:pPr>
              <w:jc w:val="center"/>
              <w:ind w:right="1360"/>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84"/>
        </w:trPr>
        <w:tc>
          <w:tcPr>
            <w:tcW w:w="1360" w:type="dxa"/>
            <w:vAlign w:val="bottom"/>
          </w:tcPr>
          <w:p>
            <w:pPr>
              <w:spacing w:after="0"/>
              <w:rPr>
                <w:sz w:val="24"/>
                <w:szCs w:val="24"/>
                <w:color w:val="auto"/>
              </w:rPr>
            </w:pPr>
          </w:p>
        </w:tc>
        <w:tc>
          <w:tcPr>
            <w:tcW w:w="9880" w:type="dxa"/>
            <w:vAlign w:val="bottom"/>
            <w:gridSpan w:val="7"/>
          </w:tcPr>
          <w:p>
            <w:pPr>
              <w:jc w:val="center"/>
              <w:ind w:right="1360"/>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229"/>
        </w:trPr>
        <w:tc>
          <w:tcPr>
            <w:tcW w:w="1360" w:type="dxa"/>
            <w:vAlign w:val="bottom"/>
          </w:tcPr>
          <w:p>
            <w:pPr>
              <w:spacing w:after="0"/>
              <w:rPr>
                <w:sz w:val="19"/>
                <w:szCs w:val="19"/>
                <w:color w:val="auto"/>
              </w:rPr>
            </w:pPr>
          </w:p>
        </w:tc>
        <w:tc>
          <w:tcPr>
            <w:tcW w:w="3220" w:type="dxa"/>
            <w:vAlign w:val="bottom"/>
            <w:gridSpan w:val="2"/>
          </w:tcPr>
          <w:p>
            <w:pPr>
              <w:jc w:val="center"/>
              <w:ind w:right="179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13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311"/>
        </w:trPr>
        <w:tc>
          <w:tcPr>
            <w:tcW w:w="4580" w:type="dxa"/>
            <w:vAlign w:val="bottom"/>
            <w:gridSpan w:val="3"/>
          </w:tcPr>
          <w:p>
            <w:pPr>
              <w:jc w:val="center"/>
              <w:ind w:right="430"/>
              <w:spacing w:after="0"/>
              <w:rPr>
                <w:sz w:val="20"/>
                <w:szCs w:val="20"/>
                <w:color w:val="auto"/>
              </w:rPr>
            </w:pPr>
            <w:r>
              <w:rPr>
                <w:rFonts w:ascii="Arial" w:cs="Arial" w:eastAsia="Arial" w:hAnsi="Arial"/>
                <w:sz w:val="18"/>
                <w:szCs w:val="18"/>
                <w:color w:val="auto"/>
                <w:w w:val="89"/>
              </w:rPr>
              <w:t>Common Stock, $0.01 par value per share</w:t>
            </w:r>
          </w:p>
        </w:tc>
        <w:tc>
          <w:tcPr>
            <w:tcW w:w="212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NODK</w:t>
            </w:r>
          </w:p>
        </w:tc>
        <w:tc>
          <w:tcPr>
            <w:tcW w:w="520" w:type="dxa"/>
            <w:vAlign w:val="bottom"/>
          </w:tcPr>
          <w:p>
            <w:pPr>
              <w:spacing w:after="0"/>
              <w:rPr>
                <w:sz w:val="24"/>
                <w:szCs w:val="24"/>
                <w:color w:val="auto"/>
              </w:rPr>
            </w:pPr>
          </w:p>
        </w:tc>
        <w:tc>
          <w:tcPr>
            <w:tcW w:w="402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Nasdaq Capital Market</w:t>
            </w:r>
          </w:p>
        </w:tc>
      </w:tr>
    </w:tbl>
    <w:p>
      <w:pPr>
        <w:spacing w:after="0" w:line="10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30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July 31, 2021 was 21,285,433.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74865" cy="8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850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r>
      <w:tr>
        <w:trPr>
          <w:trHeight w:val="675"/>
        </w:trPr>
        <w:tc>
          <w:tcPr>
            <w:tcW w:w="9540" w:type="dxa"/>
            <w:vAlign w:val="bottom"/>
            <w:gridSpan w:val="2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1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 Financial Statements</w:t>
              </w:r>
            </w:hyperlink>
          </w:p>
        </w:tc>
        <w:tc>
          <w:tcPr>
            <w:tcW w:w="6460" w:type="dxa"/>
            <w:vAlign w:val="bottom"/>
            <w:gridSpan w:val="1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Consolidated Balance Sheets</w:t>
              </w:r>
            </w:hyperlink>
          </w:p>
        </w:tc>
        <w:tc>
          <w:tcPr>
            <w:tcW w:w="5020" w:type="dxa"/>
            <w:vAlign w:val="bottom"/>
            <w:gridSpan w:val="9"/>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Operations</w:t>
              </w:r>
            </w:hyperlink>
          </w:p>
        </w:tc>
        <w:tc>
          <w:tcPr>
            <w:tcW w:w="430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8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Income (Loss)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Changes in Shareholders’ Equity</w:t>
              </w:r>
            </w:hyperlink>
          </w:p>
        </w:tc>
        <w:tc>
          <w:tcPr>
            <w:tcW w:w="272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Unaudited Consolidated Statements of Cash Flows</w:t>
              </w:r>
            </w:hyperlink>
          </w:p>
        </w:tc>
        <w:tc>
          <w:tcPr>
            <w:tcW w:w="4240" w:type="dxa"/>
            <w:vAlign w:val="bottom"/>
            <w:gridSpan w:val="7"/>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Consolidated Financial Statements</w:t>
              </w:r>
            </w:hyperlink>
          </w:p>
        </w:tc>
        <w:tc>
          <w:tcPr>
            <w:tcW w:w="396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9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 Management's Discussion and Analysis of Financial Condition and Results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Item 3. - Quantitative and Qualitative Disclosures about Market Risk</w:t>
              </w:r>
            </w:hyperlink>
          </w:p>
        </w:tc>
        <w:tc>
          <w:tcPr>
            <w:tcW w:w="2120" w:type="dxa"/>
            <w:vAlign w:val="bottom"/>
            <w:tcBorders>
              <w:top w:val="single" w:sz="8" w:color="0000EE"/>
            </w:tcBorders>
            <w:gridSpan w:val="4"/>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Item 4. - Controls and Procedures</w:t>
              </w:r>
            </w:hyperlink>
          </w:p>
        </w:tc>
        <w:tc>
          <w:tcPr>
            <w:tcW w:w="62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04"/>
        </w:trPr>
        <w:tc>
          <w:tcPr>
            <w:tcW w:w="9540" w:type="dxa"/>
            <w:vAlign w:val="bottom"/>
            <w:gridSpan w:val="21"/>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 - OTHER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 - Legal Proceedings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1A. - Risk Factors</w:t>
              </w:r>
            </w:hyperlink>
          </w:p>
        </w:tc>
        <w:tc>
          <w:tcPr>
            <w:tcW w:w="6640" w:type="dxa"/>
            <w:vAlign w:val="bottom"/>
            <w:gridSpan w:val="1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2. - Unregistered Sales of Equity Securities and Use of Proceeds</w:t>
              </w:r>
            </w:hyperlink>
          </w:p>
        </w:tc>
        <w:tc>
          <w:tcPr>
            <w:tcW w:w="362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900" w:type="dxa"/>
            <w:vAlign w:val="bottom"/>
          </w:tcPr>
          <w:p>
            <w:pPr>
              <w:spacing w:after="0"/>
              <w:rPr>
                <w:sz w:val="17"/>
                <w:szCs w:val="17"/>
                <w:color w:val="auto"/>
              </w:rPr>
            </w:pPr>
          </w:p>
        </w:tc>
        <w:tc>
          <w:tcPr>
            <w:tcW w:w="29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3. - Defaults upon Senior Securities</w:t>
              </w:r>
            </w:hyperlink>
          </w:p>
        </w:tc>
        <w:tc>
          <w:tcPr>
            <w:tcW w:w="5680" w:type="dxa"/>
            <w:vAlign w:val="bottom"/>
            <w:gridSpan w:val="10"/>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Item 4. - Mine Safety Disclosures</w:t>
              </w:r>
            </w:hyperlink>
          </w:p>
        </w:tc>
        <w:tc>
          <w:tcPr>
            <w:tcW w:w="6200" w:type="dxa"/>
            <w:vAlign w:val="bottom"/>
            <w:gridSpan w:val="11"/>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5. - Other Information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rPr>
                <w:sz w:val="17"/>
                <w:szCs w:val="17"/>
                <w:color w:val="auto"/>
              </w:rPr>
            </w:pPr>
          </w:p>
        </w:tc>
        <w:tc>
          <w:tcPr>
            <w:tcW w:w="1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6. - Exhibits</w:t>
              </w:r>
            </w:hyperlink>
          </w:p>
        </w:tc>
        <w:tc>
          <w:tcPr>
            <w:tcW w:w="6660" w:type="dxa"/>
            <w:vAlign w:val="bottom"/>
            <w:gridSpan w:val="15"/>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7380" w:type="dxa"/>
            <w:vAlign w:val="bottom"/>
            <w:gridSpan w:val="1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8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ind w:left="660" w:right="2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190"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Insurance Company or Nodak Mutual Insurance Company interchangeably;</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27" w:lineRule="exact"/>
        <w:rPr>
          <w:rFonts w:ascii="Arial" w:cs="Arial" w:eastAsia="Arial" w:hAnsi="Arial"/>
          <w:sz w:val="19"/>
          <w:szCs w:val="19"/>
          <w:color w:val="auto"/>
        </w:rPr>
      </w:pPr>
    </w:p>
    <w:p>
      <w:pPr>
        <w:ind w:left="660" w:right="1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as a result of an affiliation agreement between Battle Creek and Nodak Insurance, and is consolidated with Nodak Insurance for financial reporting purposes;</w:t>
      </w:r>
    </w:p>
    <w:p>
      <w:pPr>
        <w:spacing w:after="0" w:line="202" w:lineRule="exact"/>
        <w:rPr>
          <w:rFonts w:ascii="Arial" w:cs="Arial" w:eastAsia="Arial" w:hAnsi="Arial"/>
          <w:sz w:val="22"/>
          <w:szCs w:val="22"/>
          <w:color w:val="auto"/>
        </w:rPr>
      </w:pPr>
    </w:p>
    <w:p>
      <w:pPr>
        <w:ind w:left="660" w:right="340" w:hanging="328"/>
        <w:spacing w:after="0" w:line="285"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5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01" w:lineRule="exact"/>
        <w:rPr>
          <w:rFonts w:ascii="Arial" w:cs="Arial" w:eastAsia="Arial" w:hAnsi="Arial"/>
          <w:sz w:val="22"/>
          <w:szCs w:val="22"/>
          <w:color w:val="auto"/>
        </w:rPr>
      </w:pPr>
    </w:p>
    <w:p>
      <w:pPr>
        <w:ind w:left="660" w:right="2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states; and</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of goals, intentions, and expectations;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regarding prospects and business strategy; and</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estimates of future costs, benefits, and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in this Quarterly Report and our Annual Report on Form 10-K (“2020 Annual Report”) that could affect the actual outcome of future events.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6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material changes to the federal crop insurance program;</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future economic conditions in the markets in which we compete that are less favorable than expected;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215" w:lineRule="exact"/>
        <w:rPr>
          <w:rFonts w:ascii="Arial" w:cs="Arial" w:eastAsia="Arial" w:hAnsi="Arial"/>
          <w:sz w:val="22"/>
          <w:szCs w:val="22"/>
          <w:color w:val="auto"/>
        </w:rPr>
      </w:pPr>
    </w:p>
    <w:p>
      <w:pPr>
        <w:ind w:left="980" w:right="54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successfully integrate acquired businesses;</w:t>
      </w:r>
    </w:p>
    <w:p>
      <w:pPr>
        <w:spacing w:after="0" w:line="215" w:lineRule="exact"/>
        <w:rPr>
          <w:rFonts w:ascii="Arial" w:cs="Arial" w:eastAsia="Arial" w:hAnsi="Arial"/>
          <w:sz w:val="22"/>
          <w:szCs w:val="22"/>
          <w:color w:val="auto"/>
        </w:rPr>
      </w:pPr>
    </w:p>
    <w:p>
      <w:pPr>
        <w:ind w:left="980" w:right="2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216" w:lineRule="exact"/>
        <w:rPr>
          <w:rFonts w:ascii="Arial" w:cs="Arial" w:eastAsia="Arial" w:hAnsi="Arial"/>
          <w:sz w:val="22"/>
          <w:szCs w:val="22"/>
          <w:color w:val="auto"/>
        </w:rPr>
      </w:pPr>
    </w:p>
    <w:p>
      <w:pPr>
        <w:ind w:left="980" w:right="12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impact of national or global events, including pandemics, military conflicts, and other wide-spread events;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estimates and adequacy of loss reserves and trends in loss and loss adjustment expenses;</w:t>
      </w:r>
    </w:p>
    <w:p>
      <w:pPr>
        <w:spacing w:after="0" w:line="19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192" w:lineRule="exact"/>
        <w:rPr>
          <w:rFonts w:ascii="Arial" w:cs="Arial" w:eastAsia="Arial" w:hAnsi="Arial"/>
          <w:sz w:val="21"/>
          <w:szCs w:val="21"/>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inability to obtain regulatory approval of, or to implement, premium rate increases;</w:t>
      </w:r>
    </w:p>
    <w:p>
      <w:pPr>
        <w:spacing w:after="0" w:line="215" w:lineRule="exact"/>
        <w:rPr>
          <w:rFonts w:ascii="Arial" w:cs="Arial" w:eastAsia="Arial" w:hAnsi="Arial"/>
          <w:sz w:val="22"/>
          <w:szCs w:val="22"/>
          <w:color w:val="auto"/>
        </w:rPr>
      </w:pPr>
    </w:p>
    <w:p>
      <w:pPr>
        <w:ind w:left="980" w:right="22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203"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of fraud, operational errors, systems malfunctions, or cybersecurity incidents;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litigation or arbitration results; and</w:t>
      </w:r>
    </w:p>
    <w:p>
      <w:pPr>
        <w:spacing w:after="0" w:line="215" w:lineRule="exact"/>
        <w:rPr>
          <w:rFonts w:ascii="Arial" w:cs="Arial" w:eastAsia="Arial" w:hAnsi="Arial"/>
          <w:sz w:val="22"/>
          <w:szCs w:val="22"/>
          <w:color w:val="auto"/>
        </w:rPr>
      </w:pPr>
    </w:p>
    <w:p>
      <w:pPr>
        <w:ind w:left="980" w:right="660" w:hanging="324"/>
        <w:spacing w:after="0" w:line="238"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7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20"/>
        </w:trPr>
        <w:tc>
          <w:tcPr>
            <w:tcW w:w="1280" w:type="dxa"/>
            <w:vAlign w:val="bottom"/>
            <w:tcBorders>
              <w:top w:val="single" w:sz="8" w:color="0000EE"/>
            </w:tcBorders>
          </w:tcPr>
          <w:p>
            <w:pPr>
              <w:spacing w:after="0"/>
              <w:rPr>
                <w:sz w:val="24"/>
                <w:szCs w:val="24"/>
                <w:color w:val="auto"/>
              </w:rPr>
            </w:pPr>
          </w:p>
        </w:tc>
        <w:tc>
          <w:tcPr>
            <w:tcW w:w="6160" w:type="dxa"/>
            <w:vAlign w:val="bottom"/>
          </w:tcPr>
          <w:p>
            <w:pPr>
              <w:ind w:left="276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05"/>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June 30, 2021</w:t>
            </w:r>
          </w:p>
        </w:tc>
        <w:tc>
          <w:tcPr>
            <w:tcW w:w="160" w:type="dxa"/>
            <w:vAlign w:val="bottom"/>
          </w:tcPr>
          <w:p>
            <w:pPr>
              <w:spacing w:after="0"/>
              <w:rPr>
                <w:sz w:val="24"/>
                <w:szCs w:val="24"/>
                <w:color w:val="auto"/>
              </w:rPr>
            </w:pPr>
          </w:p>
        </w:tc>
        <w:tc>
          <w:tcPr>
            <w:tcW w:w="1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61,223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101,077</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369,738</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320,410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Equity securities, at fair value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78,368</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69,952</w:t>
            </w:r>
          </w:p>
        </w:tc>
      </w:tr>
      <w:tr>
        <w:trPr>
          <w:trHeight w:val="216"/>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cash and investments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511,400</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494,363</w:t>
            </w:r>
          </w:p>
        </w:tc>
      </w:tr>
      <w:tr>
        <w:trPr>
          <w:trHeight w:val="216"/>
        </w:trPr>
        <w:tc>
          <w:tcPr>
            <w:tcW w:w="12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84,463</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48,523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29,657</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23,968</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Reinsurance premiums receivable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24,574</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Income tax recoverable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9,971</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9,899</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17,191</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6,646</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Goodwill and other intangibles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17,958</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18,194</w:t>
            </w:r>
          </w:p>
        </w:tc>
      </w:tr>
      <w:tr>
        <w:trPr>
          <w:trHeight w:val="216"/>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708,425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617,603</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105,750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161,592</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119,363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premiums payable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2,646</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8,046</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8,757</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Westminster consideration payable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12,820</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19,287</w:t>
            </w:r>
          </w:p>
        </w:tc>
      </w:tr>
      <w:tr>
        <w:trPr>
          <w:trHeight w:val="216"/>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14,820</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357,486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268,731</w:t>
            </w:r>
          </w:p>
        </w:tc>
        <w:tc>
          <w:tcPr>
            <w:tcW w:w="22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74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23,000,000 shares; and outstanding: 2021 – 21,302,167 shares,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2020 – 21,318,638 shares</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r>
      <w:tr>
        <w:trPr>
          <w:trHeight w:val="202"/>
        </w:trPr>
        <w:tc>
          <w:tcPr>
            <w:tcW w:w="74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no shares issued or outstanding</w:t>
            </w: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96,729</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97,911</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(1,427)</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265,816</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258,741</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net of income taxes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9,556</w:t>
            </w:r>
          </w:p>
        </w:tc>
        <w:tc>
          <w:tcPr>
            <w:tcW w:w="16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12,840</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2021 – 1,555,093 shares, 2020 – 1,538,622 shares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(24,403)</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(23,968)</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220" w:type="dxa"/>
            <w:vAlign w:val="bottom"/>
          </w:tcPr>
          <w:p>
            <w:pPr>
              <w:spacing w:after="0"/>
              <w:rPr>
                <w:sz w:val="18"/>
                <w:szCs w:val="18"/>
                <w:color w:val="auto"/>
              </w:rPr>
            </w:pPr>
          </w:p>
        </w:tc>
      </w:tr>
      <w:tr>
        <w:trPr>
          <w:trHeight w:val="209"/>
        </w:trPr>
        <w:tc>
          <w:tcPr>
            <w:tcW w:w="7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350,939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348,872</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r>
      <w:tr>
        <w:trPr>
          <w:trHeight w:val="256"/>
        </w:trPr>
        <w:tc>
          <w:tcPr>
            <w:tcW w:w="7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708,425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617,603</w:t>
            </w:r>
          </w:p>
        </w:tc>
      </w:tr>
      <w:tr>
        <w:trPr>
          <w:trHeight w:val="385"/>
        </w:trPr>
        <w:tc>
          <w:tcPr>
            <w:tcW w:w="7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pacing w:after="0" w:line="175"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8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per share data)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76,281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82,006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140,778</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3,989</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capital gain (loss) on investments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141,853</w:t>
            </w: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62,918</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82,786</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14,829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24,216</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15,568</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122,570</w:t>
            </w:r>
          </w:p>
        </w:tc>
      </w:tr>
      <w:tr>
        <w:trPr>
          <w:trHeight w:val="209"/>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(3,295)</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19,283</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(2,734)</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18,767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15,212</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18,733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7,025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15,146</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0.86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3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0.85</w:t>
            </w: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0.32</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r>
      <w:tr>
        <w:trPr>
          <w:trHeight w:val="197"/>
        </w:trPr>
        <w:tc>
          <w:tcPr>
            <w:tcW w:w="1280" w:type="dxa"/>
            <w:vAlign w:val="bottom"/>
            <w:tcBorders>
              <w:top w:val="single" w:sz="8" w:color="CCEEFF"/>
            </w:tcBorders>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data: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r>
      <w:tr>
        <w:trPr>
          <w:trHeight w:val="202"/>
        </w:trPr>
        <w:tc>
          <w:tcPr>
            <w:tcW w:w="63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Weighted average common shares outstanding used in basic per common share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calculations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21,464,840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21,886,930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21,463,747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22,052,501</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Plus: Dilutive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129,772</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Arial" w:cs="Arial" w:eastAsia="Arial" w:hAnsi="Arial"/>
                <w:sz w:val="18"/>
                <w:szCs w:val="18"/>
                <w:color w:val="auto"/>
                <w:w w:val="93"/>
              </w:rPr>
              <w:t>Weighted average common shares used in diluted per common share calculations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21,464,840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22,025,223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21,688,059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22,182,273</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8"/>
          </w:tcPr>
          <w:p>
            <w:pPr>
              <w:spacing w:after="0"/>
              <w:rPr>
                <w:sz w:val="20"/>
                <w:szCs w:val="20"/>
                <w:color w:val="auto"/>
              </w:rPr>
            </w:pPr>
            <w:r>
              <w:rPr>
                <w:rFonts w:ascii="Arial" w:cs="Arial" w:eastAsia="Arial" w:hAnsi="Arial"/>
                <w:sz w:val="18"/>
                <w:szCs w:val="18"/>
                <w:b w:val="1"/>
                <w:bCs w:val="1"/>
                <w:color w:val="auto"/>
                <w:w w:val="94"/>
              </w:rPr>
              <w:t>Unaudited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Three Months Ended June 30, 2021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89"/>
              </w:rPr>
              <w:t>Six Months Ended June 30, 2021</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Attributable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 Non-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NI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Holding gains (losses) on</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included in net income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gridSpan w:val="2"/>
          </w:tcPr>
          <w:p>
            <w:pPr>
              <w:ind w:left="360"/>
              <w:spacing w:after="0" w:line="195" w:lineRule="exact"/>
              <w:rPr>
                <w:sz w:val="20"/>
                <w:szCs w:val="20"/>
                <w:color w:val="auto"/>
              </w:rPr>
            </w:pPr>
            <w:r>
              <w:rPr>
                <w:rFonts w:ascii="Arial" w:cs="Arial" w:eastAsia="Arial" w:hAnsi="Arial"/>
                <w:sz w:val="18"/>
                <w:szCs w:val="18"/>
                <w:color w:val="auto"/>
                <w:w w:val="95"/>
              </w:rPr>
              <w:t>Other comprehensive income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540"/>
              <w:spacing w:after="0"/>
              <w:rPr>
                <w:sz w:val="20"/>
                <w:szCs w:val="20"/>
                <w:color w:val="auto"/>
              </w:rPr>
            </w:pPr>
            <w:r>
              <w:rPr>
                <w:rFonts w:ascii="Arial" w:cs="Arial" w:eastAsia="Arial" w:hAnsi="Arial"/>
                <w:sz w:val="18"/>
                <w:szCs w:val="18"/>
                <w:color w:val="auto"/>
              </w:rPr>
              <w:t>(loss), before income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5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to items of other</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2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5"/>
              </w:rPr>
              <w:t>Other comprehensive income</w:t>
            </w:r>
          </w:p>
        </w:tc>
        <w:tc>
          <w:tcPr>
            <w:tcW w:w="80" w:type="dxa"/>
            <w:vAlign w:val="bottom"/>
          </w:tcPr>
          <w:p>
            <w:pPr>
              <w:spacing w:after="0"/>
              <w:rPr>
                <w:sz w:val="16"/>
                <w:szCs w:val="16"/>
                <w:color w:val="auto"/>
              </w:rPr>
            </w:pPr>
          </w:p>
        </w:tc>
        <w:tc>
          <w:tcPr>
            <w:tcW w:w="15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6"/>
                <w:szCs w:val="16"/>
                <w:color w:val="auto"/>
              </w:rPr>
            </w:pP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7"/>
        </w:trPr>
        <w:tc>
          <w:tcPr>
            <w:tcW w:w="2620" w:type="dxa"/>
            <w:vAlign w:val="bottom"/>
            <w:gridSpan w:val="2"/>
          </w:tcPr>
          <w:p>
            <w:pPr>
              <w:ind w:left="540"/>
              <w:spacing w:after="0"/>
              <w:rPr>
                <w:sz w:val="20"/>
                <w:szCs w:val="20"/>
                <w:color w:val="auto"/>
              </w:rPr>
            </w:pPr>
            <w:r>
              <w:rPr>
                <w:rFonts w:ascii="Arial" w:cs="Arial" w:eastAsia="Arial" w:hAnsi="Arial"/>
                <w:sz w:val="18"/>
                <w:szCs w:val="18"/>
                <w:color w:val="auto"/>
                <w:w w:val="98"/>
              </w:rPr>
              <w:t>(loss), net of income taxes</w:t>
            </w:r>
          </w:p>
        </w:tc>
        <w:tc>
          <w:tcPr>
            <w:tcW w:w="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2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Three Months Ended June 30, 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89"/>
              </w:rPr>
              <w:t>Six Months Ended June 30, 2020</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Attributable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 Non-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NI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Holding gains on investments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net income</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tcPr>
          <w:p>
            <w:pPr>
              <w:ind w:left="360"/>
              <w:spacing w:after="0" w:line="195" w:lineRule="exact"/>
              <w:rPr>
                <w:sz w:val="20"/>
                <w:szCs w:val="20"/>
                <w:color w:val="auto"/>
              </w:rPr>
            </w:pPr>
            <w:r>
              <w:rPr>
                <w:rFonts w:ascii="Arial" w:cs="Arial" w:eastAsia="Arial" w:hAnsi="Arial"/>
                <w:sz w:val="18"/>
                <w:szCs w:val="18"/>
                <w:color w:val="auto"/>
              </w:rPr>
              <w:t>Other comprehensive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Arial" w:cs="Arial" w:eastAsia="Arial" w:hAnsi="Arial"/>
                <w:sz w:val="18"/>
                <w:szCs w:val="18"/>
                <w:color w:val="auto"/>
              </w:rPr>
              <w:t>income, before income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5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 related to</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of other comprehensive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tcPr>
          <w:p>
            <w:pPr>
              <w:ind w:left="360"/>
              <w:spacing w:after="0" w:line="195" w:lineRule="exact"/>
              <w:rPr>
                <w:sz w:val="20"/>
                <w:szCs w:val="20"/>
                <w:color w:val="auto"/>
              </w:rPr>
            </w:pPr>
            <w:r>
              <w:rPr>
                <w:rFonts w:ascii="Arial" w:cs="Arial" w:eastAsia="Arial" w:hAnsi="Arial"/>
                <w:sz w:val="18"/>
                <w:szCs w:val="18"/>
                <w:color w:val="auto"/>
              </w:rPr>
              <w:t>Other comprehensive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Arial" w:cs="Arial" w:eastAsia="Arial" w:hAnsi="Arial"/>
                <w:sz w:val="18"/>
                <w:szCs w:val="18"/>
                <w:color w:val="auto"/>
              </w:rPr>
              <w:t>income, net of income</w:t>
            </w:r>
          </w:p>
        </w:tc>
        <w:tc>
          <w:tcPr>
            <w:tcW w:w="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8,833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34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8,982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7"/>
        </w:trPr>
        <w:tc>
          <w:tcPr>
            <w:tcW w:w="2620" w:type="dxa"/>
            <w:vAlign w:val="bottom"/>
          </w:tcPr>
          <w:p>
            <w:pPr>
              <w:ind w:left="5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27,566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27,749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20,414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20,557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Plan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Retained</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Income, Net of</w:t>
            </w:r>
          </w:p>
        </w:tc>
        <w:tc>
          <w:tcPr>
            <w:tcW w:w="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Earnings</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96,511</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268,444</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(23,012)</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352,590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4"/>
              </w:rPr>
              <w:t>Other comprehensive income,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Balance, June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96,729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265,816</w:t>
            </w:r>
          </w:p>
        </w:tc>
        <w:tc>
          <w:tcPr>
            <w:tcW w:w="220" w:type="dxa"/>
            <w:vAlign w:val="bottom"/>
          </w:tcPr>
          <w:p>
            <w:pPr>
              <w:jc w:val="right"/>
              <w:ind w:right="5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(24,403)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4,438</w:t>
            </w:r>
          </w:p>
        </w:tc>
        <w:tc>
          <w:tcPr>
            <w:tcW w:w="3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350,939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8"/>
                <w:szCs w:val="18"/>
                <w:b w:val="1"/>
                <w:bCs w:val="1"/>
                <w:color w:val="auto"/>
                <w:w w:val="89"/>
              </w:rPr>
              <w:t>Six Months Ended June 30,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Plan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Retained</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Income, Net of</w:t>
            </w:r>
          </w:p>
        </w:tc>
        <w:tc>
          <w:tcPr>
            <w:tcW w:w="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Earnings</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97,911</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258,741</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(23,968)</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348,872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7,025</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loss, net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(3,414 )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(2,370)</w:t>
            </w: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Balance, June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96,729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265,816</w:t>
            </w:r>
          </w:p>
        </w:tc>
        <w:tc>
          <w:tcPr>
            <w:tcW w:w="220" w:type="dxa"/>
            <w:vAlign w:val="bottom"/>
          </w:tcPr>
          <w:p>
            <w:pPr>
              <w:jc w:val="right"/>
              <w:ind w:right="5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9,556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(24,403)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4,438</w:t>
            </w:r>
          </w:p>
        </w:tc>
        <w:tc>
          <w:tcPr>
            <w:tcW w:w="3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350,939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Unearned</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Ownership</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Plan</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Income, Net of</w:t>
            </w: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Treasury</w:t>
            </w: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Controlling</w:t>
            </w:r>
          </w:p>
        </w:tc>
        <w:tc>
          <w:tcPr>
            <w:tcW w:w="1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April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214,811</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301,791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18,733</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Balance, June 30,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233,498</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(18,517)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3,642</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324,723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920"/>
              <w:spacing w:after="0"/>
              <w:rPr>
                <w:sz w:val="20"/>
                <w:szCs w:val="20"/>
                <w:color w:val="auto"/>
              </w:rPr>
            </w:pPr>
            <w:r>
              <w:rPr>
                <w:rFonts w:ascii="Arial" w:cs="Arial" w:eastAsia="Arial" w:hAnsi="Arial"/>
                <w:sz w:val="18"/>
                <w:szCs w:val="18"/>
                <w:b w:val="1"/>
                <w:bCs w:val="1"/>
                <w:color w:val="auto"/>
                <w:w w:val="92"/>
              </w:rPr>
              <w:t>Six Months Ended June 30, 2020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Unearned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Plan</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Income, Net of</w:t>
            </w: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Treasury</w:t>
            </w:r>
          </w:p>
        </w:tc>
        <w:tc>
          <w:tcPr>
            <w:tcW w:w="11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218,480</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Balance, June 30,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233,498</w:t>
            </w:r>
          </w:p>
        </w:tc>
        <w:tc>
          <w:tcPr>
            <w:tcW w:w="30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(18,517)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3,642</w:t>
            </w:r>
          </w:p>
        </w:tc>
        <w:tc>
          <w:tcPr>
            <w:tcW w:w="14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8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10"/>
        </w:trPr>
        <w:tc>
          <w:tcPr>
            <w:tcW w:w="12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15,212</w:t>
            </w: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capital (gain) loss on investments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(10,512)</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 expense (benefit)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3,711</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1,188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33,473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24,216</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Deferral of policy acquisition costs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(39,162)</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(33,021)</w:t>
            </w: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Loss on sale of property and equipment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(35,940)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(43,138)</w:t>
            </w: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Reinsurance premiums receivable / payable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(2,269)</w:t>
            </w: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Reinsurance recoverables on losses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(15,864)</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(4,203)</w:t>
            </w: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Receivable from Federal Crop Insurance Corporation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(10,545)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2,142</w:t>
            </w: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(3,120)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r>
      <w:tr>
        <w:trPr>
          <w:trHeight w:val="216"/>
        </w:trPr>
        <w:tc>
          <w:tcPr>
            <w:tcW w:w="8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46,590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14,196</w:t>
            </w:r>
          </w:p>
        </w:tc>
      </w:tr>
      <w:tr>
        <w:trPr>
          <w:trHeight w:val="216"/>
        </w:trPr>
        <w:tc>
          <w:tcPr>
            <w:tcW w:w="8060" w:type="dxa"/>
            <w:vAlign w:val="bottom"/>
            <w:gridSpan w:val="2"/>
          </w:tcPr>
          <w:p>
            <w:pPr>
              <w:ind w:left="54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42,229</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31,325</w:t>
            </w:r>
          </w:p>
        </w:tc>
      </w:tr>
      <w:tr>
        <w:trPr>
          <w:trHeight w:val="216"/>
        </w:trPr>
        <w:tc>
          <w:tcPr>
            <w:tcW w:w="80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60" w:type="dxa"/>
            <w:vAlign w:val="bottom"/>
            <w:gridSpan w:val="2"/>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21,708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21,803</w:t>
            </w:r>
          </w:p>
        </w:tc>
      </w:tr>
      <w:tr>
        <w:trPr>
          <w:trHeight w:val="20"/>
        </w:trPr>
        <w:tc>
          <w:tcPr>
            <w:tcW w:w="1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fixed income securities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35,483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45,539</w:t>
            </w: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17,247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9,429</w:t>
            </w: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(89,729)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(51,944)</w:t>
            </w:r>
          </w:p>
        </w:tc>
      </w:tr>
      <w:tr>
        <w:trPr>
          <w:trHeight w:val="216"/>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Purchases of equity securities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(15,559)</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(11,207)</w:t>
            </w:r>
          </w:p>
        </w:tc>
      </w:tr>
      <w:tr>
        <w:trPr>
          <w:trHeight w:val="216"/>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r>
      <w:tr>
        <w:trPr>
          <w:trHeight w:val="202"/>
        </w:trPr>
        <w:tc>
          <w:tcPr>
            <w:tcW w:w="80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Acquisition of Westminster American Insurance Company (cash consideration paid net of cash and cash</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equivalents acquired)</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r>
      <w:tr>
        <w:trPr>
          <w:trHeight w:val="216"/>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other investments and other</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(52,140)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(9,263)</w:t>
            </w:r>
          </w:p>
        </w:tc>
      </w:tr>
      <w:tr>
        <w:trPr>
          <w:trHeight w:val="209"/>
        </w:trPr>
        <w:tc>
          <w:tcPr>
            <w:tcW w:w="12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Purchases of treasury stock</w:t>
      </w:r>
    </w:p>
    <w:p>
      <w:pPr>
        <w:spacing w:after="0" w:line="9" w:lineRule="exact"/>
        <w:rPr>
          <w:sz w:val="20"/>
          <w:szCs w:val="20"/>
          <w:color w:val="auto"/>
        </w:rPr>
      </w:pPr>
    </w:p>
    <w:p>
      <w:pPr>
        <w:ind w:left="180" w:right="3280"/>
        <w:spacing w:after="0" w:line="258" w:lineRule="auto"/>
        <w:rPr>
          <w:sz w:val="20"/>
          <w:szCs w:val="20"/>
          <w:color w:val="auto"/>
        </w:rPr>
      </w:pPr>
      <w:r>
        <w:rPr>
          <w:rFonts w:ascii="Arial" w:cs="Arial" w:eastAsia="Arial" w:hAnsi="Arial"/>
          <w:sz w:val="18"/>
          <w:szCs w:val="18"/>
          <w:color w:val="auto"/>
        </w:rPr>
        <w:t>Installment payment on Westminster consideration payable Issuance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(2,267)</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(6,667)</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(488)</w:t>
            </w:r>
          </w:p>
        </w:tc>
        <w:tc>
          <w:tcPr>
            <w:tcW w:w="4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(9,422</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(39,854)</w:t>
            </w:r>
          </w:p>
        </w:tc>
        <w:tc>
          <w:tcPr>
            <w:tcW w:w="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101,077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62,132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180" w:type="dxa"/>
            <w:vAlign w:val="bottom"/>
            <w:vMerge w:val="restart"/>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61,223</w:t>
            </w:r>
          </w:p>
        </w:tc>
        <w:tc>
          <w:tcPr>
            <w:tcW w:w="2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08" w:right="339" w:bottom="1440" w:gutter="0" w:footer="0" w:header="0"/>
          <w:type w:val="continuous"/>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5"/>
              </w:rPr>
              <w:t>Non-cash item: Present value of installment payable issued in connection with acquisition of Westminster</w:t>
            </w: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American Insurance Company</w:t>
            </w:r>
          </w:p>
        </w:tc>
        <w:tc>
          <w:tcPr>
            <w:tcW w:w="8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income taxes paid</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615"/>
        </w:trPr>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4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Consolidated Financial Statements of NI Holdings include the financial position and results of NI Holdings and seven other entities:</w:t>
      </w:r>
    </w:p>
    <w:p>
      <w:pPr>
        <w:spacing w:after="0" w:line="25" w:lineRule="exact"/>
        <w:rPr>
          <w:sz w:val="20"/>
          <w:szCs w:val="20"/>
          <w:color w:val="auto"/>
        </w:rPr>
      </w:pPr>
    </w:p>
    <w:p>
      <w:pPr>
        <w:ind w:left="1120" w:hanging="320"/>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Agency, Inc. (“Nodak Agency”);</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American West Insurance Company (“American West”);</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Primero Insurance Company (“Primero”);</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Battle Creek Mutual Insurance Company (“Battle Creek”, an affiliated company with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Direct Auto Insurance Company (“Direct Auto”);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Westminster American Insurance Company (“Westminster”).</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multi-peril, crop hail, and Federal multi-peril crop insurance coverages.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2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6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1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 Battle Creek is a property and casualty insurance company writing personal auto, homeowners, and farm coverages solely in the state of Nebraska.</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a wholly-owned subsidiary of NI Holdings, is a property and casualty insurance company licensed in seventeen states and the District of Columbia. Westminster is headquartered in Owings Mills, Maryland and underwrites commercial multi-peril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herein since January 1, 2020. See Note 3.</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03" w:lineRule="exact"/>
        <w:rPr>
          <w:sz w:val="20"/>
          <w:szCs w:val="20"/>
          <w:color w:val="auto"/>
        </w:rPr>
      </w:pPr>
    </w:p>
    <w:p>
      <w:pPr>
        <w:ind w:right="7080" w:firstLine="8"/>
        <w:spacing w:after="0" w:line="479" w:lineRule="auto"/>
        <w:tabs>
          <w:tab w:leader="none" w:pos="64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Accounting Policies Basis of Presentation</w:t>
      </w:r>
    </w:p>
    <w:p>
      <w:pPr>
        <w:spacing w:after="0" w:line="1"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for interim financial information and with the instructions to Form 10-Q and Article 10 of Regulation S-X and are unaudited.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Annual Report on Form 10-K for the year ended December 31, 2020 (“2020 Annual Report”).</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preparation of the interim Consolidated Financial Statements in conformity with GAAP requires management to make estimates and assumptions that affect the reported amounts of assets and liabilities and disclosure of contingent assets and liabilities at the date of the interim Consolidated Financial Statements and the reported amounts of revenues, claims, and expenses during the reporting period. Actual results could differ from those estimates. Operating results for the interim period ended June 30, 2021 are not necessarily indicative of the results that may be expected for the year ended December 31, 2021.</w:t>
      </w:r>
    </w:p>
    <w:p>
      <w:pPr>
        <w:spacing w:after="0" w:line="17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The terms “we”, “us”, “our”, or “the Company” as used herein refer to the consolidated entity.</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2020 Annual Report describes the accounting policies and estimates that are critical to the understanding of our results of operations, financial condition, and liquidity. The accounting policies and estimation process described in the 2020 Annual Report were consistently applied to the Unaudited Consolidated Financial Statements for the six month period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As an emerging growth company, we have elected to use the extended transition period for complying with any new or revised financial accounting standards from the Financial Accounting Standards Board (“FASB”) pursuant to Section 13(a) of the Exchange Act. The following discussion includes effective dates for both public business entities and emerging growth companies, as well as whether specific guidance may be adopted early.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Adopted</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January 2020, the Company adopted amended guidance from the FASB that shortened the amortization period of premiums on certain fixed income securities held at a premium to the earliest call date rather than through the maturity date of the callable security. The adoption of this guidance did not materially impact the Company’s financial position, results of operations, or cash flows.</w:t>
      </w:r>
    </w:p>
    <w:p>
      <w:pPr>
        <w:spacing w:after="0" w:line="170"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In March 2020, the Company adopted modified disclosure requirements from the FASB relating to the fair value of assets and liabilities. The modifications primarily related to Level 3 fair value measurements. The Company does not currently carry any Level 3 assets or liabilities. As a result, there was no impact to the Company’s financial statement disclosures.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 Yet Adopted</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2021 and interim periods within fiscal years beginning after December 15, 2022. Early adoption is permitted for all entities. We do not expect the adoption of this new guidance to have a significant impact on our financial position, results of operations, or cash flows. Upon adoption, the Company will recognize a right of use asset and operating lease liabilities on its Consolidated Balance Sheet. The cumulative adjustment to retained earnings is not expected to be significant.</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filers with the Securities and Exchange Commission (“SEC”) excluding smaller reporting companies, and emerging growth companies that did not relinquish private company relief. For all other entities, this guidance is effective for annual reporting periods beginning after December 15, 2022 and interim periods within those fiscal years. Early adoption is permitted for all entities. Based on our evaluation, adoption of this new standard will not have a significant impact on our financial position, results of operations, and cash flows.</w:t>
      </w:r>
    </w:p>
    <w:p>
      <w:pPr>
        <w:spacing w:after="0" w:line="1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commercial multi-peril insurance in nine states and the District of Columbia.</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Westminster remains headquartered in Owings Mills, Maryland, and continues to be led by its president and other key management in place at the time of the acquisition. The results of Westminster are included as part of the Company’s commercial business segment following the closing date.</w:t>
      </w:r>
    </w:p>
    <w:p>
      <w:pPr>
        <w:spacing w:after="0" w:line="9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measurement period for the Westminster acquisition ended December 31, 2020.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incurred acquisition-related costs of $828 and $83 during the years ended December 31, 2020, and 2019, respectively.</w:t>
      </w:r>
    </w:p>
    <w:p>
      <w:pPr>
        <w:spacing w:after="0" w:line="2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paid $20,000 in cash consideration to the private shareholder of Westminster as of the closing date, with an additional $20,000 to be paid in three equal annual installments. The acquisition of Westminster did not include any contingent consideration other than a provision regarding future changes to federal income tax rates. The following table summarizes the consideration transferred to acquire Westminster and the amounts of identified assets acquired and liabilities assumed at the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38,787</w:t>
            </w:r>
          </w:p>
        </w:tc>
        <w:tc>
          <w:tcPr>
            <w:tcW w:w="0" w:type="dxa"/>
            <w:vAlign w:val="bottom"/>
          </w:tcPr>
          <w:p>
            <w:pPr>
              <w:spacing w:after="0"/>
              <w:rPr>
                <w:sz w:val="1"/>
                <w:szCs w:val="1"/>
                <w:color w:val="auto"/>
              </w:rPr>
            </w:pPr>
          </w:p>
        </w:tc>
      </w:tr>
      <w:tr>
        <w:trPr>
          <w:trHeight w:val="196"/>
        </w:trPr>
        <w:tc>
          <w:tcPr>
            <w:tcW w:w="98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Identifiable Assets Acquired and Liabilities Assumed:</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income tax recoverable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 (included in goodwill and other intangibles)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(16,611)</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0"/>
        </w:trPr>
        <w:tc>
          <w:tcPr>
            <w:tcW w:w="9880" w:type="dxa"/>
            <w:vAlign w:val="bottom"/>
            <w:vMerge w:val="restart"/>
          </w:tcPr>
          <w:p>
            <w:pPr>
              <w:ind w:left="660"/>
              <w:spacing w:after="0"/>
              <w:rPr>
                <w:sz w:val="20"/>
                <w:szCs w:val="20"/>
                <w:color w:val="auto"/>
              </w:rPr>
            </w:pPr>
            <w:r>
              <w:rPr>
                <w:rFonts w:ascii="Arial" w:cs="Arial" w:eastAsia="Arial" w:hAnsi="Arial"/>
                <w:sz w:val="18"/>
                <w:szCs w:val="18"/>
                <w:color w:val="auto"/>
                <w:w w:val="99"/>
              </w:rPr>
              <w:t>The fair value of the assets acquired included premiums and agents’ balances receivable of $8,507 and reinsurance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recoverables on losses of $763. These are the gross amounts due from policyholders and reinsurers, respectively, none of which are anticipated to be uncollectible. The Company did not acquire any other material receivables as a result of the acquisition of Westminster.</w:t>
      </w:r>
    </w:p>
    <w:p>
      <w:pPr>
        <w:spacing w:after="0" w:line="13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fair values of the acquired distribution network, state insurance licenses, Westminster trade name, and value of business acquired (“VOBA”) intangible assets were $6,700, $1,800, $500, and $4,750, respectively. The state insurance license intangible has an indefinite life, while the other intangible assets will be amortized over useful lives of up to twenty years. The goodwill is not deductible for income tax purposes.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first installment of the additional consideration was paid during the first quarter of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estimated fair value of fixed income securities as of June 30, 2021 and December 31,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Cost 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14,757</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71,962</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160,768</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41,904</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30,819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49,528</w:t>
            </w:r>
          </w:p>
        </w:tc>
      </w:tr>
      <w:tr>
        <w:trPr>
          <w:trHeight w:val="20"/>
        </w:trPr>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6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357,555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369,738</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91"/>
        </w:trPr>
        <w:tc>
          <w:tcPr>
            <w:tcW w:w="5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Cost 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14,383</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64,244</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128,434</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36,494</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23,976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25,655</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51,200</w:t>
            </w:r>
          </w:p>
        </w:tc>
      </w:tr>
      <w:tr>
        <w:trPr>
          <w:trHeight w:val="20"/>
        </w:trPr>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303,905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320,410</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3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22,016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22,264</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79,331</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83,012</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91,414</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94,945</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45,029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47,266</w:t>
            </w:r>
          </w:p>
        </w:tc>
      </w:tr>
      <w:tr>
        <w:trPr>
          <w:trHeight w:val="230"/>
        </w:trPr>
        <w:tc>
          <w:tcPr>
            <w:tcW w:w="100" w:type="dxa"/>
            <w:vAlign w:val="bottom"/>
          </w:tcPr>
          <w:p>
            <w:pPr>
              <w:spacing w:after="0"/>
              <w:rPr>
                <w:sz w:val="20"/>
                <w:szCs w:val="20"/>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119,765</w:t>
            </w: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122,251</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357,555</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369,738</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-993775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-719455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-161925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3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17,722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17,933</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86,709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91,457</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59,408</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64,987</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30,322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32,684</w:t>
            </w:r>
          </w:p>
        </w:tc>
      </w:tr>
      <w:tr>
        <w:trPr>
          <w:trHeight w:val="230"/>
        </w:trPr>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109,744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113,349</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303,905</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320,410</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-993775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-719455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-162560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Fixed income securities with a fair value of $8,059 at June 30, 2021 and $6,093 at December 31, 2020, were deposited with various state regulatory agencies as required by law. The Company has not pledged any assets to secure any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investment category and duration of the Company’s gross unrealized losses on fixed income securities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2,758</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34,315</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71,581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73,221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9"/>
              </w:rPr>
              <w:t>December 31, 2020</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12,908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17,830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5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credit loss component of the impairment is reflected in net income (loss) as a realized capital loss on investment if the Company does not intend to sell the security, and the remaining portion of the other-than-temporary loss is recognized in other comprehensive income (loss), net of income taxes. If the Company intends to sell the security, or determines that it is more likely than not that it will be required to sell the security prior to recovering its cost or amortized cost basis less any current-period credit losses, the full amount of the other-than-temporary loss is recognized in net income (loss).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did not record any other-than-temporary impairments during the three or six month periods ended June 30, 2021 and 2020.</w:t>
      </w:r>
    </w:p>
    <w:p>
      <w:pPr>
        <w:spacing w:after="0" w:line="2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2021, we held 145 fixed income securities with unrealized losses. As of December 31, 2020, we held 67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consisted of the following:</w:t>
      </w:r>
    </w:p>
    <w:p>
      <w:pPr>
        <w:sectPr>
          <w:pgSz w:w="11900" w:h="16838" w:orient="portrait"/>
          <w:cols w:equalWidth="0" w:num="1">
            <w:col w:w="11240"/>
          </w:cols>
          <w:pgMar w:left="320" w:top="125" w:right="339" w:bottom="1440" w:gutter="0" w:footer="0" w:header="0"/>
        </w:sectPr>
      </w:pPr>
    </w:p>
    <w:p>
      <w:pPr>
        <w:spacing w:after="0" w:line="194"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0" w:lineRule="exact"/>
        <w:rPr>
          <w:sz w:val="20"/>
          <w:szCs w:val="20"/>
          <w:color w:val="auto"/>
        </w:rPr>
      </w:pPr>
    </w:p>
    <w:p>
      <w:pPr>
        <w:ind w:left="5920"/>
        <w:spacing w:after="0"/>
        <w:tabs>
          <w:tab w:leader="none" w:pos="74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6973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0" w:lineRule="exact"/>
        <w:rPr>
          <w:sz w:val="20"/>
          <w:szCs w:val="20"/>
          <w:color w:val="auto"/>
        </w:rPr>
      </w:pPr>
    </w:p>
    <w:p>
      <w:pPr>
        <w:ind w:left="140"/>
        <w:spacing w:after="0"/>
        <w:tabs>
          <w:tab w:leader="none" w:pos="15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43" w:lineRule="exact"/>
        <w:rPr>
          <w:sz w:val="20"/>
          <w:szCs w:val="20"/>
          <w:color w:val="auto"/>
        </w:rPr>
      </w:pPr>
    </w:p>
    <w:p>
      <w:pPr>
        <w:sectPr>
          <w:pgSz w:w="11900" w:h="16838" w:orient="portrait"/>
          <w:cols w:equalWidth="0" w:num="2">
            <w:col w:w="8140" w:space="72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Fixed income securities</w:t>
            </w:r>
          </w:p>
        </w:tc>
        <w:tc>
          <w:tcPr>
            <w:tcW w:w="520" w:type="dxa"/>
            <w:vAlign w:val="bottom"/>
            <w:shd w:val="clear" w:color="auto" w:fill="CCEEFF"/>
          </w:tcPr>
          <w:p>
            <w:pPr>
              <w:jc w:val="right"/>
              <w:ind w:right="33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2,112</w:t>
            </w:r>
          </w:p>
        </w:tc>
        <w:tc>
          <w:tcPr>
            <w:tcW w:w="7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2,281</w:t>
            </w:r>
          </w:p>
        </w:tc>
        <w:tc>
          <w:tcPr>
            <w:tcW w:w="4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4,123</w:t>
            </w:r>
          </w:p>
        </w:tc>
        <w:tc>
          <w:tcPr>
            <w:tcW w:w="5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4,590</w:t>
            </w:r>
          </w:p>
        </w:tc>
        <w:tc>
          <w:tcPr>
            <w:tcW w:w="20" w:type="dxa"/>
            <w:vAlign w:val="bottom"/>
          </w:tcPr>
          <w:p>
            <w:pPr>
              <w:spacing w:after="0"/>
              <w:rPr>
                <w:sz w:val="16"/>
                <w:szCs w:val="16"/>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securities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0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gross investment income</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2,711</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20" w:type="dxa"/>
            <w:vAlign w:val="bottom"/>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Investment expenses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0" w:type="dxa"/>
            <w:vAlign w:val="bottom"/>
          </w:tcPr>
          <w:p>
            <w:pPr>
              <w:spacing w:after="0"/>
              <w:rPr>
                <w:sz w:val="18"/>
                <w:szCs w:val="18"/>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Pr>
          <w:p>
            <w:pPr>
              <w:spacing w:after="0"/>
              <w:rPr>
                <w:sz w:val="19"/>
                <w:szCs w:val="19"/>
                <w:color w:val="auto"/>
              </w:rPr>
            </w:pPr>
          </w:p>
        </w:tc>
      </w:tr>
      <w:tr>
        <w:trPr>
          <w:trHeight w:val="20"/>
        </w:trPr>
        <w:tc>
          <w:tcPr>
            <w:tcW w:w="5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capital gain (loss) on investments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10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3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w:t>
            </w:r>
          </w:p>
        </w:tc>
        <w:tc>
          <w:tcPr>
            <w:tcW w:w="20" w:type="dxa"/>
            <w:vAlign w:val="bottom"/>
            <w:shd w:val="clear" w:color="auto" w:fill="CCEEFF"/>
          </w:tcPr>
          <w:p>
            <w:pPr>
              <w:spacing w:after="0"/>
              <w:rPr>
                <w:sz w:val="18"/>
                <w:szCs w:val="18"/>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5360" w:type="dxa"/>
            <w:vAlign w:val="bottom"/>
          </w:tcPr>
          <w:p>
            <w:pPr>
              <w:ind w:left="360"/>
              <w:spacing w:after="0"/>
              <w:rPr>
                <w:sz w:val="20"/>
                <w:szCs w:val="20"/>
                <w:color w:val="auto"/>
              </w:rPr>
            </w:pPr>
            <w:r>
              <w:rPr>
                <w:rFonts w:ascii="Arial" w:cs="Arial" w:eastAsia="Arial" w:hAnsi="Arial"/>
                <w:sz w:val="18"/>
                <w:szCs w:val="18"/>
                <w:color w:val="auto"/>
              </w:rPr>
              <w:t>Total gross realized gains</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Gross realized losses, excluding other-than-temporary impairment</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losses: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8"/>
                <w:szCs w:val="18"/>
                <w:color w:val="auto"/>
              </w:rPr>
            </w:pPr>
          </w:p>
        </w:tc>
      </w:tr>
      <w:tr>
        <w:trPr>
          <w:trHeight w:val="195"/>
        </w:trPr>
        <w:tc>
          <w:tcPr>
            <w:tcW w:w="536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Total gross realized losses, excluding other-than-temporary</w:t>
            </w:r>
          </w:p>
        </w:tc>
        <w:tc>
          <w:tcPr>
            <w:tcW w:w="8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0"/>
        </w:trPr>
        <w:tc>
          <w:tcPr>
            <w:tcW w:w="5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losses</w:t>
            </w:r>
          </w:p>
        </w:tc>
        <w:tc>
          <w:tcPr>
            <w:tcW w:w="8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20"/>
                <w:szCs w:val="20"/>
                <w:color w:val="auto"/>
              </w:rPr>
            </w:pPr>
          </w:p>
        </w:tc>
      </w:tr>
      <w:tr>
        <w:trPr>
          <w:trHeight w:val="203"/>
        </w:trPr>
        <w:tc>
          <w:tcPr>
            <w:tcW w:w="53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on investments</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w:t>
            </w:r>
          </w:p>
        </w:tc>
        <w:tc>
          <w:tcPr>
            <w:tcW w:w="20" w:type="dxa"/>
            <w:vAlign w:val="bottom"/>
            <w:shd w:val="clear" w:color="auto" w:fill="CCEEFF"/>
          </w:tcPr>
          <w:p>
            <w:pPr>
              <w:spacing w:after="0"/>
              <w:rPr>
                <w:sz w:val="18"/>
                <w:szCs w:val="18"/>
                <w:color w:val="auto"/>
              </w:rPr>
            </w:pPr>
          </w:p>
        </w:tc>
      </w:tr>
      <w:tr>
        <w:trPr>
          <w:trHeight w:val="209"/>
        </w:trPr>
        <w:tc>
          <w:tcPr>
            <w:tcW w:w="53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(5,107)</w:t>
            </w:r>
          </w:p>
        </w:tc>
        <w:tc>
          <w:tcPr>
            <w:tcW w:w="20" w:type="dxa"/>
            <w:vAlign w:val="bottom"/>
            <w:shd w:val="clear" w:color="auto" w:fill="CCEEFF"/>
          </w:tcPr>
          <w:p>
            <w:pPr>
              <w:spacing w:after="0"/>
              <w:rPr>
                <w:sz w:val="18"/>
                <w:szCs w:val="18"/>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5360" w:type="dxa"/>
            <w:vAlign w:val="bottom"/>
          </w:tcPr>
          <w:p>
            <w:pPr>
              <w:ind w:left="360"/>
              <w:spacing w:after="0"/>
              <w:rPr>
                <w:sz w:val="20"/>
                <w:szCs w:val="20"/>
                <w:color w:val="auto"/>
              </w:rPr>
            </w:pPr>
            <w:r>
              <w:rPr>
                <w:rFonts w:ascii="Arial" w:cs="Arial" w:eastAsia="Arial" w:hAnsi="Arial"/>
                <w:sz w:val="18"/>
                <w:szCs w:val="18"/>
                <w:color w:val="auto"/>
              </w:rPr>
              <w:t>Net capital gain (loss) on investments</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11,197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(3,722)</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5360" w:type="dxa"/>
            <w:vAlign w:val="bottom"/>
          </w:tcPr>
          <w:p>
            <w:pPr>
              <w:spacing w:after="0"/>
              <w:rPr>
                <w:sz w:val="24"/>
                <w:szCs w:val="24"/>
                <w:color w:val="auto"/>
              </w:rPr>
            </w:pPr>
          </w:p>
        </w:tc>
        <w:tc>
          <w:tcPr>
            <w:tcW w:w="880" w:type="dxa"/>
            <w:vAlign w:val="bottom"/>
          </w:tcPr>
          <w:p>
            <w:pPr>
              <w:jc w:val="right"/>
              <w:ind w:right="437"/>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536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4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1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June 30, 2021 and December 31, 2020 were fixed income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available-for-sale investments are comprised of a variety of different securities, which are classified into levels based on the valuation technique and inputs used in their valuation. The valuation of money market funds classified as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June 30, 2021 or December 31, 2020.</w:t>
      </w:r>
    </w:p>
    <w:p>
      <w:pPr>
        <w:spacing w:after="0" w:line="17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set forth our assets which are measured at fair value on a recurring basis by the level within the fair value hierarchy in which fair value measurements fall: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160,768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160,768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30,819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30,819</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49,528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369,738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369,738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8,033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16,298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6,841</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17,809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17,809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78,368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42,197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490,303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369,738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r>
      <w:tr>
        <w:trPr>
          <w:trHeight w:val="385"/>
        </w:trPr>
        <w:tc>
          <w:tcPr>
            <w:tcW w:w="45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17</w:t>
            </w: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5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14,383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64,244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128,434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128,434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25,655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320,410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320,410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14,633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6,235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16,145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69,952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65,354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455,716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320,410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June 30, 2021 or December 31, 2020.</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16"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a group, during the six month period ended June 30, 2021, the Company retained the first $10,000 of weather-related losses from catastrophic events and had reinsurance under various reinsurance agreements up to $117,000 in excess of its $10,000 retained risk. During the year ended December 31, 2020, the Company retained the first $10,000 of weather-related losses from catastrophic events and had reinsurance under various reinsurance agreements up to $97,000 in excess of its $10,000 retained risk.</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 June 30, 2021</w:t>
            </w:r>
          </w:p>
        </w:tc>
        <w:tc>
          <w:tcPr>
            <w:tcW w:w="100" w:type="dxa"/>
            <w:vAlign w:val="bottom"/>
          </w:tcPr>
          <w:p>
            <w:pPr>
              <w:spacing w:after="0"/>
              <w:rPr>
                <w:sz w:val="20"/>
                <w:szCs w:val="20"/>
                <w:color w:val="auto"/>
              </w:rPr>
            </w:pPr>
          </w:p>
        </w:tc>
        <w:tc>
          <w:tcPr>
            <w:tcW w:w="35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June 30, 2021</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Premiums Written</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Premiums Earned</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87,059</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(14,294)</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(33,317)</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(21,350)</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102,925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76,281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169,681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139,416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Percentage of assumed earned premium to direct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0"/>
        </w:trPr>
        <w:tc>
          <w:tcPr>
            <w:tcW w:w="3740" w:type="dxa"/>
            <w:vAlign w:val="bottom"/>
          </w:tcPr>
          <w:p>
            <w:pPr>
              <w:ind w:left="180"/>
              <w:spacing w:after="0" w:line="190" w:lineRule="exact"/>
              <w:rPr>
                <w:sz w:val="20"/>
                <w:szCs w:val="20"/>
                <w:color w:val="auto"/>
              </w:rPr>
            </w:pPr>
            <w:r>
              <w:rPr>
                <w:rFonts w:ascii="Arial" w:cs="Arial" w:eastAsia="Arial" w:hAnsi="Arial"/>
                <w:sz w:val="18"/>
                <w:szCs w:val="18"/>
                <w:color w:val="auto"/>
              </w:rPr>
              <w:t>earned premium</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 June 30, 2020</w:t>
            </w:r>
          </w:p>
        </w:tc>
        <w:tc>
          <w:tcPr>
            <w:tcW w:w="100" w:type="dxa"/>
            <w:vAlign w:val="bottom"/>
          </w:tcPr>
          <w:p>
            <w:pPr>
              <w:spacing w:after="0"/>
              <w:rPr>
                <w:sz w:val="20"/>
                <w:szCs w:val="20"/>
                <w:color w:val="auto"/>
              </w:rPr>
            </w:pPr>
          </w:p>
        </w:tc>
        <w:tc>
          <w:tcPr>
            <w:tcW w:w="35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 June 30, 2020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Premiums Written</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Premiums Earned</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Premiums Written</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Premiums Earned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112,759</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82,452</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112,730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82,006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172,132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Percentage of assumed earned premium to direct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40" w:type="dxa"/>
            <w:vAlign w:val="bottom"/>
          </w:tcPr>
          <w:p>
            <w:pPr>
              <w:ind w:left="180"/>
              <w:spacing w:after="0" w:line="190" w:lineRule="exact"/>
              <w:rPr>
                <w:sz w:val="20"/>
                <w:szCs w:val="20"/>
                <w:color w:val="auto"/>
              </w:rPr>
            </w:pPr>
            <w:r>
              <w:rPr>
                <w:rFonts w:ascii="Arial" w:cs="Arial" w:eastAsia="Arial" w:hAnsi="Arial"/>
                <w:sz w:val="18"/>
                <w:szCs w:val="18"/>
                <w:color w:val="auto"/>
              </w:rPr>
              <w:t>earned premium</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60" w:type="dxa"/>
            <w:vAlign w:val="bottom"/>
            <w:gridSpan w:val="8"/>
          </w:tcPr>
          <w:p>
            <w:pPr>
              <w:ind w:left="660"/>
              <w:spacing w:after="0"/>
              <w:rPr>
                <w:sz w:val="20"/>
                <w:szCs w:val="20"/>
                <w:color w:val="auto"/>
              </w:rPr>
            </w:pPr>
            <w:r>
              <w:rPr>
                <w:rFonts w:ascii="Arial" w:cs="Arial" w:eastAsia="Arial" w:hAnsi="Arial"/>
                <w:sz w:val="18"/>
                <w:szCs w:val="18"/>
                <w:color w:val="auto"/>
              </w:rPr>
              <w:t>A reconciliation of direct to net losses and loss adjustment expenses is as follows: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4"/>
                <w:szCs w:val="24"/>
                <w:color w:val="auto"/>
              </w:rPr>
            </w:pPr>
          </w:p>
        </w:tc>
        <w:tc>
          <w:tcPr>
            <w:tcW w:w="35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76,599</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114,177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8"/>
              </w:rPr>
              <w:t>Assumed losses and loss adjustment expenses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8"/>
                <w:szCs w:val="18"/>
                <w:color w:val="auto"/>
              </w:rPr>
              <w:t>Net losses and loss adjustment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62,918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52,364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99,807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82,786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100% of our ceded reinsurance was cancelled as of June 30, 2021 or December 31, 2020, no ceded commissions would need to be returned to the reinsurers. Reinsurance contracts are typically effective from January 1 through December 31 each year.</w:t>
      </w:r>
    </w:p>
    <w:p>
      <w:pPr>
        <w:spacing w:after="0" w:line="11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10"/>
        </w:trPr>
        <w:tc>
          <w:tcPr>
            <w:tcW w:w="54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22,968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19,869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39,162</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33,021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(33,473)</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(24,216)</w:t>
            </w:r>
          </w:p>
        </w:tc>
      </w:tr>
      <w:tr>
        <w:trPr>
          <w:trHeight w:val="20"/>
        </w:trPr>
        <w:tc>
          <w:tcPr>
            <w:tcW w:w="5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540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29,657</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24,204</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29,657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24,204</w:t>
            </w: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in the liability for unpaid losses and loss adjustment expenses is summarized as follows:</w:t>
      </w:r>
    </w:p>
    <w:p>
      <w:pPr>
        <w:spacing w:after="0" w:line="181"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799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7" w:lineRule="exact"/>
        <w:rPr>
          <w:sz w:val="20"/>
          <w:szCs w:val="20"/>
          <w:color w:val="auto"/>
        </w:rPr>
      </w:pPr>
    </w:p>
    <w:p>
      <w:pPr>
        <w:ind w:left="8540"/>
        <w:spacing w:after="0"/>
        <w:tabs>
          <w:tab w:leader="none" w:pos="10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79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58"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105,750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93,250</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4,045</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incurred</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8,568</w:t>
            </w:r>
          </w:p>
        </w:tc>
      </w:tr>
      <w:tr>
        <w:trPr>
          <w:trHeight w:val="209"/>
        </w:trPr>
        <w:tc>
          <w:tcPr>
            <w:tcW w:w="80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102,004</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85,318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(2,197)</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(2,532)</w:t>
            </w:r>
          </w:p>
        </w:tc>
      </w:tr>
      <w:tr>
        <w:trPr>
          <w:trHeight w:val="210"/>
        </w:trPr>
        <w:tc>
          <w:tcPr>
            <w:tcW w:w="80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incurred</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12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paid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73"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40,664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33,194</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28,417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40,362</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69,081</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73,556</w:t>
            </w:r>
          </w:p>
        </w:tc>
        <w:tc>
          <w:tcPr>
            <w:tcW w:w="20" w:type="dxa"/>
            <w:vAlign w:val="bottom"/>
          </w:tcPr>
          <w:p>
            <w:pPr>
              <w:spacing w:after="0"/>
              <w:rPr>
                <w:sz w:val="18"/>
                <w:szCs w:val="18"/>
                <w:color w:val="auto"/>
              </w:rPr>
            </w:pPr>
          </w:p>
        </w:tc>
      </w:tr>
      <w:tr>
        <w:trPr>
          <w:trHeight w:val="627"/>
        </w:trPr>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152,340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116,014</w:t>
            </w:r>
          </w:p>
        </w:tc>
      </w:tr>
      <w:tr>
        <w:trPr>
          <w:trHeight w:val="230"/>
        </w:trPr>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24,574</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9,011</w:t>
            </w:r>
          </w:p>
        </w:tc>
      </w:tr>
      <w:tr>
        <w:trPr>
          <w:trHeight w:val="209"/>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127,766</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107,003</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jc w:val="both"/>
        <w:ind w:right="200" w:firstLine="648"/>
        <w:spacing w:after="0" w:line="259" w:lineRule="auto"/>
        <w:rPr>
          <w:sz w:val="20"/>
          <w:szCs w:val="20"/>
          <w:color w:val="auto"/>
        </w:rPr>
      </w:pPr>
      <w:r>
        <w:rPr>
          <w:rFonts w:ascii="Arial" w:cs="Arial" w:eastAsia="Arial" w:hAnsi="Arial"/>
          <w:sz w:val="18"/>
          <w:szCs w:val="18"/>
          <w:color w:val="auto"/>
        </w:rPr>
        <w:t>During the six months ended June 30, 2021, the Company’s reported incurred losses and LAE included $2,197 of net favorable development on prior accident years, compared to $2,532 of net favorable development on prior accident years during the six months ended June 30, 2020. Increases and decreases are generally the result of ongoing analysis of loss development trends. As additional information becomes known regarding individual claims, original estimates are increased or decreased accordingly.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December 31, 2020</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15,327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15,313</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10-31 years</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data processing equipment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 years</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2,867</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 years</w:t>
            </w:r>
          </w:p>
        </w:tc>
      </w:tr>
      <w:tr>
        <w:trPr>
          <w:trHeight w:val="20"/>
        </w:trPr>
        <w:tc>
          <w:tcPr>
            <w:tcW w:w="4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r>
      <w:tr>
        <w:trPr>
          <w:trHeight w:val="210"/>
        </w:trPr>
        <w:tc>
          <w:tcPr>
            <w:tcW w:w="4220" w:type="dxa"/>
            <w:vAlign w:val="bottom"/>
          </w:tcPr>
          <w:p>
            <w:pPr>
              <w:ind w:left="360"/>
              <w:spacing w:after="0"/>
              <w:rPr>
                <w:sz w:val="20"/>
                <w:szCs w:val="20"/>
                <w:color w:val="auto"/>
              </w:rPr>
            </w:pPr>
            <w:r>
              <w:rPr>
                <w:rFonts w:ascii="Arial" w:cs="Arial" w:eastAsia="Arial" w:hAnsi="Arial"/>
                <w:sz w:val="18"/>
                <w:szCs w:val="18"/>
                <w:color w:val="auto"/>
              </w:rPr>
              <w:t>Gross cost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20,726</w:t>
            </w:r>
          </w:p>
        </w:tc>
        <w:tc>
          <w:tcPr>
            <w:tcW w:w="22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(11,082)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(10,827)</w:t>
            </w:r>
          </w:p>
        </w:tc>
        <w:tc>
          <w:tcPr>
            <w:tcW w:w="226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9,899</w:t>
            </w:r>
          </w:p>
        </w:tc>
        <w:tc>
          <w:tcPr>
            <w:tcW w:w="2260" w:type="dxa"/>
            <w:vAlign w:val="bottom"/>
            <w:shd w:val="clear" w:color="auto" w:fill="CCEEFF"/>
          </w:tcPr>
          <w:p>
            <w:pPr>
              <w:spacing w:after="0"/>
              <w:rPr>
                <w:sz w:val="19"/>
                <w:szCs w:val="19"/>
                <w:color w:val="auto"/>
              </w:rPr>
            </w:pP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Depreciation expense was $171 and $178 for the three months ended June 30, 2021 and 2020, respectively, and $341 and $365 for the six months ended June 30, 2021 and 2020, respectively.</w:t>
      </w:r>
    </w:p>
    <w:p>
      <w:pPr>
        <w:spacing w:after="0" w:line="112" w:lineRule="exact"/>
        <w:rPr>
          <w:sz w:val="20"/>
          <w:szCs w:val="20"/>
          <w:color w:val="auto"/>
        </w:rPr>
      </w:pPr>
    </w:p>
    <w:p>
      <w:pPr>
        <w:ind w:left="660" w:right="8140" w:hanging="652"/>
        <w:spacing w:after="0" w:line="479"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 of the Company’s goodwill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20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4"/>
              </w:rPr>
              <w:t>2,628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6,756</w:t>
            </w:r>
          </w:p>
        </w:tc>
      </w:tr>
      <w:tr>
        <w:trPr>
          <w:trHeight w:val="20"/>
        </w:trPr>
        <w:tc>
          <w:tcPr>
            <w:tcW w:w="5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9,384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9,384</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June 30, 2021</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Amortization</w:t>
            </w:r>
          </w:p>
        </w:tc>
        <w:tc>
          <w:tcPr>
            <w:tcW w:w="3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c>
          <w:tcPr>
            <w:tcW w:w="20" w:type="dxa"/>
            <w:vAlign w:val="bottom"/>
            <w:shd w:val="clear" w:color="auto" w:fill="CCEEFF"/>
          </w:tcPr>
          <w:p>
            <w:pPr>
              <w:spacing w:after="0"/>
              <w:rPr>
                <w:sz w:val="18"/>
                <w:szCs w:val="18"/>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68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8,574</w:t>
            </w:r>
          </w:p>
        </w:tc>
        <w:tc>
          <w:tcPr>
            <w:tcW w:w="20" w:type="dxa"/>
            <w:vAlign w:val="bottom"/>
            <w:shd w:val="clear" w:color="auto" w:fill="CCEEFF"/>
          </w:tcPr>
          <w:p>
            <w:pPr>
              <w:spacing w:after="0"/>
              <w:rPr>
                <w:sz w:val="21"/>
                <w:szCs w:val="21"/>
                <w:color w:val="auto"/>
              </w:rPr>
            </w:pPr>
          </w:p>
        </w:tc>
      </w:tr>
      <w:tr>
        <w:trPr>
          <w:trHeight w:val="385"/>
        </w:trPr>
        <w:tc>
          <w:tcPr>
            <w:tcW w:w="468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83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68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6,328</w:t>
            </w:r>
          </w:p>
        </w:tc>
      </w:tr>
      <w:tr>
        <w:trPr>
          <w:trHeight w:val="20"/>
        </w:trPr>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64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6,910</w:t>
            </w:r>
          </w:p>
        </w:tc>
      </w:tr>
      <w:tr>
        <w:trPr>
          <w:trHeight w:val="216"/>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8,810</w:t>
            </w: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Amortization expense was $118 and $1,829 for the three months ended June 30, 2021 and 2020, respectively, and $236 and $3,711 for the six months ended June 30, 2021 and 2020, respectively.</w:t>
      </w:r>
    </w:p>
    <w:p>
      <w:pPr>
        <w:spacing w:after="0" w:line="15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June 30, 2021, the estimated amortization of other intangible assets with finite lives for the next five years in the period ended December 31, 2025, and thereafter is as follows: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09"/>
        </w:trPr>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8"/>
                <w:szCs w:val="18"/>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intangible assets with finite lives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4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Intercompany Reinsurance Pooling Arrangement</w:t>
      </w:r>
    </w:p>
    <w:p>
      <w:pPr>
        <w:spacing w:after="0" w:line="2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six months ended June 30, 2021 and the year ended December 31, 2020, the pooling share percentages by insurance company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Pool Percentage</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0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21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$395 and $393 during the three months ended June 30, 2021 and 2020, respectively, and $732 and $729 for the six months ended June 30, 2021 and 2020, respectively. Royalty amounts payable of $144 and $113 were accrued as a liability to the NDFB at June 30, 2021 and December 31, 2020,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2020 exceeded the amount of statutory capital and surplus necessary to satisfy regulatory requirements, including the RBC requirements, by a significant margin.</w:t>
      </w:r>
    </w:p>
    <w:p>
      <w:pPr>
        <w:spacing w:after="0" w:line="16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amount available for payment of dividends from Nodak Insurance to NI Holdings during 2021 without the prior approval of the North Dakota Insurance Department is $21,628 based upon the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six months ended June 30, 2021. The Board of Directors of Nodak Insurance declared and paid a $6,000 dividend to NI Holdings during the year ended December 31, 2020.</w:t>
      </w:r>
    </w:p>
    <w:p>
      <w:pPr>
        <w:spacing w:after="0" w:line="16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six months ended June 30, 2021 or the year ended December 31, 2020.</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six months ended June 30, 2021 or the year ended December 31, 2020.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1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tables illustrates the impact of including Battle Creek in our Consolidated Balance Sheets and Statements of Operations prior to intercompany eliminations: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spacing w:after="0"/>
              <w:rPr>
                <w:sz w:val="20"/>
                <w:szCs w:val="20"/>
                <w:color w:val="auto"/>
              </w:rPr>
            </w:pPr>
          </w:p>
        </w:tc>
        <w:tc>
          <w:tcPr>
            <w:tcW w:w="3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5,427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6,055</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5,543</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4,738</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r>
      <w:tr>
        <w:trPr>
          <w:trHeight w:val="257"/>
        </w:trPr>
        <w:tc>
          <w:tcPr>
            <w:tcW w:w="54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Pooling receivable </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2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5,646</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r>
      <w:tr>
        <w:trPr>
          <w:trHeight w:val="20"/>
        </w:trPr>
        <w:tc>
          <w:tcPr>
            <w:tcW w:w="54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4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2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28,768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23,895</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Liabilities:</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57"/>
        </w:trPr>
        <w:tc>
          <w:tcPr>
            <w:tcW w:w="54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2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11,221</w:t>
            </w:r>
          </w:p>
        </w:tc>
      </w:tr>
      <w:tr>
        <w:trPr>
          <w:trHeight w:val="256"/>
        </w:trPr>
        <w:tc>
          <w:tcPr>
            <w:tcW w:w="54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9"/>
                <w:szCs w:val="29"/>
                <w:color w:val="auto"/>
                <w:vertAlign w:val="superscript"/>
              </w:rPr>
              <w:t>(1)</w:t>
            </w:r>
          </w:p>
        </w:tc>
        <w:tc>
          <w:tcPr>
            <w:tcW w:w="2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24,330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19,350</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4,545</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4,545</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3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28,768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23,895</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fully eliminated in consolidation.</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partly eliminated in consolidation.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7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1,832</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 (expense)</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0"/>
        </w:trPr>
        <w:tc>
          <w:tcPr>
            <w:tcW w:w="4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1,848</w:t>
            </w:r>
          </w:p>
        </w:tc>
        <w:tc>
          <w:tcPr>
            <w:tcW w:w="9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3,116</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09"/>
        </w:trPr>
        <w:tc>
          <w:tcPr>
            <w:tcW w:w="4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Expenses: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1,531</w:t>
            </w: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9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1,959</w:t>
            </w:r>
          </w:p>
        </w:tc>
        <w:tc>
          <w:tcPr>
            <w:tcW w:w="9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3,085</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9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0"/>
        </w:trPr>
        <w:tc>
          <w:tcPr>
            <w:tcW w:w="4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r>
      <w:tr>
        <w:trPr>
          <w:trHeight w:val="20"/>
        </w:trPr>
        <w:tc>
          <w:tcPr>
            <w:tcW w:w="4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763" w:gutter="0" w:footer="0" w:header="0"/>
        </w:sect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763"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1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Nodak Insurance sponsors a money purchase plan that covers all eligible employees. Plan costs are funded annually as they are earned. Nodak Insurance reported expenses related to the money purchase plan totaling $270 and $202 during the three months ended June 30, 2021 and 2020, respectively, and $539 and $403 during the six months ended June 30, 2021 and 2020, respectively.</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Nodak Insurance also sponsors a 401(k) plan with an automatic contribution to all eligible employees and a matching contribution for eligible employees of 50% up to 3% of eligible compensation. Primero, Direct Auto, and Westminster also sponsor 401(k) plans. The Company reported expenses related to the 401(k) plans totaling $175 and $162 during the three months ended June 30, 2021 and 2020, respectively, and $347 and $325 during the six months ended June 30, 2021 and 2020, respectively. All fees associated with the plans are deducted from the eligible employee accounts.</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$149 and $14 during the three months ended June 30, 2021 and 2020, respectively, and $567 and $28 during the six months ended June 30, 2021 and 2020, respectively.</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pacing w:after="0" w:line="15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shares purchased by the ESOP Trust in the offering are held in a suspense account as collateral for the ESOP loan.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Direct Auto, and Westminster do not participate in the ESOP. American West and Battle Creek have no employees.</w:t>
      </w:r>
    </w:p>
    <w:p>
      <w:pPr>
        <w:spacing w:after="0" w:line="1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6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recognized compensation expense of $117 and $83 during the three months ended June 30, 2021 and 2020, respectively, related to the ESOP, and $226 and $172 during the six months ended June 30, 2021 and 2020,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June 30, 2021 and December 31, 2020, the Company had released and allocated 97,260 ESOP shares to participants, with a remainder of</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142,740 ESOP shares in suspense at June 30, 2021 and December 31, 2020. Using the Company’s quarter-end market price of $19.01 per share, the fair value of the unearned ESOP shares was $2,713 at June 30, 2021.</w:t>
      </w:r>
    </w:p>
    <w:p>
      <w:pPr>
        <w:spacing w:after="0" w:line="12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with a floor rate of 3.25%. There were no outstanding amounts during the six months ended June 30, 2021, or the year ended December 31, 2020. This line of credit is scheduled to expire on January 30, 2022.</w:t>
      </w:r>
    </w:p>
    <w:p>
      <w:pPr>
        <w:spacing w:after="0" w:line="12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27, 2020, the Coronavirus Aid, Relief, and Economic Security Act (the “CARES” Act) was enacted, implementing numerous changes to tax law including temporary changes regarding the prior and future utilization of net operating losses, temporary changes to the prior and future limitations on interest deductions, and the creation of certain refundable employee retention credits. There has been no impact to the Company’s income taxes due to this legislation.</w:t>
      </w:r>
    </w:p>
    <w:p>
      <w:pPr>
        <w:spacing w:after="0" w:line="173"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At June 30, 2021 and December 31, 2020, we had no unrecognized tax benefits, no accrued interest and penalties, and no significant uncertain tax positions. No interest and penalties were recognized during the three or six month periods ended June 30, 2021 or 2020.</w:t>
      </w:r>
    </w:p>
    <w:p>
      <w:pPr>
        <w:spacing w:after="0" w:line="13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June 30, 2021 and December 31, 2020, the Company, other than Battle Creek and Westminster, had no income tax related carryovers for net operating losses, alternative minimum tax credits, or capital losses.</w:t>
      </w:r>
    </w:p>
    <w:p>
      <w:pPr>
        <w:spacing w:after="0" w:line="14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Battle Creek, which files its income tax returns on a stand-alone basis, had net operating loss carryovers of $3,390 at December 31, 2020. The net operating loss carryforwards expire beginning in 2021 through 2030 due to limitations on the use of these net operating loss carryforwards.</w:t>
      </w:r>
    </w:p>
    <w:p>
      <w:pPr>
        <w:spacing w:after="0" w:line="13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net operating loss carryovers of $2,559 at December 31, 2020. The net operating loss carryforwards expire beginning in 2021 through 2023 due to limitations on the use of these net operating loss carryforwards.</w:t>
      </w:r>
    </w:p>
    <w:p>
      <w:pPr>
        <w:spacing w:after="0" w:line="12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2029. Our Nodak Insurance subsidiary leases a facility in Fargo, North Dakota under a non-cancellable operating lease expiring in 2024. There were expenses of $63 and $94 related to these leases during the three months ended June 30, 2021 and 2020, respectively, and $124 and $183 related to these leases during the six months ended June 30, 2021 and 2020, respectively.</w:t>
      </w:r>
    </w:p>
    <w:p>
      <w:pPr>
        <w:spacing w:after="0" w:line="16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2021, we have minimum future commitments under non-cancellable leases for the next five years in the period ending December 31, 2025, and thereafter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Estimated Future</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Minimum</w:t>
            </w:r>
          </w:p>
        </w:tc>
        <w:tc>
          <w:tcPr>
            <w:tcW w:w="1660" w:type="dxa"/>
            <w:vAlign w:val="bottom"/>
          </w:tcPr>
          <w:p>
            <w:pPr>
              <w:spacing w:after="0"/>
              <w:rPr>
                <w:sz w:val="18"/>
                <w:szCs w:val="18"/>
                <w:color w:val="auto"/>
              </w:rPr>
            </w:pPr>
          </w:p>
        </w:tc>
      </w:tr>
      <w:tr>
        <w:trPr>
          <w:trHeight w:val="234"/>
        </w:trPr>
        <w:tc>
          <w:tcPr>
            <w:tcW w:w="16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Commitments</w:t>
            </w:r>
          </w:p>
        </w:tc>
        <w:tc>
          <w:tcPr>
            <w:tcW w:w="1660" w:type="dxa"/>
            <w:vAlign w:val="bottom"/>
          </w:tcPr>
          <w:p>
            <w:pPr>
              <w:spacing w:after="0"/>
              <w:rPr>
                <w:sz w:val="20"/>
                <w:szCs w:val="20"/>
                <w:color w:val="auto"/>
              </w:rPr>
            </w:pPr>
          </w:p>
        </w:tc>
      </w:tr>
      <w:tr>
        <w:trPr>
          <w:trHeight w:val="210"/>
        </w:trPr>
        <w:tc>
          <w:tcPr>
            <w:tcW w:w="168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66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1,066</w:t>
            </w:r>
          </w:p>
        </w:tc>
        <w:tc>
          <w:tcPr>
            <w:tcW w:w="1660" w:type="dxa"/>
            <w:vAlign w:val="bottom"/>
          </w:tcPr>
          <w:p>
            <w:pPr>
              <w:spacing w:after="0"/>
              <w:rPr>
                <w:sz w:val="20"/>
                <w:szCs w:val="20"/>
                <w:color w:val="auto"/>
              </w:rPr>
            </w:pPr>
          </w:p>
        </w:tc>
      </w:tr>
      <w:tr>
        <w:trPr>
          <w:trHeight w:val="377"/>
        </w:trPr>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60" w:type="dxa"/>
            <w:vAlign w:val="bottom"/>
          </w:tcPr>
          <w:p>
            <w:pPr>
              <w:jc w:val="right"/>
              <w:ind w:right="770"/>
              <w:spacing w:after="0"/>
              <w:rPr>
                <w:sz w:val="20"/>
                <w:szCs w:val="20"/>
                <w:color w:val="auto"/>
              </w:rPr>
            </w:pPr>
            <w:r>
              <w:rPr>
                <w:rFonts w:ascii="Arial" w:cs="Arial" w:eastAsia="Arial" w:hAnsi="Arial"/>
                <w:sz w:val="18"/>
                <w:szCs w:val="18"/>
                <w:color w:val="auto"/>
              </w:rPr>
              <w:t>26</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1680" w:type="dxa"/>
            <w:vAlign w:val="bottom"/>
            <w:tcBorders>
              <w:bottom w:val="single" w:sz="8" w:color="EEEEEE"/>
            </w:tcBorders>
          </w:tcPr>
          <w:p>
            <w:pPr>
              <w:spacing w:after="0"/>
              <w:rPr>
                <w:sz w:val="17"/>
                <w:szCs w:val="17"/>
                <w:color w:val="auto"/>
              </w:rPr>
            </w:pPr>
          </w:p>
        </w:tc>
        <w:tc>
          <w:tcPr>
            <w:tcW w:w="294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125" w:right="339" w:bottom="1440" w:gutter="0" w:footer="0" w:header="0"/>
        </w:sectPr>
      </w:pPr>
    </w:p>
    <w:p>
      <w:pPr>
        <w:spacing w:after="0" w:line="11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Changes in the number of common stock shares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2700"/>
        <w:spacing w:after="0" w:line="328" w:lineRule="auto"/>
        <w:rPr>
          <w:sz w:val="20"/>
          <w:szCs w:val="20"/>
          <w:color w:val="auto"/>
        </w:rPr>
      </w:pPr>
      <w:r>
        <w:rPr>
          <w:rFonts w:ascii="Arial" w:cs="Arial" w:eastAsia="Arial" w:hAnsi="Arial"/>
          <w:sz w:val="15"/>
          <w:szCs w:val="15"/>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17145</wp:posOffset>
            </wp:positionV>
            <wp:extent cx="19799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14605</wp:posOffset>
            </wp:positionV>
            <wp:extent cx="1979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7"/>
          <w:szCs w:val="17"/>
          <w:color w:val="auto"/>
        </w:rPr>
        <w:t>21,318,638</w:t>
      </w:r>
      <w:r>
        <w:rPr>
          <w:sz w:val="20"/>
          <w:szCs w:val="20"/>
          <w:color w:val="auto"/>
        </w:rPr>
        <w:tab/>
      </w:r>
      <w:r>
        <w:rPr>
          <w:rFonts w:ascii="Arial" w:cs="Arial" w:eastAsia="Arial" w:hAnsi="Arial"/>
          <w:sz w:val="17"/>
          <w:szCs w:val="17"/>
          <w:color w:val="auto"/>
        </w:rPr>
        <w:t>22,119,380</w:t>
      </w:r>
    </w:p>
    <w:p>
      <w:pPr>
        <w:spacing w:after="0" w:line="34" w:lineRule="exact"/>
        <w:rPr>
          <w:sz w:val="20"/>
          <w:szCs w:val="20"/>
          <w:color w:val="auto"/>
        </w:rPr>
      </w:pPr>
    </w:p>
    <w:p>
      <w:pPr>
        <w:jc w:val="both"/>
        <w:ind w:left="320"/>
        <w:spacing w:after="0"/>
        <w:tabs>
          <w:tab w:leader="none" w:pos="1960" w:val="left"/>
        </w:tabs>
        <w:rPr>
          <w:sz w:val="20"/>
          <w:szCs w:val="20"/>
          <w:color w:val="auto"/>
        </w:rPr>
      </w:pPr>
      <w:r>
        <w:rPr>
          <w:rFonts w:ascii="Arial" w:cs="Arial" w:eastAsia="Arial" w:hAnsi="Arial"/>
          <w:sz w:val="18"/>
          <w:szCs w:val="18"/>
          <w:color w:val="auto"/>
        </w:rPr>
        <w:t>(118,531)</w:t>
      </w:r>
      <w:r>
        <w:rPr>
          <w:sz w:val="20"/>
          <w:szCs w:val="20"/>
          <w:color w:val="auto"/>
        </w:rPr>
        <w:tab/>
      </w:r>
      <w:r>
        <w:rPr>
          <w:rFonts w:ascii="Arial" w:cs="Arial" w:eastAsia="Arial" w:hAnsi="Arial"/>
          <w:sz w:val="18"/>
          <w:szCs w:val="18"/>
          <w:color w:val="auto"/>
        </w:rPr>
        <w:t>(519,598)</w:t>
      </w:r>
    </w:p>
    <w:p>
      <w:pPr>
        <w:spacing w:after="0" w:line="9"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8"/>
          <w:szCs w:val="18"/>
          <w:color w:val="auto"/>
        </w:rPr>
        <w:t>102,060</w:t>
      </w:r>
      <w:r>
        <w:rPr>
          <w:sz w:val="20"/>
          <w:szCs w:val="20"/>
          <w:color w:val="auto"/>
        </w:rPr>
        <w:tab/>
      </w:r>
      <w:r>
        <w:rPr>
          <w:rFonts w:ascii="Arial" w:cs="Arial" w:eastAsia="Arial" w:hAnsi="Arial"/>
          <w:sz w:val="18"/>
          <w:szCs w:val="18"/>
          <w:color w:val="auto"/>
        </w:rPr>
        <w:t>31,442</w:t>
      </w:r>
    </w:p>
    <w:p>
      <w:pPr>
        <w:spacing w:after="0" w:line="9"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7"/>
          <w:szCs w:val="17"/>
          <w:color w:val="auto"/>
        </w:rPr>
        <w:t>21,302,167</w:t>
      </w:r>
      <w:r>
        <w:rPr>
          <w:sz w:val="20"/>
          <w:szCs w:val="20"/>
          <w:color w:val="auto"/>
        </w:rPr>
        <w:tab/>
      </w:r>
      <w:r>
        <w:rPr>
          <w:rFonts w:ascii="Arial" w:cs="Arial" w:eastAsia="Arial" w:hAnsi="Arial"/>
          <w:sz w:val="17"/>
          <w:szCs w:val="17"/>
          <w:color w:val="auto"/>
        </w:rPr>
        <w:t>21,631,224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21590</wp:posOffset>
            </wp:positionV>
            <wp:extent cx="197993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79930" cy="2540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780" w:space="720"/>
            <w:col w:w="2740"/>
          </w:cols>
          <w:pgMar w:left="320" w:top="125" w:right="339" w:bottom="1440" w:gutter="0" w:footer="0" w:header="0"/>
          <w:type w:val="continuous"/>
        </w:sectPr>
      </w:pPr>
    </w:p>
    <w:p>
      <w:pPr>
        <w:spacing w:after="0" w:line="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6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 During the six months ended June 30, 2021, we completed the repurchase of 118,531 shares of our common stock for $2,266.</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Sheets.</w:t>
      </w:r>
    </w:p>
    <w:p>
      <w:pPr>
        <w:spacing w:after="0" w:line="16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1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4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5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total aggregate number of shares of common stock that awards may be issued under all awards made under the Plan shall not exceed 1,000,000 shares of common stock,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1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and unearned restricted stock units is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RSUs earned during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June 30, 2021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48"/>
        </w:trPr>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96,540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r>
      <w:tr>
        <w:trPr>
          <w:trHeight w:val="230"/>
        </w:trPr>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(46,760)</w:t>
            </w:r>
          </w:p>
        </w:tc>
        <w:tc>
          <w:tcPr>
            <w:tcW w:w="1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r>
      <w:tr>
        <w:trPr>
          <w:trHeight w:val="209"/>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115,780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411"/>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58,700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18.76</w:t>
            </w:r>
          </w:p>
        </w:tc>
      </w:tr>
      <w:tr>
        <w:trPr>
          <w:trHeight w:val="230"/>
        </w:trPr>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(60,720)</w:t>
            </w:r>
          </w:p>
        </w:tc>
        <w:tc>
          <w:tcPr>
            <w:tcW w:w="1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15.73</w:t>
            </w: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113,760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58" w:lineRule="exact"/>
        <w:rPr>
          <w:sz w:val="20"/>
          <w:szCs w:val="20"/>
          <w:color w:val="auto"/>
        </w:rPr>
      </w:pPr>
    </w:p>
    <w:p>
      <w:pPr>
        <w:sectPr>
          <w:pgSz w:w="11900" w:h="16838" w:orient="portrait"/>
          <w:cols w:equalWidth="0" w:num="2">
            <w:col w:w="7500" w:space="720"/>
            <w:col w:w="3020"/>
          </w:cols>
          <w:pgMar w:left="320" w:top="125" w:right="3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4"/>
              </w:rPr>
              <w:t>Three Months Ended June</w:t>
            </w:r>
          </w:p>
        </w:tc>
        <w:tc>
          <w:tcPr>
            <w:tcW w:w="80" w:type="dxa"/>
            <w:vAlign w:val="bottom"/>
          </w:tcPr>
          <w:p>
            <w:pPr>
              <w:spacing w:after="0"/>
              <w:rPr>
                <w:sz w:val="18"/>
                <w:szCs w:val="18"/>
                <w:color w:val="auto"/>
              </w:rPr>
            </w:pPr>
          </w:p>
        </w:tc>
        <w:tc>
          <w:tcPr>
            <w:tcW w:w="20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3"/>
              </w:rPr>
              <w:t>Six Months Ended June</w:t>
            </w:r>
          </w:p>
        </w:tc>
      </w:tr>
      <w:tr>
        <w:trPr>
          <w:trHeight w:val="234"/>
        </w:trPr>
        <w:tc>
          <w:tcPr>
            <w:tcW w:w="5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8"/>
                <w:szCs w:val="18"/>
                <w:b w:val="1"/>
                <w:bCs w:val="1"/>
                <w:color w:val="auto"/>
              </w:rPr>
              <w:t>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Pr>
          <w:p>
            <w:pPr>
              <w:spacing w:after="0"/>
              <w:rPr>
                <w:sz w:val="18"/>
                <w:szCs w:val="18"/>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181</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June 30, 2021, there was $1,166 of unrecognized compensation cost related to outstanding RSUs. That cost is expected to be recognized over a weighted-average period of 2.08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21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The current cost estimate assumes that the cumulative growth targets will be achieved or exceeded.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NI Holdings, Inc.</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23"/>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6"/>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outstanding at January 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PSUs granted during 2020 (at target)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outstanding at December 31, 2020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r>
      <w:tr>
        <w:trPr>
          <w:trHeight w:val="20"/>
        </w:trPr>
        <w:tc>
          <w:tcPr>
            <w:tcW w:w="1280" w:type="dxa"/>
            <w:vAlign w:val="bottom"/>
            <w:shd w:val="clear" w:color="auto" w:fill="CCEEFF"/>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PSUs granted during 2021 (at target)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PSUs earned during 2021</w:t>
      </w:r>
    </w:p>
    <w:p>
      <w:pPr>
        <w:ind w:left="180"/>
        <w:spacing w:after="0" w:line="201" w:lineRule="auto"/>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Forfeitures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at June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64,600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(70,363)</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42"/>
        </w:trPr>
        <w:tc>
          <w:tcPr>
            <w:tcW w:w="1220" w:type="dxa"/>
            <w:vAlign w:val="bottom"/>
          </w:tcPr>
          <w:p>
            <w:pPr>
              <w:jc w:val="right"/>
              <w:spacing w:after="0"/>
              <w:rPr>
                <w:sz w:val="20"/>
                <w:szCs w:val="20"/>
                <w:color w:val="auto"/>
              </w:rPr>
            </w:pPr>
            <w:r>
              <w:rPr>
                <w:rFonts w:ascii="Arial" w:cs="Arial" w:eastAsia="Arial" w:hAnsi="Arial"/>
                <w:sz w:val="18"/>
                <w:szCs w:val="18"/>
                <w:color w:val="auto"/>
              </w:rPr>
              <w:t>24,300</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(2,537)</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09"/>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190,600</w:t>
            </w:r>
          </w:p>
        </w:tc>
        <w:tc>
          <w:tcPr>
            <w:tcW w:w="140" w:type="dxa"/>
            <w:vAlign w:val="bottom"/>
          </w:tcPr>
          <w:p>
            <w:pPr>
              <w:spacing w:after="0"/>
              <w:rPr>
                <w:sz w:val="18"/>
                <w:szCs w:val="18"/>
                <w:color w:val="auto"/>
              </w:rPr>
            </w:pP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-744855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-471170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-162560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340"/>
          </w:cols>
          <w:pgMar w:left="320" w:top="108" w:right="339" w:bottom="1440" w:gutter="0" w:footer="0" w:header="0"/>
          <w:type w:val="continuous"/>
        </w:sectPr>
      </w:pPr>
    </w:p>
    <w:p>
      <w:pPr>
        <w:spacing w:after="0" w:line="29" w:lineRule="exact"/>
        <w:rPr>
          <w:sz w:val="20"/>
          <w:szCs w:val="20"/>
          <w:color w:val="auto"/>
        </w:rPr>
      </w:pPr>
    </w:p>
    <w:p>
      <w:pPr>
        <w:ind w:left="660" w:right="2660" w:hanging="652"/>
        <w:spacing w:after="0" w:line="391" w:lineRule="auto"/>
        <w:tabs>
          <w:tab w:leader="none" w:pos="232" w:val="left"/>
        </w:tabs>
        <w:numPr>
          <w:ilvl w:val="0"/>
          <w:numId w:val="26"/>
        </w:numPr>
        <w:rPr>
          <w:rFonts w:ascii="Arial" w:cs="Arial" w:eastAsia="Arial" w:hAnsi="Arial"/>
          <w:sz w:val="27"/>
          <w:szCs w:val="27"/>
          <w:color w:val="auto"/>
          <w:vertAlign w:val="superscript"/>
        </w:rPr>
      </w:pPr>
      <w:r>
        <w:rPr>
          <w:rFonts w:ascii="Arial" w:cs="Arial" w:eastAsia="Arial" w:hAnsi="Arial"/>
          <w:sz w:val="16"/>
          <w:szCs w:val="16"/>
          <w:color w:val="auto"/>
        </w:rPr>
        <w:t>Represents the change in PSUs issued based upon the attainment of performance goals established by the Company. The following table shows the impact of PSU activity to the Company’s financial results:</w:t>
      </w:r>
    </w:p>
    <w:p>
      <w:pPr>
        <w:sectPr>
          <w:pgSz w:w="11900" w:h="16838" w:orient="portrait"/>
          <w:cols w:equalWidth="0" w:num="1">
            <w:col w:w="11240"/>
          </w:cols>
          <w:pgMar w:left="320" w:top="108" w:right="339" w:bottom="1440" w:gutter="0" w:footer="0" w:header="0"/>
          <w:type w:val="continuous"/>
        </w:sectPr>
      </w:pPr>
    </w:p>
    <w:p>
      <w:pPr>
        <w:jc w:val="center"/>
        <w:ind w:left="56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31750</wp:posOffset>
            </wp:positionV>
            <wp:extent cx="18345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0" w:lineRule="exact"/>
        <w:rPr>
          <w:sz w:val="20"/>
          <w:szCs w:val="20"/>
          <w:color w:val="auto"/>
        </w:rPr>
      </w:pPr>
    </w:p>
    <w:p>
      <w:pPr>
        <w:ind w:left="5880"/>
        <w:spacing w:after="0"/>
        <w:tabs>
          <w:tab w:leader="none" w:pos="74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31750</wp:posOffset>
            </wp:positionV>
            <wp:extent cx="16973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5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43" w:lineRule="exact"/>
        <w:rPr>
          <w:sz w:val="20"/>
          <w:szCs w:val="20"/>
          <w:color w:val="auto"/>
        </w:rPr>
      </w:pPr>
    </w:p>
    <w:p>
      <w:pPr>
        <w:sectPr>
          <w:pgSz w:w="11900" w:h="16838" w:orient="portrait"/>
          <w:cols w:equalWidth="0" w:num="2">
            <w:col w:w="8060" w:space="720"/>
            <w:col w:w="2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5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PSU compensation expense</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287</w:t>
            </w:r>
          </w:p>
        </w:tc>
        <w:tc>
          <w:tcPr>
            <w:tcW w:w="580" w:type="dxa"/>
            <w:vAlign w:val="bottom"/>
            <w:shd w:val="clear" w:color="auto" w:fill="CCEEFF"/>
          </w:tcPr>
          <w:p>
            <w:pPr>
              <w:jc w:val="right"/>
              <w:ind w:right="39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571</w:t>
            </w:r>
          </w:p>
        </w:tc>
        <w:tc>
          <w:tcPr>
            <w:tcW w:w="5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564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Income tax benefit</w:t>
            </w:r>
          </w:p>
        </w:tc>
        <w:tc>
          <w:tcPr>
            <w:tcW w:w="5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there was $1,724 of unrecognized compensation cost related to outstanding PSUs. That cost is expected to be recognized over a weighted-average period of 2.06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 and six month periods ended June 30, 2021 and 2020. For presentation in these tables, “LAE” refers to loss adjustment expenses.</w:t>
      </w:r>
    </w:p>
    <w:p>
      <w:pPr>
        <w:spacing w:after="0" w:line="17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ratios presented in these tables are non-GAAP financial measures under SEC rules and regulations. While these ratios are used widely in the property and casualty insurance industry, such non-GAAP ratios may not be comparable to similarly-named measures reported by other companies.</w:t>
      </w:r>
    </w:p>
    <w:p>
      <w:pPr>
        <w:spacing w:after="0" w:line="9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3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(loss) on investments,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10"/>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w w:val="96"/>
              </w:rPr>
              <w:t>Three Months Ended June 30, 2021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87,059</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2,084</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3,516</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(14,294)</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18,068</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14,898</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18,373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14,020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76,281</w:t>
            </w: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15,094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11,490</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21,803</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8,494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76,599</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1,960</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(12,994)</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(15,641)</w:t>
            </w: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14,905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62,918</w:t>
            </w: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13,363</w:t>
            </w: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23,589</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(2,410)</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(10,226)</w:t>
            </w: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attributable to NI</w:t>
      </w:r>
    </w:p>
    <w:p>
      <w:pPr>
        <w:ind w:left="360"/>
        <w:spacing w:after="0" w:line="213" w:lineRule="auto"/>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601"/>
        <w:spacing w:after="0"/>
        <w:rPr>
          <w:sz w:val="20"/>
          <w:szCs w:val="20"/>
          <w:color w:val="auto"/>
        </w:rPr>
      </w:pPr>
      <w:r>
        <w:rPr>
          <w:rFonts w:ascii="Arial" w:cs="Arial" w:eastAsia="Arial" w:hAnsi="Arial"/>
          <w:sz w:val="18"/>
          <w:szCs w:val="18"/>
          <w:color w:val="auto"/>
        </w:rPr>
        <w:t>1,710</w:t>
      </w:r>
    </w:p>
    <w:p>
      <w:pPr>
        <w:spacing w:after="0" w:line="9" w:lineRule="exact"/>
        <w:rPr>
          <w:sz w:val="20"/>
          <w:szCs w:val="20"/>
          <w:color w:val="auto"/>
        </w:rPr>
      </w:pPr>
    </w:p>
    <w:p>
      <w:pPr>
        <w:ind w:left="601"/>
        <w:spacing w:after="0"/>
        <w:rPr>
          <w:sz w:val="20"/>
          <w:szCs w:val="20"/>
          <w:color w:val="auto"/>
        </w:rPr>
      </w:pPr>
      <w:r>
        <w:rPr>
          <w:rFonts w:ascii="Arial" w:cs="Arial" w:eastAsia="Arial" w:hAnsi="Arial"/>
          <w:sz w:val="18"/>
          <w:szCs w:val="18"/>
          <w:color w:val="auto"/>
        </w:rPr>
        <w:t>4,701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(3,295)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(2,734)</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(90)</w:t>
      </w:r>
    </w:p>
    <w:p>
      <w:pPr>
        <w:spacing w:after="0" w:line="198" w:lineRule="exact"/>
        <w:rPr>
          <w:sz w:val="20"/>
          <w:szCs w:val="20"/>
          <w:color w:val="auto"/>
        </w:rPr>
      </w:pPr>
    </w:p>
    <w:p>
      <w:pPr>
        <w:ind w:left="541" w:hanging="541"/>
        <w:spacing w:after="0"/>
        <w:tabs>
          <w:tab w:leader="none" w:pos="541" w:val="left"/>
        </w:tabs>
        <w:numPr>
          <w:ilvl w:val="0"/>
          <w:numId w:val="28"/>
        </w:numPr>
        <w:rPr>
          <w:rFonts w:ascii="Arial" w:cs="Arial" w:eastAsia="Arial" w:hAnsi="Arial"/>
          <w:sz w:val="16"/>
          <w:szCs w:val="16"/>
          <w:color w:val="auto"/>
        </w:rPr>
      </w:pPr>
      <w:r>
        <w:rPr>
          <w:rFonts w:ascii="Arial" w:cs="Arial" w:eastAsia="Arial" w:hAnsi="Arial"/>
          <w:sz w:val="16"/>
          <w:szCs w:val="16"/>
          <w:color w:val="auto"/>
        </w:rPr>
        <w:t>(2,644)</w:t>
      </w:r>
    </w:p>
    <w:p>
      <w:pPr>
        <w:spacing w:after="0" w:line="46" w:lineRule="exact"/>
        <w:rPr>
          <w:sz w:val="20"/>
          <w:szCs w:val="20"/>
          <w:color w:val="auto"/>
        </w:rPr>
      </w:pPr>
    </w:p>
    <w:p>
      <w:pPr>
        <w:sectPr>
          <w:pgSz w:w="11900" w:h="16838" w:orient="portrait"/>
          <w:cols w:equalWidth="0" w:num="2">
            <w:col w:w="9399" w:space="720"/>
            <w:col w:w="1121"/>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2021: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20,100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30,438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14,048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84,463</w:t>
            </w: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6,548</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6,368</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9,069</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6,763</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29,657</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24,574</w:t>
            </w:r>
          </w:p>
        </w:tc>
        <w:tc>
          <w:tcPr>
            <w:tcW w:w="20" w:type="dxa"/>
            <w:vAlign w:val="bottom"/>
            <w:shd w:val="clear" w:color="auto" w:fill="CCEEFF"/>
          </w:tcPr>
          <w:p>
            <w:pPr>
              <w:spacing w:after="0"/>
              <w:rPr>
                <w:sz w:val="18"/>
                <w:szCs w:val="18"/>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17,191</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17,191</w:t>
            </w:r>
          </w:p>
        </w:tc>
        <w:tc>
          <w:tcPr>
            <w:tcW w:w="20" w:type="dxa"/>
            <w:vAlign w:val="bottom"/>
          </w:tcPr>
          <w:p>
            <w:pPr>
              <w:spacing w:after="0"/>
              <w:rPr>
                <w:sz w:val="20"/>
                <w:szCs w:val="20"/>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15,123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26,161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43,727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23,638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26,812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11,163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152,340</w:t>
            </w:r>
          </w:p>
        </w:tc>
        <w:tc>
          <w:tcPr>
            <w:tcW w:w="20" w:type="dxa"/>
            <w:vAlign w:val="bottom"/>
            <w:shd w:val="clear" w:color="auto" w:fill="CCEEFF"/>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30,518</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19,968</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43,229</w:t>
            </w: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27,615</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37,047</w:t>
            </w:r>
          </w:p>
        </w:tc>
        <w:tc>
          <w:tcPr>
            <w:tcW w:w="4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161,592</w:t>
            </w:r>
          </w:p>
        </w:tc>
        <w:tc>
          <w:tcPr>
            <w:tcW w:w="20" w:type="dxa"/>
            <w:vAlign w:val="bottom"/>
          </w:tcPr>
          <w:p>
            <w:pPr>
              <w:spacing w:after="0"/>
              <w:rPr>
                <w:sz w:val="20"/>
                <w:szCs w:val="20"/>
                <w:color w:val="auto"/>
              </w:rPr>
            </w:pPr>
          </w:p>
        </w:tc>
      </w:tr>
      <w:tr>
        <w:trPr>
          <w:trHeight w:val="377"/>
        </w:trPr>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3"/>
          </w:tcPr>
          <w:p>
            <w:pPr>
              <w:jc w:val="center"/>
              <w:ind w:left="3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10"/>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w w:val="96"/>
              </w:rPr>
              <w:t>Three Months Ended June 30,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82,452</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1,935</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2,683</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(3,129)</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17,386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13,134</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23,552</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8,341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82,006</w:t>
            </w: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8,624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20,247</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59,375</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(7,805)</w:t>
            </w: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19,107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52,364</w:t>
            </w: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8,762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29,642</w:t>
            </w: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19,625</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3,146</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10,017</w:t>
            </w: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119"/>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jc w:val="right"/>
        <w:ind w:right="7179"/>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8"/>
          <w:szCs w:val="18"/>
          <w:color w:val="auto"/>
        </w:rPr>
        <w:t>2,018</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11,197</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23,678</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4,911</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18,767</w:t>
      </w:r>
    </w:p>
    <w:p>
      <w:pPr>
        <w:spacing w:after="0" w:line="21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34</w:t>
      </w:r>
    </w:p>
    <w:p>
      <w:pPr>
        <w:spacing w:after="0" w:line="198" w:lineRule="exact"/>
        <w:rPr>
          <w:sz w:val="20"/>
          <w:szCs w:val="20"/>
          <w:color w:val="auto"/>
        </w:rPr>
      </w:pPr>
    </w:p>
    <w:p>
      <w:pPr>
        <w:ind w:left="501" w:hanging="501"/>
        <w:spacing w:after="0"/>
        <w:tabs>
          <w:tab w:leader="none" w:pos="5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18,733</w:t>
      </w:r>
    </w:p>
    <w:p>
      <w:pPr>
        <w:spacing w:after="0" w:line="47" w:lineRule="exact"/>
        <w:rPr>
          <w:sz w:val="20"/>
          <w:szCs w:val="20"/>
          <w:color w:val="auto"/>
        </w:rPr>
      </w:pPr>
    </w:p>
    <w:p>
      <w:pPr>
        <w:sectPr>
          <w:pgSz w:w="11900" w:h="16838" w:orient="portrait"/>
          <w:cols w:equalWidth="0" w:num="2">
            <w:col w:w="9399" w:space="720"/>
            <w:col w:w="1121"/>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19,825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7,643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37,864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88,336</w:t>
            </w: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5,804</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4,968</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8,062</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1,295</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3,607</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24,204</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9,011</w:t>
            </w:r>
          </w:p>
        </w:tc>
        <w:tc>
          <w:tcPr>
            <w:tcW w:w="20" w:type="dxa"/>
            <w:vAlign w:val="bottom"/>
            <w:shd w:val="clear" w:color="auto" w:fill="CCEEFF"/>
          </w:tcPr>
          <w:p>
            <w:pPr>
              <w:spacing w:after="0"/>
              <w:rPr>
                <w:sz w:val="18"/>
                <w:szCs w:val="18"/>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12,294</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12,294</w:t>
            </w:r>
          </w:p>
        </w:tc>
        <w:tc>
          <w:tcPr>
            <w:tcW w:w="20" w:type="dxa"/>
            <w:vAlign w:val="bottom"/>
          </w:tcPr>
          <w:p>
            <w:pPr>
              <w:spacing w:after="0"/>
              <w:rPr>
                <w:sz w:val="20"/>
                <w:szCs w:val="20"/>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16,600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19,485</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19,370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42,830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11,217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13,710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8,728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116,014</w:t>
            </w:r>
          </w:p>
        </w:tc>
        <w:tc>
          <w:tcPr>
            <w:tcW w:w="20" w:type="dxa"/>
            <w:vAlign w:val="bottom"/>
            <w:shd w:val="clear" w:color="auto" w:fill="CCEEFF"/>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30,150</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17,317</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42,636</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19,714</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24,465</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2,930</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137,212</w:t>
            </w:r>
          </w:p>
        </w:tc>
        <w:tc>
          <w:tcPr>
            <w:tcW w:w="20" w:type="dxa"/>
            <w:vAlign w:val="bottom"/>
          </w:tcPr>
          <w:p>
            <w:pPr>
              <w:spacing w:after="0"/>
              <w:rPr>
                <w:sz w:val="20"/>
                <w:szCs w:val="20"/>
                <w:color w:val="auto"/>
              </w:rPr>
            </w:pPr>
          </w:p>
        </w:tc>
      </w:tr>
      <w:tr>
        <w:trPr>
          <w:trHeight w:val="377"/>
        </w:trPr>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13"/>
          </w:tcPr>
          <w:p>
            <w:pPr>
              <w:jc w:val="center"/>
              <w:ind w:left="13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3"/>
          </w:tcPr>
          <w:p>
            <w:pPr>
              <w:jc w:val="center"/>
              <w:ind w:left="13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2021</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30,917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155,802</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2,084</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4,964</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(8,242)</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(4,559)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(21,350)</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35,566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35,827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8,400</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26,358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139,416</w:t>
            </w: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27,653</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16,290</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22,375</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19,958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114,177</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2,908</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(13,005)</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(2,295)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(17,278)</w:t>
            </w: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17,663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99,807</w:t>
            </w: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39,609</w:t>
            </w: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1,967</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44,827</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(3,460)</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(1,097)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(5,218)</w:t>
            </w: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119"/>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jc w:val="right"/>
        <w:ind w:right="7179"/>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8"/>
          <w:szCs w:val="18"/>
          <w:color w:val="auto"/>
        </w:rPr>
        <w:t>3,246</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10,512</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9,377</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2,329</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7,048</w:t>
      </w:r>
    </w:p>
    <w:p>
      <w:pPr>
        <w:spacing w:after="0" w:line="21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ind w:left="601" w:hanging="601"/>
        <w:spacing w:after="0"/>
        <w:tabs>
          <w:tab w:leader="none" w:pos="601" w:val="left"/>
        </w:tabs>
        <w:numPr>
          <w:ilvl w:val="0"/>
          <w:numId w:val="30"/>
        </w:numPr>
        <w:rPr>
          <w:rFonts w:ascii="Arial" w:cs="Arial" w:eastAsia="Arial" w:hAnsi="Arial"/>
          <w:sz w:val="15"/>
          <w:szCs w:val="15"/>
          <w:color w:val="auto"/>
        </w:rPr>
      </w:pPr>
      <w:r>
        <w:rPr>
          <w:rFonts w:ascii="Arial" w:cs="Arial" w:eastAsia="Arial" w:hAnsi="Arial"/>
          <w:sz w:val="15"/>
          <w:szCs w:val="15"/>
          <w:color w:val="auto"/>
        </w:rPr>
        <w:t>7,025</w:t>
      </w:r>
    </w:p>
    <w:p>
      <w:pPr>
        <w:spacing w:after="0" w:line="58" w:lineRule="exact"/>
        <w:rPr>
          <w:sz w:val="20"/>
          <w:szCs w:val="20"/>
          <w:color w:val="auto"/>
        </w:rPr>
      </w:pPr>
    </w:p>
    <w:p>
      <w:pPr>
        <w:sectPr>
          <w:pgSz w:w="11900" w:h="16838" w:orient="portrait"/>
          <w:cols w:equalWidth="0" w:num="2">
            <w:col w:w="9399" w:space="720"/>
            <w:col w:w="1121"/>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4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Non-GAAP Ratios: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76.4%</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57.9%</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72.1%</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67.0%</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20" w:type="dxa"/>
            <w:vAlign w:val="bottom"/>
            <w:shd w:val="clear" w:color="auto" w:fill="CCEEFF"/>
          </w:tcPr>
          <w:p>
            <w:pPr>
              <w:spacing w:after="0"/>
              <w:rPr>
                <w:sz w:val="18"/>
                <w:szCs w:val="18"/>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28.5%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38.9%</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29.8%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23.4%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37.2%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104.8%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96.7%</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101.9%</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141.2%</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104.2%</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20" w:type="dxa"/>
            <w:vAlign w:val="bottom"/>
            <w:shd w:val="clear" w:color="auto" w:fill="CCEEFF"/>
          </w:tcPr>
          <w:p>
            <w:pPr>
              <w:spacing w:after="0"/>
              <w:rPr>
                <w:sz w:val="18"/>
                <w:szCs w:val="18"/>
                <w:color w:val="auto"/>
              </w:rPr>
            </w:pPr>
          </w:p>
        </w:tc>
      </w:tr>
      <w:tr>
        <w:trPr>
          <w:trHeight w:val="392"/>
        </w:trPr>
        <w:tc>
          <w:tcPr>
            <w:tcW w:w="2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Arial" w:cs="Arial" w:eastAsia="Arial" w:hAnsi="Arial"/>
                <w:sz w:val="18"/>
                <w:szCs w:val="18"/>
                <w:color w:val="auto"/>
              </w:rPr>
              <w:t>33</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00" w:type="dxa"/>
            <w:vAlign w:val="bottom"/>
            <w:tcBorders>
              <w:bottom w:val="single" w:sz="8" w:color="EEEEEE"/>
            </w:tcBorders>
          </w:tcPr>
          <w:p>
            <w:pPr>
              <w:spacing w:after="0"/>
              <w:rPr>
                <w:sz w:val="18"/>
                <w:szCs w:val="18"/>
                <w:color w:val="auto"/>
              </w:rPr>
            </w:pPr>
          </w:p>
        </w:tc>
        <w:tc>
          <w:tcPr>
            <w:tcW w:w="17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37"/>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13"/>
          </w:tcPr>
          <w:p>
            <w:pPr>
              <w:jc w:val="center"/>
              <w:ind w:left="13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3"/>
          </w:tcPr>
          <w:p>
            <w:pPr>
              <w:jc w:val="center"/>
              <w:ind w:left="13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2020</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19,658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144,845</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1,935</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4,283</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2,547</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(8,350)</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34,685</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26,285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35,389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23,731</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16,194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140,778</w:t>
            </w: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19,753</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23,058</w:t>
            </w:r>
          </w:p>
        </w:tc>
        <w:tc>
          <w:tcPr>
            <w:tcW w:w="5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16,913</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93,267</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(1,807)</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(7,961)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(11,583)</w:t>
            </w:r>
          </w:p>
        </w:tc>
      </w:tr>
      <w:tr>
        <w:trPr>
          <w:trHeight w:val="20"/>
        </w:trPr>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19,753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21,474</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82,786</w:t>
            </w: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14,932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2,257</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57,992</w:t>
            </w:r>
          </w:p>
        </w:tc>
      </w:tr>
      <w:tr>
        <w:trPr>
          <w:trHeight w:val="210"/>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39,784</w:t>
            </w: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256</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18,208</w:t>
            </w: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808</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159"/>
        <w:spacing w:after="0"/>
        <w:rPr>
          <w:sz w:val="20"/>
          <w:szCs w:val="20"/>
          <w:color w:val="auto"/>
        </w:rPr>
      </w:pPr>
      <w:r>
        <w:rPr>
          <w:rFonts w:ascii="Arial" w:cs="Arial" w:eastAsia="Arial" w:hAnsi="Arial"/>
          <w:sz w:val="16"/>
          <w:szCs w:val="16"/>
          <w:color w:val="auto"/>
        </w:rPr>
        <w:t>Net capital loss on investments</w:t>
      </w:r>
    </w:p>
    <w:p>
      <w:pPr>
        <w:spacing w:after="0" w:line="46" w:lineRule="exact"/>
        <w:rPr>
          <w:sz w:val="20"/>
          <w:szCs w:val="20"/>
          <w:color w:val="auto"/>
        </w:rPr>
      </w:pPr>
    </w:p>
    <w:p>
      <w:pPr>
        <w:jc w:val="right"/>
        <w:ind w:right="7179"/>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601"/>
        <w:spacing w:after="0"/>
        <w:rPr>
          <w:sz w:val="20"/>
          <w:szCs w:val="20"/>
          <w:color w:val="auto"/>
        </w:rPr>
      </w:pPr>
      <w:r>
        <w:rPr>
          <w:rFonts w:ascii="Arial" w:cs="Arial" w:eastAsia="Arial" w:hAnsi="Arial"/>
          <w:sz w:val="18"/>
          <w:szCs w:val="18"/>
          <w:color w:val="auto"/>
        </w:rPr>
        <w:t>3,989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(3,722)</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19,283</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4,071</w:t>
      </w:r>
    </w:p>
    <w:p>
      <w:pPr>
        <w:spacing w:after="0" w:line="9" w:lineRule="exact"/>
        <w:rPr>
          <w:sz w:val="20"/>
          <w:szCs w:val="20"/>
          <w:color w:val="auto"/>
        </w:rPr>
      </w:pPr>
    </w:p>
    <w:p>
      <w:pPr>
        <w:ind w:left="501"/>
        <w:spacing w:after="0"/>
        <w:rPr>
          <w:sz w:val="20"/>
          <w:szCs w:val="20"/>
          <w:color w:val="auto"/>
        </w:rPr>
      </w:pPr>
      <w:r>
        <w:rPr>
          <w:rFonts w:ascii="Arial" w:cs="Arial" w:eastAsia="Arial" w:hAnsi="Arial"/>
          <w:sz w:val="18"/>
          <w:szCs w:val="18"/>
          <w:color w:val="auto"/>
        </w:rPr>
        <w:t>15,212</w:t>
      </w:r>
    </w:p>
    <w:p>
      <w:pPr>
        <w:spacing w:after="0" w:line="211" w:lineRule="exact"/>
        <w:rPr>
          <w:sz w:val="20"/>
          <w:szCs w:val="20"/>
          <w:color w:val="auto"/>
        </w:rPr>
      </w:pPr>
    </w:p>
    <w:p>
      <w:pPr>
        <w:ind w:left="821"/>
        <w:spacing w:after="0"/>
        <w:rPr>
          <w:sz w:val="20"/>
          <w:szCs w:val="20"/>
          <w:color w:val="auto"/>
        </w:rPr>
      </w:pPr>
      <w:r>
        <w:rPr>
          <w:rFonts w:ascii="Arial" w:cs="Arial" w:eastAsia="Arial" w:hAnsi="Arial"/>
          <w:sz w:val="18"/>
          <w:szCs w:val="18"/>
          <w:color w:val="auto"/>
        </w:rPr>
        <w:t>66</w:t>
      </w:r>
    </w:p>
    <w:p>
      <w:pPr>
        <w:spacing w:after="0" w:line="198" w:lineRule="exact"/>
        <w:rPr>
          <w:sz w:val="20"/>
          <w:szCs w:val="20"/>
          <w:color w:val="auto"/>
        </w:rPr>
      </w:pPr>
    </w:p>
    <w:p>
      <w:pPr>
        <w:ind w:left="501" w:hanging="501"/>
        <w:spacing w:after="0"/>
        <w:tabs>
          <w:tab w:leader="none" w:pos="5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15,146</w:t>
      </w:r>
    </w:p>
    <w:p>
      <w:pPr>
        <w:spacing w:after="0" w:line="24" w:lineRule="exact"/>
        <w:rPr>
          <w:sz w:val="20"/>
          <w:szCs w:val="20"/>
          <w:color w:val="auto"/>
        </w:rPr>
      </w:pPr>
    </w:p>
    <w:p>
      <w:pPr>
        <w:sectPr>
          <w:pgSz w:w="11900" w:h="16838" w:orient="portrait"/>
          <w:cols w:equalWidth="0" w:num="2">
            <w:col w:w="9399" w:space="720"/>
            <w:col w:w="1121"/>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Non-GAAP Ratios:</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56.9%</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53.8%</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49.2%</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90.5%</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55.3%</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8"/>
                <w:szCs w:val="18"/>
                <w:color w:val="auto"/>
              </w:rPr>
            </w:pPr>
          </w:p>
        </w:tc>
      </w:tr>
      <w:tr>
        <w:trPr>
          <w:trHeight w:val="216"/>
        </w:trPr>
        <w:tc>
          <w:tcPr>
            <w:tcW w:w="24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26.4%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39.3%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27.1%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46.6%</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83.3%</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93.1%</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76.3%</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98.9%</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101.9%</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r>
      <w:tr>
        <w:trPr>
          <w:trHeight w:val="39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right"/>
              <w:ind w:right="830"/>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40" w:type="dxa"/>
            <w:vAlign w:val="bottom"/>
            <w:tcBorders>
              <w:bottom w:val="single" w:sz="8" w:color="EEEEEE"/>
            </w:tcBorders>
          </w:tcPr>
          <w:p>
            <w:pPr>
              <w:spacing w:after="0"/>
              <w:rPr>
                <w:sz w:val="18"/>
                <w:szCs w:val="18"/>
                <w:color w:val="auto"/>
              </w:rPr>
            </w:pPr>
          </w:p>
        </w:tc>
        <w:tc>
          <w:tcPr>
            <w:tcW w:w="170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2020 Annual Report for a discussion of important factors that could cause actual results to differ materially from the results described, or implied by, the forward-looking statements contained herein.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ind w:left="1120" w:hanging="320"/>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Nodak Agency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American West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Primero – an indirect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Battle Creek – an affiliated company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Direct Auto – a wholly-owned subsidiary of NI Holdings;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Westminster – a wholly-owned subsidiary of NI Holdings.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Battle Creek is managed by Nodak Insurance under the terms of a surplus note issued by Battle Creek to Nodak Insurance. Nodak Agency is an inactive shell corporation.</w:t>
      </w:r>
    </w:p>
    <w:p>
      <w:pPr>
        <w:spacing w:after="0" w:line="15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On August 31, 2018, NI Holdings completed the acquisition of 100% of the common stock of Direct Auto from private shareholders and Direct Auto became a consolidated subsidiary of the Company. The results of Direct Auto are included as part of the Company’s non-standard auto business segment following the closing date.</w:t>
      </w:r>
    </w:p>
    <w:p>
      <w:pPr>
        <w:spacing w:after="0" w:line="157"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The results of Westminster are included as part of the Company’s commercial business segment following the closing date.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nonstandard auto insurance coverage in Arizona, Nevada, North Dakota, and South Dakota. Direct Auto offers nonstandard auto insurance coverage in Illinois. Westminster offers commercial multi-peril insurance in the Mid-Atlantic region of the United States. All of the Company’s insurance subsidiary and affiliate companies are rated “A” Excellent by A.M. Best, which is the third highest out of a possible 15 ratings.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36130" cy="36474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36474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CHART</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Nodak Mutual Group, Inc.</w:t>
      </w:r>
    </w:p>
    <w:p>
      <w:pPr>
        <w:spacing w:after="0" w:line="239" w:lineRule="exact"/>
        <w:rPr>
          <w:sz w:val="20"/>
          <w:szCs w:val="20"/>
          <w:color w:val="auto"/>
        </w:rPr>
      </w:pPr>
    </w:p>
    <w:p>
      <w:pPr>
        <w:jc w:val="center"/>
        <w:ind w:right="5900"/>
        <w:spacing w:after="0"/>
        <w:rPr>
          <w:sz w:val="20"/>
          <w:szCs w:val="20"/>
          <w:color w:val="auto"/>
        </w:rPr>
      </w:pPr>
      <w:r>
        <w:rPr>
          <w:rFonts w:ascii="Arial" w:cs="Arial" w:eastAsia="Arial" w:hAnsi="Arial"/>
          <w:sz w:val="18"/>
          <w:szCs w:val="18"/>
          <w:color w:val="auto"/>
        </w:rPr>
        <w:t>≥ 55%</w:t>
      </w:r>
    </w:p>
    <w:p>
      <w:pPr>
        <w:spacing w:after="0" w:line="23" w:lineRule="exact"/>
        <w:rPr>
          <w:sz w:val="20"/>
          <w:szCs w:val="20"/>
          <w:color w:val="auto"/>
        </w:rPr>
      </w:pPr>
    </w:p>
    <w:p>
      <w:pPr>
        <w:jc w:val="center"/>
        <w:ind w:right="590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tbl>
      <w:tblPr>
        <w:tblLayout w:type="fixed"/>
        <w:tblInd w:w="130" w:type="dxa"/>
        <w:tblCellMar>
          <w:top w:w="0" w:type="dxa"/>
          <w:left w:w="0" w:type="dxa"/>
          <w:bottom w:w="0" w:type="dxa"/>
          <w:right w:w="0" w:type="dxa"/>
        </w:tblCellMar>
      </w:tblPr>
      <w:tr>
        <w:trPr>
          <w:trHeight w:val="209"/>
        </w:trPr>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700" w:type="dxa"/>
            <w:vAlign w:val="bottom"/>
            <w:tcBorders>
              <w:top w:val="single" w:sz="8" w:color="auto"/>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5"/>
              </w:rPr>
              <w:t>NI Holdings,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20" w:type="dxa"/>
            <w:vAlign w:val="bottom"/>
            <w:vMerge w:val="continue"/>
          </w:tcPr>
          <w:p>
            <w:pPr>
              <w:spacing w:after="0"/>
              <w:rPr>
                <w:sz w:val="16"/>
                <w:szCs w:val="16"/>
                <w:color w:val="auto"/>
              </w:rPr>
            </w:pPr>
          </w:p>
        </w:tc>
        <w:tc>
          <w:tcPr>
            <w:tcW w:w="5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80" w:type="dxa"/>
            <w:vAlign w:val="bottom"/>
            <w:tcBorders>
              <w:right w:val="single" w:sz="8" w:color="auto"/>
            </w:tcBorders>
            <w:gridSpan w:val="2"/>
          </w:tcPr>
          <w:p>
            <w:pPr>
              <w:jc w:val="center"/>
              <w:ind w:left="110"/>
              <w:spacing w:after="0" w:line="195" w:lineRule="exact"/>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5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2"/>
              </w:rPr>
              <w:t>ownership</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left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Direct Auto Insurance</w:t>
            </w:r>
          </w:p>
        </w:tc>
        <w:tc>
          <w:tcPr>
            <w:tcW w:w="240" w:type="dxa"/>
            <w:vAlign w:val="bottom"/>
            <w:tcBorders>
              <w:right w:val="single" w:sz="8" w:color="auto"/>
            </w:tcBorders>
          </w:tcPr>
          <w:p>
            <w:pPr>
              <w:spacing w:after="0"/>
              <w:rPr>
                <w:sz w:val="16"/>
                <w:szCs w:val="16"/>
                <w:color w:val="auto"/>
              </w:rPr>
            </w:pPr>
          </w:p>
        </w:tc>
        <w:tc>
          <w:tcPr>
            <w:tcW w:w="4700" w:type="dxa"/>
            <w:vAlign w:val="bottom"/>
            <w:tcBorders>
              <w:top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89"/>
              </w:rPr>
              <w:t>Nodak Insurance Company</w:t>
            </w: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0"/>
              </w:rPr>
              <w:t>Westminster American Insurance</w:t>
            </w: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0"/>
              </w:rPr>
              <w:t>Company</w:t>
            </w:r>
          </w:p>
        </w:tc>
        <w:tc>
          <w:tcPr>
            <w:tcW w:w="240" w:type="dxa"/>
            <w:vAlign w:val="bottom"/>
            <w:tcBorders>
              <w:right w:val="single" w:sz="8" w:color="auto"/>
            </w:tcBorders>
          </w:tcPr>
          <w:p>
            <w:pPr>
              <w:spacing w:after="0"/>
              <w:rPr>
                <w:sz w:val="10"/>
                <w:szCs w:val="10"/>
                <w:color w:val="auto"/>
              </w:rPr>
            </w:pPr>
          </w:p>
        </w:tc>
        <w:tc>
          <w:tcPr>
            <w:tcW w:w="4700" w:type="dxa"/>
            <w:vAlign w:val="bottom"/>
            <w:tcBorders>
              <w:right w:val="single" w:sz="8" w:color="auto"/>
            </w:tcBorders>
            <w:gridSpan w:val="5"/>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300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740" w:type="dxa"/>
            <w:vAlign w:val="bottom"/>
            <w:tcBorders>
              <w:left w:val="single" w:sz="8" w:color="auto"/>
            </w:tcBorders>
            <w:gridSpan w:val="2"/>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Affiliation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Nodak Agency, Inc.</w:t>
            </w:r>
          </w:p>
        </w:tc>
        <w:tc>
          <w:tcPr>
            <w:tcW w:w="240" w:type="dxa"/>
            <w:vAlign w:val="bottom"/>
            <w:tcBorders>
              <w:right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89"/>
              </w:rPr>
              <w:t>American West Insurance</w:t>
            </w:r>
          </w:p>
        </w:tc>
        <w:tc>
          <w:tcPr>
            <w:tcW w:w="200" w:type="dxa"/>
            <w:vAlign w:val="bottom"/>
            <w:tcBorders>
              <w:righ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tcPr>
          <w:p>
            <w:pPr>
              <w:ind w:left="380"/>
              <w:spacing w:after="0" w:line="195" w:lineRule="exact"/>
              <w:rPr>
                <w:sz w:val="20"/>
                <w:szCs w:val="20"/>
                <w:color w:val="auto"/>
              </w:rPr>
            </w:pPr>
            <w:r>
              <w:rPr>
                <w:rFonts w:ascii="Arial" w:cs="Arial" w:eastAsia="Arial" w:hAnsi="Arial"/>
                <w:sz w:val="18"/>
                <w:szCs w:val="18"/>
                <w:color w:val="auto"/>
              </w:rPr>
              <w:t>Battle Creek Mutual</w:t>
            </w: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2"/>
              </w:rPr>
              <w:t>Tri-State, Ltd</w:t>
            </w: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0"/>
              </w:rPr>
              <w:t>Company</w:t>
            </w:r>
          </w:p>
        </w:tc>
        <w:tc>
          <w:tcPr>
            <w:tcW w:w="2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Insurance Company</w:t>
            </w:r>
          </w:p>
        </w:tc>
        <w:tc>
          <w:tcPr>
            <w:tcW w:w="22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40" w:type="dxa"/>
            <w:vAlign w:val="bottom"/>
            <w:tcBorders>
              <w:bottom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Primero Insurance Company</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selected amounts from the Company’s Unaudited Consolidated Statements of Operations and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can be found later in this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37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106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112,759</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197,972</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premiums earned</w:t>
            </w: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76,281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82,006</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139,416</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140,778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before non-controlling interest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15,212</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6"/>
              </w:rPr>
              <w:t>708,425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Shareholders’ equity</w:t>
            </w: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880"/>
              <w:spacing w:after="0"/>
              <w:rPr>
                <w:sz w:val="20"/>
                <w:szCs w:val="20"/>
                <w:color w:val="auto"/>
              </w:rPr>
            </w:pPr>
            <w:r>
              <w:rPr>
                <w:rFonts w:ascii="Arial" w:cs="Arial" w:eastAsia="Arial" w:hAnsi="Arial"/>
                <w:sz w:val="18"/>
                <w:szCs w:val="18"/>
                <w:color w:val="auto"/>
              </w:rPr>
              <w:t>350,939</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348,872</w:t>
            </w:r>
          </w:p>
        </w:tc>
        <w:tc>
          <w:tcPr>
            <w:tcW w:w="20" w:type="dxa"/>
            <w:vAlign w:val="bottom"/>
          </w:tcPr>
          <w:p>
            <w:pPr>
              <w:spacing w:after="0"/>
              <w:rPr>
                <w:sz w:val="20"/>
                <w:szCs w:val="20"/>
                <w:color w:val="auto"/>
              </w:rPr>
            </w:pPr>
          </w:p>
        </w:tc>
      </w:tr>
      <w:tr>
        <w:trPr>
          <w:trHeight w:val="377"/>
        </w:trPr>
        <w:tc>
          <w:tcPr>
            <w:tcW w:w="3520" w:type="dxa"/>
            <w:vAlign w:val="bottom"/>
          </w:tcPr>
          <w:p>
            <w:pPr>
              <w:spacing w:after="0"/>
              <w:rPr>
                <w:sz w:val="24"/>
                <w:szCs w:val="24"/>
                <w:color w:val="auto"/>
              </w:rPr>
            </w:pPr>
          </w:p>
        </w:tc>
        <w:tc>
          <w:tcPr>
            <w:tcW w:w="4040" w:type="dxa"/>
            <w:vAlign w:val="bottom"/>
          </w:tcPr>
          <w:p>
            <w:pPr>
              <w:jc w:val="right"/>
              <w:ind w:right="175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520" w:type="dxa"/>
            <w:vAlign w:val="bottom"/>
            <w:tcBorders>
              <w:bottom w:val="single" w:sz="8" w:color="EEEEEE"/>
            </w:tcBorders>
          </w:tcPr>
          <w:p>
            <w:pPr>
              <w:spacing w:after="0"/>
              <w:rPr>
                <w:sz w:val="18"/>
                <w:szCs w:val="18"/>
                <w:color w:val="auto"/>
              </w:rPr>
            </w:pPr>
          </w:p>
        </w:tc>
        <w:tc>
          <w:tcPr>
            <w:tcW w:w="40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5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21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The Company’s property and casualty policies, other than some of our auto lines and the non-standard auto policies, typically have a term of twelve months. For example, for an annual policy that is written on July 1, 2021, one-half of the premiums would be earned in 2021 and the other half would be earned in 2022.</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recognized and earned during the period of risk, which usually begins in spring and ends with harvest in the fall. In the case of prevented planting claims, the period of risk is shortened to the date a valid prevented planting claim is filed, as the Company believes the period of risk has ended.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21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The Company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The Company recognizes changes in unrealized gains and losses on the Company’s investments in equity securities in net income as part of net capital gains and losses on investments. These gains and losses may be significant given the size of the equity securities holdings and the inherent volatility in equity securities prices.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unrealized gains and losses on fixed income securities are recorded in other comprehensive income (loss), net of income taxes.</w:t>
      </w:r>
    </w:p>
    <w:p>
      <w:pPr>
        <w:spacing w:after="0" w:line="22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portfolio of investments for NI Holdings and its insurance subsidiaries is managed by Conning, Inc., Disciplined Growth Investors, and CIBC Personal Wealth Management. These investment managers have discretion to buy and sell securities in accordance with the investment policy approved by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expenses consist primarily of losses and loss adjustment expenses (“LAE”), amortization of deferred policy acquisition costs, other underwriting and general expenses, and income taxes.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21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or payable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NI Holdings evaluates its insurance operations in the way it believes will be most meaningful and representative of its business results. Some of these measurements are “non-GAAP financial measures” under SEC rules and regulations. GAAP is the acronym for “accounting principles generally accepted in the United States of America”. While used widely in the property and casualty insurance industry, the non-GAAP financial measures that NI Holdings presents may not be comparable to similarly-named measures reported by other companies. The non-GAAP financial measures described in this section are the expense ratio, loss and LAE ratio, combined ratio, written premiums, ratio of net written premiums to statutory surplus, underwriting gain, and return on average equity.</w:t>
      </w:r>
    </w:p>
    <w:p>
      <w:pPr>
        <w:spacing w:after="0" w:line="17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21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the Company is making an underwriting profit. If the combined ratio is above 100%, it is not profitable without investment income and may not be profitable if investment income is insufficient.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98"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21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shareholders’ equity to generate net income. In determining return on average equity for a given period, net income (loss) is divided by the average of the beginning and ending shareholders’ equity for that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9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LAE consist of two components – allocated loss adjustment expenses (“ALAE”) and unallocated loss adjustment expenses (“ULAE”). ALAE are defense and cost containment expenses, including legal fees, court costs, and investigation fees, which are linked to the settlement of specific individual claims or losses. ULAE are expenses that generally cannot be associated with a specific claim, including internal costs such as salaries and other overhead costs, and also represent estimates of future costs to administer claims.</w:t>
      </w:r>
    </w:p>
    <w:p>
      <w:pPr>
        <w:spacing w:after="0" w:line="17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When a claim is reported to one of the insurance companies,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the Company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7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In addition to case reserves, the Company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5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The Company may adjust the actuarial estimates based on this supplemental information in order to arrive at the amount recorded in the Consolidated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accrues its ultimate liability for unpaid losses and LAE by using the following actuarial methodologies:</w:t>
      </w:r>
    </w:p>
    <w:p>
      <w:pPr>
        <w:spacing w:after="0" w:line="20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6"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5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The Ratio of Paid ALAE to Paid Loss Method utilizes the ratio of paid ALAE to paid losses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cases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factors that have or can have an impact on the Company’s case and IBNR reserves include but are not limited to those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21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21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During 2018, the state of Nevada mandated the incorporation of higher minimum liabilities for nonstandard auto insurance policies written in the state. Similar mandates became effective in July 2020 in the state of Arizona. While it is certain that these actions increase the average claim cost experienced in the state, the actual amount is subject to judgement until further claim experience is obtained.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21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As discussed above, the Company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Actuarial Loss Reserves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p>
      <w:pPr>
        <w:spacing w:after="0" w:line="181"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June 30, 2021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December 31, 2020</w:t>
            </w: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IBNR reserves</w:t>
            </w: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21,067</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w:t>
            </w:r>
          </w:p>
        </w:tc>
      </w:tr>
      <w:tr>
        <w:trPr>
          <w:trHeight w:val="20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5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152,340</w:t>
            </w:r>
          </w:p>
        </w:tc>
        <w:tc>
          <w:tcPr>
            <w:tcW w:w="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24,574</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w:t>
            </w: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5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127,766</w:t>
            </w:r>
          </w:p>
        </w:tc>
        <w:tc>
          <w:tcPr>
            <w:tcW w:w="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97,040</w:t>
            </w: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2"/>
              </w:rPr>
              <w:t>June 30, 2021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Case Reserves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20" w:type="dxa"/>
            <w:vAlign w:val="bottom"/>
          </w:tcPr>
          <w:p>
            <w:pPr>
              <w:spacing w:after="0"/>
              <w:rPr>
                <w:sz w:val="18"/>
                <w:szCs w:val="18"/>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26,161</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Non-standard auto</w:t>
            </w: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51,709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(7,982)</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43,727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Crop</w:t>
            </w: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23,154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23,638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10,048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26,812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5,852</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11,163</w:t>
            </w: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152,340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24,574</w:t>
            </w: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127,766</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4"/>
              </w:rPr>
              <w:t>December 31, 2020</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Case Reserves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50,702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43,336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19,089</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 other</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10,506</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105,750</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97,040</w:t>
            </w:r>
          </w:p>
        </w:tc>
        <w:tc>
          <w:tcPr>
            <w:tcW w:w="20" w:type="dxa"/>
            <w:vAlign w:val="bottom"/>
            <w:shd w:val="clear" w:color="auto" w:fill="CCEEFF"/>
          </w:tcPr>
          <w:p>
            <w:pPr>
              <w:spacing w:after="0"/>
              <w:rPr>
                <w:sz w:val="21"/>
                <w:szCs w:val="21"/>
                <w:color w:val="auto"/>
              </w:rPr>
            </w:pPr>
          </w:p>
        </w:tc>
      </w:tr>
      <w:tr>
        <w:trPr>
          <w:trHeight w:val="385"/>
        </w:trPr>
        <w:tc>
          <w:tcPr>
            <w:tcW w:w="416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160" w:type="dxa"/>
            <w:vAlign w:val="bottom"/>
            <w:tcBorders>
              <w:bottom w:val="single" w:sz="8" w:color="EEEEEE"/>
            </w:tcBorders>
          </w:tcPr>
          <w:p>
            <w:pPr>
              <w:spacing w:after="0"/>
              <w:rPr>
                <w:sz w:val="17"/>
                <w:szCs w:val="17"/>
                <w:color w:val="auto"/>
              </w:rPr>
            </w:pPr>
          </w:p>
        </w:tc>
        <w:tc>
          <w:tcPr>
            <w:tcW w:w="21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3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21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June 30, 2021, the impact of a 1% change in our estimate for unpaid losses and LAE, net of reinsurance recoverables, on our net income, after federal income taxes of 21%, would be approximately $1,009.</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21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2020 net income, after federal income taxes of 21%, resulting from various changes from the inflation factor implicitly embedded in the estimated payment pattern in place as of December 31, 2020.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17"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1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Change in Inflation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Impact on After-Tax Earnings</w:t>
            </w:r>
          </w:p>
        </w:tc>
      </w:tr>
      <w:tr>
        <w:trPr>
          <w:trHeight w:val="209"/>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1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(1,392)</w:t>
            </w: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Arial" w:cs="Arial" w:eastAsia="Arial" w:hAnsi="Arial"/>
                <w:sz w:val="18"/>
                <w:szCs w:val="18"/>
                <w:color w:val="auto"/>
              </w:rPr>
              <w:t>1,429</w:t>
            </w:r>
          </w:p>
        </w:tc>
      </w:tr>
      <w:tr>
        <w:trPr>
          <w:trHeight w:val="216"/>
        </w:trPr>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4,402</w:t>
            </w:r>
          </w:p>
        </w:tc>
      </w:tr>
      <w:tr>
        <w:trPr>
          <w:trHeight w:val="230"/>
        </w:trPr>
        <w:tc>
          <w:tcPr>
            <w:tcW w:w="31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Pr>
          <w:p>
            <w:pPr>
              <w:jc w:val="right"/>
              <w:ind w:right="1370"/>
              <w:spacing w:after="0"/>
              <w:rPr>
                <w:sz w:val="20"/>
                <w:szCs w:val="20"/>
                <w:color w:val="auto"/>
              </w:rPr>
            </w:pPr>
            <w:r>
              <w:rPr>
                <w:rFonts w:ascii="Arial" w:cs="Arial" w:eastAsia="Arial" w:hAnsi="Arial"/>
                <w:sz w:val="18"/>
                <w:szCs w:val="18"/>
                <w:color w:val="auto"/>
              </w:rPr>
              <w:t>7,540</w:t>
            </w:r>
          </w:p>
        </w:tc>
      </w:tr>
    </w:tbl>
    <w:p>
      <w:pPr>
        <w:spacing w:after="0" w:line="17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2020 net income, after federal income taxes of 21%, resulting from various changes to the level of case reserves as of December 31, 2020. This variance in future IBNR emergence could occur in one year or over multiple years, depending when the change is recognized.</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2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 in Case Reserves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Impact on After-Tax Earnings</w:t>
            </w:r>
          </w:p>
        </w:tc>
      </w:tr>
      <w:tr>
        <w:trPr>
          <w:trHeight w:val="210"/>
        </w:trPr>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16"/>
        </w:trPr>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16"/>
        </w:trPr>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90"/>
              </w:rPr>
              <w:t>+10%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(7,102)</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recorded in net income (loss). Investment income is recognized when earned, and realized capital gains and losses on investments are recognized when investments are sold, or an other-than-temporary impairment (“OTTI”) is recognized.</w:t>
      </w:r>
    </w:p>
    <w:p>
      <w:pPr>
        <w:spacing w:after="0" w:line="1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NI Holdings evaluates fixed income securities for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OTTI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OTTI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OTTI will be recognized in earnings.</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months ended June 30, 2021, NI Holdings’ investment portfolio experienced a decrease in net unrealized gains of $587.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Gross unrealized gains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13,078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16,801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(3,723)</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losses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r>
      <w:tr>
        <w:trPr>
          <w:trHeight w:val="20"/>
        </w:trPr>
        <w:tc>
          <w:tcPr>
            <w:tcW w:w="6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540" w:type="dxa"/>
            <w:vAlign w:val="bottom"/>
          </w:tcPr>
          <w:p>
            <w:pPr>
              <w:ind w:left="360"/>
              <w:spacing w:after="0"/>
              <w:rPr>
                <w:sz w:val="20"/>
                <w:szCs w:val="20"/>
                <w:color w:val="auto"/>
              </w:rPr>
            </w:pPr>
            <w:r>
              <w:rPr>
                <w:rFonts w:ascii="Arial" w:cs="Arial" w:eastAsia="Arial" w:hAnsi="Arial"/>
                <w:sz w:val="18"/>
                <w:szCs w:val="18"/>
                <w:color w:val="auto"/>
              </w:rPr>
              <w:t>Net fixed income unrealized gains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16,505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(4,322)</w:t>
            </w:r>
          </w:p>
        </w:tc>
      </w:tr>
      <w:tr>
        <w:trPr>
          <w:trHeight w:val="216"/>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(1,390)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equity unrealized gains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r>
      <w:tr>
        <w:trPr>
          <w:trHeight w:val="203"/>
        </w:trPr>
        <w:tc>
          <w:tcPr>
            <w:tcW w:w="6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43,667</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44,254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r>
      <w:tr>
        <w:trPr>
          <w:trHeight w:val="20"/>
        </w:trPr>
        <w:tc>
          <w:tcPr>
            <w:tcW w:w="6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Net unrealized gains in the fixed income portfolio decreased $4,322 during the six months ended June 30, 2021, in comparison with a decrease of $7,157 at the end of the first quarter. U.S Treasury yields declined in the second quarter, with the 10-year yield falling from 1.74% to 1.47%, driving up overall valuations across the portfolio in contrast with the steepening yield curve and increasing yields experienced during the first quarter. The net unrealized gains of $12,183 as of June 30, 2021 are reported as accumulated other comprehensive income within shareholders’ equity on the Company’s Consolidated Balance Sheets.</w:t>
      </w:r>
    </w:p>
    <w:p>
      <w:pPr>
        <w:spacing w:after="0" w:line="16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Net unrealized gains in the equity portfolio increased $3,735 during the six months ended June 30, 2021, driven by the continued strong performance for U.S. equities across most sectors with the S&amp;P 500 reaching a new all-time high in late June. The net increase is included in net capital gain (loss) on investments on the Company’s Consolidated Statements of Operations.</w:t>
      </w:r>
    </w:p>
    <w:p>
      <w:pPr>
        <w:spacing w:after="0" w:line="17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who specializes in the handling of insurance company investment portfolios and participates in this evaluation.</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the six months ended June 30, 2021, NI Holdings did not recognize any OTTIs of its investment securities. For the year ended December 31, 2020, NI Holdings did not recognize any OTTIs of its investment securities. Adverse investment market conditions, in addition to poor operating results of underlying investments, could result in impairment charges in the future.</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more information on the Company’s investments, see Note 4 to the Unaudited Consolidated Financial Statements, included elsewhere in this Form 10-Q.</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uses fair value measurements to record fair value adjustments to certain assets and to determine fair value disclosures. Investment securities available for sale are recorded at fair value on a recurring basis. Additionally, from time to time, NI Holdings may be required to record other assets at fair value on a nonrecurring basis. These nonrecurring fair value adjustments typically involve application of lower-of-cost-or-market accounting or write-downs of individual assets. Accounting guidance on fair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value measurements and disclosures establishes a fair value hierarchy that prioritizes the inputs to valuation methods used to measure fair value. The three levels of the fair value hierarchy are as follows:</w:t>
      </w:r>
    </w:p>
    <w:p>
      <w:pPr>
        <w:spacing w:after="0" w:line="17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ind w:left="1620" w:hanging="971"/>
        <w:spacing w:after="0" w:line="257" w:lineRule="auto"/>
        <w:tabs>
          <w:tab w:leader="none" w:pos="160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88" w:lineRule="exact"/>
        <w:rPr>
          <w:sz w:val="20"/>
          <w:szCs w:val="20"/>
          <w:color w:val="auto"/>
        </w:rPr>
      </w:pPr>
    </w:p>
    <w:p>
      <w:pPr>
        <w:ind w:left="1600" w:right="480" w:hanging="971"/>
        <w:spacing w:after="0" w:line="277" w:lineRule="auto"/>
        <w:tabs>
          <w:tab w:leader="none" w:pos="158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5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any fair values of the Company’s investments at June 30, 2021 or December 31, 2020.</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5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six month period ended June 30, 2021, or the year ended December 31, 2020. The classification within the fair value hierarchy is then confirmed based on the final conclusions from the pricing review.</w:t>
      </w:r>
    </w:p>
    <w:p>
      <w:pPr>
        <w:spacing w:after="0" w:line="15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5 to the Unaudited Consolidated Financial Statements, included elsewhere in this Form 10-Q.</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$4,750 and established at the closing date. This VOBA intangible asset was amortized into expense as the acquired unearned premiums are reported into income, in the same way as DAC, and was fully amortized at December 31, 2020.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2021 and December 31, 2020, deferred policy acquisition costs and the related liability for unearned premiums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June 30, 2021</w:t>
            </w:r>
          </w:p>
        </w:tc>
        <w:tc>
          <w:tcPr>
            <w:tcW w:w="1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12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Liability for unearned premiums</w:t>
            </w:r>
          </w:p>
        </w:tc>
        <w:tc>
          <w:tcPr>
            <w:tcW w:w="16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161,592</w:t>
            </w:r>
          </w:p>
        </w:tc>
        <w:tc>
          <w:tcPr>
            <w:tcW w:w="12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119,363</w:t>
            </w:r>
          </w:p>
        </w:tc>
      </w:tr>
    </w:tbl>
    <w:p>
      <w:pPr>
        <w:spacing w:after="0" w:line="17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method followed in computing DAC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DAC. If the estimation of net realizable value indicates that DAC are not recoverable, they would be written off or a premium deficiency reserve would be established.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NI Holdings had gross deferred income tax assets of $10,146 at June 30, 2021 and $8,603 at December 31, 2020,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$931 was maintained at June 30, 2021 and December 31, 2020.</w:t>
      </w:r>
    </w:p>
    <w:p>
      <w:pPr>
        <w:spacing w:after="0" w:line="16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NI Holdings had gross deferred income tax liabilities of $17,261 at June 30, 2021 and $16,429 at December 31, 2020, arising primarily from deferred policy acquisition costs, net unrealized capital gains on investments, and other intangible assets.</w:t>
      </w:r>
    </w:p>
    <w:p>
      <w:pPr>
        <w:spacing w:after="0" w:line="15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June 30, 2021, NI Holdings had no material unrecognized income tax benefits or accrued interest and penalties. Federal income tax years 2017 through 2019 are open for examination.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commodity prices, and types of crops insured because the rates are established by the RMA rather than individual insurance carriers. The expected loss experience of the multi-peril crop insurance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extends into the fourth quarter. However, as was the case in 2020, if the Company experiences a higher than average number of claims early in the risk period, recognition of earned premiums may be accelerated due to the shortened risk period.</w:t>
      </w:r>
    </w:p>
    <w:p>
      <w:pPr>
        <w:spacing w:after="0" w:line="15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and earned throughout the year based on their coverage periods. Losses on this business are also incurred throughout the year, but usually are more frequent and/or severe during periods of weather-related activity.</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Premiums in the commercial lines of business are generally written and earned throughout the year. Losses on this business are also incurred throughout the year.</w:t>
      </w:r>
    </w:p>
    <w:p>
      <w:pPr>
        <w:spacing w:after="0" w:line="14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19 to the Unaudited Consolidated Financial Statements, included elsewhere in this Form 10-Q.</w:t>
      </w:r>
    </w:p>
    <w:p>
      <w:pPr>
        <w:spacing w:after="0" w:line="15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Beginning in March 2020, the global pandemic associated with COVID-19 and related economic conditions began to impact the Company’s results. The immediate financial impact to the Company was volatility in our investment portfolio and significant declines in fair value on the Company’s equity investments, attributable to the disruption in global financial markets. The Company’s underwriting results, especially in the private passenger auto and non-standard auto segments, were impacted during the second and third quarters of 2020 as a result of fewer miles being driven and the increased unemployment rate in our Chicago and Las Vegas markets.</w:t>
      </w:r>
    </w:p>
    <w:p>
      <w:pPr>
        <w:spacing w:after="0" w:line="17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first six months of 2021, we have continued to see a reduced impact from COVID-19 as economic activity has returned to near pre-pandemic levels. However, a possible resurgence of COVID-19 could impact our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Six Months ended June 30, 2021 and 2020</w:t>
      </w:r>
    </w:p>
    <w:p>
      <w:pPr>
        <w:spacing w:after="0" w:line="19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consolidated net loss for NI Holdings was $2,734 for the three months ended June 30, 2021, compared to net income of $18,767 for the three months ended June 30, 2020. The consolidated net income for NI Holdings was $7,048 for the six months ended June 30, 2021, compared to net income of $15,212 for the six months ended June 30,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components of NI Holdings’ operating revenues and net income (loss) for the two periods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76,281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82,006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(loss) on investments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83,212</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95,667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154,011</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76,281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139,416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62,918</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52,364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99,807</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Amortization of deferred policy acquisition costs and other underwriting</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23,589</w:t>
            </w:r>
          </w:p>
        </w:tc>
        <w:tc>
          <w:tcPr>
            <w:tcW w:w="3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19,625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44,827</w:t>
            </w:r>
          </w:p>
        </w:tc>
        <w:tc>
          <w:tcPr>
            <w:tcW w:w="3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39,784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general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(5,218 )</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Net capital gain (loss) on investments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4,701</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10,512</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2,329</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54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1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NI Holdings’ net premiums earned for the three months ended June 30, 2021 decreased $5,725, or 7.0%, compared to the three months ended June 30, 2020. Net premiums earned for the six months ended June 30, 2021 decreased $1,362, or 1.0%, compared to the six months ended June 30,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17,386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35,566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34,685</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26,285</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35,827</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35,389</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23,731</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26,358</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16,194</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4,494</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76,281</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82,006</w:t>
            </w:r>
          </w:p>
        </w:tc>
        <w:tc>
          <w:tcPr>
            <w:tcW w:w="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139,416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140,778</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87,059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82,452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155,802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144,845</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4,283</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(14,294)</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(21,350)</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(8,350)</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76,281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82,006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139,416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140,778</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Direct premiums earned for the second quarter of 2021 increased $4,607, or 5.6%, from the second quarter of 2020. Direct premiums earned for the first half of 2021 increased $10,957, or 7.6%, from the first half of 2020. The increase in both periods was primarily driven by growth in our Westminster commercial business, and to a lesser extent our non-standard auto business, and partially offset by less earned premium recognized in multi-peril crop compared to a year ago. The growth in our Westminster commercial business was driven primarily by a continuation of favorable market conditions, the positive impact of Westminster’s financial size category, and the A.M. Best rating upgrade. Our non-standard auto business has benefited from the improved economic environment, especially in the Chicago market where our non-standard auto business is concentrated. The decrease in multi-peril crop was a result of accelerated earning of premium during 2020 from prevented planting claims, whereas premiums earned during 2021 are being recognized over the normal period of risk.</w:t>
      </w:r>
    </w:p>
    <w:p>
      <w:pPr>
        <w:spacing w:after="0" w:line="16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Assumed premiums earned increased modestly related to our participation in the assumed domestic and international business in our all other segment. Ceded premiums earned increased $11,165 in the second quarter of 2021 from the second quarter of 2020, and increased $13,000 in the first half of 2021 from the first half of 2020. The increase in both periods was primarily due to the anticipated loss experience of our multi-peril crop business, an increase in our overall reinsurance coverage limits, and the growth in our business. The increase in ceded premiums related to our multi-peril crop business was the result of losses expected from this year’s extreme drought conditions across North and South Dakota, as we anticipate that crop yields will be significantly impacted. We placed a higher number of multi-peril crop policies in the assigned risk fund of the Standard Reinsurance Agreement for 2021, resulting in higher levels of premiums and losses being ceded to the federal government.</w:t>
      </w:r>
    </w:p>
    <w:p>
      <w:pPr>
        <w:spacing w:after="0" w:line="15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Direct premiums written for the three months ended June 30, 2021 were $125,552, compared to $112,759 a year ago. Direct premiums written for the first half of 2021 were $197,972, compared to $175,731 for the first half of 2020. The increase in both periods was driven by growth in our Westminster commercial business, our non-standard auto business, and multi-peril crop insurance as a result of higher commodity prices. We anticipate that commercial written premium growth will remain strong over the remainder of 2021, while continued growth in the non-standard auto business is more unpredictable due to the factors associated with the current market conditions.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NI Holdings’ net losses and LAE for the three months ended June 30, 2021 increased $10,554, or 20.2%, compared to the three months ended June 30, 2020. Net losses and LAE for the six months ended June 30, 2021 increased $17,021, or 20.6%, compared to the six months ended June 30,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8,624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27,159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19,753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14,135</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25,840</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17,398</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21,474</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17,663</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8,952</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62,918</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52,364</w:t>
            </w:r>
          </w:p>
        </w:tc>
        <w:tc>
          <w:tcPr>
            <w:tcW w:w="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82,786</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76,599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59,375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114,177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93,267</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(15,641)</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(17,278)</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(11,583)</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losses and LAE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52,364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99,807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82,786</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6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76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2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2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r>
      <w:tr>
        <w:trPr>
          <w:trHeight w:val="20"/>
        </w:trPr>
        <w:tc>
          <w:tcPr>
            <w:tcW w:w="57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2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r>
      <w:tr>
        <w:trPr>
          <w:trHeight w:val="20"/>
        </w:trPr>
        <w:tc>
          <w:tcPr>
            <w:tcW w:w="5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year-to-date loss and LAE experience increased year-over-year across all segments of the Company.</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Losses increased year-over-year in our private passenger auto and non-standard auto segments. Loss experience in both lines of business was favorable during the second quarter of 2020 due to reduced miles driven by our insureds while pandemic-related restrictions were in place. Loss experience in private passenger auto during the second quarter of 2021 has been adversely impacted by an increased frequency of uninsured/underinsured motorist liability claims.</w:t>
      </w:r>
    </w:p>
    <w:p>
      <w:pPr>
        <w:spacing w:after="0" w:line="16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home and farm, losses and LAE increased as weather-related losses returned to normal levels during June. Those losses included a large hail storm in North Dakota which is expected to exceed our catastrophe reinsurance limit. In our “all other” segment, loss experience from the assumed business increased after favorable experience during the second quarter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 the commercial segment increased from a year ago, but the loss ratio improved due to a higher level of premiums earned.</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crop segment, we continue to monitor the impact of this year’s extreme drought conditions across North and South Dakota on our multi-peril crop business. We expect that crop yields will be significantly reduced and will have an adverse impact on our anticipated multi-peril crop losses. In anticipation of the dry weather, we placed a higher number of multi-peril crop policies in the assigned risk fund of the Standard Reinsurance Agreement for 2021, resulting in higher levels of premiums and losses being ceded to the federal government. Even though we expect the direct loss ratio to be much greater than 100%, our net losses will be limited.</w:t>
      </w:r>
    </w:p>
    <w:p>
      <w:pPr>
        <w:sectPr>
          <w:pgSz w:w="11900" w:h="16838" w:orient="portrait"/>
          <w:cols w:equalWidth="0" w:num="1">
            <w:col w:w="11240"/>
          </w:cols>
          <w:pgMar w:left="320" w:top="125"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three months ended June 30, 2021, reported losses and LAE included $4,750 of net favorable development on prior accident years, compared to $3,042 of net favorable development on prior accident years during the three months ended June 30, 2020. During the six months ended June 30, 2021, reported losses and LAE included $2,197 of net favorable development on prior accident years, compared to $2,532 of net favorable development on prior accident years during the six months ended June 30, 2020.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$7,167, or 36.5%, during the three months ended June 30, 2021 compared to the three months ended June 30, 2020. These expenses increased $8,246, or 20.7%, during the six months ended June 30, 2021 compared to the six months ended June 30,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(22,968)</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(19,869)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(39,162)</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(33,021)</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19,886</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14,829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33,473</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24,216</w:t>
            </w:r>
          </w:p>
        </w:tc>
      </w:tr>
      <w:tr>
        <w:trPr>
          <w:trHeight w:val="20"/>
        </w:trPr>
        <w:tc>
          <w:tcPr>
            <w:tcW w:w="5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reported expenses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19,625</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39,784</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Underlying expenses were $2,006 higher in the three months ended June 30, 2021 compared to a year ago. Acquisition costs related to the increase in direct written premiums were partially offset by reduced amortization of other intangibles. Underlying expenses were $1,927 higher in the six months ended June 30, 2021 compared to a year ago. Acquisition costs related to the increase in direct written premiums were offset by reduced consulting fees and amortization of other intangibles.</w:t>
      </w:r>
    </w:p>
    <w:p>
      <w:pPr>
        <w:spacing w:after="0" w:line="16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Expense deferrals were $3,099 higher in the three months ended June 30, 2021 compared to 2020, while amortization of those costs was $5,057 higher in 2021. Expense deferrals were $6,141 higher in the six months ended June 30, 2021 compared to 2020, while amortization of those costs was $9,257 higher in 2021. These increases were primarily due to strong year-over-year growth in our commercial and non-standard auto segments which generally pay higher agent commissions than our other lines. As our mix of business has shifted and these premiums continue to be earned, the related deferral and amortization of expenses have increased.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(1,604)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4,427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5,787</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(4,908)</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8,397</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2,272</w:t>
            </w: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360"/>
              <w:spacing w:after="0"/>
              <w:rPr>
                <w:sz w:val="20"/>
                <w:szCs w:val="20"/>
                <w:color w:val="auto"/>
              </w:rPr>
            </w:pPr>
            <w:r>
              <w:rPr>
                <w:rFonts w:ascii="Arial" w:cs="Arial" w:eastAsia="Arial" w:hAnsi="Arial"/>
                <w:sz w:val="18"/>
                <w:szCs w:val="18"/>
                <w:color w:val="auto"/>
              </w:rPr>
              <w:t>Total underwriting gain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10,017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18,208</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6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76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r>
      <w:tr>
        <w:trPr>
          <w:trHeight w:val="20"/>
        </w:trPr>
        <w:tc>
          <w:tcPr>
            <w:tcW w:w="57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ind w:left="360"/>
              <w:spacing w:after="0"/>
              <w:rPr>
                <w:sz w:val="20"/>
                <w:szCs w:val="20"/>
                <w:color w:val="auto"/>
              </w:rPr>
            </w:pPr>
            <w:r>
              <w:rPr>
                <w:rFonts w:ascii="Arial" w:cs="Arial" w:eastAsia="Arial" w:hAnsi="Arial"/>
                <w:sz w:val="18"/>
                <w:szCs w:val="18"/>
                <w:color w:val="auto"/>
              </w:rPr>
              <w:t>Combined ratio</w:t>
            </w:r>
          </w:p>
        </w:tc>
        <w:tc>
          <w:tcPr>
            <w:tcW w:w="124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87.1%</w:t>
            </w:r>
          </w:p>
        </w:tc>
      </w:tr>
      <w:tr>
        <w:trPr>
          <w:trHeight w:val="20"/>
        </w:trPr>
        <w:tc>
          <w:tcPr>
            <w:tcW w:w="5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results from underwriting operations for the three months ended June 30, 2021 decreased $20,243 when compared to 2020. The results from underwriting operations for the six months ended June 30, 2021 decreased $23,426 when compared to 2020.</w:t>
      </w:r>
    </w:p>
    <w:p>
      <w:pPr>
        <w:spacing w:after="0" w:line="15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combined ratio for the private passenger auto segment increased 34.4 percentage points for the three months ended June 30, 2021 compared to 2020. The combined ratio for the private passenger auto segment increased 21.5 percentage points for the six months ended June 30, 2021 compared to</w:t>
      </w:r>
    </w:p>
    <w:p>
      <w:pPr>
        <w:ind w:right="80"/>
        <w:spacing w:after="0" w:line="255" w:lineRule="auto"/>
        <w:rPr>
          <w:sz w:val="20"/>
          <w:szCs w:val="20"/>
          <w:color w:val="auto"/>
        </w:rPr>
      </w:pPr>
      <w:r>
        <w:rPr>
          <w:rFonts w:ascii="Arial" w:cs="Arial" w:eastAsia="Arial" w:hAnsi="Arial"/>
          <w:sz w:val="18"/>
          <w:szCs w:val="18"/>
          <w:color w:val="auto"/>
        </w:rPr>
        <w:t>2020. Losses and LAE experience increased due to a return to average frequency of auto damage claims, a higher level of uninsured/underinsured motorist liability claims, and unfavorable loss reserve development. Non-standard auto’s combined ratio increased due to a return to normal claims frequency and unfavorable loss reserve development.</w:t>
      </w:r>
    </w:p>
    <w:p>
      <w:pPr>
        <w:spacing w:after="0" w:line="16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combined ratio for the home and farm segment deteriorated due to increased weather-related activity in 2021, including a large hail storm in June. The commercial segment combined ratio improved as a result of favorable loss experience compared to 2020.</w:t>
      </w:r>
    </w:p>
    <w:p>
      <w:pPr>
        <w:spacing w:after="0" w:line="15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crop segment, we continue to monitor the impact of this year’s extreme drought conditions across North and South Dakota on our multi-peril crop business. We expect that crop yields will be significantly reduced and will have an adverse impact on our anticipated multi-peril crop losses. In anticipation of the dry weather, we placed a higher number of multi-peril crop policies in the assigned risk fund of the Standard Reinsurance Agreement for 2021, resulting in higher levels of premiums and losses being ceded to the federal government. Even though we expect the direct loss ratio to be much greater than 100%, our net losses will be limited.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NI Holdings had fee and other income of $520 for the three months ended June 30, 2021, compared to $446 for the three months ended June 30, 2020. Fee income attributable to the non-standard auto segment is a key component in measuring its profitability. Fee income on this business increased slightly to $361 for the three months ended June 30, 2021 from $328 for the three months ended June 30, 2020.</w:t>
      </w:r>
    </w:p>
    <w:p>
      <w:pPr>
        <w:spacing w:after="0" w:line="1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NI Holdings had fee and other income of $837 for the six months ended June 30, 2021, compared to $808 for the six months ended June 30, 2020. Fee income on the non-standard auto business increased slightly to $693 for the six months ended June 30, 2021 from $657 for the six months ended June 30, 2020.</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Average cash and invested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expenses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ind w:right="1520"/>
        <w:spacing w:after="0" w:line="381" w:lineRule="auto"/>
        <w:rPr>
          <w:sz w:val="20"/>
          <w:szCs w:val="20"/>
          <w:color w:val="auto"/>
        </w:rPr>
      </w:pPr>
      <w:r>
        <w:rPr>
          <w:rFonts w:ascii="Arial" w:cs="Arial" w:eastAsia="Arial" w:hAnsi="Arial"/>
          <w:sz w:val="15"/>
          <w:szCs w:val="15"/>
          <w:color w:val="auto"/>
        </w:rPr>
        <w:t>Gross return on average cash and invested assets Net return on average cash and invested assets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42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210"/>
        </w:trPr>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500,409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429,651</w:t>
            </w:r>
          </w:p>
        </w:tc>
        <w:tc>
          <w:tcPr>
            <w:tcW w:w="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2,550</w:t>
            </w:r>
          </w:p>
        </w:tc>
        <w:tc>
          <w:tcPr>
            <w:tcW w:w="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5,511</w:t>
            </w:r>
          </w:p>
        </w:tc>
      </w:tr>
      <w:tr>
        <w:trPr>
          <w:trHeight w:val="230"/>
        </w:trPr>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840</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1,522</w:t>
            </w:r>
          </w:p>
        </w:tc>
      </w:tr>
      <w:tr>
        <w:trPr>
          <w:trHeight w:val="209"/>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-1156970</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-856615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-574040</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-273685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040" w:space="720"/>
            <w:col w:w="5480"/>
          </w:cols>
          <w:pgMar w:left="320" w:top="125"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Investment income, net of investment expense, decreased $308 for the three months ended June 30, 2021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2020. Investment income, net of investment expense, decreased $743 for the six months ended June 30, 2021 compared to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2020. These decreases were primarily driven by the continued impact of lower reinvestment rates in the fixed income portfolio.</w:t>
      </w:r>
    </w:p>
    <w:p>
      <w:pPr>
        <w:spacing w:after="0" w:line="19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Company's fixed-income portfolio book yield declined 35 basis points year-over-year, from 2.82% at June 30, 2020 to 2.47% at June 30, 2021. This was driven by a combination of factors, including a persistent low reinvestment rate environment, ongoing maturities of existing holdings with higher embedded yields, and significant cash inflows to the investment portfolio from the Company's business operations. The dividend yield of the equity portfolio also declined as the ongoing rally in U.S. equity markets has not resulted in corresponding changes to dividend payment patterns.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(Loss) on Investments</w:t>
      </w:r>
    </w:p>
    <w:p>
      <w:pPr>
        <w:spacing w:after="0" w:line="21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NI Holdings had realized capital gains on investment of $2,875 and $6,777 for the three and six months ended June 30, 2021, respectively, compared to gains of $370 and $1,385 for the three and six months ended June 30, 2020, respectively.</w:t>
      </w:r>
    </w:p>
    <w:p>
      <w:pPr>
        <w:spacing w:after="0" w:line="15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NI Holdings reported net gains of $1,826 and $3,735 attributed to the change in unrealized appreciation of its equity securities for the three and six months ended June 30, 2021, respectively, compared to a net gain of $10,827 and a net loss of $5,107 for the three and six months ended June 30, 2020, respectively. The reduction in net gain compared to the prior year quarter was due to higher than normal unrealized gains in the equity portfolio in the second quarter of 2020 at the height of the post COVID-19 lockdown economic recovery following severe first quarter 2020 declines. From a year-to-date comparison perspective, the net gain increased in 2021 due to the continued strong performance in the U.S. equity markets which increased unrealized gains significantly in comparison with the first half of 2020.</w:t>
      </w:r>
    </w:p>
    <w:p>
      <w:pPr>
        <w:spacing w:after="0" w:line="15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has evaluated each fixed income security in a loss position and taken into account the severity and duration of any potential impairment, the current rating on the bond, and the outlook for the issuer according to independent analysts. The Company recorded no OTTIs in the three or six months ended June 30, 2021 and 2020.</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we will, from time to time, make sales of securities that are not impaired, consistent with our investment goals and policies. At June 30, 2021, the Company had net unrealized gains on fixed income securities of $12,183 and net unrealized gains on equity securities of $31,484. At December 31, 2020, the Company had net unrealized gains on fixed income securities of $16,505 and net unrealized gains on equity securities of $27,749.</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(Loss) before Income Taxes</w:t>
      </w:r>
    </w:p>
    <w:p>
      <w:pPr>
        <w:spacing w:after="0" w:line="21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the three months ended June 30, 2021, NI Holdings had pre-tax loss of $3,295 compared to pre-tax income of $23,678 for the three months ended June 30, 2020. The decrease in pre-tax results was largely attributable to reduced underwriting profitability.</w:t>
      </w:r>
    </w:p>
    <w:p>
      <w:pPr>
        <w:spacing w:after="0" w:line="157"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For the six months ended June 30, 2021, NI Holdings had pre-tax income of $9,377 compared to pre-tax income of $19,283 for the six months ended June 30, 2020. The decrease in pre-tax results was largely attributable to reduced underwriting profitability, partially offset by the increase in net capital gain (loss) on investments.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NI Holdings recorded income tax benefit of $561 for the three months ended June 30, 2021, compared to income tax expense of $4,911 for the three months ended June 30, 2020. Our effective tax rate for the second quarter of 2021 was 17.0% compared to an effective tax rate of 20.7% for the second quarter of 2020.</w:t>
      </w:r>
    </w:p>
    <w:p>
      <w:pPr>
        <w:spacing w:after="0" w:line="170"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NI Holdings recorded income tax expense of $2,329 for the six months ended June 30, 2021, compared to income tax expense of $4,071 for the six months ended June 30, 2020. Our effective tax rate for the first half of 2021 was 24.8% compared to an effective tax rate of 21.1% for the first half of 2020.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portion of income taxes, and the effective tax rates, relates to state income taxes primarily for the state of Illinois.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w:t>
      </w:r>
    </w:p>
    <w:p>
      <w:pPr>
        <w:spacing w:after="0" w:line="21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June 30, 2021, NI Holdings had net loss before non-controlling interest of $2,734 compared to net income of $18,767 for the three months ended June 30, 2020. This decrease was primarily attributable to reduced underwriting profitability.</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six months ended June 30, 2021, NI Holdings had net income before non-controlling interest of $7,048 compared to net income of $15,212 for the six months ended June 30, 2020. This decrease in net income was primarily attributable to reduced underwriting profitability, partially offset by the increase in net capital gain (loss) on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three months ended June 30, 2021, NI Holdings had annualized return on average equity, after non-controlling interest, of -3.0% compared to annualized return on average equity, after non-controlling interest, of 24.2% for the three months ended June 30, 2020.</w:t>
      </w:r>
    </w:p>
    <w:p>
      <w:pPr>
        <w:spacing w:after="0" w:line="1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six months ended June 30, 2021, NI Holdings had annualized return on average equity, after non-controlling interest, of 4.1% compared to annualized return on average equity, after non-controlling interest, of 9.7% for the six months ended June 30, 2020.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Average equity is calculated as the average between beginning and ending equity excluding non-controlling interest for the period.</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0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Cash and investments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511,400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494,363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48,523</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23,968</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6,646</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9,899</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Goodwill and other intangibles</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18,194</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7,300</w:t>
            </w:r>
          </w:p>
        </w:tc>
      </w:tr>
      <w:tr>
        <w:trPr>
          <w:trHeight w:val="20"/>
        </w:trPr>
        <w:tc>
          <w:tcPr>
            <w:tcW w:w="1280" w:type="dxa"/>
            <w:vAlign w:val="bottom"/>
            <w:shd w:val="clear" w:color="auto" w:fill="CCEEFF"/>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708,425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617,603</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105,750</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161,592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119,363</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8,757</w:t>
            </w: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Westminster consideration payable</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12,820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19,287</w:t>
            </w: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15,574</w:t>
            </w:r>
          </w:p>
        </w:tc>
      </w:tr>
      <w:tr>
        <w:trPr>
          <w:trHeight w:val="20"/>
        </w:trPr>
        <w:tc>
          <w:tcPr>
            <w:tcW w:w="1280" w:type="dxa"/>
            <w:vAlign w:val="bottom"/>
            <w:shd w:val="clear" w:color="auto" w:fill="CCEEFF"/>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357,486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268,731</w:t>
            </w:r>
          </w:p>
        </w:tc>
      </w:tr>
      <w:tr>
        <w:trPr>
          <w:trHeight w:val="216"/>
        </w:trPr>
        <w:tc>
          <w:tcPr>
            <w:tcW w:w="12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350,939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348,872</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708,425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617,603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At June 30, 2021, NI Holdings’ total assets increased by $90,822, or 14.7%, from December 31, 2020. Cash and investments increased due to normal operations. Premiums and agents’ balances receivable increased due to the recognition of crop insurance written premiums. Reinsurance recoverables on losses and the receivable from the Federal Crop Insurance Corporation increased due to the anticipated ceding of multi-peril crop business losses to the federal government. Deferred policy acquisition costs increased due to the growth across all non-crop segments.</w:t>
      </w:r>
    </w:p>
    <w:p>
      <w:pPr>
        <w:spacing w:after="0" w:line="14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June 30, 2021, total liabilities increased by $88,755, or 33.0%, from December 31, 2020. Unpaid losses and loss adjustment expenses increased due to higher loss experience during the first six months of 2021, especially the multi-peril crop business. Unearned premiums increased due to an increase in direct written premiums in all segments including the multi-peril crop business. The first installment of $6,667 was paid to the former shareholder of Westminster during the first quarter of 2021. Other liabilities increased due to commission and processing fee accruals.</w:t>
      </w:r>
    </w:p>
    <w:p>
      <w:pPr>
        <w:spacing w:after="0" w:line="158"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Total shareholders’ equity increased by $2,067 during the six months ended June 30, 2021. The increase in shareholders’ equity reflects a consolidated net income of $7,048 for the six-month period, share repurchases of $2,267, and a decrease in the fair market value of our fixed income portfolio.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(“IPO”), which we planned to use for strategic acquisitions.</w:t>
      </w:r>
    </w:p>
    <w:p>
      <w:pPr>
        <w:spacing w:after="0" w:line="15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installment was paid during the first quarter of 2021.</w:t>
      </w:r>
    </w:p>
    <w:p>
      <w:pPr>
        <w:spacing w:after="0" w:line="1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IPO net proceeds, will be sufficient to fund our operations.</w:t>
      </w:r>
    </w:p>
    <w:p>
      <w:pPr>
        <w:spacing w:after="0" w:line="143"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six months ended June 30, 2021 and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7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04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21,803</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0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(52,140)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(9,263)</w:t>
            </w:r>
          </w:p>
        </w:tc>
      </w:tr>
      <w:tr>
        <w:trPr>
          <w:trHeight w:val="216"/>
        </w:trPr>
        <w:tc>
          <w:tcPr>
            <w:tcW w:w="7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(6,814)</w:t>
            </w:r>
          </w:p>
        </w:tc>
      </w:tr>
      <w:tr>
        <w:trPr>
          <w:trHeight w:val="20"/>
        </w:trPr>
        <w:tc>
          <w:tcPr>
            <w:tcW w:w="758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jc w:val="right"/>
              <w:ind w:right="91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(39,854)</w:t>
            </w:r>
          </w:p>
        </w:tc>
        <w:tc>
          <w:tcPr>
            <w:tcW w:w="11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5,726</w:t>
            </w:r>
          </w:p>
        </w:tc>
      </w:tr>
      <w:tr>
        <w:trPr>
          <w:trHeight w:val="20"/>
        </w:trPr>
        <w:tc>
          <w:tcPr>
            <w:tcW w:w="7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For the six months ended June 30, 2021, net cash provided by operating activities totaled $21,708 compared to $21,803 a year ago. Consolidated net income of $7,048 for the six months ended June 30, 2021 compared to consolidated net income of $15,212 for the same period a year ago. The decrease in consolidated net income, along with changes in net capital gain (loss) on investments, reinsurance recoverables on losses, and the receivable from the Federal Crop Insurance Corporation, were offset by the changes in unpaid losses and LAE and unearned premiums.</w:t>
      </w:r>
    </w:p>
    <w:p>
      <w:pPr>
        <w:spacing w:after="0" w:line="14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six months ended June 30, 2021, net cash used by investing activities totaled $52,140 compared to $9,263 a year ago. In the first half of 2021, the Company invested excess cash generated from operations and the implementation of the intercompany reinsurance pooling agreement into longer term investments.</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six months ended June 30, 2021, net cash used by financing activities totaled $9,422 compared to $6,814 a year ago. The Company paid the first installment of $6,667 of the additional consideration for Westminster during the first quarter of 2021. The Company repurchased shares of its own common stock for $2,267 during the first half of 2021, compared to $6,783 during 2020.</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IPO, NI Holdings’ principal source of long-term liquidity will be dividend payments from its directly-owned subsidiaries.</w:t>
      </w:r>
    </w:p>
    <w:p>
      <w:pPr>
        <w:spacing w:after="0" w:line="15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amount available for payment of dividends from Nodak Insurance to us during 2021 without the prior approval of the North Dakota Insurance Department is approximately $21,628 based upon the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 power to limit or prohibit dividend payments if an insurance company is in violation of any law or regulation. These restrictions or any subsequently imposed restrictions may affect our future liquidity. No dividends were declared or paid by Nodak Insurance during the six months ended June 30, 2021. The Nodak Insurance Board of Directors declared and paid a $6,000 dividend to NI Holdings during the year ended December 31, 2020.</w:t>
      </w:r>
    </w:p>
    <w:p>
      <w:pPr>
        <w:spacing w:after="0" w:line="13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six months ended June 30, 2021 or the year ended December 31, 2020.</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six months ended June 30, 2021 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of recent accounting pronouncements, see Note 2 to the Unaudited Consolidated Financial Statements, included elsewhere in this Form 10-Q.</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assessment of market risk as of June 30, 2021 indicates there have been no material changes in the quantitative and qualitative disclosures from those in our Annual Report on Form 10-K for the year ended December 31, 2020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1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15d-15(b)) as of June 30, 2021. Based on that evaluation, the Chief Executive Officer and Chief Financial Officer have concluded that the Company’s current disclosure controls and procedures are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June 30, 2021, to which this report relates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our Annual Report on Form 10-K for the year ended December 31, 2020.</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except per share amounts, are in thousands.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1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IPO of 10,350,000 shares of common stock at a price of $10.00 per share. The Company received net proceeds of $93,145 from the offering, after deducting underwriting discounts and offering expenses. Griffin Financial Group, LLC acted as our placement agent in connection with the IPO.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was acquired on January 1, 2020 for a purchase price of $40,000, subject to certain adjustments. The Company paid $20,000 from the net proceeds from the IPO at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installment was paid during the first quarter of 2021. The Company anticipates using the net proceeds from the IPO to satisfy these obligations.</w:t>
      </w:r>
    </w:p>
    <w:p>
      <w:pPr>
        <w:spacing w:after="0" w:line="174"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From time to time, the Company may also repurchase its own stock. These repurchases may be used to satisfy its obligations under the equity incentive plans or may be done for other reasons. To date, the Company has used the net proceeds from the IPO to fund these buyback programs.</w:t>
      </w:r>
    </w:p>
    <w:p>
      <w:pPr>
        <w:spacing w:after="0" w:line="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 During the six months ended June 30, 2021, we repurchased an additional 118,531 shares of our common stock for $2,266.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of Shares That May Yet</w:t>
            </w: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Average Price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Part of Publicly</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Be Purchased Under the</w:t>
            </w:r>
          </w:p>
        </w:tc>
      </w:tr>
      <w:tr>
        <w:trPr>
          <w:trHeight w:val="219"/>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Paid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19"/>
                <w:szCs w:val="19"/>
                <w:color w:val="auto"/>
              </w:rPr>
            </w:pPr>
          </w:p>
        </w:tc>
        <w:tc>
          <w:tcPr>
            <w:tcW w:w="2100" w:type="dxa"/>
            <w:vAlign w:val="bottom"/>
            <w:gridSpan w:val="2"/>
          </w:tcPr>
          <w:p>
            <w:pPr>
              <w:jc w:val="center"/>
              <w:ind w:right="28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3500" w:type="dxa"/>
            <w:vAlign w:val="bottom"/>
          </w:tcPr>
          <w:p>
            <w:pPr>
              <w:ind w:left="1220"/>
              <w:spacing w:after="0"/>
              <w:rPr>
                <w:sz w:val="20"/>
                <w:szCs w:val="20"/>
                <w:color w:val="auto"/>
              </w:rPr>
            </w:pPr>
            <w:r>
              <w:rPr>
                <w:rFonts w:ascii="Arial" w:cs="Arial" w:eastAsia="Arial" w:hAnsi="Arial"/>
                <w:sz w:val="18"/>
                <w:szCs w:val="18"/>
                <w:color w:val="auto"/>
              </w:rPr>
              <w:t>Period in 2021</w:t>
            </w:r>
          </w:p>
        </w:tc>
        <w:tc>
          <w:tcPr>
            <w:tcW w:w="120" w:type="dxa"/>
            <w:vAlign w:val="bottom"/>
          </w:tcPr>
          <w:p>
            <w:pPr>
              <w:spacing w:after="0"/>
              <w:rPr>
                <w:sz w:val="23"/>
                <w:szCs w:val="2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Per Share</w:t>
            </w:r>
          </w:p>
        </w:tc>
        <w:tc>
          <w:tcPr>
            <w:tcW w:w="200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40" w:type="dxa"/>
            <w:vAlign w:val="bottom"/>
          </w:tcPr>
          <w:p>
            <w:pPr>
              <w:spacing w:after="0"/>
              <w:rPr>
                <w:sz w:val="23"/>
                <w:szCs w:val="23"/>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1-30, 2021</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May 1-31, 2021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19.26</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20,280</w:t>
            </w:r>
          </w:p>
        </w:tc>
        <w:tc>
          <w:tcPr>
            <w:tcW w:w="14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1,103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June 1-30, 2021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31,112</w:t>
            </w: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86,205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19.39</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86,205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right="620" w:hanging="499"/>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purchased pursuant to the May 4, 2020 publicly announced share repurchase authorization of up to approximately $10,000 of the Company’s outstanding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00" w:type="dxa"/>
            <w:vAlign w:val="bottom"/>
            <w:tcBorders>
              <w:bottom w:val="single" w:sz="8" w:color="auto"/>
            </w:tcBorders>
            <w:gridSpan w:val="4"/>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Pr>
          <w:p>
            <w:pPr>
              <w:ind w:left="180"/>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10000" w:type="dxa"/>
            <w:vAlign w:val="bottom"/>
            <w:gridSpan w:val="4"/>
          </w:tcPr>
          <w:p>
            <w:pPr>
              <w:ind w:left="20"/>
              <w:spacing w:after="0" w:line="169"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Certification of Principal Executive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020" w:type="dxa"/>
            <w:vAlign w:val="bottom"/>
          </w:tcPr>
          <w:p>
            <w:pPr>
              <w:ind w:left="1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2"/>
          </w:tcPr>
          <w:p>
            <w:pPr>
              <w:ind w:left="20"/>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tcPr>
          <w:p>
            <w:pPr>
              <w:ind w:left="20"/>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Adopted Pursuant to Section 302 of the Sarbanes-Oxley Act of 2002.</w:t>
              </w:r>
            </w:hyperlink>
          </w:p>
        </w:tc>
        <w:tc>
          <w:tcPr>
            <w:tcW w:w="5000" w:type="dxa"/>
            <w:vAlign w:val="bottom"/>
            <w:gridSpan w:val="3"/>
          </w:tcPr>
          <w:p>
            <w:pPr>
              <w:spacing w:after="0"/>
              <w:rPr>
                <w:sz w:val="17"/>
                <w:szCs w:val="17"/>
                <w:color w:val="auto"/>
              </w:rPr>
            </w:pPr>
          </w:p>
        </w:tc>
      </w:tr>
    </w:tbl>
    <w:p>
      <w:pPr>
        <w:spacing w:after="0" w:line="229" w:lineRule="exact"/>
        <w:rPr>
          <w:sz w:val="20"/>
          <w:szCs w:val="20"/>
          <w:color w:val="auto"/>
        </w:rPr>
      </w:pPr>
    </w:p>
    <w:p>
      <w:pPr>
        <w:ind w:left="1260" w:right="300" w:hanging="1072"/>
        <w:spacing w:after="0" w:line="277" w:lineRule="auto"/>
        <w:tabs>
          <w:tab w:leader="none" w:pos="1260" w:val="left"/>
        </w:tabs>
        <w:numPr>
          <w:ilvl w:val="0"/>
          <w:numId w:val="34"/>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0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rFonts w:ascii="Arial" w:cs="Arial" w:eastAsia="Arial" w:hAnsi="Arial"/>
          <w:sz w:val="18"/>
          <w:szCs w:val="18"/>
          <w:color w:val="auto"/>
        </w:rPr>
      </w:pPr>
    </w:p>
    <w:p>
      <w:pPr>
        <w:ind w:left="1260" w:hanging="1072"/>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4, 2021.</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J. Milius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J. Milius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Accounting Officer)</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3500"/>
              <w:spacing w:after="0"/>
              <w:rPr>
                <w:sz w:val="20"/>
                <w:szCs w:val="20"/>
                <w:color w:val="auto"/>
              </w:rPr>
            </w:pPr>
            <w:r>
              <w:rPr>
                <w:rFonts w:ascii="Arial" w:cs="Arial" w:eastAsia="Arial" w:hAnsi="Arial"/>
                <w:sz w:val="18"/>
                <w:szCs w:val="18"/>
                <w:color w:val="auto"/>
              </w:rPr>
              <w:t>August 4, 2021</w:t>
            </w:r>
          </w:p>
        </w:tc>
        <w:tc>
          <w:tcPr>
            <w:tcW w:w="78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240" w:type="dxa"/>
            <w:vAlign w:val="bottom"/>
          </w:tcPr>
          <w:p>
            <w:pPr>
              <w:spacing w:after="0"/>
              <w:rPr>
                <w:sz w:val="20"/>
                <w:szCs w:val="20"/>
                <w:color w:val="auto"/>
              </w:rPr>
            </w:pPr>
          </w:p>
        </w:tc>
      </w:tr>
      <w:tr>
        <w:trPr>
          <w:trHeight w:val="195"/>
        </w:trPr>
        <w:tc>
          <w:tcPr>
            <w:tcW w:w="5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1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24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40" w:type="dxa"/>
            <w:vAlign w:val="bottom"/>
          </w:tcPr>
          <w:p>
            <w:pPr>
              <w:spacing w:after="0"/>
              <w:rPr>
                <w:sz w:val="20"/>
                <w:szCs w:val="20"/>
                <w:color w:val="auto"/>
              </w:rPr>
            </w:pPr>
          </w:p>
        </w:tc>
      </w:tr>
      <w:tr>
        <w:trPr>
          <w:trHeight w:val="405"/>
        </w:trPr>
        <w:tc>
          <w:tcPr>
            <w:tcW w:w="508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3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2"/>
        </w:trPr>
        <w:tc>
          <w:tcPr>
            <w:tcW w:w="5080" w:type="dxa"/>
            <w:vAlign w:val="bottom"/>
            <w:tcBorders>
              <w:bottom w:val="single" w:sz="8" w:color="EEEEEE"/>
            </w:tcBorders>
          </w:tcPr>
          <w:p>
            <w:pPr>
              <w:spacing w:after="0"/>
              <w:rPr>
                <w:sz w:val="17"/>
                <w:szCs w:val="17"/>
                <w:color w:val="auto"/>
              </w:rPr>
            </w:pPr>
          </w:p>
        </w:tc>
        <w:tc>
          <w:tcPr>
            <w:tcW w:w="780" w:type="dxa"/>
            <w:vAlign w:val="bottom"/>
            <w:tcBorders>
              <w:bottom w:val="single" w:sz="8" w:color="EEEEEE"/>
            </w:tcBorders>
          </w:tcPr>
          <w:p>
            <w:pPr>
              <w:spacing w:after="0"/>
              <w:rPr>
                <w:sz w:val="17"/>
                <w:szCs w:val="17"/>
                <w:color w:val="auto"/>
              </w:rPr>
            </w:pPr>
          </w:p>
        </w:tc>
        <w:tc>
          <w:tcPr>
            <w:tcW w:w="3120" w:type="dxa"/>
            <w:vAlign w:val="bottom"/>
            <w:tcBorders>
              <w:bottom w:val="single" w:sz="8" w:color="EEEEEE"/>
            </w:tcBorders>
          </w:tcPr>
          <w:p>
            <w:pPr>
              <w:spacing w:after="0"/>
              <w:rPr>
                <w:sz w:val="17"/>
                <w:szCs w:val="17"/>
                <w:color w:val="auto"/>
              </w:rPr>
            </w:pPr>
          </w:p>
        </w:tc>
        <w:tc>
          <w:tcPr>
            <w:tcW w:w="22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Seth C. Daggett, certify that:</w:t>
      </w:r>
    </w:p>
    <w:p>
      <w:pPr>
        <w:spacing w:after="0" w:line="198"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988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2">
            <w:col w:w="5720" w:space="140"/>
            <w:col w:w="5380"/>
          </w:cols>
          <w:pgMar w:left="320" w:top="121"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June 30, 2021,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60" w:lineRule="exact"/>
        <w:rPr>
          <w:sz w:val="20"/>
          <w:szCs w:val="20"/>
          <w:color w:val="auto"/>
        </w:rPr>
      </w:pPr>
    </w:p>
    <w:p>
      <w:pPr>
        <w:ind w:left="1160" w:hanging="504"/>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160" w:right="420" w:hanging="504"/>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August 4,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4942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4942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113665</wp:posOffset>
            </wp:positionV>
            <wp:extent cx="7157720"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sectPr>
      <w:pgSz w:w="11900" w:h="16838" w:orient="portrait"/>
      <w:cols w:equalWidth="0" w:num="2">
        <w:col w:w="4340" w:space="720"/>
        <w:col w:w="618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0"/>
    </w:lvl>
  </w:abstractNum>
  <w:abstractNum w:abstractNumId="16">
    <w:nsid w:val="71F32454"/>
    <w:multiLevelType w:val="hybridMultilevel"/>
    <w:lvl w:ilvl="0">
      <w:lvlJc w:val="left"/>
      <w:lvlText w:val="%1."/>
      <w:numFmt w:val="decimal"/>
      <w:start w:val="1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2"/>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decimal"/>
      <w:start w:val="14"/>
    </w:lvl>
  </w:abstractNum>
  <w:abstractNum w:abstractNumId="21">
    <w:nsid w:val="8138641"/>
    <w:multiLevelType w:val="hybridMultilevel"/>
    <w:lvl w:ilvl="0">
      <w:lvlJc w:val="left"/>
      <w:lvlText w:val="%1."/>
      <w:numFmt w:val="decimal"/>
      <w:start w:val="15"/>
    </w:lvl>
  </w:abstractNum>
  <w:abstractNum w:abstractNumId="22">
    <w:nsid w:val="1E7FF521"/>
    <w:multiLevelType w:val="hybridMultilevel"/>
    <w:lvl w:ilvl="0">
      <w:lvlJc w:val="left"/>
      <w:lvlText w:val="%1."/>
      <w:numFmt w:val="decimal"/>
      <w:start w:val="16"/>
    </w:lvl>
  </w:abstractNum>
  <w:abstractNum w:abstractNumId="23">
    <w:nsid w:val="7C3DBD3D"/>
    <w:multiLevelType w:val="hybridMultilevel"/>
    <w:lvl w:ilvl="0">
      <w:lvlJc w:val="left"/>
      <w:lvlText w:val="%1."/>
      <w:numFmt w:val="decimal"/>
      <w:start w:val="17"/>
    </w:lvl>
  </w:abstractNum>
  <w:abstractNum w:abstractNumId="24">
    <w:nsid w:val="737B8DDC"/>
    <w:multiLevelType w:val="hybridMultilevel"/>
    <w:lvl w:ilvl="0">
      <w:lvlJc w:val="left"/>
      <w:lvlText w:val="%1."/>
      <w:numFmt w:val="decimal"/>
      <w:start w:val="18"/>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9"/>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32"/>
    </w:lvl>
  </w:abstractNum>
  <w:abstractNum w:abstractNumId="34">
    <w:nsid w:val="3804823E"/>
    <w:multiLevelType w:val="hybridMultilevel"/>
    <w:lvl w:ilvl="0">
      <w:lvlJc w:val="left"/>
      <w:lvlText w:val="%1"/>
      <w:numFmt w:val="decimal"/>
      <w:start w:val="10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2021-08-04T16:15:49Z</dcterms:created>
  <dcterms:modified xsi:type="dcterms:W3CDTF">2021-08-04T16:15:49Z</dcterms:modified>
</cp:coreProperties>
</file>