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151130</wp:posOffset>
            </wp:positionH>
            <wp:positionV relativeFrom="page">
              <wp:posOffset>151130</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167005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t>UNITED STATES</w:t>
      </w:r>
    </w:p>
    <w:p>
      <w:pPr>
        <w:spacing w:after="0" w:line="28"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SECURITIES AND EXCHANGE COMMISSION</w:t>
      </w:r>
    </w:p>
    <w:p>
      <w:pPr>
        <w:spacing w:after="0" w:line="12"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2593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45"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259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73" w:lineRule="exact"/>
        <w:rPr>
          <w:sz w:val="24"/>
          <w:szCs w:val="24"/>
          <w:color w:val="auto"/>
        </w:rPr>
      </w:pPr>
    </w:p>
    <w:p>
      <w:pPr>
        <w:ind w:left="2" w:right="2520" w:hanging="2"/>
        <w:spacing w:after="0" w:line="292" w:lineRule="auto"/>
        <w:tabs>
          <w:tab w:leader="none" w:pos="59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2018</w:t>
      </w:r>
    </w:p>
    <w:p>
      <w:pPr>
        <w:spacing w:after="0" w:line="67" w:lineRule="exact"/>
        <w:rPr>
          <w:sz w:val="24"/>
          <w:szCs w:val="24"/>
          <w:color w:val="auto"/>
        </w:rPr>
      </w:pPr>
    </w:p>
    <w:p>
      <w:pPr>
        <w:ind w:left="582" w:hanging="582"/>
        <w:spacing w:after="0"/>
        <w:tabs>
          <w:tab w:leader="none" w:pos="58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 w:lineRule="exact"/>
        <w:rPr>
          <w:sz w:val="24"/>
          <w:szCs w:val="24"/>
          <w:color w:val="auto"/>
        </w:rPr>
      </w:pPr>
    </w:p>
    <w:tbl>
      <w:tblPr>
        <w:tblLayout w:type="fixed"/>
        <w:tblInd w:w="2"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20" w:type="dxa"/>
            <w:vAlign w:val="bottom"/>
            <w:gridSpan w:val="5"/>
          </w:tcPr>
          <w:p>
            <w:pPr>
              <w:ind w:left="40"/>
              <w:spacing w:after="0"/>
              <w:rPr>
                <w:sz w:val="20"/>
                <w:szCs w:val="20"/>
                <w:color w:val="auto"/>
              </w:rPr>
            </w:pPr>
            <w:r>
              <w:rPr>
                <w:rFonts w:ascii="Arial" w:cs="Arial" w:eastAsia="Arial" w:hAnsi="Arial"/>
                <w:sz w:val="16"/>
                <w:szCs w:val="16"/>
                <w:b w:val="1"/>
                <w:bCs w:val="1"/>
                <w:color w:val="auto"/>
              </w:rPr>
              <w:t>to</w:t>
            </w:r>
          </w:p>
        </w:tc>
        <w:tc>
          <w:tcPr>
            <w:tcW w:w="3640" w:type="dxa"/>
            <w:vAlign w:val="bottom"/>
          </w:tcPr>
          <w:p>
            <w:pPr>
              <w:spacing w:after="0"/>
              <w:rPr>
                <w:sz w:val="16"/>
                <w:szCs w:val="16"/>
                <w:color w:val="auto"/>
              </w:rPr>
            </w:pPr>
          </w:p>
        </w:tc>
      </w:tr>
      <w:tr>
        <w:trPr>
          <w:trHeight w:val="311"/>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Commission file number 001-37973</w:t>
            </w:r>
          </w:p>
        </w:tc>
        <w:tc>
          <w:tcPr>
            <w:tcW w:w="3640" w:type="dxa"/>
            <w:vAlign w:val="bottom"/>
          </w:tcPr>
          <w:p>
            <w:pPr>
              <w:spacing w:after="0"/>
              <w:rPr>
                <w:sz w:val="24"/>
                <w:szCs w:val="24"/>
                <w:color w:val="auto"/>
              </w:rPr>
            </w:pPr>
          </w:p>
        </w:tc>
      </w:tr>
      <w:tr>
        <w:trPr>
          <w:trHeight w:val="29"/>
        </w:trPr>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319"/>
        </w:trPr>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80" w:type="dxa"/>
            <w:vAlign w:val="bottom"/>
            <w:gridSpan w:val="3"/>
          </w:tcPr>
          <w:p>
            <w:pPr>
              <w:jc w:val="center"/>
              <w:spacing w:after="0"/>
              <w:rPr>
                <w:sz w:val="20"/>
                <w:szCs w:val="20"/>
                <w:color w:val="auto"/>
              </w:rPr>
            </w:pPr>
            <w:r>
              <w:rPr>
                <w:rFonts w:ascii="Arial" w:cs="Arial" w:eastAsia="Arial" w:hAnsi="Arial"/>
                <w:sz w:val="16"/>
                <w:szCs w:val="16"/>
                <w:b w:val="1"/>
                <w:bCs w:val="1"/>
                <w:color w:val="auto"/>
              </w:rPr>
              <w:t>NI HOLDINGS, INC.</w:t>
            </w:r>
          </w:p>
        </w:tc>
        <w:tc>
          <w:tcPr>
            <w:tcW w:w="3640" w:type="dxa"/>
            <w:vAlign w:val="bottom"/>
          </w:tcPr>
          <w:p>
            <w:pPr>
              <w:spacing w:after="0"/>
              <w:rPr>
                <w:sz w:val="24"/>
                <w:szCs w:val="24"/>
                <w:color w:val="auto"/>
              </w:rPr>
            </w:pPr>
          </w:p>
        </w:tc>
      </w:tr>
      <w:tr>
        <w:trPr>
          <w:trHeight w:val="212"/>
        </w:trPr>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3640" w:type="dxa"/>
            <w:vAlign w:val="bottom"/>
          </w:tcPr>
          <w:p>
            <w:pPr>
              <w:spacing w:after="0"/>
              <w:rPr>
                <w:sz w:val="18"/>
                <w:szCs w:val="18"/>
                <w:color w:val="auto"/>
              </w:rPr>
            </w:pPr>
          </w:p>
        </w:tc>
      </w:tr>
      <w:tr>
        <w:trPr>
          <w:trHeight w:val="210"/>
        </w:trPr>
        <w:tc>
          <w:tcPr>
            <w:tcW w:w="2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393"/>
        </w:trPr>
        <w:tc>
          <w:tcPr>
            <w:tcW w:w="2120" w:type="dxa"/>
            <w:vAlign w:val="bottom"/>
          </w:tcPr>
          <w:p>
            <w:pPr>
              <w:spacing w:after="0"/>
              <w:rPr>
                <w:sz w:val="24"/>
                <w:szCs w:val="24"/>
                <w:color w:val="auto"/>
              </w:rPr>
            </w:pPr>
          </w:p>
        </w:tc>
        <w:tc>
          <w:tcPr>
            <w:tcW w:w="5660" w:type="dxa"/>
            <w:vAlign w:val="bottom"/>
            <w:gridSpan w:val="7"/>
          </w:tcPr>
          <w:p>
            <w:pPr>
              <w:jc w:val="center"/>
              <w:ind w:right="4280"/>
              <w:spacing w:after="0"/>
              <w:rPr>
                <w:sz w:val="20"/>
                <w:szCs w:val="20"/>
                <w:color w:val="auto"/>
              </w:rPr>
            </w:pPr>
            <w:r>
              <w:rPr>
                <w:rFonts w:ascii="Arial" w:cs="Arial" w:eastAsia="Arial" w:hAnsi="Arial"/>
                <w:sz w:val="16"/>
                <w:szCs w:val="16"/>
                <w:b w:val="1"/>
                <w:bCs w:val="1"/>
                <w:color w:val="auto"/>
              </w:rPr>
              <w:t>NORTH DAKOTA</w:t>
            </w:r>
          </w:p>
        </w:tc>
        <w:tc>
          <w:tcPr>
            <w:tcW w:w="3640" w:type="dxa"/>
            <w:vAlign w:val="bottom"/>
          </w:tcPr>
          <w:p>
            <w:pPr>
              <w:jc w:val="right"/>
              <w:ind w:right="2258"/>
              <w:spacing w:after="0"/>
              <w:rPr>
                <w:sz w:val="20"/>
                <w:szCs w:val="20"/>
                <w:color w:val="auto"/>
              </w:rPr>
            </w:pPr>
            <w:r>
              <w:rPr>
                <w:rFonts w:ascii="Arial" w:cs="Arial" w:eastAsia="Arial" w:hAnsi="Arial"/>
                <w:sz w:val="16"/>
                <w:szCs w:val="16"/>
                <w:b w:val="1"/>
                <w:bCs w:val="1"/>
                <w:color w:val="auto"/>
              </w:rPr>
              <w:t>81-2683619</w:t>
            </w:r>
          </w:p>
        </w:tc>
      </w:tr>
      <w:tr>
        <w:trPr>
          <w:trHeight w:val="196"/>
        </w:trPr>
        <w:tc>
          <w:tcPr>
            <w:tcW w:w="7780" w:type="dxa"/>
            <w:vAlign w:val="bottom"/>
            <w:gridSpan w:val="8"/>
          </w:tcPr>
          <w:p>
            <w:pPr>
              <w:jc w:val="center"/>
              <w:ind w:right="2180"/>
              <w:spacing w:after="0"/>
              <w:rPr>
                <w:sz w:val="20"/>
                <w:szCs w:val="20"/>
                <w:color w:val="auto"/>
              </w:rPr>
            </w:pPr>
            <w:r>
              <w:rPr>
                <w:rFonts w:ascii="Arial" w:cs="Arial" w:eastAsia="Arial" w:hAnsi="Arial"/>
                <w:sz w:val="16"/>
                <w:szCs w:val="16"/>
                <w:b w:val="1"/>
                <w:bCs w:val="1"/>
                <w:color w:val="auto"/>
                <w:w w:val="92"/>
              </w:rPr>
              <w:t>(State or other jurisdiction of</w:t>
            </w:r>
          </w:p>
        </w:tc>
        <w:tc>
          <w:tcPr>
            <w:tcW w:w="3640" w:type="dxa"/>
            <w:vAlign w:val="bottom"/>
          </w:tcPr>
          <w:p>
            <w:pPr>
              <w:jc w:val="center"/>
              <w:ind w:right="1738"/>
              <w:spacing w:after="0"/>
              <w:rPr>
                <w:sz w:val="20"/>
                <w:szCs w:val="20"/>
                <w:color w:val="auto"/>
              </w:rPr>
            </w:pPr>
            <w:r>
              <w:rPr>
                <w:rFonts w:ascii="Arial" w:cs="Arial" w:eastAsia="Arial" w:hAnsi="Arial"/>
                <w:sz w:val="16"/>
                <w:szCs w:val="16"/>
                <w:b w:val="1"/>
                <w:bCs w:val="1"/>
                <w:color w:val="auto"/>
                <w:w w:val="96"/>
              </w:rPr>
              <w:t>(IRS Employer</w:t>
            </w:r>
          </w:p>
        </w:tc>
      </w:tr>
      <w:tr>
        <w:trPr>
          <w:trHeight w:val="212"/>
        </w:trPr>
        <w:tc>
          <w:tcPr>
            <w:tcW w:w="7780" w:type="dxa"/>
            <w:vAlign w:val="bottom"/>
            <w:gridSpan w:val="8"/>
          </w:tcPr>
          <w:p>
            <w:pPr>
              <w:jc w:val="center"/>
              <w:ind w:right="2180"/>
              <w:spacing w:after="0"/>
              <w:rPr>
                <w:sz w:val="20"/>
                <w:szCs w:val="20"/>
                <w:color w:val="auto"/>
              </w:rPr>
            </w:pPr>
            <w:r>
              <w:rPr>
                <w:rFonts w:ascii="Arial" w:cs="Arial" w:eastAsia="Arial" w:hAnsi="Arial"/>
                <w:sz w:val="16"/>
                <w:szCs w:val="16"/>
                <w:b w:val="1"/>
                <w:bCs w:val="1"/>
                <w:color w:val="auto"/>
                <w:w w:val="92"/>
              </w:rPr>
              <w:t>incorporation or organization)</w:t>
            </w:r>
          </w:p>
        </w:tc>
        <w:tc>
          <w:tcPr>
            <w:tcW w:w="3640" w:type="dxa"/>
            <w:vAlign w:val="bottom"/>
          </w:tcPr>
          <w:p>
            <w:pPr>
              <w:jc w:val="center"/>
              <w:ind w:right="1758"/>
              <w:spacing w:after="0"/>
              <w:rPr>
                <w:sz w:val="20"/>
                <w:szCs w:val="20"/>
                <w:color w:val="auto"/>
              </w:rPr>
            </w:pPr>
            <w:r>
              <w:rPr>
                <w:rFonts w:ascii="Arial" w:cs="Arial" w:eastAsia="Arial" w:hAnsi="Arial"/>
                <w:sz w:val="16"/>
                <w:szCs w:val="16"/>
                <w:b w:val="1"/>
                <w:bCs w:val="1"/>
                <w:color w:val="auto"/>
                <w:w w:val="94"/>
              </w:rPr>
              <w:t>Identification No.)</w:t>
            </w:r>
          </w:p>
        </w:tc>
      </w:tr>
      <w:tr>
        <w:trPr>
          <w:trHeight w:val="377"/>
        </w:trPr>
        <w:tc>
          <w:tcPr>
            <w:tcW w:w="7780" w:type="dxa"/>
            <w:vAlign w:val="bottom"/>
            <w:gridSpan w:val="8"/>
          </w:tcPr>
          <w:p>
            <w:pPr>
              <w:jc w:val="center"/>
              <w:ind w:right="2180"/>
              <w:spacing w:after="0"/>
              <w:rPr>
                <w:sz w:val="20"/>
                <w:szCs w:val="20"/>
                <w:color w:val="auto"/>
              </w:rPr>
            </w:pPr>
            <w:r>
              <w:rPr>
                <w:rFonts w:ascii="Arial" w:cs="Arial" w:eastAsia="Arial" w:hAnsi="Arial"/>
                <w:sz w:val="16"/>
                <w:szCs w:val="16"/>
                <w:b w:val="1"/>
                <w:bCs w:val="1"/>
                <w:color w:val="auto"/>
                <w:w w:val="93"/>
              </w:rPr>
              <w:t>1101 First Avenue North</w:t>
            </w:r>
          </w:p>
        </w:tc>
        <w:tc>
          <w:tcPr>
            <w:tcW w:w="3640" w:type="dxa"/>
            <w:vAlign w:val="bottom"/>
          </w:tcPr>
          <w:p>
            <w:pPr>
              <w:spacing w:after="0"/>
              <w:rPr>
                <w:sz w:val="24"/>
                <w:szCs w:val="24"/>
                <w:color w:val="auto"/>
              </w:rPr>
            </w:pPr>
          </w:p>
        </w:tc>
      </w:tr>
      <w:tr>
        <w:trPr>
          <w:trHeight w:val="196"/>
        </w:trPr>
        <w:tc>
          <w:tcPr>
            <w:tcW w:w="7780" w:type="dxa"/>
            <w:vAlign w:val="bottom"/>
            <w:gridSpan w:val="8"/>
          </w:tcPr>
          <w:p>
            <w:pPr>
              <w:jc w:val="center"/>
              <w:ind w:right="2180"/>
              <w:spacing w:after="0"/>
              <w:rPr>
                <w:sz w:val="20"/>
                <w:szCs w:val="20"/>
                <w:color w:val="auto"/>
              </w:rPr>
            </w:pPr>
            <w:r>
              <w:rPr>
                <w:rFonts w:ascii="Arial" w:cs="Arial" w:eastAsia="Arial" w:hAnsi="Arial"/>
                <w:sz w:val="16"/>
                <w:szCs w:val="16"/>
                <w:b w:val="1"/>
                <w:bCs w:val="1"/>
                <w:color w:val="auto"/>
                <w:w w:val="96"/>
              </w:rPr>
              <w:t>Fargo, North Dakota</w:t>
            </w:r>
          </w:p>
        </w:tc>
        <w:tc>
          <w:tcPr>
            <w:tcW w:w="3640" w:type="dxa"/>
            <w:vAlign w:val="bottom"/>
          </w:tcPr>
          <w:p>
            <w:pPr>
              <w:jc w:val="right"/>
              <w:ind w:right="2438"/>
              <w:spacing w:after="0"/>
              <w:rPr>
                <w:sz w:val="20"/>
                <w:szCs w:val="20"/>
                <w:color w:val="auto"/>
              </w:rPr>
            </w:pPr>
            <w:r>
              <w:rPr>
                <w:rFonts w:ascii="Arial" w:cs="Arial" w:eastAsia="Arial" w:hAnsi="Arial"/>
                <w:sz w:val="16"/>
                <w:szCs w:val="16"/>
                <w:b w:val="1"/>
                <w:bCs w:val="1"/>
                <w:color w:val="auto"/>
              </w:rPr>
              <w:t>58102</w:t>
            </w:r>
          </w:p>
        </w:tc>
      </w:tr>
      <w:tr>
        <w:trPr>
          <w:trHeight w:val="212"/>
        </w:trPr>
        <w:tc>
          <w:tcPr>
            <w:tcW w:w="7780" w:type="dxa"/>
            <w:vAlign w:val="bottom"/>
            <w:gridSpan w:val="8"/>
          </w:tcPr>
          <w:p>
            <w:pPr>
              <w:jc w:val="center"/>
              <w:ind w:right="2180"/>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3640" w:type="dxa"/>
            <w:vAlign w:val="bottom"/>
          </w:tcPr>
          <w:p>
            <w:pPr>
              <w:jc w:val="center"/>
              <w:ind w:right="1758"/>
              <w:spacing w:after="0"/>
              <w:rPr>
                <w:sz w:val="20"/>
                <w:szCs w:val="20"/>
                <w:color w:val="auto"/>
              </w:rPr>
            </w:pPr>
            <w:r>
              <w:rPr>
                <w:rFonts w:ascii="Arial" w:cs="Arial" w:eastAsia="Arial" w:hAnsi="Arial"/>
                <w:sz w:val="16"/>
                <w:szCs w:val="16"/>
                <w:b w:val="1"/>
                <w:bCs w:val="1"/>
                <w:color w:val="auto"/>
                <w:w w:val="96"/>
              </w:rPr>
              <w:t>(Zip Code)</w:t>
            </w:r>
          </w:p>
        </w:tc>
      </w:tr>
      <w:tr>
        <w:trPr>
          <w:trHeight w:val="316"/>
        </w:trPr>
        <w:tc>
          <w:tcPr>
            <w:tcW w:w="2120" w:type="dxa"/>
            <w:vAlign w:val="bottom"/>
          </w:tcPr>
          <w:p>
            <w:pPr>
              <w:spacing w:after="0"/>
              <w:rPr>
                <w:sz w:val="24"/>
                <w:szCs w:val="24"/>
                <w:color w:val="auto"/>
              </w:rPr>
            </w:pPr>
          </w:p>
        </w:tc>
        <w:tc>
          <w:tcPr>
            <w:tcW w:w="4120" w:type="dxa"/>
            <w:vAlign w:val="bottom"/>
            <w:gridSpan w:val="5"/>
          </w:tcPr>
          <w:p>
            <w:pPr>
              <w:jc w:val="center"/>
              <w:ind w:left="2978"/>
              <w:spacing w:after="0"/>
              <w:rPr>
                <w:sz w:val="20"/>
                <w:szCs w:val="20"/>
                <w:color w:val="auto"/>
              </w:rPr>
            </w:pPr>
            <w:r>
              <w:rPr>
                <w:rFonts w:ascii="Arial" w:cs="Arial" w:eastAsia="Arial" w:hAnsi="Arial"/>
                <w:sz w:val="16"/>
                <w:szCs w:val="16"/>
                <w:b w:val="1"/>
                <w:bCs w:val="1"/>
                <w:color w:val="auto"/>
                <w:w w:val="93"/>
              </w:rPr>
              <w:t>(701) 298-4200</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40" w:type="dxa"/>
            <w:vAlign w:val="bottom"/>
          </w:tcPr>
          <w:p>
            <w:pPr>
              <w:spacing w:after="0"/>
              <w:rPr>
                <w:sz w:val="18"/>
                <w:szCs w:val="18"/>
                <w:color w:val="auto"/>
              </w:rPr>
            </w:pPr>
          </w:p>
        </w:tc>
      </w:tr>
    </w:tbl>
    <w:p>
      <w:pPr>
        <w:spacing w:after="0" w:line="119"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Not Applicable</w:t>
      </w:r>
    </w:p>
    <w:p>
      <w:pPr>
        <w:spacing w:after="0" w:line="28"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93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53" w:lineRule="exact"/>
        <w:rPr>
          <w:sz w:val="24"/>
          <w:szCs w:val="24"/>
          <w:color w:val="auto"/>
        </w:rPr>
      </w:pPr>
    </w:p>
    <w:p>
      <w:pPr>
        <w:ind w:left="2" w:right="100"/>
        <w:spacing w:after="0" w:line="27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
        <w:spacing w:after="0" w:line="184" w:lineRule="exact"/>
        <w:tabs>
          <w:tab w:leader="none" w:pos="1021" w:val="left"/>
        </w:tabs>
        <w:rPr>
          <w:sz w:val="20"/>
          <w:szCs w:val="20"/>
          <w:color w:val="auto"/>
        </w:rPr>
      </w:pPr>
      <w:r>
        <w:rPr>
          <w:rFonts w:ascii="Arial" w:cs="Arial" w:eastAsia="Arial" w:hAnsi="Arial"/>
          <w:sz w:val="16"/>
          <w:szCs w:val="16"/>
          <w:color w:val="auto"/>
        </w:rPr>
        <w:t xml:space="preserve">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tab/>
        <w:t>No o</w:t>
      </w:r>
    </w:p>
    <w:p>
      <w:pPr>
        <w:spacing w:after="0" w:line="127" w:lineRule="exact"/>
        <w:rPr>
          <w:sz w:val="24"/>
          <w:szCs w:val="24"/>
          <w:color w:val="auto"/>
        </w:rPr>
      </w:pPr>
    </w:p>
    <w:p>
      <w:pPr>
        <w:jc w:val="both"/>
        <w:ind w:left="2" w:right="240"/>
        <w:spacing w:after="0" w:line="20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No o</w:t>
      </w:r>
    </w:p>
    <w:p>
      <w:pPr>
        <w:spacing w:after="0" w:line="107" w:lineRule="exact"/>
        <w:rPr>
          <w:sz w:val="24"/>
          <w:szCs w:val="24"/>
          <w:color w:val="auto"/>
        </w:rPr>
      </w:pPr>
    </w:p>
    <w:p>
      <w:pPr>
        <w:ind w:left="2" w:right="220"/>
        <w:spacing w:after="0" w:line="271" w:lineRule="auto"/>
        <w:rPr>
          <w:sz w:val="20"/>
          <w:szCs w:val="20"/>
          <w:color w:val="auto"/>
        </w:rPr>
      </w:pPr>
      <w:r>
        <w:rPr>
          <w:rFonts w:ascii="Arial" w:cs="Arial" w:eastAsia="Arial" w:hAnsi="Arial"/>
          <w:sz w:val="16"/>
          <w:szCs w:val="16"/>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2"/>
          </w:cols>
          <w:pgMar w:left="238" w:top="270" w:right="239" w:bottom="1440" w:gutter="0" w:footer="0" w:header="0"/>
        </w:sectPr>
      </w:pPr>
    </w:p>
    <w:p>
      <w:pPr>
        <w:spacing w:after="0" w:line="174" w:lineRule="exact"/>
        <w:rPr>
          <w:sz w:val="24"/>
          <w:szCs w:val="24"/>
          <w:color w:val="auto"/>
        </w:rPr>
      </w:pPr>
    </w:p>
    <w:p>
      <w:pPr>
        <w:ind w:left="2"/>
        <w:spacing w:after="0"/>
        <w:rPr>
          <w:sz w:val="20"/>
          <w:szCs w:val="20"/>
          <w:color w:val="auto"/>
        </w:rPr>
      </w:pPr>
      <w:r>
        <w:rPr>
          <w:rFonts w:ascii="Arial" w:cs="Arial" w:eastAsia="Arial" w:hAnsi="Arial"/>
          <w:sz w:val="16"/>
          <w:szCs w:val="16"/>
          <w:color w:val="auto"/>
        </w:rPr>
        <w:t>Large accelerated filer</w:t>
      </w:r>
    </w:p>
    <w:p>
      <w:pPr>
        <w:spacing w:after="0" w:line="25" w:lineRule="exact"/>
        <w:rPr>
          <w:sz w:val="24"/>
          <w:szCs w:val="24"/>
          <w:color w:val="auto"/>
        </w:rPr>
      </w:pPr>
    </w:p>
    <w:p>
      <w:pPr>
        <w:ind w:left="2"/>
        <w:spacing w:after="0"/>
        <w:rPr>
          <w:sz w:val="20"/>
          <w:szCs w:val="20"/>
          <w:color w:val="auto"/>
        </w:rPr>
      </w:pPr>
      <w:r>
        <w:rPr>
          <w:rFonts w:ascii="Arial" w:cs="Arial" w:eastAsia="Arial" w:hAnsi="Arial"/>
          <w:sz w:val="16"/>
          <w:szCs w:val="16"/>
          <w:color w:val="auto"/>
        </w:rPr>
        <w:t>Accelerated filer</w:t>
      </w:r>
    </w:p>
    <w:p>
      <w:pPr>
        <w:spacing w:after="0" w:line="25" w:lineRule="exact"/>
        <w:rPr>
          <w:sz w:val="24"/>
          <w:szCs w:val="24"/>
          <w:color w:val="auto"/>
        </w:rPr>
      </w:pPr>
    </w:p>
    <w:p>
      <w:pPr>
        <w:ind w:left="2"/>
        <w:spacing w:after="0"/>
        <w:rPr>
          <w:sz w:val="20"/>
          <w:szCs w:val="20"/>
          <w:color w:val="auto"/>
        </w:rPr>
      </w:pPr>
      <w:r>
        <w:rPr>
          <w:rFonts w:ascii="Arial" w:cs="Arial" w:eastAsia="Arial" w:hAnsi="Arial"/>
          <w:sz w:val="16"/>
          <w:szCs w:val="16"/>
          <w:color w:val="auto"/>
        </w:rPr>
        <w:t>Non-accelerated filer</w:t>
      </w:r>
    </w:p>
    <w:p>
      <w:pPr>
        <w:spacing w:after="0" w:line="25" w:lineRule="exact"/>
        <w:rPr>
          <w:sz w:val="24"/>
          <w:szCs w:val="24"/>
          <w:color w:val="auto"/>
        </w:rPr>
      </w:pPr>
    </w:p>
    <w:p>
      <w:pPr>
        <w:ind w:left="2"/>
        <w:spacing w:after="0"/>
        <w:rPr>
          <w:sz w:val="20"/>
          <w:szCs w:val="20"/>
          <w:color w:val="auto"/>
        </w:rPr>
      </w:pPr>
      <w:r>
        <w:rPr>
          <w:rFonts w:ascii="Arial" w:cs="Arial" w:eastAsia="Arial" w:hAnsi="Arial"/>
          <w:sz w:val="14"/>
          <w:szCs w:val="14"/>
          <w:color w:val="auto"/>
        </w:rPr>
        <w:t>Smaller reporting company</w:t>
      </w:r>
    </w:p>
    <w:p>
      <w:pPr>
        <w:spacing w:after="0" w:line="48" w:lineRule="exact"/>
        <w:rPr>
          <w:sz w:val="24"/>
          <w:szCs w:val="24"/>
          <w:color w:val="auto"/>
        </w:rPr>
      </w:pPr>
    </w:p>
    <w:p>
      <w:pPr>
        <w:ind w:left="2"/>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2">
            <w:col w:w="2842" w:space="720"/>
            <w:col w:w="7860"/>
          </w:cols>
          <w:pgMar w:left="238" w:top="270" w:right="239" w:bottom="1440" w:gutter="0" w:footer="0" w:header="0"/>
          <w:type w:val="continuous"/>
        </w:sectPr>
      </w:pPr>
    </w:p>
    <w:p>
      <w:pPr>
        <w:spacing w:after="0" w:line="9" w:lineRule="exact"/>
        <w:rPr>
          <w:sz w:val="24"/>
          <w:szCs w:val="24"/>
          <w:color w:val="auto"/>
        </w:rPr>
      </w:pPr>
    </w:p>
    <w:p>
      <w:pPr>
        <w:ind w:left="2" w:right="60"/>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2"/>
        <w:spacing w:after="0" w:line="184" w:lineRule="exact"/>
        <w:tabs>
          <w:tab w:leader="none" w:pos="8041" w:val="left"/>
        </w:tabs>
        <w:rPr>
          <w:sz w:val="20"/>
          <w:szCs w:val="20"/>
          <w:color w:val="auto"/>
        </w:rPr>
      </w:pPr>
      <w:r>
        <w:rPr>
          <w:rFonts w:ascii="Arial" w:cs="Arial" w:eastAsia="Arial" w:hAnsi="Arial"/>
          <w:sz w:val="16"/>
          <w:szCs w:val="16"/>
          <w:color w:val="auto"/>
        </w:rPr>
        <w:t>Indicate by checkmark whether the registrant is a shell company (as defined in Rule 12b-2 of the Exchange Act).  o Yes</w:t>
        <w:tab/>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ind w:left="2"/>
        <w:spacing w:after="0"/>
        <w:rPr>
          <w:sz w:val="20"/>
          <w:szCs w:val="20"/>
          <w:color w:val="auto"/>
        </w:rPr>
      </w:pPr>
      <w:r>
        <w:rPr>
          <w:rFonts w:ascii="Arial" w:cs="Arial" w:eastAsia="Arial" w:hAnsi="Arial"/>
          <w:sz w:val="16"/>
          <w:szCs w:val="16"/>
          <w:color w:val="auto"/>
        </w:rPr>
        <w:t>The number of shares of Registrant’s common stock outstanding on November 13, 2018 was 22,359,844.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7259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8"/>
        <w:spacing w:after="0"/>
        <w:rPr>
          <w:sz w:val="20"/>
          <w:szCs w:val="20"/>
          <w:color w:val="auto"/>
        </w:rPr>
      </w:pPr>
      <w:r>
        <w:rPr>
          <w:rFonts w:ascii="Arial" w:cs="Arial" w:eastAsia="Arial" w:hAnsi="Arial"/>
          <w:sz w:val="16"/>
          <w:szCs w:val="16"/>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7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0" w:type="dxa"/>
            <w:vAlign w:val="bottom"/>
            <w:gridSpan w:val="6"/>
          </w:tcPr>
          <w:p>
            <w:pPr>
              <w:ind w:left="80"/>
              <w:spacing w:after="0"/>
              <w:rPr>
                <w:sz w:val="20"/>
                <w:szCs w:val="20"/>
                <w:color w:val="auto"/>
              </w:rPr>
            </w:pPr>
            <w:r>
              <w:rPr>
                <w:rFonts w:ascii="Arial" w:cs="Arial" w:eastAsia="Arial" w:hAnsi="Arial"/>
                <w:sz w:val="16"/>
                <w:szCs w:val="16"/>
                <w:b w:val="1"/>
                <w:bCs w:val="1"/>
                <w:color w:val="auto"/>
              </w:rPr>
              <w:t>TABLE OF CONTENTS</w:t>
            </w:r>
          </w:p>
        </w:tc>
        <w:tc>
          <w:tcPr>
            <w:tcW w:w="2280" w:type="dxa"/>
            <w:vAlign w:val="bottom"/>
          </w:tcPr>
          <w:p>
            <w:pPr>
              <w:spacing w:after="0"/>
              <w:rPr>
                <w:sz w:val="18"/>
                <w:szCs w:val="18"/>
                <w:color w:val="auto"/>
              </w:rPr>
            </w:pPr>
          </w:p>
        </w:tc>
      </w:tr>
      <w:tr>
        <w:trPr>
          <w:trHeight w:val="320"/>
        </w:trPr>
        <w:tc>
          <w:tcPr>
            <w:tcW w:w="9160" w:type="dxa"/>
            <w:vAlign w:val="bottom"/>
            <w:gridSpan w:val="23"/>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Part I. - FINANCIAL INFORMATION</w:t>
              </w:r>
            </w:hyperlink>
          </w:p>
        </w:tc>
        <w:tc>
          <w:tcPr>
            <w:tcW w:w="2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6"/>
        </w:trPr>
        <w:tc>
          <w:tcPr>
            <w:tcW w:w="58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gridSpan w:val="10"/>
          </w:tcPr>
          <w:p>
            <w:pPr>
              <w:spacing w:after="0"/>
              <w:rPr>
                <w:rFonts w:ascii="Arial" w:cs="Arial" w:eastAsia="Arial" w:hAnsi="Arial"/>
                <w:sz w:val="16"/>
                <w:szCs w:val="16"/>
                <w:color w:val="0000EE"/>
                <w:w w:val="93"/>
              </w:rPr>
            </w:pPr>
            <w:hyperlink w:anchor="page5">
              <w:r>
                <w:rPr>
                  <w:rFonts w:ascii="Arial" w:cs="Arial" w:eastAsia="Arial" w:hAnsi="Arial"/>
                  <w:sz w:val="16"/>
                  <w:szCs w:val="16"/>
                  <w:color w:val="0000EE"/>
                  <w:w w:val="93"/>
                </w:rPr>
                <w:t>Item 1. - Financial Statements</w:t>
              </w:r>
            </w:hyperlink>
          </w:p>
        </w:tc>
        <w:tc>
          <w:tcPr>
            <w:tcW w:w="6580" w:type="dxa"/>
            <w:vAlign w:val="bottom"/>
            <w:gridSpan w:val="12"/>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Borders>
              <w:bottom w:val="single" w:sz="8" w:color="0000EE"/>
            </w:tcBorders>
            <w:gridSpan w:val="11"/>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Unaudited Consolidated Balance Sheets</w:t>
              </w:r>
            </w:hyperlink>
          </w:p>
        </w:tc>
        <w:tc>
          <w:tcPr>
            <w:tcW w:w="5360" w:type="dxa"/>
            <w:vAlign w:val="bottom"/>
            <w:gridSpan w:val="9"/>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60" w:type="dxa"/>
            <w:vAlign w:val="bottom"/>
            <w:tcBorders>
              <w:bottom w:val="single" w:sz="8" w:color="0000EE"/>
            </w:tcBorders>
            <w:gridSpan w:val="12"/>
          </w:tcPr>
          <w:p>
            <w:pPr>
              <w:spacing w:after="0" w:line="176" w:lineRule="exact"/>
              <w:rPr>
                <w:rFonts w:ascii="Arial" w:cs="Arial" w:eastAsia="Arial" w:hAnsi="Arial"/>
                <w:sz w:val="16"/>
                <w:szCs w:val="16"/>
                <w:color w:val="0000EE"/>
                <w:w w:val="90"/>
              </w:rPr>
            </w:pPr>
            <w:hyperlink w:anchor="page6">
              <w:r>
                <w:rPr>
                  <w:rFonts w:ascii="Arial" w:cs="Arial" w:eastAsia="Arial" w:hAnsi="Arial"/>
                  <w:sz w:val="16"/>
                  <w:szCs w:val="16"/>
                  <w:color w:val="0000EE"/>
                  <w:w w:val="90"/>
                </w:rPr>
                <w:t>Unaudited Consolidated Statements of Operations</w:t>
              </w:r>
            </w:hyperlink>
          </w:p>
        </w:tc>
        <w:tc>
          <w:tcPr>
            <w:tcW w:w="4700" w:type="dxa"/>
            <w:vAlign w:val="bottom"/>
            <w:gridSpan w:val="8"/>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4</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60" w:type="dxa"/>
            <w:vAlign w:val="bottom"/>
            <w:tcBorders>
              <w:bottom w:val="single" w:sz="8" w:color="0000EE"/>
            </w:tcBorders>
            <w:gridSpan w:val="18"/>
          </w:tcPr>
          <w:p>
            <w:pPr>
              <w:spacing w:after="0" w:line="176" w:lineRule="exact"/>
              <w:rPr>
                <w:rFonts w:ascii="Arial" w:cs="Arial" w:eastAsia="Arial" w:hAnsi="Arial"/>
                <w:sz w:val="16"/>
                <w:szCs w:val="16"/>
                <w:color w:val="0000EE"/>
                <w:w w:val="91"/>
              </w:rPr>
            </w:pPr>
            <w:hyperlink w:anchor="page7">
              <w:r>
                <w:rPr>
                  <w:rFonts w:ascii="Arial" w:cs="Arial" w:eastAsia="Arial" w:hAnsi="Arial"/>
                  <w:sz w:val="16"/>
                  <w:szCs w:val="16"/>
                  <w:color w:val="0000EE"/>
                  <w:w w:val="91"/>
                </w:rPr>
                <w:t>Unaudited Consolidated Statements of Comprehensive Income (Loss)</w:t>
              </w:r>
            </w:hyperlink>
          </w:p>
        </w:tc>
        <w:tc>
          <w:tcPr>
            <w:tcW w:w="3400" w:type="dxa"/>
            <w:vAlign w:val="bottom"/>
            <w:gridSpan w:val="2"/>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5</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960" w:type="dxa"/>
            <w:vAlign w:val="bottom"/>
            <w:gridSpan w:val="20"/>
          </w:tcPr>
          <w:p>
            <w:pPr>
              <w:spacing w:after="0" w:line="176" w:lineRule="exact"/>
              <w:rPr>
                <w:rFonts w:ascii="Arial" w:cs="Arial" w:eastAsia="Arial" w:hAnsi="Arial"/>
                <w:sz w:val="16"/>
                <w:szCs w:val="16"/>
                <w:color w:val="0000EE"/>
              </w:rPr>
            </w:pPr>
            <w:hyperlink w:anchor="page8">
              <w:r>
                <w:rPr>
                  <w:rFonts w:ascii="Arial" w:cs="Arial" w:eastAsia="Arial" w:hAnsi="Arial"/>
                  <w:sz w:val="16"/>
                  <w:szCs w:val="16"/>
                  <w:color w:val="0000EE"/>
                </w:rPr>
                <w:t>Unaudited Consolidated Statements of Changes in Equity</w:t>
              </w:r>
            </w:hyperlink>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40" w:type="dxa"/>
            <w:vAlign w:val="bottom"/>
            <w:tcBorders>
              <w:top w:val="single" w:sz="8" w:color="0000EE"/>
            </w:tcBorders>
            <w:gridSpan w:val="15"/>
          </w:tcPr>
          <w:p>
            <w:pPr>
              <w:spacing w:after="0" w:line="176" w:lineRule="exact"/>
              <w:rPr>
                <w:rFonts w:ascii="Arial" w:cs="Arial" w:eastAsia="Arial" w:hAnsi="Arial"/>
                <w:sz w:val="16"/>
                <w:szCs w:val="16"/>
                <w:color w:val="0000EE"/>
              </w:rPr>
            </w:pPr>
            <w:hyperlink w:anchor="page10">
              <w:r>
                <w:rPr>
                  <w:rFonts w:ascii="Arial" w:cs="Arial" w:eastAsia="Arial" w:hAnsi="Arial"/>
                  <w:sz w:val="16"/>
                  <w:szCs w:val="16"/>
                  <w:color w:val="0000EE"/>
                </w:rPr>
                <w:t>Unaudited Consolidated Statements of Cash Flows</w:t>
              </w:r>
            </w:hyperlink>
          </w:p>
        </w:tc>
        <w:tc>
          <w:tcPr>
            <w:tcW w:w="4220" w:type="dxa"/>
            <w:vAlign w:val="bottom"/>
            <w:gridSpan w:val="5"/>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8</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960" w:type="dxa"/>
            <w:vAlign w:val="bottom"/>
            <w:gridSpan w:val="20"/>
          </w:tcPr>
          <w:p>
            <w:pPr>
              <w:spacing w:after="0" w:line="176" w:lineRule="exact"/>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9</w:t>
            </w:r>
          </w:p>
        </w:tc>
      </w:tr>
      <w:tr>
        <w:trPr>
          <w:trHeight w:val="20"/>
        </w:trPr>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73"/>
        </w:trPr>
        <w:tc>
          <w:tcPr>
            <w:tcW w:w="580" w:type="dxa"/>
            <w:vAlign w:val="bottom"/>
          </w:tcPr>
          <w:p>
            <w:pPr>
              <w:spacing w:after="0"/>
              <w:rPr>
                <w:sz w:val="24"/>
                <w:szCs w:val="24"/>
                <w:color w:val="auto"/>
              </w:rPr>
            </w:pPr>
          </w:p>
        </w:tc>
        <w:tc>
          <w:tcPr>
            <w:tcW w:w="6480" w:type="dxa"/>
            <w:vAlign w:val="bottom"/>
            <w:tcBorders>
              <w:bottom w:val="single" w:sz="8" w:color="0000EE"/>
            </w:tcBorders>
            <w:gridSpan w:val="21"/>
          </w:tcPr>
          <w:p>
            <w:pPr>
              <w:spacing w:after="0"/>
              <w:rPr>
                <w:rFonts w:ascii="Arial" w:cs="Arial" w:eastAsia="Arial" w:hAnsi="Arial"/>
                <w:sz w:val="16"/>
                <w:szCs w:val="16"/>
                <w:color w:val="0000EE"/>
                <w:w w:val="93"/>
              </w:rPr>
            </w:pPr>
            <w:hyperlink w:anchor="page39">
              <w:r>
                <w:rPr>
                  <w:rFonts w:ascii="Arial" w:cs="Arial" w:eastAsia="Arial" w:hAnsi="Arial"/>
                  <w:sz w:val="16"/>
                  <w:szCs w:val="16"/>
                  <w:color w:val="0000EE"/>
                  <w:w w:val="93"/>
                </w:rPr>
                <w:t>Item 2. - Management’s Discussion and Analysis of Financial Condition and Results of Operations</w:t>
              </w:r>
            </w:hyperlink>
          </w:p>
        </w:tc>
        <w:tc>
          <w:tcPr>
            <w:tcW w:w="2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76"/>
        </w:trPr>
        <w:tc>
          <w:tcPr>
            <w:tcW w:w="580" w:type="dxa"/>
            <w:vAlign w:val="bottom"/>
          </w:tcPr>
          <w:p>
            <w:pPr>
              <w:spacing w:after="0"/>
              <w:rPr>
                <w:sz w:val="15"/>
                <w:szCs w:val="15"/>
                <w:color w:val="auto"/>
              </w:rPr>
            </w:pPr>
          </w:p>
        </w:tc>
        <w:tc>
          <w:tcPr>
            <w:tcW w:w="4520" w:type="dxa"/>
            <w:vAlign w:val="bottom"/>
            <w:tcBorders>
              <w:bottom w:val="single" w:sz="8" w:color="0000EE"/>
            </w:tcBorders>
            <w:gridSpan w:val="18"/>
          </w:tcPr>
          <w:p>
            <w:pPr>
              <w:spacing w:after="0" w:line="176" w:lineRule="exact"/>
              <w:rPr>
                <w:rFonts w:ascii="Arial" w:cs="Arial" w:eastAsia="Arial" w:hAnsi="Arial"/>
                <w:sz w:val="16"/>
                <w:szCs w:val="16"/>
                <w:color w:val="0000EE"/>
                <w:w w:val="93"/>
              </w:rPr>
            </w:pPr>
            <w:hyperlink w:anchor="page63">
              <w:r>
                <w:rPr>
                  <w:rFonts w:ascii="Arial" w:cs="Arial" w:eastAsia="Arial" w:hAnsi="Arial"/>
                  <w:sz w:val="16"/>
                  <w:szCs w:val="16"/>
                  <w:color w:val="0000EE"/>
                  <w:w w:val="93"/>
                </w:rPr>
                <w:t>Item 3. - Quantitative and Qualitative Disclosures about Market Risk</w:t>
              </w:r>
            </w:hyperlink>
          </w:p>
        </w:tc>
        <w:tc>
          <w:tcPr>
            <w:tcW w:w="4060" w:type="dxa"/>
            <w:vAlign w:val="bottom"/>
            <w:gridSpan w:val="4"/>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r>
      <w:tr>
        <w:trPr>
          <w:trHeight w:val="176"/>
        </w:trPr>
        <w:tc>
          <w:tcPr>
            <w:tcW w:w="580" w:type="dxa"/>
            <w:vAlign w:val="bottom"/>
          </w:tcPr>
          <w:p>
            <w:pPr>
              <w:spacing w:after="0"/>
              <w:rPr>
                <w:sz w:val="15"/>
                <w:szCs w:val="15"/>
                <w:color w:val="auto"/>
              </w:rPr>
            </w:pPr>
          </w:p>
        </w:tc>
        <w:tc>
          <w:tcPr>
            <w:tcW w:w="8580" w:type="dxa"/>
            <w:vAlign w:val="bottom"/>
            <w:gridSpan w:val="22"/>
          </w:tcPr>
          <w:p>
            <w:pPr>
              <w:spacing w:after="0" w:line="176" w:lineRule="exact"/>
              <w:rPr>
                <w:rFonts w:ascii="Arial" w:cs="Arial" w:eastAsia="Arial" w:hAnsi="Arial"/>
                <w:sz w:val="16"/>
                <w:szCs w:val="16"/>
                <w:color w:val="0000EE"/>
              </w:rPr>
            </w:pPr>
            <w:hyperlink w:anchor="page63">
              <w:r>
                <w:rPr>
                  <w:rFonts w:ascii="Arial" w:cs="Arial" w:eastAsia="Arial" w:hAnsi="Arial"/>
                  <w:sz w:val="16"/>
                  <w:szCs w:val="16"/>
                  <w:color w:val="0000EE"/>
                </w:rPr>
                <w:t>Item 4. - Controls and Procedures</w:t>
              </w:r>
            </w:hyperlink>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r>
      <w:tr>
        <w:trPr>
          <w:trHeight w:val="20"/>
        </w:trPr>
        <w:tc>
          <w:tcPr>
            <w:tcW w:w="6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36"/>
        </w:trPr>
        <w:tc>
          <w:tcPr>
            <w:tcW w:w="9160" w:type="dxa"/>
            <w:vAlign w:val="bottom"/>
            <w:gridSpan w:val="23"/>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Part II. - OTHER INFORMATION</w:t>
              </w:r>
            </w:hyperlink>
          </w:p>
        </w:tc>
        <w:tc>
          <w:tcPr>
            <w:tcW w:w="22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182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64">
              <w:r>
                <w:rPr>
                  <w:rFonts w:ascii="Arial" w:cs="Arial" w:eastAsia="Arial" w:hAnsi="Arial"/>
                  <w:sz w:val="16"/>
                  <w:szCs w:val="16"/>
                  <w:color w:val="0000EE"/>
                  <w:w w:val="91"/>
                </w:rPr>
                <w:t>Item 1. - Legal Proceedings</w:t>
              </w:r>
            </w:hyperlink>
          </w:p>
        </w:tc>
        <w:tc>
          <w:tcPr>
            <w:tcW w:w="6760" w:type="dxa"/>
            <w:vAlign w:val="bottom"/>
            <w:gridSpan w:val="14"/>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76"/>
        </w:trPr>
        <w:tc>
          <w:tcPr>
            <w:tcW w:w="580" w:type="dxa"/>
            <w:vAlign w:val="bottom"/>
          </w:tcPr>
          <w:p>
            <w:pPr>
              <w:spacing w:after="0"/>
              <w:rPr>
                <w:sz w:val="15"/>
                <w:szCs w:val="15"/>
                <w:color w:val="auto"/>
              </w:rPr>
            </w:pPr>
          </w:p>
        </w:tc>
        <w:tc>
          <w:tcPr>
            <w:tcW w:w="8580" w:type="dxa"/>
            <w:vAlign w:val="bottom"/>
            <w:gridSpan w:val="22"/>
          </w:tcPr>
          <w:p>
            <w:pPr>
              <w:spacing w:after="0" w:line="176" w:lineRule="exact"/>
              <w:rPr>
                <w:rFonts w:ascii="Arial" w:cs="Arial" w:eastAsia="Arial" w:hAnsi="Arial"/>
                <w:sz w:val="16"/>
                <w:szCs w:val="16"/>
                <w:color w:val="0000EE"/>
              </w:rPr>
            </w:pPr>
            <w:hyperlink w:anchor="page64">
              <w:r>
                <w:rPr>
                  <w:rFonts w:ascii="Arial" w:cs="Arial" w:eastAsia="Arial" w:hAnsi="Arial"/>
                  <w:sz w:val="16"/>
                  <w:szCs w:val="16"/>
                  <w:color w:val="0000EE"/>
                </w:rPr>
                <w:t>Item 1A. - Risk Factors</w:t>
              </w:r>
            </w:hyperlink>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r>
      <w:tr>
        <w:trPr>
          <w:trHeight w:val="20"/>
        </w:trPr>
        <w:tc>
          <w:tcPr>
            <w:tcW w:w="5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580" w:type="dxa"/>
            <w:vAlign w:val="bottom"/>
          </w:tcPr>
          <w:p>
            <w:pPr>
              <w:spacing w:after="0"/>
              <w:rPr>
                <w:sz w:val="15"/>
                <w:szCs w:val="15"/>
                <w:color w:val="auto"/>
              </w:rPr>
            </w:pPr>
          </w:p>
        </w:tc>
        <w:tc>
          <w:tcPr>
            <w:tcW w:w="4560" w:type="dxa"/>
            <w:vAlign w:val="bottom"/>
            <w:tcBorders>
              <w:bottom w:val="single" w:sz="8" w:color="0000EE"/>
            </w:tcBorders>
            <w:gridSpan w:val="19"/>
          </w:tcPr>
          <w:p>
            <w:pPr>
              <w:spacing w:after="0" w:line="176" w:lineRule="exact"/>
              <w:rPr>
                <w:rFonts w:ascii="Arial" w:cs="Arial" w:eastAsia="Arial" w:hAnsi="Arial"/>
                <w:sz w:val="16"/>
                <w:szCs w:val="16"/>
                <w:color w:val="0000EE"/>
                <w:w w:val="91"/>
              </w:rPr>
            </w:pPr>
            <w:hyperlink w:anchor="page64">
              <w:r>
                <w:rPr>
                  <w:rFonts w:ascii="Arial" w:cs="Arial" w:eastAsia="Arial" w:hAnsi="Arial"/>
                  <w:sz w:val="16"/>
                  <w:szCs w:val="16"/>
                  <w:color w:val="0000EE"/>
                  <w:w w:val="91"/>
                </w:rPr>
                <w:t>Item 2. - Unregistered Sales of Equity Securities and Use of Proceeds</w:t>
              </w:r>
            </w:hyperlink>
          </w:p>
        </w:tc>
        <w:tc>
          <w:tcPr>
            <w:tcW w:w="4020" w:type="dxa"/>
            <w:vAlign w:val="bottom"/>
            <w:gridSpan w:val="3"/>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62</w:t>
            </w:r>
          </w:p>
        </w:tc>
      </w:tr>
      <w:tr>
        <w:trPr>
          <w:trHeight w:val="176"/>
        </w:trPr>
        <w:tc>
          <w:tcPr>
            <w:tcW w:w="580" w:type="dxa"/>
            <w:vAlign w:val="bottom"/>
          </w:tcPr>
          <w:p>
            <w:pPr>
              <w:spacing w:after="0"/>
              <w:rPr>
                <w:sz w:val="15"/>
                <w:szCs w:val="15"/>
                <w:color w:val="auto"/>
              </w:rPr>
            </w:pPr>
          </w:p>
        </w:tc>
        <w:tc>
          <w:tcPr>
            <w:tcW w:w="8580" w:type="dxa"/>
            <w:vAlign w:val="bottom"/>
            <w:gridSpan w:val="22"/>
          </w:tcPr>
          <w:p>
            <w:pPr>
              <w:spacing w:after="0" w:line="176" w:lineRule="exact"/>
              <w:rPr>
                <w:rFonts w:ascii="Arial" w:cs="Arial" w:eastAsia="Arial" w:hAnsi="Arial"/>
                <w:sz w:val="16"/>
                <w:szCs w:val="16"/>
                <w:color w:val="0000EE"/>
              </w:rPr>
            </w:pPr>
            <w:hyperlink w:anchor="page65">
              <w:r>
                <w:rPr>
                  <w:rFonts w:ascii="Arial" w:cs="Arial" w:eastAsia="Arial" w:hAnsi="Arial"/>
                  <w:sz w:val="16"/>
                  <w:szCs w:val="16"/>
                  <w:color w:val="0000EE"/>
                </w:rPr>
                <w:t>Item 3. - Defaults upon Senior Securities</w:t>
              </w:r>
            </w:hyperlink>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r>
      <w:tr>
        <w:trPr>
          <w:trHeight w:val="176"/>
        </w:trPr>
        <w:tc>
          <w:tcPr>
            <w:tcW w:w="58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1"/>
          </w:tcPr>
          <w:p>
            <w:pPr>
              <w:spacing w:after="0" w:line="176" w:lineRule="exact"/>
              <w:rPr>
                <w:rFonts w:ascii="Arial" w:cs="Arial" w:eastAsia="Arial" w:hAnsi="Arial"/>
                <w:sz w:val="16"/>
                <w:szCs w:val="16"/>
                <w:color w:val="0000EE"/>
                <w:w w:val="93"/>
              </w:rPr>
            </w:pPr>
            <w:hyperlink w:anchor="page65">
              <w:r>
                <w:rPr>
                  <w:rFonts w:ascii="Arial" w:cs="Arial" w:eastAsia="Arial" w:hAnsi="Arial"/>
                  <w:sz w:val="16"/>
                  <w:szCs w:val="16"/>
                  <w:color w:val="0000EE"/>
                  <w:w w:val="93"/>
                </w:rPr>
                <w:t>Item 4. - Mine Safety Disclosures</w:t>
              </w:r>
            </w:hyperlink>
          </w:p>
        </w:tc>
        <w:tc>
          <w:tcPr>
            <w:tcW w:w="460" w:type="dxa"/>
            <w:vAlign w:val="bottom"/>
            <w:tcBorders>
              <w:top w:val="single" w:sz="8" w:color="0000EE"/>
            </w:tcBorders>
          </w:tcPr>
          <w:p>
            <w:pPr>
              <w:spacing w:after="0"/>
              <w:rPr>
                <w:sz w:val="15"/>
                <w:szCs w:val="15"/>
                <w:color w:val="auto"/>
              </w:rPr>
            </w:pPr>
          </w:p>
        </w:tc>
        <w:tc>
          <w:tcPr>
            <w:tcW w:w="5900" w:type="dxa"/>
            <w:vAlign w:val="bottom"/>
            <w:gridSpan w:val="10"/>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r>
      <w:tr>
        <w:trPr>
          <w:trHeight w:val="176"/>
        </w:trPr>
        <w:tc>
          <w:tcPr>
            <w:tcW w:w="580" w:type="dxa"/>
            <w:vAlign w:val="bottom"/>
          </w:tcPr>
          <w:p>
            <w:pPr>
              <w:spacing w:after="0"/>
              <w:rPr>
                <w:sz w:val="15"/>
                <w:szCs w:val="15"/>
                <w:color w:val="auto"/>
              </w:rPr>
            </w:pPr>
          </w:p>
        </w:tc>
        <w:tc>
          <w:tcPr>
            <w:tcW w:w="1800" w:type="dxa"/>
            <w:vAlign w:val="bottom"/>
            <w:tcBorders>
              <w:bottom w:val="single" w:sz="8" w:color="0000EE"/>
            </w:tcBorders>
            <w:gridSpan w:val="7"/>
          </w:tcPr>
          <w:p>
            <w:pPr>
              <w:spacing w:after="0" w:line="176" w:lineRule="exact"/>
              <w:rPr>
                <w:rFonts w:ascii="Arial" w:cs="Arial" w:eastAsia="Arial" w:hAnsi="Arial"/>
                <w:sz w:val="16"/>
                <w:szCs w:val="16"/>
                <w:color w:val="0000EE"/>
                <w:w w:val="94"/>
              </w:rPr>
            </w:pPr>
            <w:hyperlink w:anchor="page65">
              <w:r>
                <w:rPr>
                  <w:rFonts w:ascii="Arial" w:cs="Arial" w:eastAsia="Arial" w:hAnsi="Arial"/>
                  <w:sz w:val="16"/>
                  <w:szCs w:val="16"/>
                  <w:color w:val="0000EE"/>
                  <w:w w:val="94"/>
                </w:rPr>
                <w:t>Item 5. - Other Information</w:t>
              </w:r>
            </w:hyperlink>
          </w:p>
        </w:tc>
        <w:tc>
          <w:tcPr>
            <w:tcW w:w="6780" w:type="dxa"/>
            <w:vAlign w:val="bottom"/>
            <w:gridSpan w:val="15"/>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r>
      <w:tr>
        <w:trPr>
          <w:trHeight w:val="176"/>
        </w:trPr>
        <w:tc>
          <w:tcPr>
            <w:tcW w:w="580" w:type="dxa"/>
            <w:vAlign w:val="bottom"/>
          </w:tcPr>
          <w:p>
            <w:pPr>
              <w:spacing w:after="0"/>
              <w:rPr>
                <w:sz w:val="15"/>
                <w:szCs w:val="15"/>
                <w:color w:val="auto"/>
              </w:rPr>
            </w:pPr>
          </w:p>
        </w:tc>
        <w:tc>
          <w:tcPr>
            <w:tcW w:w="1160" w:type="dxa"/>
            <w:vAlign w:val="bottom"/>
            <w:tcBorders>
              <w:bottom w:val="single" w:sz="8" w:color="0000EE"/>
            </w:tcBorders>
            <w:gridSpan w:val="4"/>
          </w:tcPr>
          <w:p>
            <w:pPr>
              <w:spacing w:after="0" w:line="176" w:lineRule="exact"/>
              <w:rPr>
                <w:rFonts w:ascii="Arial" w:cs="Arial" w:eastAsia="Arial" w:hAnsi="Arial"/>
                <w:sz w:val="16"/>
                <w:szCs w:val="16"/>
                <w:color w:val="0000EE"/>
                <w:w w:val="95"/>
              </w:rPr>
            </w:pPr>
            <w:hyperlink w:anchor="page65">
              <w:r>
                <w:rPr>
                  <w:rFonts w:ascii="Arial" w:cs="Arial" w:eastAsia="Arial" w:hAnsi="Arial"/>
                  <w:sz w:val="16"/>
                  <w:szCs w:val="16"/>
                  <w:color w:val="0000EE"/>
                  <w:w w:val="95"/>
                </w:rPr>
                <w:t>Item 6. - Exhibits</w:t>
              </w:r>
            </w:hyperlink>
          </w:p>
        </w:tc>
        <w:tc>
          <w:tcPr>
            <w:tcW w:w="7420" w:type="dxa"/>
            <w:vAlign w:val="bottom"/>
            <w:gridSpan w:val="18"/>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63</w:t>
            </w:r>
          </w:p>
        </w:tc>
      </w:tr>
      <w:tr>
        <w:trPr>
          <w:trHeight w:val="176"/>
        </w:trPr>
        <w:tc>
          <w:tcPr>
            <w:tcW w:w="580" w:type="dxa"/>
            <w:vAlign w:val="bottom"/>
          </w:tcPr>
          <w:p>
            <w:pPr>
              <w:spacing w:after="0"/>
              <w:rPr>
                <w:sz w:val="15"/>
                <w:szCs w:val="15"/>
                <w:color w:val="auto"/>
              </w:rPr>
            </w:pPr>
          </w:p>
        </w:tc>
        <w:tc>
          <w:tcPr>
            <w:tcW w:w="700" w:type="dxa"/>
            <w:vAlign w:val="bottom"/>
            <w:tcBorders>
              <w:bottom w:val="single" w:sz="8" w:color="0000EE"/>
            </w:tcBorders>
            <w:gridSpan w:val="3"/>
          </w:tcPr>
          <w:p>
            <w:pPr>
              <w:spacing w:after="0" w:line="176" w:lineRule="exact"/>
              <w:rPr>
                <w:rFonts w:ascii="Arial" w:cs="Arial" w:eastAsia="Arial" w:hAnsi="Arial"/>
                <w:sz w:val="16"/>
                <w:szCs w:val="16"/>
                <w:color w:val="0000EE"/>
                <w:w w:val="88"/>
              </w:rPr>
            </w:pPr>
            <w:hyperlink w:anchor="page66">
              <w:r>
                <w:rPr>
                  <w:rFonts w:ascii="Arial" w:cs="Arial" w:eastAsia="Arial" w:hAnsi="Arial"/>
                  <w:sz w:val="16"/>
                  <w:szCs w:val="16"/>
                  <w:color w:val="0000EE"/>
                  <w:w w:val="88"/>
                </w:rPr>
                <w:t>Signatures</w:t>
              </w:r>
            </w:hyperlink>
          </w:p>
        </w:tc>
        <w:tc>
          <w:tcPr>
            <w:tcW w:w="7880" w:type="dxa"/>
            <w:vAlign w:val="bottom"/>
            <w:gridSpan w:val="19"/>
          </w:tcPr>
          <w:p>
            <w:pPr>
              <w:spacing w:after="0"/>
              <w:rPr>
                <w:sz w:val="15"/>
                <w:szCs w:val="15"/>
                <w:color w:val="auto"/>
              </w:rPr>
            </w:pPr>
          </w:p>
        </w:tc>
        <w:tc>
          <w:tcPr>
            <w:tcW w:w="2280" w:type="dxa"/>
            <w:vAlign w:val="bottom"/>
          </w:tcPr>
          <w:p>
            <w:pPr>
              <w:jc w:val="right"/>
              <w:spacing w:after="0" w:line="176" w:lineRule="exact"/>
              <w:rPr>
                <w:sz w:val="20"/>
                <w:szCs w:val="20"/>
                <w:color w:val="auto"/>
              </w:rPr>
            </w:pPr>
            <w:r>
              <w:rPr>
                <w:rFonts w:ascii="Arial" w:cs="Arial" w:eastAsia="Arial" w:hAnsi="Arial"/>
                <w:sz w:val="16"/>
                <w:szCs w:val="16"/>
                <w:color w:val="auto"/>
              </w:rPr>
              <w:t>64</w:t>
            </w:r>
          </w:p>
        </w:tc>
      </w:tr>
    </w:tbl>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40"/>
          </w:cols>
          <w:pgMar w:left="240" w:top="638" w:right="219" w:bottom="1440" w:gutter="0" w:footer="0" w:header="0"/>
        </w:sectPr>
      </w:pPr>
    </w:p>
    <w:bookmarkStart w:id="2" w:name="page3"/>
    <w:bookmarkEnd w:id="2"/>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CERTAIN IMPORTANT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as used in this quarterly report on Form 10-Q:</w:t>
      </w:r>
    </w:p>
    <w:p>
      <w:pPr>
        <w:spacing w:after="0" w:line="172" w:lineRule="exact"/>
        <w:rPr>
          <w:sz w:val="20"/>
          <w:szCs w:val="20"/>
          <w:color w:val="auto"/>
        </w:rPr>
      </w:pPr>
    </w:p>
    <w:p>
      <w:pPr>
        <w:ind w:left="580" w:right="180" w:hanging="287"/>
        <w:spacing w:after="0" w:line="26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“NI Holdings”, “the Company”, “we”, “us”, and “our” refer to NI Holdings, Inc., together with Nodak Insurance and its subsidiaries and its affiliate (Battle Creek Mutual Insurance Company) and Direct Auto Insurance Company (acquired August 31, 2018), for periods discussed after completion of the conversion, and for periods discussed prior to completion of the conversion refer to Nodak Mutual Insurance Company and all of its subsidiaries and Battle Creek Mutual Insurance Company;</w:t>
      </w:r>
    </w:p>
    <w:p>
      <w:pPr>
        <w:spacing w:after="0" w:line="141"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Mutual Group” refers to Nodak Mutual Group, Inc., which is the majority shareholder of NI Holdings;</w:t>
      </w:r>
    </w:p>
    <w:p>
      <w:pPr>
        <w:spacing w:after="0" w:line="171" w:lineRule="exact"/>
        <w:rPr>
          <w:rFonts w:ascii="Arial" w:cs="Arial" w:eastAsia="Arial" w:hAnsi="Arial"/>
          <w:sz w:val="16"/>
          <w:szCs w:val="16"/>
          <w:color w:val="auto"/>
        </w:rPr>
      </w:pPr>
    </w:p>
    <w:p>
      <w:pPr>
        <w:ind w:left="580" w:right="160" w:hanging="287"/>
        <w:spacing w:after="0" w:line="27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24"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Stock” refers to Nodak Insurance Company, the successor company to Nodak Mutual Insurance Company after the conversion;</w:t>
      </w:r>
    </w:p>
    <w:p>
      <w:pPr>
        <w:spacing w:after="0" w:line="183"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Mutual” refers to Nodak Mutual Insurance Company, the predecessor company to Nodak Insurance Company prior to the conversion;</w:t>
      </w:r>
    </w:p>
    <w:p>
      <w:pPr>
        <w:spacing w:after="0" w:line="171"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“Nodak Insurance” refers to Nodak Stock or Nodak Mutual interchangeably;</w:t>
      </w:r>
    </w:p>
    <w:p>
      <w:pPr>
        <w:spacing w:after="0" w:line="171" w:lineRule="exact"/>
        <w:rPr>
          <w:rFonts w:ascii="Arial" w:cs="Arial" w:eastAsia="Arial" w:hAnsi="Arial"/>
          <w:sz w:val="16"/>
          <w:szCs w:val="16"/>
          <w:color w:val="auto"/>
        </w:rPr>
      </w:pPr>
    </w:p>
    <w:p>
      <w:pPr>
        <w:ind w:left="580" w:hanging="287"/>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refers to the policyholders of Nodak Insurance, who are the named insureds under insurance policies issued by Nodak Insurance;</w:t>
      </w:r>
    </w:p>
    <w:p>
      <w:pPr>
        <w:spacing w:after="0" w:line="183" w:lineRule="exact"/>
        <w:rPr>
          <w:rFonts w:ascii="Arial" w:cs="Arial" w:eastAsia="Arial" w:hAnsi="Arial"/>
          <w:sz w:val="16"/>
          <w:szCs w:val="16"/>
          <w:color w:val="auto"/>
        </w:rPr>
      </w:pPr>
    </w:p>
    <w:p>
      <w:pPr>
        <w:ind w:left="580" w:right="80" w:hanging="287"/>
        <w:spacing w:after="0" w:line="297"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 and</w:t>
      </w:r>
    </w:p>
    <w:p>
      <w:pPr>
        <w:spacing w:after="0" w:line="107" w:lineRule="exact"/>
        <w:rPr>
          <w:rFonts w:ascii="Arial" w:cs="Arial" w:eastAsia="Arial" w:hAnsi="Arial"/>
          <w:sz w:val="15"/>
          <w:szCs w:val="15"/>
          <w:color w:val="auto"/>
        </w:rPr>
      </w:pPr>
    </w:p>
    <w:p>
      <w:pPr>
        <w:ind w:left="580" w:right="80" w:hanging="287"/>
        <w:spacing w:after="0" w:line="27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“Direct Auto” refers to Direct Auto Insurance Company. On August 31, 2018, NI Holdings completed the acquisition of 100% of the common stock of Direct Auto from private shareholders. Direct Auto became a consolidated subsidiary of NI Holdings on this date. Direct Auto is a property and casualty insurance company specializing in non-standard automobile insurance in the state of Illinois.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13" w:lineRule="exact"/>
        <w:rPr>
          <w:sz w:val="20"/>
          <w:szCs w:val="20"/>
          <w:color w:val="auto"/>
        </w:rPr>
      </w:pPr>
    </w:p>
    <w:p>
      <w:pPr>
        <w:ind w:left="880" w:hanging="293"/>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statements of goals, intentions and expectations;</w:t>
      </w:r>
    </w:p>
    <w:p>
      <w:pPr>
        <w:spacing w:after="0" w:line="183" w:lineRule="exact"/>
        <w:rPr>
          <w:rFonts w:ascii="Arial" w:cs="Arial" w:eastAsia="Arial" w:hAnsi="Arial"/>
          <w:sz w:val="16"/>
          <w:szCs w:val="16"/>
          <w:color w:val="auto"/>
        </w:rPr>
      </w:pPr>
    </w:p>
    <w:p>
      <w:pPr>
        <w:ind w:left="880" w:hanging="293"/>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statements regarding prospects and business strategy; and</w:t>
      </w:r>
    </w:p>
    <w:p>
      <w:pPr>
        <w:spacing w:after="0" w:line="171" w:lineRule="exact"/>
        <w:rPr>
          <w:rFonts w:ascii="Arial" w:cs="Arial" w:eastAsia="Arial" w:hAnsi="Arial"/>
          <w:sz w:val="16"/>
          <w:szCs w:val="16"/>
          <w:color w:val="auto"/>
        </w:rPr>
      </w:pPr>
    </w:p>
    <w:p>
      <w:pPr>
        <w:ind w:left="880" w:hanging="293"/>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future costs, benefits and results.</w:t>
      </w:r>
    </w:p>
    <w:p>
      <w:pPr>
        <w:spacing w:after="0" w:line="17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All of these factors are difficult to predict and many are beyond our control. These important factors include those discussed under “Risk Factors” and those listed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60" w:lineRule="exact"/>
        <w:rPr>
          <w:sz w:val="20"/>
          <w:szCs w:val="20"/>
          <w:color w:val="auto"/>
        </w:rPr>
      </w:pPr>
    </w:p>
    <w:p>
      <w:pPr>
        <w:ind w:left="880" w:hanging="293"/>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material changes to the federal crop insurance program;</w:t>
      </w:r>
    </w:p>
    <w:p>
      <w:pPr>
        <w:spacing w:after="0" w:line="171" w:lineRule="exact"/>
        <w:rPr>
          <w:rFonts w:ascii="Arial" w:cs="Arial" w:eastAsia="Arial" w:hAnsi="Arial"/>
          <w:sz w:val="16"/>
          <w:szCs w:val="16"/>
          <w:color w:val="auto"/>
        </w:rPr>
      </w:pPr>
    </w:p>
    <w:p>
      <w:pPr>
        <w:ind w:left="880" w:hanging="293"/>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economic conditions in the markets in which we compete that are less favorable than expected;</w:t>
      </w:r>
    </w:p>
    <w:p>
      <w:pPr>
        <w:spacing w:after="0" w:line="183" w:lineRule="exact"/>
        <w:rPr>
          <w:rFonts w:ascii="Arial" w:cs="Arial" w:eastAsia="Arial" w:hAnsi="Arial"/>
          <w:sz w:val="16"/>
          <w:szCs w:val="16"/>
          <w:color w:val="auto"/>
        </w:rPr>
      </w:pPr>
    </w:p>
    <w:p>
      <w:pPr>
        <w:ind w:left="5700" w:right="2540" w:hanging="5113"/>
        <w:spacing w:after="0" w:line="542" w:lineRule="auto"/>
        <w:tabs>
          <w:tab w:leader="none" w:pos="88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 of legislative, judicial, economic, demographic and regulatory events in the jurisdictions where we do business;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93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60"/>
          </w:cols>
          <w:pgMar w:left="240" w:top="218" w:right="299" w:bottom="1440" w:gutter="0" w:footer="0" w:header="0"/>
        </w:sectPr>
      </w:pPr>
    </w:p>
    <w:bookmarkStart w:id="3" w:name="page4"/>
    <w:bookmarkEnd w:id="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880" w:hanging="293"/>
        <w:spacing w:after="0"/>
        <w:tabs>
          <w:tab w:leader="none" w:pos="8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enter new markets successfully and capitalize on growth opportunities either through acquisitions or the expansion of our producer network;</w:t>
      </w:r>
    </w:p>
    <w:p>
      <w:pPr>
        <w:spacing w:after="0" w:line="183" w:lineRule="exact"/>
        <w:rPr>
          <w:rFonts w:ascii="Arial" w:cs="Arial" w:eastAsia="Arial" w:hAnsi="Arial"/>
          <w:sz w:val="15"/>
          <w:szCs w:val="15"/>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integrate Direct Auto;</w:t>
      </w:r>
    </w:p>
    <w:p>
      <w:pPr>
        <w:spacing w:after="0" w:line="183" w:lineRule="exact"/>
        <w:rPr>
          <w:rFonts w:ascii="Arial" w:cs="Arial" w:eastAsia="Arial" w:hAnsi="Arial"/>
          <w:sz w:val="16"/>
          <w:szCs w:val="16"/>
          <w:color w:val="auto"/>
        </w:rPr>
      </w:pPr>
    </w:p>
    <w:p>
      <w:pPr>
        <w:ind w:left="880" w:hanging="293"/>
        <w:spacing w:after="0" w:line="28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13" w:lineRule="exact"/>
        <w:rPr>
          <w:rFonts w:ascii="Arial" w:cs="Arial" w:eastAsia="Arial" w:hAnsi="Arial"/>
          <w:sz w:val="16"/>
          <w:szCs w:val="16"/>
          <w:color w:val="auto"/>
        </w:rPr>
      </w:pPr>
    </w:p>
    <w:p>
      <w:pPr>
        <w:ind w:left="880" w:right="240" w:hanging="293"/>
        <w:spacing w:after="0" w:line="28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13"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general economic conditions, including inflation, unemployment, interest rates and other factors;</w:t>
      </w:r>
    </w:p>
    <w:p>
      <w:pPr>
        <w:spacing w:after="0" w:line="183"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estimates and adequacy of loss reserves and trends in loss and loss adjustment expenses;</w:t>
      </w:r>
    </w:p>
    <w:p>
      <w:pPr>
        <w:spacing w:after="0" w:line="171"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coverage terms required by state laws with respect to minimum auto liability insurance, including higher minimum limits;</w:t>
      </w:r>
    </w:p>
    <w:p>
      <w:pPr>
        <w:spacing w:after="0" w:line="171"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inability to obtain regulatory approval of, or to implement, premium rate increases;</w:t>
      </w:r>
    </w:p>
    <w:p>
      <w:pPr>
        <w:spacing w:after="0" w:line="183" w:lineRule="exact"/>
        <w:rPr>
          <w:rFonts w:ascii="Arial" w:cs="Arial" w:eastAsia="Arial" w:hAnsi="Arial"/>
          <w:sz w:val="16"/>
          <w:szCs w:val="16"/>
          <w:color w:val="auto"/>
        </w:rPr>
      </w:pPr>
    </w:p>
    <w:p>
      <w:pPr>
        <w:ind w:left="880" w:right="260" w:hanging="293"/>
        <w:spacing w:after="0" w:line="28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obtain reinsurance coverage at reasonable prices or on terms that adequately protect us and to collect amounts that we believe we are entitled to under such reinsurance;</w:t>
      </w:r>
    </w:p>
    <w:p>
      <w:pPr>
        <w:spacing w:after="0" w:line="113" w:lineRule="exact"/>
        <w:rPr>
          <w:rFonts w:ascii="Arial" w:cs="Arial" w:eastAsia="Arial" w:hAnsi="Arial"/>
          <w:sz w:val="16"/>
          <w:szCs w:val="16"/>
          <w:color w:val="auto"/>
        </w:rPr>
      </w:pPr>
    </w:p>
    <w:p>
      <w:pPr>
        <w:ind w:left="880" w:right="240" w:hanging="293"/>
        <w:spacing w:after="0" w:line="286"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13"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unanticipated changes in industry trends and ratings assigned by nationally recognized rating organizations;</w:t>
      </w:r>
    </w:p>
    <w:p>
      <w:pPr>
        <w:spacing w:after="0" w:line="183"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potential impact of fraud, operational errors, systems malfunctions, or cybersecurity incidents;</w:t>
      </w:r>
    </w:p>
    <w:p>
      <w:pPr>
        <w:spacing w:after="0" w:line="171" w:lineRule="exact"/>
        <w:rPr>
          <w:rFonts w:ascii="Arial" w:cs="Arial" w:eastAsia="Arial" w:hAnsi="Arial"/>
          <w:sz w:val="16"/>
          <w:szCs w:val="16"/>
          <w:color w:val="auto"/>
        </w:rPr>
      </w:pPr>
    </w:p>
    <w:p>
      <w:pPr>
        <w:ind w:left="880" w:hanging="29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litigation or arbitration results; and</w:t>
      </w:r>
    </w:p>
    <w:p>
      <w:pPr>
        <w:spacing w:after="0" w:line="171" w:lineRule="exact"/>
        <w:rPr>
          <w:rFonts w:ascii="Arial" w:cs="Arial" w:eastAsia="Arial" w:hAnsi="Arial"/>
          <w:sz w:val="16"/>
          <w:szCs w:val="16"/>
          <w:color w:val="auto"/>
        </w:rPr>
      </w:pPr>
    </w:p>
    <w:p>
      <w:pPr>
        <w:ind w:left="880" w:right="140" w:hanging="293"/>
        <w:spacing w:after="0" w:line="271"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37"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Because forward-looking information is subject to various risks and uncertainties, actual results may differ materially from that expressed or implied by the forward-looking information.</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32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sectPr>
      </w:pPr>
    </w:p>
    <w:bookmarkStart w:id="4" w:name="page5"/>
    <w:bookmarkEnd w:id="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Pr>
          <w:p>
            <w:pPr>
              <w:spacing w:after="0"/>
              <w:rPr>
                <w:sz w:val="20"/>
                <w:szCs w:val="20"/>
                <w:color w:val="auto"/>
              </w:rPr>
            </w:pPr>
            <w:r>
              <w:rPr>
                <w:rFonts w:ascii="Arial" w:cs="Arial" w:eastAsia="Arial" w:hAnsi="Arial"/>
                <w:sz w:val="16"/>
                <w:szCs w:val="16"/>
                <w:b w:val="1"/>
                <w:bCs w:val="1"/>
                <w:color w:val="auto"/>
              </w:rPr>
              <w:t>Item 1. - Financial Statements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8420" w:type="dxa"/>
            <w:vAlign w:val="bottom"/>
          </w:tcPr>
          <w:p>
            <w:pPr>
              <w:spacing w:after="0"/>
              <w:rPr>
                <w:sz w:val="20"/>
                <w:szCs w:val="20"/>
                <w:color w:val="auto"/>
              </w:rPr>
            </w:pPr>
            <w:r>
              <w:rPr>
                <w:rFonts w:ascii="Arial" w:cs="Arial" w:eastAsia="Arial" w:hAnsi="Arial"/>
                <w:sz w:val="16"/>
                <w:szCs w:val="16"/>
                <w:b w:val="1"/>
                <w:bCs w:val="1"/>
                <w:color w:val="auto"/>
              </w:rPr>
              <w:t>NI Holdings, Inc.</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20"/>
                <w:szCs w:val="20"/>
                <w:color w:val="auto"/>
              </w:rPr>
            </w:pPr>
            <w:r>
              <w:rPr>
                <w:rFonts w:ascii="Arial" w:cs="Arial" w:eastAsia="Arial" w:hAnsi="Arial"/>
                <w:sz w:val="16"/>
                <w:szCs w:val="16"/>
                <w:b w:val="1"/>
                <w:bCs w:val="1"/>
                <w:color w:val="auto"/>
              </w:rPr>
              <w:t>Unaudited Consolidated Balance Sheets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tcPr>
          <w:p>
            <w:pPr>
              <w:spacing w:after="0"/>
              <w:rPr>
                <w:sz w:val="20"/>
                <w:szCs w:val="20"/>
                <w:color w:val="auto"/>
              </w:rPr>
            </w:pPr>
            <w:r>
              <w:rPr>
                <w:rFonts w:ascii="Arial" w:cs="Arial" w:eastAsia="Arial" w:hAnsi="Arial"/>
                <w:sz w:val="16"/>
                <w:szCs w:val="16"/>
                <w:b w:val="1"/>
                <w:bCs w:val="1"/>
                <w:color w:val="auto"/>
              </w:rPr>
              <w:t>(dollar amounts in thousands, except par value)</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4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6"/>
                <w:szCs w:val="16"/>
                <w:b w:val="1"/>
                <w:bCs w:val="1"/>
                <w:color w:val="auto"/>
                <w:w w:val="99"/>
              </w:rPr>
              <w:t>September 30, 2018</w:t>
            </w:r>
          </w:p>
        </w:tc>
        <w:tc>
          <w:tcPr>
            <w:tcW w:w="1500" w:type="dxa"/>
            <w:vAlign w:val="bottom"/>
            <w:gridSpan w:val="4"/>
          </w:tcPr>
          <w:p>
            <w:pPr>
              <w:ind w:left="80"/>
              <w:spacing w:after="0"/>
              <w:rPr>
                <w:sz w:val="20"/>
                <w:szCs w:val="20"/>
                <w:color w:val="auto"/>
              </w:rPr>
            </w:pPr>
            <w:r>
              <w:rPr>
                <w:rFonts w:ascii="Arial" w:cs="Arial" w:eastAsia="Arial" w:hAnsi="Arial"/>
                <w:sz w:val="16"/>
                <w:szCs w:val="16"/>
                <w:b w:val="1"/>
                <w:bCs w:val="1"/>
                <w:color w:val="auto"/>
                <w:w w:val="97"/>
              </w:rPr>
              <w:t>December 31, 2017</w:t>
            </w: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4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51,660</w:t>
            </w: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27,594</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securities, at fair value</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247,406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236,758</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Equity securities, at fair value</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59,725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47,561</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189"/>
        </w:trPr>
        <w:tc>
          <w:tcPr>
            <w:tcW w:w="8420" w:type="dxa"/>
            <w:vAlign w:val="bottom"/>
          </w:tcPr>
          <w:p>
            <w:pPr>
              <w:ind w:left="280"/>
              <w:spacing w:after="0"/>
              <w:rPr>
                <w:sz w:val="20"/>
                <w:szCs w:val="20"/>
                <w:color w:val="auto"/>
              </w:rPr>
            </w:pPr>
            <w:r>
              <w:rPr>
                <w:rFonts w:ascii="Arial" w:cs="Arial" w:eastAsia="Arial" w:hAnsi="Arial"/>
                <w:sz w:val="16"/>
                <w:szCs w:val="16"/>
                <w:color w:val="auto"/>
              </w:rPr>
              <w:t>Total cash and investments</w:t>
            </w: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360,745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313,885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Premiums and agents' balances receivable</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62,745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25,632</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policy acquisition costs</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8,859</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Reinsurance premiums receivable</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2,311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recoverables on losses</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5,628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Federal income tax recoverable</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investment income</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1,796</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6,104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 from Federal Crop Insurance Corporation</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29,284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10,501</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Goodwill and intangibles</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7,036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40"/>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490,882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376,988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8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20"/>
                <w:szCs w:val="20"/>
                <w:color w:val="auto"/>
              </w:rPr>
            </w:pPr>
            <w:r>
              <w:rPr>
                <w:rFonts w:ascii="Arial" w:cs="Arial" w:eastAsia="Arial" w:hAnsi="Arial"/>
                <w:sz w:val="16"/>
                <w:szCs w:val="16"/>
                <w:color w:val="auto"/>
              </w:rPr>
              <w:t>Liabilities: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Unpaid losses and loss adjustment expenses</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105,653</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45,890</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Unearned premiums</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98,308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63,262</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Reinsurance payable</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3,055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Federal income tax payable</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 net</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2,391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12,083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8,305</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liabilities</w:t>
            </w: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221,490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121,415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20"/>
                <w:szCs w:val="20"/>
                <w:color w:val="auto"/>
              </w:rPr>
            </w:pPr>
            <w:r>
              <w:rPr>
                <w:rFonts w:ascii="Arial" w:cs="Arial" w:eastAsia="Arial" w:hAnsi="Arial"/>
                <w:sz w:val="16"/>
                <w:szCs w:val="16"/>
                <w:color w:val="auto"/>
              </w:rPr>
              <w:t>Equity:</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 authorized: 25,000,000 shares;</w:t>
            </w: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issued: 23,000,000 shares; and</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2018 – 22,359,844 shares, 2017 – 22,337,644 shares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4"/>
        </w:trPr>
        <w:tc>
          <w:tcPr>
            <w:tcW w:w="8420" w:type="dxa"/>
            <w:vAlign w:val="bottom"/>
          </w:tcPr>
          <w:p>
            <w:pPr>
              <w:ind w:left="140"/>
              <w:spacing w:after="0"/>
              <w:rPr>
                <w:sz w:val="20"/>
                <w:szCs w:val="20"/>
                <w:color w:val="auto"/>
              </w:rPr>
            </w:pPr>
            <w:r>
              <w:rPr>
                <w:rFonts w:ascii="Arial" w:cs="Arial" w:eastAsia="Arial" w:hAnsi="Arial"/>
                <w:sz w:val="16"/>
                <w:szCs w:val="16"/>
                <w:color w:val="auto"/>
              </w:rPr>
              <w:t>Preferred stock, without par value, authorized 5,000,000 shares,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140"/>
              <w:spacing w:after="0"/>
              <w:rPr>
                <w:sz w:val="20"/>
                <w:szCs w:val="20"/>
                <w:color w:val="auto"/>
              </w:rPr>
            </w:pPr>
            <w:r>
              <w:rPr>
                <w:rFonts w:ascii="Arial" w:cs="Arial" w:eastAsia="Arial" w:hAnsi="Arial"/>
                <w:sz w:val="16"/>
                <w:szCs w:val="16"/>
                <w:color w:val="auto"/>
              </w:rPr>
              <w:t>no shares issued or outstanding</w:t>
            </w:r>
          </w:p>
        </w:tc>
        <w:tc>
          <w:tcPr>
            <w:tcW w:w="4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94,087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93,496</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Unearned employee stock ownership plan shares</w:t>
            </w:r>
          </w:p>
        </w:tc>
        <w:tc>
          <w:tcPr>
            <w:tcW w:w="4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(2,157)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169,057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152,865</w:t>
            </w:r>
          </w:p>
        </w:tc>
        <w:tc>
          <w:tcPr>
            <w:tcW w:w="0" w:type="dxa"/>
            <w:vAlign w:val="bottom"/>
          </w:tcPr>
          <w:p>
            <w:pPr>
              <w:spacing w:after="0"/>
              <w:rPr>
                <w:sz w:val="1"/>
                <w:szCs w:val="1"/>
                <w:color w:val="auto"/>
              </w:rPr>
            </w:pPr>
          </w:p>
        </w:tc>
      </w:tr>
      <w:tr>
        <w:trPr>
          <w:trHeight w:val="196"/>
        </w:trPr>
        <w:tc>
          <w:tcPr>
            <w:tcW w:w="84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 net of income taxes</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12,637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15,998</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2018 – 424,471 shares, 2017 – 446,671 shares</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(7,638)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(8,037)</w:t>
            </w:r>
          </w:p>
        </w:tc>
        <w:tc>
          <w:tcPr>
            <w:tcW w:w="0" w:type="dxa"/>
            <w:vAlign w:val="bottom"/>
          </w:tcPr>
          <w:p>
            <w:pPr>
              <w:spacing w:after="0"/>
              <w:rPr>
                <w:sz w:val="1"/>
                <w:szCs w:val="1"/>
                <w:color w:val="auto"/>
              </w:rPr>
            </w:pPr>
          </w:p>
        </w:tc>
      </w:tr>
      <w:tr>
        <w:trPr>
          <w:trHeight w:val="208"/>
        </w:trPr>
        <w:tc>
          <w:tcPr>
            <w:tcW w:w="842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4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3,176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269,392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255,573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liabilities and equity</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490,882</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376,988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84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420" w:type="dxa"/>
            <w:vAlign w:val="bottom"/>
            <w:tcBorders>
              <w:bottom w:val="single" w:sz="8" w:color="auto"/>
            </w:tcBorders>
          </w:tcPr>
          <w:p>
            <w:pPr>
              <w:ind w:left="5700"/>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8" w:right="239" w:bottom="1440" w:gutter="0" w:footer="0" w:header="0"/>
        </w:sectPr>
      </w:pPr>
    </w:p>
    <w:bookmarkStart w:id="5" w:name="page6"/>
    <w:bookmarkEnd w:id="5"/>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00" w:type="dxa"/>
            <w:vAlign w:val="bottom"/>
            <w:gridSpan w:val="4"/>
          </w:tcPr>
          <w:p>
            <w:pPr>
              <w:jc w:val="right"/>
              <w:ind w:right="102"/>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ind w:left="400"/>
              <w:spacing w:after="0"/>
              <w:rPr>
                <w:sz w:val="20"/>
                <w:szCs w:val="20"/>
                <w:color w:val="auto"/>
              </w:rPr>
            </w:pPr>
            <w:r>
              <w:rPr>
                <w:rFonts w:ascii="Arial" w:cs="Arial" w:eastAsia="Arial" w:hAnsi="Arial"/>
                <w:sz w:val="16"/>
                <w:szCs w:val="16"/>
                <w:b w:val="1"/>
                <w:bCs w:val="1"/>
                <w:color w:val="auto"/>
              </w:rPr>
              <w:t>Nine Months Ended</w:t>
            </w:r>
          </w:p>
        </w:tc>
      </w:tr>
      <w:tr>
        <w:trPr>
          <w:trHeight w:val="230"/>
        </w:trPr>
        <w:tc>
          <w:tcPr>
            <w:tcW w:w="4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6"/>
                <w:szCs w:val="16"/>
                <w:b w:val="1"/>
                <w:bCs w:val="1"/>
                <w:color w:val="auto"/>
                <w:w w:val="96"/>
              </w:rPr>
              <w:t>September 30,</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Revenues:</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premiums earned</w:t>
            </w:r>
          </w:p>
        </w:tc>
        <w:tc>
          <w:tcPr>
            <w:tcW w:w="1880" w:type="dxa"/>
            <w:vAlign w:val="bottom"/>
            <w:gridSpan w:val="2"/>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54,136</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w w:val="89"/>
              </w:rPr>
              <w:t>52,525</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140,925</w:t>
            </w: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130,987</w:t>
            </w:r>
          </w:p>
        </w:tc>
      </w:tr>
      <w:tr>
        <w:trPr>
          <w:trHeight w:val="196"/>
        </w:trPr>
        <w:tc>
          <w:tcPr>
            <w:tcW w:w="4540" w:type="dxa"/>
            <w:vAlign w:val="bottom"/>
          </w:tcPr>
          <w:p>
            <w:pPr>
              <w:ind w:left="140"/>
              <w:spacing w:after="0"/>
              <w:rPr>
                <w:sz w:val="20"/>
                <w:szCs w:val="20"/>
                <w:color w:val="auto"/>
              </w:rPr>
            </w:pPr>
            <w:r>
              <w:rPr>
                <w:rFonts w:ascii="Arial" w:cs="Arial" w:eastAsia="Arial" w:hAnsi="Arial"/>
                <w:sz w:val="16"/>
                <w:szCs w:val="16"/>
                <w:color w:val="auto"/>
              </w:rPr>
              <w:t>Fee and other income</w:t>
            </w: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5,175</w:t>
            </w:r>
          </w:p>
        </w:tc>
        <w:tc>
          <w:tcPr>
            <w:tcW w:w="800" w:type="dxa"/>
            <w:vAlign w:val="bottom"/>
          </w:tcPr>
          <w:p>
            <w:pPr>
              <w:spacing w:after="0"/>
              <w:rPr>
                <w:sz w:val="17"/>
                <w:szCs w:val="17"/>
                <w:color w:val="auto"/>
              </w:rPr>
            </w:pPr>
          </w:p>
        </w:tc>
        <w:tc>
          <w:tcPr>
            <w:tcW w:w="600" w:type="dxa"/>
            <w:vAlign w:val="bottom"/>
            <w:gridSpan w:val="2"/>
          </w:tcPr>
          <w:p>
            <w:pPr>
              <w:jc w:val="right"/>
              <w:ind w:right="58"/>
              <w:spacing w:after="0"/>
              <w:rPr>
                <w:sz w:val="20"/>
                <w:szCs w:val="20"/>
                <w:color w:val="auto"/>
              </w:rPr>
            </w:pPr>
            <w:r>
              <w:rPr>
                <w:rFonts w:ascii="Arial" w:cs="Arial" w:eastAsia="Arial" w:hAnsi="Arial"/>
                <w:sz w:val="16"/>
                <w:szCs w:val="16"/>
                <w:color w:val="auto"/>
              </w:rPr>
              <w:t>752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6,022</w:t>
            </w: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1,420</w:t>
            </w:r>
          </w:p>
        </w:tc>
      </w:tr>
      <w:tr>
        <w:trPr>
          <w:trHeight w:val="19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investment income</w:t>
            </w: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1,629</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1,404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4,521</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3,706</w:t>
            </w:r>
          </w:p>
        </w:tc>
      </w:tr>
      <w:tr>
        <w:trPr>
          <w:trHeight w:val="208"/>
        </w:trPr>
        <w:tc>
          <w:tcPr>
            <w:tcW w:w="4540" w:type="dxa"/>
            <w:vAlign w:val="bottom"/>
          </w:tcPr>
          <w:p>
            <w:pPr>
              <w:ind w:left="140"/>
              <w:spacing w:after="0"/>
              <w:rPr>
                <w:sz w:val="20"/>
                <w:szCs w:val="20"/>
                <w:color w:val="auto"/>
              </w:rPr>
            </w:pPr>
            <w:r>
              <w:rPr>
                <w:rFonts w:ascii="Arial" w:cs="Arial" w:eastAsia="Arial" w:hAnsi="Arial"/>
                <w:sz w:val="16"/>
                <w:szCs w:val="16"/>
                <w:color w:val="auto"/>
              </w:rPr>
              <w:t>Net realized capital gain on investments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3,160</w:t>
            </w:r>
          </w:p>
        </w:tc>
        <w:tc>
          <w:tcPr>
            <w:tcW w:w="800" w:type="dxa"/>
            <w:vAlign w:val="bottom"/>
          </w:tcPr>
          <w:p>
            <w:pPr>
              <w:spacing w:after="0"/>
              <w:rPr>
                <w:sz w:val="18"/>
                <w:szCs w:val="18"/>
                <w:color w:val="auto"/>
              </w:rPr>
            </w:pPr>
          </w:p>
        </w:tc>
        <w:tc>
          <w:tcPr>
            <w:tcW w:w="600" w:type="dxa"/>
            <w:vAlign w:val="bottom"/>
            <w:gridSpan w:val="2"/>
          </w:tcPr>
          <w:p>
            <w:pPr>
              <w:jc w:val="right"/>
              <w:ind w:right="58"/>
              <w:spacing w:after="0"/>
              <w:rPr>
                <w:sz w:val="20"/>
                <w:szCs w:val="20"/>
                <w:color w:val="auto"/>
              </w:rPr>
            </w:pPr>
            <w:r>
              <w:rPr>
                <w:rFonts w:ascii="Arial" w:cs="Arial" w:eastAsia="Arial" w:hAnsi="Arial"/>
                <w:sz w:val="16"/>
                <w:szCs w:val="16"/>
                <w:color w:val="auto"/>
              </w:rPr>
              <w:t>1,885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3,879</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2,840</w:t>
            </w:r>
          </w:p>
        </w:tc>
      </w:tr>
      <w:tr>
        <w:trPr>
          <w:trHeight w:val="189"/>
        </w:trPr>
        <w:tc>
          <w:tcPr>
            <w:tcW w:w="4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0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64,100</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56,566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155,347</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138,953</w:t>
            </w: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4540" w:type="dxa"/>
            <w:vAlign w:val="bottom"/>
          </w:tcPr>
          <w:p>
            <w:pPr>
              <w:ind w:left="140"/>
              <w:spacing w:after="0"/>
              <w:rPr>
                <w:sz w:val="20"/>
                <w:szCs w:val="20"/>
                <w:color w:val="auto"/>
              </w:rPr>
            </w:pPr>
            <w:r>
              <w:rPr>
                <w:rFonts w:ascii="Arial" w:cs="Arial" w:eastAsia="Arial" w:hAnsi="Arial"/>
                <w:sz w:val="16"/>
                <w:szCs w:val="16"/>
                <w:color w:val="auto"/>
              </w:rPr>
              <w:t>Losses and loss adjustment expenses</w:t>
            </w: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37,456</w:t>
            </w:r>
          </w:p>
        </w:tc>
        <w:tc>
          <w:tcPr>
            <w:tcW w:w="800" w:type="dxa"/>
            <w:vAlign w:val="bottom"/>
          </w:tcPr>
          <w:p>
            <w:pPr>
              <w:spacing w:after="0"/>
              <w:rPr>
                <w:sz w:val="17"/>
                <w:szCs w:val="17"/>
                <w:color w:val="auto"/>
              </w:rPr>
            </w:pPr>
          </w:p>
        </w:tc>
        <w:tc>
          <w:tcPr>
            <w:tcW w:w="600" w:type="dxa"/>
            <w:vAlign w:val="bottom"/>
            <w:gridSpan w:val="2"/>
          </w:tcPr>
          <w:p>
            <w:pPr>
              <w:jc w:val="right"/>
              <w:ind w:right="58"/>
              <w:spacing w:after="0"/>
              <w:rPr>
                <w:sz w:val="20"/>
                <w:szCs w:val="20"/>
                <w:color w:val="auto"/>
              </w:rPr>
            </w:pPr>
            <w:r>
              <w:rPr>
                <w:rFonts w:ascii="Arial" w:cs="Arial" w:eastAsia="Arial" w:hAnsi="Arial"/>
                <w:sz w:val="16"/>
                <w:szCs w:val="16"/>
                <w:color w:val="auto"/>
                <w:w w:val="89"/>
              </w:rPr>
              <w:t>49,599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97,026</w:t>
            </w:r>
          </w:p>
        </w:tc>
        <w:tc>
          <w:tcPr>
            <w:tcW w:w="4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103,550</w:t>
            </w:r>
          </w:p>
        </w:tc>
      </w:tr>
      <w:tr>
        <w:trPr>
          <w:trHeight w:val="19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deferred policy acquisition costs</w:t>
            </w: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10,951</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9,792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26,608</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21,102</w:t>
            </w:r>
          </w:p>
        </w:tc>
      </w:tr>
      <w:tr>
        <w:trPr>
          <w:trHeight w:val="208"/>
        </w:trPr>
        <w:tc>
          <w:tcPr>
            <w:tcW w:w="4540" w:type="dxa"/>
            <w:vAlign w:val="bottom"/>
          </w:tcPr>
          <w:p>
            <w:pPr>
              <w:ind w:left="140"/>
              <w:spacing w:after="0"/>
              <w:rPr>
                <w:sz w:val="20"/>
                <w:szCs w:val="20"/>
                <w:color w:val="auto"/>
              </w:rPr>
            </w:pPr>
            <w:r>
              <w:rPr>
                <w:rFonts w:ascii="Arial" w:cs="Arial" w:eastAsia="Arial" w:hAnsi="Arial"/>
                <w:sz w:val="16"/>
                <w:szCs w:val="16"/>
                <w:color w:val="auto"/>
              </w:rPr>
              <w:t>Other underwriting and general expenses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3,787</w:t>
            </w:r>
          </w:p>
        </w:tc>
        <w:tc>
          <w:tcPr>
            <w:tcW w:w="800" w:type="dxa"/>
            <w:vAlign w:val="bottom"/>
          </w:tcPr>
          <w:p>
            <w:pPr>
              <w:spacing w:after="0"/>
              <w:rPr>
                <w:sz w:val="18"/>
                <w:szCs w:val="18"/>
                <w:color w:val="auto"/>
              </w:rPr>
            </w:pPr>
          </w:p>
        </w:tc>
        <w:tc>
          <w:tcPr>
            <w:tcW w:w="600" w:type="dxa"/>
            <w:vAlign w:val="bottom"/>
            <w:gridSpan w:val="2"/>
          </w:tcPr>
          <w:p>
            <w:pPr>
              <w:jc w:val="right"/>
              <w:ind w:right="58"/>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11,809</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10,434</w:t>
            </w:r>
          </w:p>
        </w:tc>
      </w:tr>
      <w:tr>
        <w:trPr>
          <w:trHeight w:val="189"/>
        </w:trPr>
        <w:tc>
          <w:tcPr>
            <w:tcW w:w="45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expenses</w:t>
            </w:r>
          </w:p>
        </w:tc>
        <w:tc>
          <w:tcPr>
            <w:tcW w:w="10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52,194</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59,691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135,443</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135,086</w:t>
            </w: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4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3"/>
              </w:rPr>
              <w:t>11,906</w:t>
            </w:r>
          </w:p>
        </w:tc>
        <w:tc>
          <w:tcPr>
            <w:tcW w:w="8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(3,125)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19,904</w:t>
            </w: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3,867</w:t>
            </w:r>
          </w:p>
        </w:tc>
      </w:tr>
      <w:tr>
        <w:trPr>
          <w:trHeight w:val="208"/>
        </w:trPr>
        <w:tc>
          <w:tcPr>
            <w:tcW w:w="4540" w:type="dxa"/>
            <w:vAlign w:val="bottom"/>
          </w:tcPr>
          <w:p>
            <w:pPr>
              <w:spacing w:after="0"/>
              <w:rPr>
                <w:sz w:val="20"/>
                <w:szCs w:val="20"/>
                <w:color w:val="auto"/>
              </w:rPr>
            </w:pPr>
            <w:r>
              <w:rPr>
                <w:rFonts w:ascii="Arial" w:cs="Arial" w:eastAsia="Arial" w:hAnsi="Arial"/>
                <w:sz w:val="16"/>
                <w:szCs w:val="16"/>
                <w:color w:val="auto"/>
              </w:rPr>
              <w:t>Income taxes (benefit)</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2,029</w:t>
            </w:r>
          </w:p>
        </w:tc>
        <w:tc>
          <w:tcPr>
            <w:tcW w:w="8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3,619</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1,694</w:t>
            </w:r>
          </w:p>
        </w:tc>
      </w:tr>
      <w:tr>
        <w:trPr>
          <w:trHeight w:val="189"/>
        </w:trPr>
        <w:tc>
          <w:tcPr>
            <w:tcW w:w="45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(loss)</w:t>
            </w:r>
          </w:p>
        </w:tc>
        <w:tc>
          <w:tcPr>
            <w:tcW w:w="10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9,877</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(2,693)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16,285</w:t>
            </w: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r>
      <w:tr>
        <w:trPr>
          <w:trHeight w:val="201"/>
        </w:trPr>
        <w:tc>
          <w:tcPr>
            <w:tcW w:w="4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(loss) attributable to NI Holdings, Inc.</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(2,733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4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0"/>
        </w:trPr>
        <w:tc>
          <w:tcPr>
            <w:tcW w:w="4540" w:type="dxa"/>
            <w:vAlign w:val="bottom"/>
          </w:tcPr>
          <w:p>
            <w:pPr>
              <w:spacing w:after="0"/>
              <w:rPr>
                <w:sz w:val="20"/>
                <w:szCs w:val="20"/>
                <w:color w:val="auto"/>
              </w:rPr>
            </w:pPr>
            <w:r>
              <w:rPr>
                <w:rFonts w:ascii="Arial" w:cs="Arial" w:eastAsia="Arial" w:hAnsi="Arial"/>
                <w:sz w:val="16"/>
                <w:szCs w:val="16"/>
                <w:color w:val="auto"/>
              </w:rPr>
              <w:t>Basic earnings (loss) per common share</w:t>
            </w:r>
          </w:p>
        </w:tc>
        <w:tc>
          <w:tcPr>
            <w:tcW w:w="1880" w:type="dxa"/>
            <w:vAlign w:val="bottom"/>
            <w:gridSpan w:val="2"/>
          </w:tcPr>
          <w:p>
            <w:pPr>
              <w:jc w:val="right"/>
              <w:ind w:right="641"/>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0.44</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(0.12)</w:t>
            </w:r>
          </w:p>
        </w:tc>
        <w:tc>
          <w:tcPr>
            <w:tcW w:w="340" w:type="dxa"/>
            <w:vAlign w:val="bottom"/>
            <w:gridSpan w:val="2"/>
          </w:tcPr>
          <w:p>
            <w:pPr>
              <w:jc w:val="right"/>
              <w:ind w:right="103"/>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0.72</w:t>
            </w:r>
          </w:p>
        </w:tc>
        <w:tc>
          <w:tcPr>
            <w:tcW w:w="440" w:type="dxa"/>
            <w:vAlign w:val="bottom"/>
          </w:tcPr>
          <w:p>
            <w:pPr>
              <w:jc w:val="right"/>
              <w:ind w:right="258"/>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0.09</w:t>
            </w:r>
          </w:p>
        </w:tc>
      </w:tr>
      <w:tr>
        <w:trPr>
          <w:trHeight w:val="174"/>
        </w:trPr>
        <w:tc>
          <w:tcPr>
            <w:tcW w:w="454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Arial" w:cs="Arial" w:eastAsia="Arial" w:hAnsi="Arial"/>
                <w:sz w:val="16"/>
                <w:szCs w:val="16"/>
                <w:color w:val="auto"/>
              </w:rPr>
              <w:t>Diluted earnings (loss) per common share</w:t>
            </w: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0.44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(0.12</w:t>
            </w:r>
          </w:p>
        </w:tc>
        <w:tc>
          <w:tcPr>
            <w:tcW w:w="140" w:type="dxa"/>
            <w:vAlign w:val="bottom"/>
            <w:tcBorders>
              <w:top w:val="single" w:sz="8" w:color="CCEEFF"/>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0.72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58"/>
              <w:spacing w:after="0" w:line="174"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0.09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6" w:name="page7"/>
    <w:bookmarkEnd w:id="6"/>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Comprehensive Income (Loss)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 amounts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3080" w:type="dxa"/>
            <w:vAlign w:val="bottom"/>
            <w:gridSpan w:val="10"/>
          </w:tcPr>
          <w:p>
            <w:pPr>
              <w:ind w:left="40"/>
              <w:spacing w:after="0"/>
              <w:rPr>
                <w:sz w:val="20"/>
                <w:szCs w:val="20"/>
                <w:color w:val="auto"/>
              </w:rPr>
            </w:pPr>
            <w:r>
              <w:rPr>
                <w:rFonts w:ascii="Arial" w:cs="Arial" w:eastAsia="Arial" w:hAnsi="Arial"/>
                <w:sz w:val="16"/>
                <w:szCs w:val="16"/>
                <w:b w:val="1"/>
                <w:bCs w:val="1"/>
                <w:color w:val="auto"/>
                <w:w w:val="96"/>
              </w:rPr>
              <w:t>Three Months Ended September 30, 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9"/>
          </w:tcPr>
          <w:p>
            <w:pPr>
              <w:jc w:val="right"/>
              <w:ind w:right="58"/>
              <w:spacing w:after="0"/>
              <w:rPr>
                <w:sz w:val="20"/>
                <w:szCs w:val="20"/>
                <w:color w:val="auto"/>
              </w:rPr>
            </w:pPr>
            <w:r>
              <w:rPr>
                <w:rFonts w:ascii="Arial" w:cs="Arial" w:eastAsia="Arial" w:hAnsi="Arial"/>
                <w:sz w:val="16"/>
                <w:szCs w:val="16"/>
                <w:b w:val="1"/>
                <w:bCs w:val="1"/>
                <w:color w:val="auto"/>
                <w:w w:val="91"/>
              </w:rPr>
              <w:t>Nine Months Ended September 30, 2018</w:t>
            </w:r>
          </w:p>
        </w:tc>
      </w:tr>
      <w:tr>
        <w:trPr>
          <w:trHeight w:val="173"/>
        </w:trPr>
        <w:tc>
          <w:tcPr>
            <w:tcW w:w="53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ind w:left="20"/>
              <w:spacing w:after="0" w:line="173" w:lineRule="exact"/>
              <w:rPr>
                <w:sz w:val="20"/>
                <w:szCs w:val="20"/>
                <w:color w:val="auto"/>
              </w:rPr>
            </w:pPr>
            <w:r>
              <w:rPr>
                <w:rFonts w:ascii="Arial" w:cs="Arial" w:eastAsia="Arial" w:hAnsi="Arial"/>
                <w:sz w:val="16"/>
                <w:szCs w:val="16"/>
                <w:b w:val="1"/>
                <w:bCs w:val="1"/>
                <w:color w:val="auto"/>
              </w:rPr>
              <w:t>Attributable</w:t>
            </w: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spacing w:after="0" w:line="173" w:lineRule="exact"/>
              <w:rPr>
                <w:sz w:val="20"/>
                <w:szCs w:val="20"/>
                <w:color w:val="auto"/>
              </w:rPr>
            </w:pPr>
            <w:r>
              <w:rPr>
                <w:rFonts w:ascii="Arial" w:cs="Arial" w:eastAsia="Arial" w:hAnsi="Arial"/>
                <w:sz w:val="16"/>
                <w:szCs w:val="16"/>
                <w:b w:val="1"/>
                <w:bCs w:val="1"/>
                <w:color w:val="auto"/>
              </w:rPr>
              <w:t>Attributable</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5380" w:type="dxa"/>
            <w:vAlign w:val="bottom"/>
          </w:tcPr>
          <w:p>
            <w:pPr>
              <w:spacing w:after="0"/>
              <w:rPr>
                <w:sz w:val="17"/>
                <w:szCs w:val="17"/>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Attributable</w:t>
            </w:r>
          </w:p>
        </w:tc>
        <w:tc>
          <w:tcPr>
            <w:tcW w:w="140" w:type="dxa"/>
            <w:vAlign w:val="bottom"/>
          </w:tcPr>
          <w:p>
            <w:pPr>
              <w:spacing w:after="0"/>
              <w:rPr>
                <w:sz w:val="17"/>
                <w:szCs w:val="17"/>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6"/>
                <w:szCs w:val="16"/>
                <w:b w:val="1"/>
                <w:bCs w:val="1"/>
                <w:color w:val="auto"/>
                <w:w w:val="96"/>
              </w:rPr>
              <w:t>to Non-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Attributable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58"/>
              <w:spacing w:after="0"/>
              <w:rPr>
                <w:sz w:val="20"/>
                <w:szCs w:val="20"/>
                <w:color w:val="auto"/>
              </w:rPr>
            </w:pPr>
            <w:r>
              <w:rPr>
                <w:rFonts w:ascii="Arial" w:cs="Arial" w:eastAsia="Arial" w:hAnsi="Arial"/>
                <w:sz w:val="16"/>
                <w:szCs w:val="16"/>
                <w:b w:val="1"/>
                <w:bCs w:val="1"/>
                <w:color w:val="auto"/>
                <w:w w:val="99"/>
              </w:rPr>
              <w:t>to Non-</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to NI</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to NI</w:t>
            </w:r>
          </w:p>
        </w:tc>
        <w:tc>
          <w:tcPr>
            <w:tcW w:w="4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53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Holdings, Inc.</w:t>
            </w: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w w:val="96"/>
              </w:rPr>
              <w:t>Interest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58"/>
              <w:spacing w:after="0"/>
              <w:rPr>
                <w:sz w:val="20"/>
                <w:szCs w:val="20"/>
                <w:color w:val="auto"/>
              </w:rPr>
            </w:pPr>
            <w:r>
              <w:rPr>
                <w:rFonts w:ascii="Arial" w:cs="Arial" w:eastAsia="Arial" w:hAnsi="Arial"/>
                <w:sz w:val="16"/>
                <w:szCs w:val="16"/>
                <w:b w:val="1"/>
                <w:bCs w:val="1"/>
                <w:color w:val="auto"/>
              </w:rPr>
              <w:t>Total</w:t>
            </w:r>
          </w:p>
        </w:tc>
        <w:tc>
          <w:tcPr>
            <w:tcW w:w="1100" w:type="dxa"/>
            <w:vAlign w:val="bottom"/>
            <w:gridSpan w:val="4"/>
          </w:tcPr>
          <w:p>
            <w:pPr>
              <w:ind w:left="20"/>
              <w:spacing w:after="0"/>
              <w:rPr>
                <w:sz w:val="20"/>
                <w:szCs w:val="20"/>
                <w:color w:val="auto"/>
              </w:rPr>
            </w:pPr>
            <w:r>
              <w:rPr>
                <w:rFonts w:ascii="Arial" w:cs="Arial" w:eastAsia="Arial" w:hAnsi="Arial"/>
                <w:sz w:val="16"/>
                <w:szCs w:val="16"/>
                <w:b w:val="1"/>
                <w:bCs w:val="1"/>
                <w:color w:val="auto"/>
              </w:rPr>
              <w:t>Holdings, Inc.</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8"/>
                <w:szCs w:val="18"/>
                <w:color w:val="auto"/>
              </w:rPr>
            </w:pPr>
          </w:p>
        </w:tc>
        <w:tc>
          <w:tcPr>
            <w:tcW w:w="720" w:type="dxa"/>
            <w:vAlign w:val="bottom"/>
            <w:gridSpan w:val="2"/>
          </w:tcPr>
          <w:p>
            <w:pPr>
              <w:jc w:val="right"/>
              <w:ind w:right="218"/>
              <w:spacing w:after="0"/>
              <w:rPr>
                <w:sz w:val="20"/>
                <w:szCs w:val="20"/>
                <w:color w:val="auto"/>
              </w:rPr>
            </w:pPr>
            <w:r>
              <w:rPr>
                <w:rFonts w:ascii="Arial" w:cs="Arial" w:eastAsia="Arial" w:hAnsi="Arial"/>
                <w:sz w:val="16"/>
                <w:szCs w:val="16"/>
                <w:b w:val="1"/>
                <w:bCs w:val="1"/>
                <w:color w:val="auto"/>
              </w:rPr>
              <w:t>Total</w:t>
            </w:r>
          </w:p>
        </w:tc>
      </w:tr>
      <w:tr>
        <w:trPr>
          <w:trHeight w:val="18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9,877</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16,192</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16,285</w:t>
            </w:r>
          </w:p>
        </w:tc>
        <w:tc>
          <w:tcPr>
            <w:tcW w:w="60" w:type="dxa"/>
            <w:vAlign w:val="bottom"/>
            <w:tcBorders>
              <w:top w:val="single" w:sz="8" w:color="CCEEFF"/>
            </w:tcBorders>
            <w:shd w:val="clear" w:color="auto" w:fill="CCEEFF"/>
          </w:tcPr>
          <w:p>
            <w:pPr>
              <w:spacing w:after="0"/>
              <w:rPr>
                <w:sz w:val="16"/>
                <w:szCs w:val="16"/>
                <w:color w:val="auto"/>
              </w:rPr>
            </w:pPr>
          </w:p>
        </w:tc>
      </w:tr>
      <w:tr>
        <w:trPr>
          <w:trHeight w:val="189"/>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before income taxes: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5380" w:type="dxa"/>
            <w:vAlign w:val="bottom"/>
          </w:tcPr>
          <w:p>
            <w:pPr>
              <w:ind w:left="140"/>
              <w:spacing w:after="0"/>
              <w:rPr>
                <w:sz w:val="20"/>
                <w:szCs w:val="20"/>
                <w:color w:val="auto"/>
              </w:rPr>
            </w:pPr>
            <w:r>
              <w:rPr>
                <w:rFonts w:ascii="Arial" w:cs="Arial" w:eastAsia="Arial" w:hAnsi="Arial"/>
                <w:sz w:val="16"/>
                <w:szCs w:val="16"/>
                <w:color w:val="auto"/>
              </w:rPr>
              <w:t>Holding gains (losses) on investments</w:t>
            </w:r>
          </w:p>
        </w:tc>
        <w:tc>
          <w:tcPr>
            <w:tcW w:w="180" w:type="dxa"/>
            <w:vAlign w:val="bottom"/>
          </w:tcPr>
          <w:p>
            <w:pPr>
              <w:spacing w:after="0"/>
              <w:rPr>
                <w:sz w:val="17"/>
                <w:szCs w:val="17"/>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6"/>
                <w:szCs w:val="16"/>
                <w:color w:val="auto"/>
              </w:rPr>
              <w:t>2,787</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2,773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auto"/>
              </w:rPr>
              <w:t>(375)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(495)</w:t>
            </w:r>
          </w:p>
        </w:tc>
      </w:tr>
      <w:tr>
        <w:trPr>
          <w:trHeight w:val="209"/>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Reclassification adjustment for net realized capital gain included in net income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(3,879)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(3,879)</w:t>
            </w:r>
          </w:p>
        </w:tc>
      </w:tr>
      <w:tr>
        <w:trPr>
          <w:trHeight w:val="189"/>
        </w:trPr>
        <w:tc>
          <w:tcPr>
            <w:tcW w:w="53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comprehensive loss, before income taxes</w:t>
            </w: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Borders>
              <w:bottom w:val="single" w:sz="8" w:color="CCEEFF"/>
            </w:tcBorders>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(4,374</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5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6"/>
                <w:szCs w:val="16"/>
                <w:color w:val="auto"/>
              </w:rPr>
              <w:t>Income tax benefit related to items of other comprehensive income</w:t>
            </w:r>
          </w:p>
        </w:tc>
        <w:tc>
          <w:tcPr>
            <w:tcW w:w="18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893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918</w:t>
            </w:r>
          </w:p>
        </w:tc>
      </w:tr>
      <w:tr>
        <w:trPr>
          <w:trHeight w:val="189"/>
        </w:trPr>
        <w:tc>
          <w:tcPr>
            <w:tcW w:w="53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comprehensive loss, net of income taxes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9,549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12,831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12,829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3100" w:type="dxa"/>
            <w:vAlign w:val="bottom"/>
            <w:gridSpan w:val="10"/>
          </w:tcPr>
          <w:p>
            <w:pPr>
              <w:jc w:val="right"/>
              <w:ind w:right="78"/>
              <w:spacing w:after="0"/>
              <w:rPr>
                <w:sz w:val="20"/>
                <w:szCs w:val="20"/>
                <w:color w:val="auto"/>
              </w:rPr>
            </w:pPr>
            <w:r>
              <w:rPr>
                <w:rFonts w:ascii="Arial" w:cs="Arial" w:eastAsia="Arial" w:hAnsi="Arial"/>
                <w:sz w:val="16"/>
                <w:szCs w:val="16"/>
                <w:b w:val="1"/>
                <w:bCs w:val="1"/>
                <w:color w:val="auto"/>
                <w:w w:val="93"/>
              </w:rPr>
              <w:t>Three Months Ended September 30, 2017</w:t>
            </w:r>
          </w:p>
        </w:tc>
        <w:tc>
          <w:tcPr>
            <w:tcW w:w="120" w:type="dxa"/>
            <w:vAlign w:val="bottom"/>
          </w:tcPr>
          <w:p>
            <w:pPr>
              <w:spacing w:after="0"/>
              <w:rPr>
                <w:sz w:val="18"/>
                <w:szCs w:val="18"/>
                <w:color w:val="auto"/>
              </w:rPr>
            </w:pPr>
          </w:p>
        </w:tc>
        <w:tc>
          <w:tcPr>
            <w:tcW w:w="3080" w:type="dxa"/>
            <w:vAlign w:val="bottom"/>
            <w:gridSpan w:val="9"/>
          </w:tcPr>
          <w:p>
            <w:pPr>
              <w:jc w:val="right"/>
              <w:ind w:right="220"/>
              <w:spacing w:after="0"/>
              <w:rPr>
                <w:sz w:val="20"/>
                <w:szCs w:val="20"/>
                <w:color w:val="auto"/>
              </w:rPr>
            </w:pPr>
            <w:r>
              <w:rPr>
                <w:rFonts w:ascii="Arial" w:cs="Arial" w:eastAsia="Arial" w:hAnsi="Arial"/>
                <w:sz w:val="16"/>
                <w:szCs w:val="16"/>
                <w:b w:val="1"/>
                <w:bCs w:val="1"/>
                <w:color w:val="auto"/>
                <w:w w:val="93"/>
              </w:rPr>
              <w:t>Nine Months Ended September 30, 2017</w:t>
            </w:r>
          </w:p>
        </w:tc>
      </w:tr>
      <w:tr>
        <w:trPr>
          <w:trHeight w:val="173"/>
        </w:trPr>
        <w:tc>
          <w:tcPr>
            <w:tcW w:w="5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center"/>
              <w:ind w:right="100"/>
              <w:spacing w:after="0" w:line="173" w:lineRule="exact"/>
              <w:rPr>
                <w:sz w:val="20"/>
                <w:szCs w:val="20"/>
                <w:color w:val="auto"/>
              </w:rPr>
            </w:pPr>
            <w:r>
              <w:rPr>
                <w:rFonts w:ascii="Arial" w:cs="Arial" w:eastAsia="Arial" w:hAnsi="Arial"/>
                <w:sz w:val="16"/>
                <w:szCs w:val="16"/>
                <w:b w:val="1"/>
                <w:bCs w:val="1"/>
                <w:color w:val="auto"/>
                <w:w w:val="95"/>
              </w:rPr>
              <w:t>Attributable</w:t>
            </w: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center"/>
              <w:ind w:right="120"/>
              <w:spacing w:after="0" w:line="173" w:lineRule="exact"/>
              <w:rPr>
                <w:sz w:val="20"/>
                <w:szCs w:val="20"/>
                <w:color w:val="auto"/>
              </w:rPr>
            </w:pPr>
            <w:r>
              <w:rPr>
                <w:rFonts w:ascii="Arial" w:cs="Arial" w:eastAsia="Arial" w:hAnsi="Arial"/>
                <w:sz w:val="16"/>
                <w:szCs w:val="16"/>
                <w:b w:val="1"/>
                <w:bCs w:val="1"/>
                <w:color w:val="auto"/>
                <w:w w:val="95"/>
              </w:rPr>
              <w:t>Attributable</w:t>
            </w: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5120" w:type="dxa"/>
            <w:vAlign w:val="bottom"/>
          </w:tcPr>
          <w:p>
            <w:pPr>
              <w:spacing w:after="0"/>
              <w:rPr>
                <w:sz w:val="17"/>
                <w:szCs w:val="17"/>
                <w:color w:val="auto"/>
              </w:rPr>
            </w:pPr>
          </w:p>
        </w:tc>
        <w:tc>
          <w:tcPr>
            <w:tcW w:w="1100" w:type="dxa"/>
            <w:vAlign w:val="bottom"/>
            <w:gridSpan w:val="3"/>
          </w:tcPr>
          <w:p>
            <w:pPr>
              <w:jc w:val="right"/>
              <w:ind w:right="98"/>
              <w:spacing w:after="0"/>
              <w:rPr>
                <w:sz w:val="20"/>
                <w:szCs w:val="20"/>
                <w:color w:val="auto"/>
              </w:rPr>
            </w:pPr>
            <w:r>
              <w:rPr>
                <w:rFonts w:ascii="Arial" w:cs="Arial" w:eastAsia="Arial" w:hAnsi="Arial"/>
                <w:sz w:val="16"/>
                <w:szCs w:val="16"/>
                <w:b w:val="1"/>
                <w:bCs w:val="1"/>
                <w:color w:val="auto"/>
              </w:rPr>
              <w:t>Attributable</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to Non-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Attributable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to Non-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rPr>
              <w:t>to NI</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Controlling</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 NI</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Controlling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51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Holdings, Inc.</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Interest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78"/>
              <w:spacing w:after="0"/>
              <w:rPr>
                <w:sz w:val="20"/>
                <w:szCs w:val="20"/>
                <w:color w:val="auto"/>
              </w:rPr>
            </w:pPr>
            <w:r>
              <w:rPr>
                <w:rFonts w:ascii="Arial" w:cs="Arial" w:eastAsia="Arial" w:hAnsi="Arial"/>
                <w:sz w:val="16"/>
                <w:szCs w:val="16"/>
                <w:b w:val="1"/>
                <w:bCs w:val="1"/>
                <w:color w:val="auto"/>
              </w:rPr>
              <w:t>Total</w:t>
            </w:r>
          </w:p>
        </w:tc>
        <w:tc>
          <w:tcPr>
            <w:tcW w:w="11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Holdings, Inc.</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Interest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18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60" w:type="dxa"/>
            <w:vAlign w:val="bottom"/>
            <w:tcBorders>
              <w:top w:val="single" w:sz="8" w:color="CCEEFF"/>
            </w:tcBorders>
            <w:shd w:val="clear" w:color="auto" w:fill="CCEEFF"/>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before income taxes: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5120" w:type="dxa"/>
            <w:vAlign w:val="bottom"/>
          </w:tcPr>
          <w:p>
            <w:pPr>
              <w:ind w:left="140"/>
              <w:spacing w:after="0"/>
              <w:rPr>
                <w:sz w:val="20"/>
                <w:szCs w:val="20"/>
                <w:color w:val="auto"/>
              </w:rPr>
            </w:pPr>
            <w:r>
              <w:rPr>
                <w:rFonts w:ascii="Arial" w:cs="Arial" w:eastAsia="Arial" w:hAnsi="Arial"/>
                <w:sz w:val="16"/>
                <w:szCs w:val="16"/>
                <w:color w:val="auto"/>
              </w:rPr>
              <w:t>Holding gains on investments</w:t>
            </w:r>
          </w:p>
        </w:tc>
        <w:tc>
          <w:tcPr>
            <w:tcW w:w="180" w:type="dxa"/>
            <w:vAlign w:val="bottom"/>
          </w:tcPr>
          <w:p>
            <w:pPr>
              <w:spacing w:after="0"/>
              <w:rPr>
                <w:sz w:val="17"/>
                <w:szCs w:val="17"/>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6"/>
                <w:szCs w:val="16"/>
                <w:color w:val="auto"/>
              </w:rPr>
              <w:t>1,602</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5,322</w:t>
            </w:r>
          </w:p>
        </w:tc>
      </w:tr>
      <w:tr>
        <w:trPr>
          <w:trHeight w:val="18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Reclassification adjustment for net realized capital loss (gain) included in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189"/>
        </w:trPr>
        <w:tc>
          <w:tcPr>
            <w:tcW w:w="51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comprehensive income (loss), before income taxes</w:t>
            </w: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60" w:type="dxa"/>
            <w:vAlign w:val="bottom"/>
            <w:tcBorders>
              <w:bottom w:val="single" w:sz="8" w:color="CCEEFF"/>
            </w:tcBorders>
          </w:tcPr>
          <w:p>
            <w:pPr>
              <w:spacing w:after="0"/>
              <w:rPr>
                <w:sz w:val="16"/>
                <w:szCs w:val="16"/>
                <w:color w:val="auto"/>
              </w:rPr>
            </w:pPr>
          </w:p>
        </w:tc>
      </w:tr>
      <w:tr>
        <w:trPr>
          <w:trHeight w:val="189"/>
        </w:trPr>
        <w:tc>
          <w:tcPr>
            <w:tcW w:w="5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18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6"/>
                <w:szCs w:val="16"/>
                <w:color w:val="auto"/>
              </w:rPr>
              <w:t>107</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(869)</w:t>
            </w:r>
          </w:p>
        </w:tc>
      </w:tr>
      <w:tr>
        <w:trPr>
          <w:trHeight w:val="189"/>
        </w:trPr>
        <w:tc>
          <w:tcPr>
            <w:tcW w:w="51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comprehensive income (loss), net of income taxes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60" w:type="dxa"/>
            <w:vAlign w:val="bottom"/>
            <w:tcBorders>
              <w:top w:val="single" w:sz="8" w:color="CCEEFF"/>
            </w:tcBorders>
            <w:shd w:val="clear" w:color="auto" w:fill="CCEEFF"/>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20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(2,872)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3,786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3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520"/>
          </w:cols>
          <w:pgMar w:left="240" w:top="218" w:right="139" w:bottom="1440" w:gutter="0" w:footer="0" w:header="0"/>
        </w:sectPr>
      </w:pPr>
    </w:p>
    <w:bookmarkStart w:id="7" w:name="page8"/>
    <w:bookmarkEnd w:id="7"/>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Changes in Equity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 amounts in thousands)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60"/>
              <w:spacing w:after="0" w:line="173" w:lineRule="exact"/>
              <w:rPr>
                <w:sz w:val="20"/>
                <w:szCs w:val="20"/>
                <w:color w:val="auto"/>
              </w:rPr>
            </w:pPr>
            <w:r>
              <w:rPr>
                <w:rFonts w:ascii="Arial" w:cs="Arial" w:eastAsia="Arial" w:hAnsi="Arial"/>
                <w:sz w:val="16"/>
                <w:szCs w:val="16"/>
                <w:b w:val="1"/>
                <w:bCs w:val="1"/>
                <w:color w:val="auto"/>
                <w:w w:val="92"/>
              </w:rPr>
              <w:t>Unearned</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jc w:val="center"/>
              <w:ind w:right="260"/>
              <w:spacing w:after="0" w:line="173" w:lineRule="exact"/>
              <w:rPr>
                <w:sz w:val="20"/>
                <w:szCs w:val="20"/>
                <w:color w:val="auto"/>
              </w:rPr>
            </w:pPr>
            <w:r>
              <w:rPr>
                <w:rFonts w:ascii="Arial" w:cs="Arial" w:eastAsia="Arial" w:hAnsi="Arial"/>
                <w:sz w:val="16"/>
                <w:szCs w:val="16"/>
                <w:b w:val="1"/>
                <w:bCs w:val="1"/>
                <w:color w:val="auto"/>
                <w:w w:val="91"/>
              </w:rPr>
              <w:t>Accumulated</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89"/>
              </w:rPr>
              <w:t>Comprehensive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5"/>
              </w:rPr>
              <w:t>Common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Ownership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7"/>
                <w:szCs w:val="17"/>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Income, Net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Treasury</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Non-Controlling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Plan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Earnings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Income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Equity</w:t>
            </w:r>
          </w:p>
        </w:tc>
      </w:tr>
      <w:tr>
        <w:trPr>
          <w:trHeight w:val="164"/>
        </w:trPr>
        <w:tc>
          <w:tcPr>
            <w:tcW w:w="138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9"/>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July 1, 2018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(2,157)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159,213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12,932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(7,638)</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259,566</w:t>
            </w: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9,877</w:t>
            </w:r>
          </w:p>
        </w:tc>
      </w:tr>
      <w:tr>
        <w:trPr>
          <w:trHeight w:val="184"/>
        </w:trPr>
        <w:tc>
          <w:tcPr>
            <w:tcW w:w="1380" w:type="dxa"/>
            <w:vAlign w:val="bottom"/>
          </w:tcPr>
          <w:p>
            <w:pPr>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comprehensive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loss, net of income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380" w:type="dxa"/>
            <w:vAlign w:val="bottom"/>
          </w:tcPr>
          <w:p>
            <w:pPr>
              <w:spacing w:after="0"/>
              <w:rPr>
                <w:sz w:val="20"/>
                <w:szCs w:val="20"/>
                <w:color w:val="auto"/>
              </w:rPr>
            </w:pPr>
            <w:r>
              <w:rPr>
                <w:rFonts w:ascii="Arial" w:cs="Arial" w:eastAsia="Arial" w:hAnsi="Arial"/>
                <w:sz w:val="16"/>
                <w:szCs w:val="16"/>
                <w:color w:val="auto"/>
              </w:rPr>
              <w:t>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(295)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(306)</w:t>
            </w:r>
          </w:p>
        </w:tc>
      </w:tr>
      <w:tr>
        <w:trPr>
          <w:trHeight w:val="184"/>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1"/>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r>
      <w:tr>
        <w:trPr>
          <w:trHeight w:val="164"/>
        </w:trPr>
        <w:tc>
          <w:tcPr>
            <w:tcW w:w="1380" w:type="dxa"/>
            <w:vAlign w:val="bottom"/>
          </w:tcPr>
          <w:p>
            <w:pPr>
              <w:spacing w:after="0" w:line="164" w:lineRule="exact"/>
              <w:rPr>
                <w:sz w:val="20"/>
                <w:szCs w:val="20"/>
                <w:color w:val="auto"/>
              </w:rPr>
            </w:pPr>
            <w:r>
              <w:rPr>
                <w:rFonts w:ascii="Arial" w:cs="Arial" w:eastAsia="Arial" w:hAnsi="Arial"/>
                <w:sz w:val="16"/>
                <w:szCs w:val="16"/>
                <w:color w:val="auto"/>
              </w:rPr>
              <w:t>Balance,</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3"/>
        </w:trPr>
        <w:tc>
          <w:tcPr>
            <w:tcW w:w="1380" w:type="dxa"/>
            <w:vAlign w:val="bottom"/>
          </w:tcPr>
          <w:p>
            <w:pPr>
              <w:spacing w:after="0"/>
              <w:rPr>
                <w:sz w:val="20"/>
                <w:szCs w:val="20"/>
                <w:color w:val="auto"/>
              </w:rPr>
            </w:pPr>
            <w:r>
              <w:rPr>
                <w:rFonts w:ascii="Arial" w:cs="Arial" w:eastAsia="Arial" w:hAnsi="Arial"/>
                <w:sz w:val="16"/>
                <w:szCs w:val="16"/>
                <w:color w:val="auto"/>
                <w:w w:val="93"/>
              </w:rPr>
              <w:t>September 30, 2018</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230</w:t>
            </w:r>
          </w:p>
        </w:tc>
        <w:tc>
          <w:tcPr>
            <w:tcW w:w="20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94,087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(2,157)</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169,057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12,637</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6"/>
                <w:szCs w:val="16"/>
                <w:color w:val="auto"/>
              </w:rPr>
              <w:t>(7,638)</w:t>
            </w:r>
          </w:p>
        </w:tc>
        <w:tc>
          <w:tcPr>
            <w:tcW w:w="2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3,176</w:t>
            </w:r>
          </w:p>
        </w:tc>
        <w:tc>
          <w:tcPr>
            <w:tcW w:w="140" w:type="dxa"/>
            <w:vAlign w:val="bottom"/>
          </w:tcPr>
          <w:p>
            <w:pPr>
              <w:spacing w:after="0"/>
              <w:rPr>
                <w:sz w:val="20"/>
                <w:szCs w:val="20"/>
                <w:color w:val="auto"/>
              </w:rPr>
            </w:pPr>
          </w:p>
        </w:tc>
        <w:tc>
          <w:tcPr>
            <w:tcW w:w="360" w:type="dxa"/>
            <w:vAlign w:val="bottom"/>
            <w:gridSpan w:val="2"/>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269,392</w:t>
            </w: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5"/>
        </w:trPr>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1"/>
          </w:tcPr>
          <w:p>
            <w:pPr>
              <w:jc w:val="right"/>
              <w:ind w:right="500"/>
              <w:spacing w:after="0"/>
              <w:rPr>
                <w:sz w:val="20"/>
                <w:szCs w:val="20"/>
                <w:color w:val="auto"/>
              </w:rPr>
            </w:pPr>
            <w:r>
              <w:rPr>
                <w:rFonts w:ascii="Arial" w:cs="Arial" w:eastAsia="Arial" w:hAnsi="Arial"/>
                <w:sz w:val="16"/>
                <w:szCs w:val="16"/>
                <w:b w:val="1"/>
                <w:bCs w:val="1"/>
                <w:color w:val="auto"/>
              </w:rPr>
              <w:t>Three Months Ended September 30,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3"/>
        </w:trPr>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line="173" w:lineRule="exact"/>
              <w:rPr>
                <w:sz w:val="20"/>
                <w:szCs w:val="20"/>
                <w:color w:val="auto"/>
              </w:rPr>
            </w:pPr>
            <w:r>
              <w:rPr>
                <w:rFonts w:ascii="Arial" w:cs="Arial" w:eastAsia="Arial" w:hAnsi="Arial"/>
                <w:sz w:val="16"/>
                <w:szCs w:val="16"/>
                <w:b w:val="1"/>
                <w:bCs w:val="1"/>
                <w:color w:val="auto"/>
                <w:w w:val="92"/>
              </w:rPr>
              <w:t>Unearned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ind w:right="320"/>
              <w:spacing w:after="0" w:line="173" w:lineRule="exact"/>
              <w:rPr>
                <w:sz w:val="20"/>
                <w:szCs w:val="20"/>
                <w:color w:val="auto"/>
              </w:rPr>
            </w:pPr>
            <w:r>
              <w:rPr>
                <w:rFonts w:ascii="Arial" w:cs="Arial" w:eastAsia="Arial" w:hAnsi="Arial"/>
                <w:sz w:val="16"/>
                <w:szCs w:val="16"/>
                <w:b w:val="1"/>
                <w:bCs w:val="1"/>
                <w:color w:val="auto"/>
                <w:w w:val="95"/>
              </w:rPr>
              <w:t>Accumulated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Additional</w:t>
            </w:r>
          </w:p>
        </w:tc>
        <w:tc>
          <w:tcPr>
            <w:tcW w:w="1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6"/>
              </w:rPr>
              <w:t>Comprehensive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Ownership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7"/>
                <w:szCs w:val="17"/>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90"/>
              </w:rPr>
              <w:t>Income, Net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4"/>
              </w:rPr>
              <w:t>Treasury</w:t>
            </w:r>
          </w:p>
        </w:tc>
        <w:tc>
          <w:tcPr>
            <w:tcW w:w="6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Arial" w:cs="Arial" w:eastAsia="Arial" w:hAnsi="Arial"/>
                <w:sz w:val="16"/>
                <w:szCs w:val="16"/>
                <w:b w:val="1"/>
                <w:bCs w:val="1"/>
                <w:color w:val="auto"/>
              </w:rPr>
              <w:t>Non-Controlling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Plan 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Earnings</w:t>
            </w:r>
          </w:p>
        </w:tc>
        <w:tc>
          <w:tcPr>
            <w:tcW w:w="100" w:type="dxa"/>
            <w:vAlign w:val="bottom"/>
          </w:tcPr>
          <w:p>
            <w:pPr>
              <w:spacing w:after="0"/>
              <w:rPr>
                <w:sz w:val="18"/>
                <w:szCs w:val="18"/>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8"/>
              </w:rPr>
              <w:t>Income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Equity</w:t>
            </w:r>
          </w:p>
        </w:tc>
      </w:tr>
      <w:tr>
        <w:trPr>
          <w:trHeight w:val="164"/>
        </w:trPr>
        <w:tc>
          <w:tcPr>
            <w:tcW w:w="138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9"/>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July 1, 2017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144,409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12,070</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(8,037)</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242,784</w:t>
            </w:r>
          </w:p>
        </w:tc>
      </w:tr>
      <w:tr>
        <w:trPr>
          <w:trHeight w:val="196"/>
        </w:trPr>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r>
      <w:tr>
        <w:trPr>
          <w:trHeight w:val="196"/>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(2,693)</w:t>
            </w:r>
          </w:p>
        </w:tc>
      </w:tr>
      <w:tr>
        <w:trPr>
          <w:trHeight w:val="184"/>
        </w:trPr>
        <w:tc>
          <w:tcPr>
            <w:tcW w:w="1380" w:type="dxa"/>
            <w:vAlign w:val="bottom"/>
          </w:tcPr>
          <w:p>
            <w:pPr>
              <w:spacing w:after="0"/>
              <w:rPr>
                <w:sz w:val="20"/>
                <w:szCs w:val="20"/>
                <w:color w:val="auto"/>
              </w:rPr>
            </w:pPr>
            <w:r>
              <w:rPr>
                <w:rFonts w:ascii="Arial" w:cs="Arial" w:eastAsia="Arial" w:hAnsi="Arial"/>
                <w:sz w:val="16"/>
                <w:szCs w:val="16"/>
                <w:color w:val="auto"/>
              </w:rPr>
              <w:t>Other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comprehensive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380" w:type="dxa"/>
            <w:vAlign w:val="bottom"/>
          </w:tcPr>
          <w:p>
            <w:pPr>
              <w:spacing w:after="0"/>
              <w:rPr>
                <w:sz w:val="20"/>
                <w:szCs w:val="20"/>
                <w:color w:val="auto"/>
              </w:rPr>
            </w:pPr>
            <w:r>
              <w:rPr>
                <w:rFonts w:ascii="Arial" w:cs="Arial" w:eastAsia="Arial" w:hAnsi="Arial"/>
                <w:sz w:val="16"/>
                <w:szCs w:val="16"/>
                <w:color w:val="auto"/>
              </w:rPr>
              <w:t>income (loss), net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1380" w:type="dxa"/>
            <w:vAlign w:val="bottom"/>
          </w:tcPr>
          <w:p>
            <w:pPr>
              <w:spacing w:after="0"/>
              <w:rPr>
                <w:sz w:val="20"/>
                <w:szCs w:val="20"/>
                <w:color w:val="auto"/>
              </w:rPr>
            </w:pPr>
            <w:r>
              <w:rPr>
                <w:rFonts w:ascii="Arial" w:cs="Arial" w:eastAsia="Arial" w:hAnsi="Arial"/>
                <w:sz w:val="16"/>
                <w:szCs w:val="16"/>
                <w:color w:val="auto"/>
              </w:rPr>
              <w:t>of income taxes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(179)</w:t>
            </w:r>
          </w:p>
        </w:tc>
      </w:tr>
      <w:tr>
        <w:trPr>
          <w:trHeight w:val="164"/>
        </w:trPr>
        <w:tc>
          <w:tcPr>
            <w:tcW w:w="138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3"/>
        </w:trPr>
        <w:tc>
          <w:tcPr>
            <w:tcW w:w="1380" w:type="dxa"/>
            <w:vAlign w:val="bottom"/>
            <w:shd w:val="clear" w:color="auto" w:fill="CCEEFF"/>
          </w:tcPr>
          <w:p>
            <w:pPr>
              <w:spacing w:after="0"/>
              <w:rPr>
                <w:sz w:val="20"/>
                <w:szCs w:val="20"/>
                <w:color w:val="auto"/>
              </w:rPr>
            </w:pPr>
            <w:r>
              <w:rPr>
                <w:rFonts w:ascii="Arial" w:cs="Arial" w:eastAsia="Arial" w:hAnsi="Arial"/>
                <w:sz w:val="16"/>
                <w:szCs w:val="16"/>
                <w:color w:val="auto"/>
                <w:w w:val="93"/>
              </w:rPr>
              <w:t>September 30, 2017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141,676</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(8,037)</w:t>
            </w: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239,912</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3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8" w:name="page9"/>
    <w:bookmarkEnd w:id="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Changes in Equity (continued)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 amounts in thousands)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2018</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320"/>
              <w:spacing w:after="0" w:line="173" w:lineRule="exact"/>
              <w:rPr>
                <w:sz w:val="20"/>
                <w:szCs w:val="20"/>
                <w:color w:val="auto"/>
              </w:rPr>
            </w:pPr>
            <w:r>
              <w:rPr>
                <w:rFonts w:ascii="Arial" w:cs="Arial" w:eastAsia="Arial" w:hAnsi="Arial"/>
                <w:sz w:val="16"/>
                <w:szCs w:val="16"/>
                <w:b w:val="1"/>
                <w:bCs w:val="1"/>
                <w:color w:val="auto"/>
                <w:w w:val="92"/>
              </w:rPr>
              <w:t>Unearned</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240"/>
              <w:spacing w:after="0" w:line="173" w:lineRule="exact"/>
              <w:rPr>
                <w:sz w:val="20"/>
                <w:szCs w:val="20"/>
                <w:color w:val="auto"/>
              </w:rPr>
            </w:pPr>
            <w:r>
              <w:rPr>
                <w:rFonts w:ascii="Arial" w:cs="Arial" w:eastAsia="Arial" w:hAnsi="Arial"/>
                <w:sz w:val="16"/>
                <w:szCs w:val="16"/>
                <w:b w:val="1"/>
                <w:bCs w:val="1"/>
                <w:color w:val="auto"/>
                <w:w w:val="93"/>
              </w:rPr>
              <w:t>Accumulated</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9"/>
              </w:rPr>
              <w:t>Employee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Ownership</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Income, Net of</w:t>
            </w:r>
          </w:p>
        </w:tc>
        <w:tc>
          <w:tcPr>
            <w:tcW w:w="12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Treasury</w:t>
            </w:r>
          </w:p>
        </w:tc>
        <w:tc>
          <w:tcPr>
            <w:tcW w:w="10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87"/>
              </w:rPr>
              <w:t>Plan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Income Taxes</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Equity</w:t>
            </w:r>
          </w:p>
        </w:tc>
      </w:tr>
      <w:tr>
        <w:trPr>
          <w:trHeight w:val="164"/>
        </w:trPr>
        <w:tc>
          <w:tcPr>
            <w:tcW w:w="142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January 1, 2018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93,496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(2,157)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152,865</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(8,037)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255,573</w:t>
            </w: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16,192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16,285</w:t>
            </w:r>
          </w:p>
        </w:tc>
      </w:tr>
      <w:tr>
        <w:trPr>
          <w:trHeight w:val="184"/>
        </w:trPr>
        <w:tc>
          <w:tcPr>
            <w:tcW w:w="142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420" w:type="dxa"/>
            <w:vAlign w:val="bottom"/>
          </w:tcPr>
          <w:p>
            <w:pPr>
              <w:spacing w:after="0"/>
              <w:rPr>
                <w:sz w:val="20"/>
                <w:szCs w:val="20"/>
                <w:color w:val="auto"/>
              </w:rPr>
            </w:pPr>
            <w:r>
              <w:rPr>
                <w:rFonts w:ascii="Arial" w:cs="Arial" w:eastAsia="Arial" w:hAnsi="Arial"/>
                <w:sz w:val="16"/>
                <w:szCs w:val="16"/>
                <w:color w:val="auto"/>
              </w:rPr>
              <w:t>comprehensive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tcPr>
          <w:p>
            <w:pPr>
              <w:spacing w:after="0"/>
              <w:rPr>
                <w:sz w:val="20"/>
                <w:szCs w:val="20"/>
                <w:color w:val="auto"/>
              </w:rPr>
            </w:pPr>
            <w:r>
              <w:rPr>
                <w:rFonts w:ascii="Arial" w:cs="Arial" w:eastAsia="Arial" w:hAnsi="Arial"/>
                <w:sz w:val="16"/>
                <w:szCs w:val="16"/>
                <w:color w:val="auto"/>
              </w:rPr>
              <w:t>loss, net of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420" w:type="dxa"/>
            <w:vAlign w:val="bottom"/>
          </w:tcPr>
          <w:p>
            <w:pPr>
              <w:spacing w:after="0"/>
              <w:rPr>
                <w:sz w:val="20"/>
                <w:szCs w:val="20"/>
                <w:color w:val="auto"/>
              </w:rPr>
            </w:pPr>
            <w:r>
              <w:rPr>
                <w:rFonts w:ascii="Arial" w:cs="Arial" w:eastAsia="Arial" w:hAnsi="Arial"/>
                <w:sz w:val="16"/>
                <w:szCs w:val="16"/>
                <w:color w:val="auto"/>
              </w:rPr>
              <w:t>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(3,361)</w:t>
            </w: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(3,456)</w:t>
            </w:r>
          </w:p>
        </w:tc>
      </w:tr>
      <w:tr>
        <w:trPr>
          <w:trHeight w:val="184"/>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990</w:t>
            </w:r>
          </w:p>
        </w:tc>
      </w:tr>
      <w:tr>
        <w:trPr>
          <w:trHeight w:val="184"/>
        </w:trPr>
        <w:tc>
          <w:tcPr>
            <w:tcW w:w="1420" w:type="dxa"/>
            <w:vAlign w:val="bottom"/>
          </w:tcPr>
          <w:p>
            <w:pPr>
              <w:spacing w:after="0"/>
              <w:rPr>
                <w:sz w:val="20"/>
                <w:szCs w:val="20"/>
                <w:color w:val="auto"/>
              </w:rPr>
            </w:pPr>
            <w:r>
              <w:rPr>
                <w:rFonts w:ascii="Arial" w:cs="Arial" w:eastAsia="Arial" w:hAnsi="Arial"/>
                <w:sz w:val="16"/>
                <w:szCs w:val="16"/>
                <w:color w:val="auto"/>
              </w:rPr>
              <w:t>Issuance of vested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award 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64"/>
        </w:trPr>
        <w:tc>
          <w:tcPr>
            <w:tcW w:w="142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6"/>
              </w:rPr>
              <w:t>September 30, 2018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94,087</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(2,157)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169,057</w:t>
            </w:r>
          </w:p>
        </w:tc>
        <w:tc>
          <w:tcPr>
            <w:tcW w:w="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(7,638)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269,392</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737"/>
        </w:trPr>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3"/>
          </w:tcPr>
          <w:p>
            <w:pPr>
              <w:jc w:val="right"/>
              <w:ind w:right="540"/>
              <w:spacing w:after="0"/>
              <w:rPr>
                <w:sz w:val="20"/>
                <w:szCs w:val="20"/>
                <w:color w:val="auto"/>
              </w:rPr>
            </w:pPr>
            <w:r>
              <w:rPr>
                <w:rFonts w:ascii="Arial" w:cs="Arial" w:eastAsia="Arial" w:hAnsi="Arial"/>
                <w:sz w:val="16"/>
                <w:szCs w:val="16"/>
                <w:b w:val="1"/>
                <w:bCs w:val="1"/>
                <w:color w:val="auto"/>
              </w:rPr>
              <w:t>Nine Months Ended September 30,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73"/>
        </w:trPr>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80"/>
              <w:spacing w:after="0" w:line="173" w:lineRule="exact"/>
              <w:rPr>
                <w:sz w:val="20"/>
                <w:szCs w:val="20"/>
                <w:color w:val="auto"/>
              </w:rPr>
            </w:pPr>
            <w:r>
              <w:rPr>
                <w:rFonts w:ascii="Arial" w:cs="Arial" w:eastAsia="Arial" w:hAnsi="Arial"/>
                <w:sz w:val="16"/>
                <w:szCs w:val="16"/>
                <w:b w:val="1"/>
                <w:bCs w:val="1"/>
                <w:color w:val="auto"/>
                <w:w w:val="94"/>
              </w:rPr>
              <w:t>Unearned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tcPr>
          <w:p>
            <w:pPr>
              <w:jc w:val="center"/>
              <w:ind w:right="260"/>
              <w:spacing w:after="0" w:line="173"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Additional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7"/>
              </w:rPr>
              <w:t>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7"/>
              </w:rPr>
              <w:t>Paid-in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Ownership</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Income, Net of</w:t>
            </w: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9"/>
              </w:rPr>
              <w:t>Plan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Income Taxes</w:t>
            </w: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Total Equity</w:t>
            </w:r>
          </w:p>
        </w:tc>
      </w:tr>
      <w:tr>
        <w:trPr>
          <w:trHeight w:val="164"/>
        </w:trPr>
        <w:tc>
          <w:tcPr>
            <w:tcW w:w="142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January 1, 2017</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139,591</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10,305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153,418</w:t>
            </w:r>
          </w:p>
        </w:tc>
      </w:tr>
      <w:tr>
        <w:trPr>
          <w:trHeight w:val="196"/>
        </w:trPr>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Issuance of</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92,915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(2,400)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90,745</w:t>
            </w:r>
          </w:p>
        </w:tc>
      </w:tr>
      <w:tr>
        <w:trPr>
          <w:trHeight w:val="196"/>
        </w:trPr>
        <w:tc>
          <w:tcPr>
            <w:tcW w:w="1420" w:type="dxa"/>
            <w:vAlign w:val="bottom"/>
          </w:tcPr>
          <w:p>
            <w:pPr>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2,173</w:t>
            </w:r>
          </w:p>
        </w:tc>
      </w:tr>
      <w:tr>
        <w:trPr>
          <w:trHeight w:val="184"/>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comprehensive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income, net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1,613</w:t>
            </w:r>
          </w:p>
        </w:tc>
      </w:tr>
      <w:tr>
        <w:trPr>
          <w:trHeight w:val="184"/>
        </w:trPr>
        <w:tc>
          <w:tcPr>
            <w:tcW w:w="1420" w:type="dxa"/>
            <w:vAlign w:val="bottom"/>
          </w:tcPr>
          <w:p>
            <w:pPr>
              <w:spacing w:after="0"/>
              <w:rPr>
                <w:sz w:val="20"/>
                <w:szCs w:val="20"/>
                <w:color w:val="auto"/>
              </w:rPr>
            </w:pPr>
            <w:r>
              <w:rPr>
                <w:rFonts w:ascii="Arial" w:cs="Arial" w:eastAsia="Arial" w:hAnsi="Arial"/>
                <w:sz w:val="16"/>
                <w:szCs w:val="16"/>
                <w:color w:val="auto"/>
              </w:rPr>
              <w:t>Purchase of</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1420" w:type="dxa"/>
            <w:vAlign w:val="bottom"/>
          </w:tcPr>
          <w:p>
            <w:pPr>
              <w:spacing w:after="0"/>
              <w:rPr>
                <w:sz w:val="20"/>
                <w:szCs w:val="20"/>
                <w:color w:val="auto"/>
              </w:rPr>
            </w:pPr>
            <w:r>
              <w:rPr>
                <w:rFonts w:ascii="Arial" w:cs="Arial" w:eastAsia="Arial" w:hAnsi="Arial"/>
                <w:sz w:val="16"/>
                <w:szCs w:val="16"/>
                <w:color w:val="auto"/>
              </w:rPr>
              <w:t>treasury stock</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(8,037)</w:t>
            </w:r>
          </w:p>
        </w:tc>
      </w:tr>
      <w:tr>
        <w:trPr>
          <w:trHeight w:val="164"/>
        </w:trPr>
        <w:tc>
          <w:tcPr>
            <w:tcW w:w="1420" w:type="dxa"/>
            <w:vAlign w:val="bottom"/>
            <w:tcBorders>
              <w:top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Balance,</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3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w w:val="96"/>
              </w:rPr>
              <w:t>September 30, 2017</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92,915</w:t>
            </w:r>
          </w:p>
        </w:tc>
        <w:tc>
          <w:tcPr>
            <w:tcW w:w="14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(2,400)</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141,676</w:t>
            </w:r>
          </w:p>
        </w:tc>
        <w:tc>
          <w:tcPr>
            <w:tcW w:w="8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11,870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(8,037)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239,912</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9" w:name="page10"/>
    <w:bookmarkEnd w:id="9"/>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 Holdings, Inc.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80" w:type="dxa"/>
            <w:vAlign w:val="bottom"/>
            <w:gridSpan w:val="7"/>
          </w:tcPr>
          <w:p>
            <w:pPr>
              <w:jc w:val="right"/>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1"/>
        </w:trPr>
        <w:tc>
          <w:tcPr>
            <w:tcW w:w="89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89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9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16,285</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2,173</w:t>
            </w:r>
          </w:p>
        </w:tc>
      </w:tr>
      <w:tr>
        <w:trPr>
          <w:trHeight w:val="196"/>
        </w:trPr>
        <w:tc>
          <w:tcPr>
            <w:tcW w:w="8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Gain on acquisition of Direct Auto Insurance Company</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6"/>
        </w:trPr>
        <w:tc>
          <w:tcPr>
            <w:tcW w:w="8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realized capital gain on investments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196"/>
        </w:trPr>
        <w:tc>
          <w:tcPr>
            <w:tcW w:w="8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of property and equipment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376</w:t>
            </w: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1,094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r>
      <w:tr>
        <w:trPr>
          <w:trHeight w:val="196"/>
        </w:trPr>
        <w:tc>
          <w:tcPr>
            <w:tcW w:w="8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 compensation</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990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Amortization of deferred policy acquisition costs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26,608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21,102</w:t>
            </w:r>
          </w:p>
        </w:tc>
      </w:tr>
      <w:tr>
        <w:trPr>
          <w:trHeight w:val="196"/>
        </w:trPr>
        <w:tc>
          <w:tcPr>
            <w:tcW w:w="8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Deferral of policy acquisition costs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(29,542)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(23,913)</w:t>
            </w: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Net amortization of premiums and discounts on investments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896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973</w:t>
            </w:r>
          </w:p>
        </w:tc>
      </w:tr>
      <w:tr>
        <w:trPr>
          <w:trHeight w:val="196"/>
        </w:trPr>
        <w:tc>
          <w:tcPr>
            <w:tcW w:w="89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Changes in assets and liabilities which provided (used) cash:</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940" w:type="dxa"/>
            <w:vAlign w:val="bottom"/>
          </w:tcPr>
          <w:p>
            <w:pPr>
              <w:ind w:left="380"/>
              <w:spacing w:after="0"/>
              <w:rPr>
                <w:sz w:val="20"/>
                <w:szCs w:val="20"/>
                <w:color w:val="auto"/>
              </w:rPr>
            </w:pPr>
            <w:r>
              <w:rPr>
                <w:rFonts w:ascii="Arial" w:cs="Arial" w:eastAsia="Arial" w:hAnsi="Arial"/>
                <w:sz w:val="16"/>
                <w:szCs w:val="16"/>
                <w:color w:val="auto"/>
              </w:rPr>
              <w:t>Premiums and agents’ balances receivable</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(31,264)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(50,587)</w:t>
            </w:r>
          </w:p>
        </w:tc>
      </w:tr>
      <w:tr>
        <w:trPr>
          <w:trHeight w:val="196"/>
        </w:trPr>
        <w:tc>
          <w:tcPr>
            <w:tcW w:w="8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Reinsurance receivables / payables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1,233</w:t>
            </w:r>
          </w:p>
        </w:tc>
      </w:tr>
      <w:tr>
        <w:trPr>
          <w:trHeight w:val="196"/>
        </w:trPr>
        <w:tc>
          <w:tcPr>
            <w:tcW w:w="8940" w:type="dxa"/>
            <w:vAlign w:val="bottom"/>
          </w:tcPr>
          <w:p>
            <w:pPr>
              <w:ind w:left="380"/>
              <w:spacing w:after="0"/>
              <w:rPr>
                <w:sz w:val="20"/>
                <w:szCs w:val="20"/>
                <w:color w:val="auto"/>
              </w:rPr>
            </w:pPr>
            <w:r>
              <w:rPr>
                <w:rFonts w:ascii="Arial" w:cs="Arial" w:eastAsia="Arial" w:hAnsi="Arial"/>
                <w:sz w:val="16"/>
                <w:szCs w:val="16"/>
                <w:color w:val="auto"/>
              </w:rPr>
              <w:t>Reinsurance recoverables on losses</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(1,488)</w:t>
            </w:r>
          </w:p>
        </w:tc>
      </w:tr>
      <w:tr>
        <w:trPr>
          <w:trHeight w:val="196"/>
        </w:trPr>
        <w:tc>
          <w:tcPr>
            <w:tcW w:w="8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investment income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196"/>
        </w:trPr>
        <w:tc>
          <w:tcPr>
            <w:tcW w:w="8940" w:type="dxa"/>
            <w:vAlign w:val="bottom"/>
          </w:tcPr>
          <w:p>
            <w:pPr>
              <w:ind w:left="380"/>
              <w:spacing w:after="0"/>
              <w:rPr>
                <w:sz w:val="20"/>
                <w:szCs w:val="20"/>
                <w:color w:val="auto"/>
              </w:rPr>
            </w:pPr>
            <w:r>
              <w:rPr>
                <w:rFonts w:ascii="Arial" w:cs="Arial" w:eastAsia="Arial" w:hAnsi="Arial"/>
                <w:sz w:val="16"/>
                <w:szCs w:val="16"/>
                <w:color w:val="auto"/>
              </w:rPr>
              <w:t>Receivable from Federal Crop Insurance Corporation</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(18,783)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(3,922)</w:t>
            </w:r>
          </w:p>
        </w:tc>
      </w:tr>
      <w:tr>
        <w:trPr>
          <w:trHeight w:val="196"/>
        </w:trPr>
        <w:tc>
          <w:tcPr>
            <w:tcW w:w="8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 income tax recoverable / payable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196"/>
        </w:trPr>
        <w:tc>
          <w:tcPr>
            <w:tcW w:w="89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885</w:t>
            </w:r>
          </w:p>
        </w:tc>
      </w:tr>
      <w:tr>
        <w:trPr>
          <w:trHeight w:val="196"/>
        </w:trPr>
        <w:tc>
          <w:tcPr>
            <w:tcW w:w="8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Unpaid losses and loss adjustment expenses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18,796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25,795</w:t>
            </w:r>
          </w:p>
        </w:tc>
      </w:tr>
      <w:tr>
        <w:trPr>
          <w:trHeight w:val="196"/>
        </w:trPr>
        <w:tc>
          <w:tcPr>
            <w:tcW w:w="8940" w:type="dxa"/>
            <w:vAlign w:val="bottom"/>
          </w:tcPr>
          <w:p>
            <w:pPr>
              <w:ind w:left="380"/>
              <w:spacing w:after="0"/>
              <w:rPr>
                <w:sz w:val="20"/>
                <w:szCs w:val="20"/>
                <w:color w:val="auto"/>
              </w:rPr>
            </w:pPr>
            <w:r>
              <w:rPr>
                <w:rFonts w:ascii="Arial" w:cs="Arial" w:eastAsia="Arial" w:hAnsi="Arial"/>
                <w:sz w:val="16"/>
                <w:szCs w:val="16"/>
                <w:color w:val="auto"/>
              </w:rPr>
              <w:t>Unearned premiums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19,091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18,371</w:t>
            </w:r>
          </w:p>
        </w:tc>
      </w:tr>
      <w:tr>
        <w:trPr>
          <w:trHeight w:val="209"/>
        </w:trPr>
        <w:tc>
          <w:tcPr>
            <w:tcW w:w="8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3,121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4,642</w:t>
            </w:r>
          </w:p>
        </w:tc>
      </w:tr>
      <w:tr>
        <w:trPr>
          <w:trHeight w:val="189"/>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8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sales of fixed income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51,298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19,800</w:t>
            </w:r>
          </w:p>
        </w:tc>
      </w:tr>
      <w:tr>
        <w:trPr>
          <w:trHeight w:val="196"/>
        </w:trPr>
        <w:tc>
          <w:tcPr>
            <w:tcW w:w="8940" w:type="dxa"/>
            <w:vAlign w:val="bottom"/>
          </w:tcPr>
          <w:p>
            <w:pPr>
              <w:ind w:left="140"/>
              <w:spacing w:after="0"/>
              <w:rPr>
                <w:sz w:val="20"/>
                <w:szCs w:val="20"/>
                <w:color w:val="auto"/>
              </w:rPr>
            </w:pPr>
            <w:r>
              <w:rPr>
                <w:rFonts w:ascii="Arial" w:cs="Arial" w:eastAsia="Arial" w:hAnsi="Arial"/>
                <w:sz w:val="16"/>
                <w:szCs w:val="16"/>
                <w:color w:val="auto"/>
              </w:rPr>
              <w:t>Proceeds from sales of equity securities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16,689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6,679</w:t>
            </w:r>
          </w:p>
        </w:tc>
      </w:tr>
      <w:tr>
        <w:trPr>
          <w:trHeight w:val="196"/>
        </w:trPr>
        <w:tc>
          <w:tcPr>
            <w:tcW w:w="8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fixed income securities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(57,423)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(95,008)</w:t>
            </w:r>
          </w:p>
        </w:tc>
      </w:tr>
      <w:tr>
        <w:trPr>
          <w:trHeight w:val="196"/>
        </w:trPr>
        <w:tc>
          <w:tcPr>
            <w:tcW w:w="8940" w:type="dxa"/>
            <w:vAlign w:val="bottom"/>
          </w:tcPr>
          <w:p>
            <w:pPr>
              <w:ind w:left="140"/>
              <w:spacing w:after="0"/>
              <w:rPr>
                <w:sz w:val="20"/>
                <w:szCs w:val="20"/>
                <w:color w:val="auto"/>
              </w:rPr>
            </w:pPr>
            <w:r>
              <w:rPr>
                <w:rFonts w:ascii="Arial" w:cs="Arial" w:eastAsia="Arial" w:hAnsi="Arial"/>
                <w:sz w:val="16"/>
                <w:szCs w:val="16"/>
                <w:color w:val="auto"/>
              </w:rPr>
              <w:t>Purchases of equity securities</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(8,722)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(20,891)</w:t>
            </w:r>
          </w:p>
        </w:tc>
      </w:tr>
      <w:tr>
        <w:trPr>
          <w:trHeight w:val="196"/>
        </w:trPr>
        <w:tc>
          <w:tcPr>
            <w:tcW w:w="8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of property and equipment, net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196"/>
        </w:trPr>
        <w:tc>
          <w:tcPr>
            <w:tcW w:w="8940" w:type="dxa"/>
            <w:vAlign w:val="bottom"/>
          </w:tcPr>
          <w:p>
            <w:pPr>
              <w:ind w:left="160"/>
              <w:spacing w:after="0"/>
              <w:rPr>
                <w:sz w:val="20"/>
                <w:szCs w:val="20"/>
                <w:color w:val="auto"/>
              </w:rPr>
            </w:pPr>
            <w:r>
              <w:rPr>
                <w:rFonts w:ascii="Arial" w:cs="Arial" w:eastAsia="Arial" w:hAnsi="Arial"/>
                <w:sz w:val="16"/>
                <w:szCs w:val="16"/>
                <w:color w:val="auto"/>
              </w:rPr>
              <w:t>Acquisition of Direct Auto Insurance Company (cash consideration paid net of cash and cash equivalents acquired)</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27,485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w:t>
            </w:r>
          </w:p>
        </w:tc>
      </w:tr>
      <w:tr>
        <w:trPr>
          <w:trHeight w:val="209"/>
        </w:trPr>
        <w:tc>
          <w:tcPr>
            <w:tcW w:w="8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r>
      <w:tr>
        <w:trPr>
          <w:trHeight w:val="189"/>
        </w:trPr>
        <w:tc>
          <w:tcPr>
            <w:tcW w:w="8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28,778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(90,247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8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9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93,145</w:t>
            </w:r>
          </w:p>
        </w:tc>
      </w:tr>
      <w:tr>
        <w:trPr>
          <w:trHeight w:val="196"/>
        </w:trPr>
        <w:tc>
          <w:tcPr>
            <w:tcW w:w="8940" w:type="dxa"/>
            <w:vAlign w:val="bottom"/>
          </w:tcPr>
          <w:p>
            <w:pPr>
              <w:ind w:left="16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(8,037)</w:t>
            </w:r>
          </w:p>
        </w:tc>
      </w:tr>
      <w:tr>
        <w:trPr>
          <w:trHeight w:val="209"/>
        </w:trPr>
        <w:tc>
          <w:tcPr>
            <w:tcW w:w="8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to employee stock ownership plan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w:t>
            </w:r>
          </w:p>
        </w:tc>
      </w:tr>
      <w:tr>
        <w:trPr>
          <w:trHeight w:val="189"/>
        </w:trPr>
        <w:tc>
          <w:tcPr>
            <w:tcW w:w="8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82,708</w:t>
            </w:r>
          </w:p>
        </w:tc>
        <w:tc>
          <w:tcPr>
            <w:tcW w:w="100" w:type="dxa"/>
            <w:vAlign w:val="bottom"/>
            <w:tcBorders>
              <w:bottom w:val="single" w:sz="8" w:color="CCEEFF"/>
            </w:tcBorders>
          </w:tcPr>
          <w:p>
            <w:pPr>
              <w:spacing w:after="0"/>
              <w:rPr>
                <w:sz w:val="16"/>
                <w:szCs w:val="16"/>
                <w:color w:val="auto"/>
              </w:rPr>
            </w:pPr>
          </w:p>
        </w:tc>
      </w:tr>
      <w:tr>
        <w:trPr>
          <w:trHeight w:val="189"/>
        </w:trPr>
        <w:tc>
          <w:tcPr>
            <w:tcW w:w="8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940" w:type="dxa"/>
            <w:vAlign w:val="bottom"/>
          </w:tcPr>
          <w:p>
            <w:pPr>
              <w:ind w:left="30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spacing w:after="0"/>
              <w:rPr>
                <w:sz w:val="17"/>
                <w:szCs w:val="17"/>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24,066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(15,334)</w:t>
            </w:r>
          </w:p>
        </w:tc>
      </w:tr>
      <w:tr>
        <w:trPr>
          <w:trHeight w:val="196"/>
        </w:trPr>
        <w:tc>
          <w:tcPr>
            <w:tcW w:w="8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89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Pr>
          <w:p>
            <w:pPr>
              <w:spacing w:after="0"/>
              <w:rPr>
                <w:sz w:val="18"/>
                <w:szCs w:val="18"/>
                <w:color w:val="auto"/>
              </w:rPr>
            </w:pP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27,594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18,318</w:t>
            </w:r>
          </w:p>
        </w:tc>
      </w:tr>
      <w:tr>
        <w:trPr>
          <w:trHeight w:val="177"/>
        </w:trPr>
        <w:tc>
          <w:tcPr>
            <w:tcW w:w="89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0"/>
        </w:trPr>
        <w:tc>
          <w:tcPr>
            <w:tcW w:w="89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8"/>
              <w:spacing w:after="0"/>
              <w:rPr>
                <w:sz w:val="20"/>
                <w:szCs w:val="20"/>
                <w:color w:val="auto"/>
              </w:rPr>
            </w:pPr>
            <w:r>
              <w:rPr>
                <w:rFonts w:ascii="Arial" w:cs="Arial" w:eastAsia="Arial" w:hAnsi="Arial"/>
                <w:sz w:val="16"/>
                <w:szCs w:val="16"/>
                <w:color w:val="auto"/>
              </w:rPr>
              <w:t>51,660</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
              <w:spacing w:after="0"/>
              <w:rPr>
                <w:sz w:val="20"/>
                <w:szCs w:val="20"/>
                <w:color w:val="auto"/>
              </w:rPr>
            </w:pPr>
            <w:r>
              <w:rPr>
                <w:rFonts w:ascii="Arial" w:cs="Arial" w:eastAsia="Arial" w:hAnsi="Arial"/>
                <w:sz w:val="16"/>
                <w:szCs w:val="16"/>
                <w:color w:val="auto"/>
              </w:rPr>
              <w:t>2,984</w:t>
            </w:r>
          </w:p>
        </w:tc>
      </w:tr>
      <w:tr>
        <w:trPr>
          <w:trHeight w:val="174"/>
        </w:trPr>
        <w:tc>
          <w:tcPr>
            <w:tcW w:w="89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Company paid $6,800 and $1,850 in federal income taxes during the nine months ended September 30, 2018 and 2017,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10" w:name="page11"/>
    <w:bookmarkEnd w:id="10"/>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FFFFFF"/>
        </w:rPr>
        <w:t>Notes to Unaudited Consolidated Financial Statements</w:t>
      </w:r>
    </w:p>
    <w:p>
      <w:pPr>
        <w:spacing w:after="0" w:line="28" w:lineRule="exact"/>
        <w:rPr>
          <w:sz w:val="20"/>
          <w:szCs w:val="20"/>
          <w:color w:val="auto"/>
        </w:rPr>
      </w:pPr>
    </w:p>
    <w:p>
      <w:pPr>
        <w:ind w:left="582" w:hanging="582"/>
        <w:spacing w:after="0"/>
        <w:tabs>
          <w:tab w:leader="none" w:pos="58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97" w:lineRule="exact"/>
        <w:rPr>
          <w:sz w:val="20"/>
          <w:szCs w:val="20"/>
          <w:color w:val="auto"/>
        </w:rPr>
      </w:pPr>
    </w:p>
    <w:p>
      <w:pPr>
        <w:ind w:left="2" w:right="60" w:firstLine="589"/>
        <w:spacing w:after="0" w:line="281" w:lineRule="auto"/>
        <w:rPr>
          <w:sz w:val="20"/>
          <w:szCs w:val="20"/>
          <w:color w:val="auto"/>
        </w:rPr>
      </w:pPr>
      <w:r>
        <w:rPr>
          <w:rFonts w:ascii="Arial" w:cs="Arial" w:eastAsia="Arial" w:hAnsi="Arial"/>
          <w:sz w:val="15"/>
          <w:szCs w:val="15"/>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20"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These consolidated financial statements of NI Holdings include the financial position and results of NI Holdings and six other entities:</w:t>
      </w:r>
    </w:p>
    <w:p>
      <w:pPr>
        <w:spacing w:after="0" w:line="24" w:lineRule="exact"/>
        <w:rPr>
          <w:sz w:val="20"/>
          <w:szCs w:val="20"/>
          <w:color w:val="auto"/>
        </w:rPr>
      </w:pPr>
    </w:p>
    <w:p>
      <w:pPr>
        <w:ind w:left="1182" w:hanging="299"/>
        <w:spacing w:after="0"/>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Nodak Insurance Company (“Nodak Insurance”, formerly Nodak Mutual Insurance Company prior to the conversion);</w:t>
      </w:r>
    </w:p>
    <w:p>
      <w:pPr>
        <w:spacing w:after="0" w:line="12" w:lineRule="exact"/>
        <w:rPr>
          <w:rFonts w:ascii="Arial" w:cs="Arial" w:eastAsia="Arial" w:hAnsi="Arial"/>
          <w:sz w:val="16"/>
          <w:szCs w:val="16"/>
          <w:color w:val="auto"/>
        </w:rPr>
      </w:pPr>
    </w:p>
    <w:p>
      <w:pPr>
        <w:ind w:left="1182" w:hanging="299"/>
        <w:spacing w:after="0"/>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Nodak Agency, Inc. (“Nodak Agency”);</w:t>
      </w:r>
    </w:p>
    <w:p>
      <w:pPr>
        <w:spacing w:after="0" w:line="12" w:lineRule="exact"/>
        <w:rPr>
          <w:rFonts w:ascii="Arial" w:cs="Arial" w:eastAsia="Arial" w:hAnsi="Arial"/>
          <w:sz w:val="16"/>
          <w:szCs w:val="16"/>
          <w:color w:val="auto"/>
        </w:rPr>
      </w:pPr>
    </w:p>
    <w:p>
      <w:pPr>
        <w:ind w:left="1182" w:hanging="299"/>
        <w:spacing w:after="0"/>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American West Insurance Company (“American West”);</w:t>
      </w:r>
    </w:p>
    <w:p>
      <w:pPr>
        <w:spacing w:after="0" w:line="12" w:lineRule="exact"/>
        <w:rPr>
          <w:rFonts w:ascii="Arial" w:cs="Arial" w:eastAsia="Arial" w:hAnsi="Arial"/>
          <w:sz w:val="16"/>
          <w:szCs w:val="16"/>
          <w:color w:val="auto"/>
        </w:rPr>
      </w:pPr>
    </w:p>
    <w:p>
      <w:pPr>
        <w:ind w:left="1182" w:hanging="299"/>
        <w:spacing w:after="0"/>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Primero Insurance Company (“Primero”);</w:t>
      </w:r>
    </w:p>
    <w:p>
      <w:pPr>
        <w:spacing w:after="0" w:line="12" w:lineRule="exact"/>
        <w:rPr>
          <w:rFonts w:ascii="Arial" w:cs="Arial" w:eastAsia="Arial" w:hAnsi="Arial"/>
          <w:sz w:val="16"/>
          <w:szCs w:val="16"/>
          <w:color w:val="auto"/>
        </w:rPr>
      </w:pPr>
    </w:p>
    <w:p>
      <w:pPr>
        <w:ind w:left="1182" w:hanging="299"/>
        <w:spacing w:after="0"/>
        <w:tabs>
          <w:tab w:leader="none" w:pos="118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Battle Creek Mutual Insurance Company (“Battle Creek”, an affiliated company with Nodak Insurance); and</w:t>
      </w:r>
    </w:p>
    <w:p>
      <w:pPr>
        <w:spacing w:after="0" w:line="12" w:lineRule="exact"/>
        <w:rPr>
          <w:rFonts w:ascii="Arial" w:cs="Arial" w:eastAsia="Arial" w:hAnsi="Arial"/>
          <w:sz w:val="16"/>
          <w:szCs w:val="16"/>
          <w:color w:val="auto"/>
        </w:rPr>
      </w:pPr>
    </w:p>
    <w:p>
      <w:pPr>
        <w:ind w:left="1162" w:hanging="279"/>
        <w:spacing w:after="0"/>
        <w:tabs>
          <w:tab w:leader="none" w:pos="1162" w:val="left"/>
        </w:tabs>
        <w:numPr>
          <w:ilvl w:val="0"/>
          <w:numId w:val="8"/>
        </w:numPr>
        <w:rPr>
          <w:rFonts w:ascii="Arial" w:cs="Arial" w:eastAsia="Arial" w:hAnsi="Arial"/>
          <w:sz w:val="16"/>
          <w:szCs w:val="16"/>
          <w:color w:val="auto"/>
        </w:rPr>
      </w:pPr>
      <w:r>
        <w:rPr>
          <w:rFonts w:ascii="Arial" w:cs="Arial" w:eastAsia="Arial" w:hAnsi="Arial"/>
          <w:sz w:val="16"/>
          <w:szCs w:val="16"/>
          <w:color w:val="auto"/>
        </w:rPr>
        <w:t>Direct Auto Insurance Company (“Direct Auto”).</w:t>
      </w:r>
    </w:p>
    <w:p>
      <w:pPr>
        <w:spacing w:after="0" w:line="173" w:lineRule="exact"/>
        <w:rPr>
          <w:sz w:val="20"/>
          <w:szCs w:val="20"/>
          <w:color w:val="auto"/>
        </w:rPr>
      </w:pPr>
    </w:p>
    <w:p>
      <w:pPr>
        <w:ind w:left="2" w:right="120" w:firstLine="589"/>
        <w:spacing w:after="0" w:line="271" w:lineRule="auto"/>
        <w:rPr>
          <w:sz w:val="20"/>
          <w:szCs w:val="20"/>
          <w:color w:val="auto"/>
        </w:rPr>
      </w:pPr>
      <w:r>
        <w:rPr>
          <w:rFonts w:ascii="Arial" w:cs="Arial" w:eastAsia="Arial" w:hAnsi="Arial"/>
          <w:sz w:val="16"/>
          <w:szCs w:val="16"/>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25" w:lineRule="exact"/>
        <w:rPr>
          <w:sz w:val="20"/>
          <w:szCs w:val="20"/>
          <w:color w:val="auto"/>
        </w:rPr>
      </w:pPr>
    </w:p>
    <w:p>
      <w:pPr>
        <w:ind w:left="582"/>
        <w:spacing w:after="0"/>
        <w:rPr>
          <w:sz w:val="20"/>
          <w:szCs w:val="20"/>
          <w:color w:val="auto"/>
        </w:rPr>
      </w:pPr>
      <w:r>
        <w:rPr>
          <w:rFonts w:ascii="Arial" w:cs="Arial" w:eastAsia="Arial" w:hAnsi="Arial"/>
          <w:sz w:val="16"/>
          <w:szCs w:val="16"/>
          <w:color w:val="auto"/>
        </w:rPr>
        <w:t>Nodak Agency, a wholly-owned subsidiary of Nodak Insurance, is an inactive shell corporation.</w:t>
      </w:r>
    </w:p>
    <w:p>
      <w:pPr>
        <w:spacing w:after="0" w:line="172" w:lineRule="exact"/>
        <w:rPr>
          <w:sz w:val="20"/>
          <w:szCs w:val="20"/>
          <w:color w:val="auto"/>
        </w:rPr>
      </w:pPr>
    </w:p>
    <w:p>
      <w:pPr>
        <w:ind w:left="2" w:right="60" w:firstLine="589"/>
        <w:spacing w:after="0" w:line="297" w:lineRule="auto"/>
        <w:rPr>
          <w:sz w:val="20"/>
          <w:szCs w:val="20"/>
          <w:color w:val="auto"/>
        </w:rPr>
      </w:pPr>
      <w:r>
        <w:rPr>
          <w:rFonts w:ascii="Arial" w:cs="Arial" w:eastAsia="Arial" w:hAnsi="Arial"/>
          <w:sz w:val="15"/>
          <w:szCs w:val="15"/>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20" w:lineRule="exact"/>
        <w:rPr>
          <w:sz w:val="20"/>
          <w:szCs w:val="20"/>
          <w:color w:val="auto"/>
        </w:rPr>
      </w:pPr>
    </w:p>
    <w:p>
      <w:pPr>
        <w:ind w:left="2" w:right="140" w:firstLine="589"/>
        <w:spacing w:after="0" w:line="286" w:lineRule="auto"/>
        <w:rPr>
          <w:sz w:val="20"/>
          <w:szCs w:val="20"/>
          <w:color w:val="auto"/>
        </w:rPr>
      </w:pPr>
      <w:r>
        <w:rPr>
          <w:rFonts w:ascii="Arial" w:cs="Arial" w:eastAsia="Arial" w:hAnsi="Arial"/>
          <w:sz w:val="16"/>
          <w:szCs w:val="16"/>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13" w:lineRule="exact"/>
        <w:rPr>
          <w:sz w:val="20"/>
          <w:szCs w:val="20"/>
          <w:color w:val="auto"/>
        </w:rPr>
      </w:pPr>
    </w:p>
    <w:p>
      <w:pPr>
        <w:ind w:left="2" w:firstLine="589"/>
        <w:spacing w:after="0" w:line="271" w:lineRule="auto"/>
        <w:rPr>
          <w:sz w:val="20"/>
          <w:szCs w:val="20"/>
          <w:color w:val="auto"/>
        </w:rPr>
      </w:pPr>
      <w:r>
        <w:rPr>
          <w:rFonts w:ascii="Arial" w:cs="Arial" w:eastAsia="Arial" w:hAnsi="Arial"/>
          <w:sz w:val="16"/>
          <w:szCs w:val="16"/>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25" w:lineRule="exact"/>
        <w:rPr>
          <w:sz w:val="20"/>
          <w:szCs w:val="20"/>
          <w:color w:val="auto"/>
        </w:rPr>
      </w:pPr>
    </w:p>
    <w:p>
      <w:pPr>
        <w:ind w:left="2" w:right="20" w:firstLine="589"/>
        <w:spacing w:after="0" w:line="286" w:lineRule="auto"/>
        <w:rPr>
          <w:sz w:val="20"/>
          <w:szCs w:val="20"/>
          <w:color w:val="auto"/>
        </w:rPr>
      </w:pPr>
      <w:r>
        <w:rPr>
          <w:rFonts w:ascii="Arial" w:cs="Arial" w:eastAsia="Arial" w:hAnsi="Arial"/>
          <w:sz w:val="16"/>
          <w:szCs w:val="16"/>
          <w:color w:val="auto"/>
        </w:rPr>
        <w:t>Direct Auto, a wholly-owned subsidiary of NI Holdings, is a property and casualty company licensed in Illinois. Direct Auto began writing non-standard automobile coverage in 2007, and was acquired by NI Holdings on August 31, 2018 via a stock purchase agreement. See Note 4.</w:t>
      </w:r>
    </w:p>
    <w:p>
      <w:pPr>
        <w:spacing w:after="0" w:line="126" w:lineRule="exact"/>
        <w:rPr>
          <w:sz w:val="20"/>
          <w:szCs w:val="20"/>
          <w:color w:val="auto"/>
        </w:rPr>
      </w:pPr>
    </w:p>
    <w:p>
      <w:pPr>
        <w:ind w:left="22" w:right="140" w:firstLine="576"/>
        <w:spacing w:after="0" w:line="263" w:lineRule="auto"/>
        <w:rPr>
          <w:sz w:val="20"/>
          <w:szCs w:val="20"/>
          <w:color w:val="auto"/>
        </w:rPr>
      </w:pPr>
      <w:r>
        <w:rPr>
          <w:rFonts w:ascii="Arial" w:cs="Arial" w:eastAsia="Arial" w:hAnsi="Arial"/>
          <w:sz w:val="16"/>
          <w:szCs w:val="16"/>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69" w:lineRule="exact"/>
        <w:rPr>
          <w:sz w:val="20"/>
          <w:szCs w:val="20"/>
          <w:color w:val="auto"/>
        </w:rPr>
      </w:pPr>
    </w:p>
    <w:p>
      <w:pPr>
        <w:jc w:val="center"/>
        <w:ind w:right="-8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5932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82"/>
          </w:cols>
          <w:pgMar w:left="238" w:top="218" w:right="279" w:bottom="1440" w:gutter="0" w:footer="0" w:header="0"/>
        </w:sectPr>
      </w:pPr>
    </w:p>
    <w:bookmarkStart w:id="11" w:name="page12"/>
    <w:bookmarkEnd w:id="11"/>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3" w:lineRule="exact"/>
        <w:rPr>
          <w:sz w:val="20"/>
          <w:szCs w:val="20"/>
          <w:color w:val="auto"/>
        </w:rPr>
      </w:pPr>
    </w:p>
    <w:p>
      <w:pPr>
        <w:ind w:left="582" w:hanging="582"/>
        <w:spacing w:after="0"/>
        <w:tabs>
          <w:tab w:leader="none" w:pos="58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w:t>
      </w:r>
    </w:p>
    <w:p>
      <w:pPr>
        <w:spacing w:after="0" w:line="213" w:lineRule="exact"/>
        <w:rPr>
          <w:sz w:val="20"/>
          <w:szCs w:val="20"/>
          <w:color w:val="auto"/>
        </w:rPr>
      </w:pPr>
    </w:p>
    <w:p>
      <w:pPr>
        <w:ind w:left="2" w:right="80" w:firstLine="589"/>
        <w:spacing w:after="0" w:line="263"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September 30, 2018 are not necessarily indicative of the results that may be expected for the year ended December 31, 2018.</w:t>
      </w:r>
    </w:p>
    <w:p>
      <w:pPr>
        <w:spacing w:after="0" w:line="133" w:lineRule="exact"/>
        <w:rPr>
          <w:sz w:val="20"/>
          <w:szCs w:val="20"/>
          <w:color w:val="auto"/>
        </w:rPr>
      </w:pPr>
    </w:p>
    <w:p>
      <w:pPr>
        <w:ind w:left="2" w:firstLine="589"/>
        <w:spacing w:after="0" w:line="271" w:lineRule="auto"/>
        <w:rPr>
          <w:sz w:val="20"/>
          <w:szCs w:val="20"/>
          <w:color w:val="auto"/>
        </w:rPr>
      </w:pPr>
      <w:r>
        <w:rPr>
          <w:rFonts w:ascii="Arial" w:cs="Arial" w:eastAsia="Arial" w:hAnsi="Arial"/>
          <w:sz w:val="16"/>
          <w:szCs w:val="16"/>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354" w:lineRule="exact"/>
        <w:rPr>
          <w:sz w:val="20"/>
          <w:szCs w:val="20"/>
          <w:color w:val="auto"/>
        </w:rPr>
      </w:pPr>
    </w:p>
    <w:p>
      <w:pPr>
        <w:ind w:left="582" w:right="7760" w:hanging="582"/>
        <w:spacing w:after="0" w:line="514" w:lineRule="auto"/>
        <w:tabs>
          <w:tab w:leader="none" w:pos="58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u w:val="single" w:color="auto"/>
          <w:color w:val="auto"/>
        </w:rPr>
        <w:t>Use of Estimates:</w:t>
      </w:r>
    </w:p>
    <w:p>
      <w:pPr>
        <w:spacing w:after="0" w:line="1" w:lineRule="exact"/>
        <w:rPr>
          <w:sz w:val="20"/>
          <w:szCs w:val="20"/>
          <w:color w:val="auto"/>
        </w:rPr>
      </w:pPr>
    </w:p>
    <w:p>
      <w:pPr>
        <w:ind w:left="2" w:right="60" w:firstLine="589"/>
        <w:spacing w:after="0" w:line="286" w:lineRule="auto"/>
        <w:rPr>
          <w:sz w:val="20"/>
          <w:szCs w:val="20"/>
          <w:color w:val="auto"/>
        </w:rPr>
      </w:pPr>
      <w:r>
        <w:rPr>
          <w:rFonts w:ascii="Arial" w:cs="Arial" w:eastAsia="Arial" w:hAnsi="Arial"/>
          <w:sz w:val="16"/>
          <w:szCs w:val="16"/>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50" w:lineRule="exact"/>
        <w:rPr>
          <w:sz w:val="20"/>
          <w:szCs w:val="20"/>
          <w:color w:val="auto"/>
        </w:rPr>
      </w:pPr>
    </w:p>
    <w:p>
      <w:pPr>
        <w:ind w:left="2" w:firstLine="589"/>
        <w:spacing w:after="0" w:line="262" w:lineRule="auto"/>
        <w:rPr>
          <w:sz w:val="20"/>
          <w:szCs w:val="20"/>
          <w:color w:val="auto"/>
        </w:rPr>
      </w:pPr>
      <w:r>
        <w:rPr>
          <w:rFonts w:ascii="Arial" w:cs="Arial" w:eastAsia="Arial" w:hAnsi="Arial"/>
          <w:sz w:val="16"/>
          <w:szCs w:val="16"/>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deferred policy acquisition costs, and the valuations used to establish intangible assets acquired related to business combinations.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69" w:lineRule="exact"/>
        <w:rPr>
          <w:sz w:val="20"/>
          <w:szCs w:val="20"/>
          <w:color w:val="auto"/>
        </w:rPr>
      </w:pPr>
    </w:p>
    <w:p>
      <w:pPr>
        <w:ind w:left="582"/>
        <w:spacing w:after="0"/>
        <w:rPr>
          <w:sz w:val="20"/>
          <w:szCs w:val="20"/>
          <w:color w:val="auto"/>
        </w:rPr>
      </w:pPr>
      <w:r>
        <w:rPr>
          <w:rFonts w:ascii="Arial" w:cs="Arial" w:eastAsia="Arial" w:hAnsi="Arial"/>
          <w:sz w:val="16"/>
          <w:szCs w:val="16"/>
          <w:i w:val="1"/>
          <w:iCs w:val="1"/>
          <w:u w:val="single" w:color="auto"/>
          <w:color w:val="auto"/>
        </w:rPr>
        <w:t>Variable-Interest Entities:</w:t>
      </w:r>
    </w:p>
    <w:p>
      <w:pPr>
        <w:spacing w:after="0" w:line="209"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Any company deemed to be a variable interest entity (“VIE”) is required to be consolidated by the primary beneficiary of the VIE.</w:t>
      </w:r>
    </w:p>
    <w:p>
      <w:pPr>
        <w:spacing w:after="0" w:line="209" w:lineRule="exact"/>
        <w:rPr>
          <w:sz w:val="20"/>
          <w:szCs w:val="20"/>
          <w:color w:val="auto"/>
        </w:rPr>
      </w:pPr>
    </w:p>
    <w:p>
      <w:pPr>
        <w:ind w:left="2" w:right="20" w:firstLine="589"/>
        <w:spacing w:after="0" w:line="26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9" w:lineRule="exact"/>
        <w:rPr>
          <w:sz w:val="20"/>
          <w:szCs w:val="20"/>
          <w:color w:val="auto"/>
        </w:rPr>
      </w:pPr>
    </w:p>
    <w:p>
      <w:pPr>
        <w:ind w:left="2" w:right="300" w:firstLine="589"/>
        <w:spacing w:after="0" w:line="289" w:lineRule="auto"/>
        <w:rPr>
          <w:sz w:val="20"/>
          <w:szCs w:val="20"/>
          <w:color w:val="auto"/>
        </w:rPr>
      </w:pPr>
      <w:r>
        <w:rPr>
          <w:rFonts w:ascii="Arial" w:cs="Arial" w:eastAsia="Arial" w:hAnsi="Arial"/>
          <w:sz w:val="15"/>
          <w:szCs w:val="15"/>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50" w:lineRule="exact"/>
        <w:rPr>
          <w:sz w:val="20"/>
          <w:szCs w:val="20"/>
          <w:color w:val="auto"/>
        </w:rPr>
      </w:pPr>
    </w:p>
    <w:p>
      <w:pPr>
        <w:ind w:left="2" w:right="60" w:firstLine="589"/>
        <w:spacing w:after="0" w:line="289" w:lineRule="auto"/>
        <w:rPr>
          <w:sz w:val="20"/>
          <w:szCs w:val="20"/>
          <w:color w:val="auto"/>
        </w:rPr>
      </w:pPr>
      <w:r>
        <w:rPr>
          <w:rFonts w:ascii="Arial" w:cs="Arial" w:eastAsia="Arial" w:hAnsi="Arial"/>
          <w:sz w:val="15"/>
          <w:szCs w:val="15"/>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50" w:lineRule="exact"/>
        <w:rPr>
          <w:sz w:val="20"/>
          <w:szCs w:val="20"/>
          <w:color w:val="auto"/>
        </w:rPr>
      </w:pPr>
    </w:p>
    <w:p>
      <w:pPr>
        <w:ind w:left="582"/>
        <w:spacing w:after="0"/>
        <w:rPr>
          <w:sz w:val="20"/>
          <w:szCs w:val="20"/>
          <w:color w:val="auto"/>
        </w:rPr>
      </w:pPr>
      <w:r>
        <w:rPr>
          <w:rFonts w:ascii="Arial" w:cs="Arial" w:eastAsia="Arial" w:hAnsi="Arial"/>
          <w:sz w:val="16"/>
          <w:szCs w:val="16"/>
          <w:i w:val="1"/>
          <w:iCs w:val="1"/>
          <w:u w:val="single" w:color="auto"/>
          <w:color w:val="auto"/>
        </w:rPr>
        <w:t>Cash and Cash Equivalents:</w:t>
      </w:r>
    </w:p>
    <w:p>
      <w:pPr>
        <w:spacing w:after="0" w:line="209" w:lineRule="exact"/>
        <w:rPr>
          <w:sz w:val="20"/>
          <w:szCs w:val="20"/>
          <w:color w:val="auto"/>
        </w:rPr>
      </w:pPr>
    </w:p>
    <w:p>
      <w:pPr>
        <w:ind w:left="2" w:right="40" w:firstLine="589"/>
        <w:spacing w:after="0" w:line="286" w:lineRule="auto"/>
        <w:rPr>
          <w:sz w:val="20"/>
          <w:szCs w:val="20"/>
          <w:color w:val="auto"/>
        </w:rPr>
      </w:pPr>
      <w:r>
        <w:rPr>
          <w:rFonts w:ascii="Arial" w:cs="Arial" w:eastAsia="Arial" w:hAnsi="Arial"/>
          <w:sz w:val="16"/>
          <w:szCs w:val="16"/>
          <w:color w:val="auto"/>
        </w:rPr>
        <w:t>Cash and cash equivalents include certain investments in highly liquid debt instruments with original maturities of three months or less. Cost approximates fair value for these short-term investments.</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sectPr>
      </w:pPr>
    </w:p>
    <w:bookmarkStart w:id="12" w:name="page13"/>
    <w:bookmarkEnd w:id="12"/>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Investments:</w:t>
      </w:r>
    </w:p>
    <w:p>
      <w:pPr>
        <w:spacing w:after="0" w:line="209" w:lineRule="exact"/>
        <w:rPr>
          <w:sz w:val="20"/>
          <w:szCs w:val="20"/>
          <w:color w:val="auto"/>
        </w:rPr>
      </w:pPr>
    </w:p>
    <w:p>
      <w:pPr>
        <w:ind w:firstLine="589"/>
        <w:spacing w:after="0" w:line="285" w:lineRule="auto"/>
        <w:rPr>
          <w:sz w:val="20"/>
          <w:szCs w:val="20"/>
          <w:color w:val="auto"/>
        </w:rPr>
      </w:pPr>
      <w:r>
        <w:rPr>
          <w:rFonts w:ascii="Arial" w:cs="Arial" w:eastAsia="Arial" w:hAnsi="Arial"/>
          <w:sz w:val="15"/>
          <w:szCs w:val="15"/>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53" w:lineRule="exact"/>
        <w:rPr>
          <w:sz w:val="20"/>
          <w:szCs w:val="20"/>
          <w:color w:val="auto"/>
        </w:rPr>
      </w:pPr>
    </w:p>
    <w:p>
      <w:pPr>
        <w:ind w:right="40" w:firstLine="589"/>
        <w:spacing w:after="0" w:line="281" w:lineRule="auto"/>
        <w:rPr>
          <w:sz w:val="20"/>
          <w:szCs w:val="20"/>
          <w:color w:val="auto"/>
        </w:rPr>
      </w:pPr>
      <w:r>
        <w:rPr>
          <w:rFonts w:ascii="Arial" w:cs="Arial" w:eastAsia="Arial" w:hAnsi="Arial"/>
          <w:sz w:val="15"/>
          <w:szCs w:val="15"/>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56" w:lineRule="exact"/>
        <w:rPr>
          <w:sz w:val="20"/>
          <w:szCs w:val="20"/>
          <w:color w:val="auto"/>
        </w:rPr>
      </w:pPr>
    </w:p>
    <w:p>
      <w:pPr>
        <w:ind w:right="320" w:firstLine="589"/>
        <w:spacing w:after="0" w:line="271" w:lineRule="auto"/>
        <w:rPr>
          <w:sz w:val="20"/>
          <w:szCs w:val="20"/>
          <w:color w:val="auto"/>
        </w:rPr>
      </w:pPr>
      <w:r>
        <w:rPr>
          <w:rFonts w:ascii="Arial" w:cs="Arial" w:eastAsia="Arial" w:hAnsi="Arial"/>
          <w:sz w:val="16"/>
          <w:szCs w:val="16"/>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Level I – Quoted price in active markets for identical assets and liabilities.</w:t>
      </w:r>
    </w:p>
    <w:p>
      <w:pPr>
        <w:spacing w:after="0" w:line="209" w:lineRule="exact"/>
        <w:rPr>
          <w:sz w:val="20"/>
          <w:szCs w:val="20"/>
          <w:color w:val="auto"/>
        </w:rPr>
      </w:pPr>
    </w:p>
    <w:p>
      <w:pPr>
        <w:ind w:left="580" w:right="20"/>
        <w:spacing w:after="0" w:line="271"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62" w:lineRule="exact"/>
        <w:rPr>
          <w:sz w:val="20"/>
          <w:szCs w:val="20"/>
          <w:color w:val="auto"/>
        </w:rPr>
      </w:pPr>
    </w:p>
    <w:p>
      <w:pPr>
        <w:ind w:left="580" w:right="140"/>
        <w:spacing w:after="0" w:line="266" w:lineRule="auto"/>
        <w:rPr>
          <w:sz w:val="20"/>
          <w:szCs w:val="20"/>
          <w:color w:val="auto"/>
        </w:rPr>
      </w:pPr>
      <w:r>
        <w:rPr>
          <w:rFonts w:ascii="Arial" w:cs="Arial" w:eastAsia="Arial" w:hAnsi="Arial"/>
          <w:sz w:val="16"/>
          <w:szCs w:val="16"/>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Fair Value of Other Financial Instruments:</w:t>
      </w:r>
    </w:p>
    <w:p>
      <w:pPr>
        <w:spacing w:after="0" w:line="209" w:lineRule="exact"/>
        <w:rPr>
          <w:sz w:val="20"/>
          <w:szCs w:val="20"/>
          <w:color w:val="auto"/>
        </w:rPr>
      </w:pPr>
    </w:p>
    <w:p>
      <w:pPr>
        <w:ind w:right="180" w:firstLine="589"/>
        <w:spacing w:after="0" w:line="289" w:lineRule="auto"/>
        <w:rPr>
          <w:sz w:val="20"/>
          <w:szCs w:val="20"/>
          <w:color w:val="auto"/>
        </w:rPr>
      </w:pPr>
      <w:r>
        <w:rPr>
          <w:rFonts w:ascii="Arial" w:cs="Arial" w:eastAsia="Arial" w:hAnsi="Arial"/>
          <w:sz w:val="15"/>
          <w:szCs w:val="15"/>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$1,954 at September 30, 2018 and $1,972 at December 31, 2017.</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Reclassifications:</w:t>
      </w:r>
    </w:p>
    <w:p>
      <w:pPr>
        <w:spacing w:after="0" w:line="209" w:lineRule="exact"/>
        <w:rPr>
          <w:sz w:val="20"/>
          <w:szCs w:val="20"/>
          <w:color w:val="auto"/>
        </w:rPr>
      </w:pPr>
    </w:p>
    <w:p>
      <w:pPr>
        <w:ind w:right="120" w:firstLine="589"/>
        <w:spacing w:after="0" w:line="297" w:lineRule="auto"/>
        <w:rPr>
          <w:sz w:val="20"/>
          <w:szCs w:val="20"/>
          <w:color w:val="auto"/>
        </w:rPr>
      </w:pPr>
      <w:r>
        <w:rPr>
          <w:rFonts w:ascii="Arial" w:cs="Arial" w:eastAsia="Arial" w:hAnsi="Arial"/>
          <w:sz w:val="15"/>
          <w:szCs w:val="15"/>
          <w:color w:val="auto"/>
        </w:rPr>
        <w:t>Certain amounts in the 2017 consolidated financial statements have been reclassified to conform to the 2018 presentation. This includes a change in the Company’s reportable segments that was made in the fourth quarter of the year ended December 31, 2017. The prior segments were non-standard auto, crop, and other property and casualty. The new segments used throughout this report are private passenger auto, non-standard auto, home and farm, crop, and all other.</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Revenue Recognition:</w:t>
      </w:r>
    </w:p>
    <w:p>
      <w:pPr>
        <w:spacing w:after="0" w:line="209" w:lineRule="exact"/>
        <w:rPr>
          <w:sz w:val="20"/>
          <w:szCs w:val="20"/>
          <w:color w:val="auto"/>
        </w:rPr>
      </w:pPr>
    </w:p>
    <w:p>
      <w:pPr>
        <w:jc w:val="both"/>
        <w:ind w:right="300" w:firstLine="589"/>
        <w:spacing w:after="0" w:line="297" w:lineRule="auto"/>
        <w:rPr>
          <w:sz w:val="20"/>
          <w:szCs w:val="20"/>
          <w:color w:val="auto"/>
        </w:rPr>
      </w:pPr>
      <w:r>
        <w:rPr>
          <w:rFonts w:ascii="Arial" w:cs="Arial" w:eastAsia="Arial" w:hAnsi="Arial"/>
          <w:sz w:val="15"/>
          <w:szCs w:val="15"/>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sectPr>
      </w:pPr>
    </w:p>
    <w:bookmarkStart w:id="13" w:name="page14"/>
    <w:bookmarkEnd w:id="1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jc w:val="both"/>
        <w:ind w:right="160" w:firstLine="589"/>
        <w:spacing w:after="0" w:line="271" w:lineRule="auto"/>
        <w:rPr>
          <w:sz w:val="20"/>
          <w:szCs w:val="20"/>
          <w:color w:val="auto"/>
        </w:rPr>
      </w:pPr>
      <w:r>
        <w:rPr>
          <w:rFonts w:ascii="Arial" w:cs="Arial" w:eastAsia="Arial" w:hAnsi="Arial"/>
          <w:sz w:val="16"/>
          <w:szCs w:val="16"/>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Policy Acquisition Costs:</w:t>
      </w:r>
    </w:p>
    <w:p>
      <w:pPr>
        <w:spacing w:after="0" w:line="209" w:lineRule="exact"/>
        <w:rPr>
          <w:sz w:val="20"/>
          <w:szCs w:val="20"/>
          <w:color w:val="auto"/>
        </w:rPr>
      </w:pPr>
    </w:p>
    <w:p>
      <w:pPr>
        <w:ind w:right="280" w:firstLine="589"/>
        <w:spacing w:after="0" w:line="315" w:lineRule="auto"/>
        <w:rPr>
          <w:sz w:val="20"/>
          <w:szCs w:val="20"/>
          <w:color w:val="auto"/>
        </w:rPr>
      </w:pPr>
      <w:r>
        <w:rPr>
          <w:rFonts w:ascii="Arial" w:cs="Arial" w:eastAsia="Arial" w:hAnsi="Arial"/>
          <w:sz w:val="14"/>
          <w:szCs w:val="14"/>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Property and Equipment:</w:t>
      </w:r>
    </w:p>
    <w:p>
      <w:pPr>
        <w:spacing w:after="0" w:line="209" w:lineRule="exact"/>
        <w:rPr>
          <w:sz w:val="20"/>
          <w:szCs w:val="20"/>
          <w:color w:val="auto"/>
        </w:rPr>
      </w:pPr>
    </w:p>
    <w:p>
      <w:pPr>
        <w:ind w:right="240" w:firstLine="589"/>
        <w:spacing w:after="0" w:line="286" w:lineRule="auto"/>
        <w:rPr>
          <w:sz w:val="20"/>
          <w:szCs w:val="20"/>
          <w:color w:val="auto"/>
        </w:rPr>
      </w:pPr>
      <w:r>
        <w:rPr>
          <w:rFonts w:ascii="Arial" w:cs="Arial" w:eastAsia="Arial" w:hAnsi="Arial"/>
          <w:sz w:val="16"/>
          <w:szCs w:val="16"/>
          <w:color w:val="auto"/>
        </w:rPr>
        <w:t>We report property and equipment at cost less accumulated depreciation. Depreciation is computed using the straight-line method based upon the estimated useful lives of the assets.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Losses and Loss Adjustment Expenses:</w:t>
      </w:r>
    </w:p>
    <w:p>
      <w:pPr>
        <w:spacing w:after="0" w:line="209"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58" w:lineRule="exact"/>
        <w:rPr>
          <w:sz w:val="20"/>
          <w:szCs w:val="20"/>
          <w:color w:val="auto"/>
        </w:rPr>
      </w:pPr>
    </w:p>
    <w:p>
      <w:pPr>
        <w:ind w:right="20" w:firstLine="589"/>
        <w:spacing w:after="0" w:line="281" w:lineRule="auto"/>
        <w:rPr>
          <w:sz w:val="20"/>
          <w:szCs w:val="20"/>
          <w:color w:val="auto"/>
        </w:rPr>
      </w:pPr>
      <w:r>
        <w:rPr>
          <w:rFonts w:ascii="Arial" w:cs="Arial" w:eastAsia="Arial" w:hAnsi="Arial"/>
          <w:sz w:val="15"/>
          <w:szCs w:val="15"/>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56" w:lineRule="exact"/>
        <w:rPr>
          <w:sz w:val="20"/>
          <w:szCs w:val="20"/>
          <w:color w:val="auto"/>
        </w:rPr>
      </w:pPr>
    </w:p>
    <w:p>
      <w:pPr>
        <w:ind w:right="80" w:firstLine="589"/>
        <w:spacing w:after="0" w:line="26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Income Taxes:</w:t>
      </w:r>
    </w:p>
    <w:p>
      <w:pPr>
        <w:spacing w:after="0" w:line="209"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 Direct Auto became part of the consolidated federal income tax return as of its acquisition date.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14" w:name="page15"/>
    <w:bookmarkEnd w:id="1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reports tax-related interest and penalties, if any, as part of income tax expense in the year such amounts are determinable.</w:t>
      </w:r>
    </w:p>
    <w:p>
      <w:pPr>
        <w:spacing w:after="0" w:line="209" w:lineRule="exact"/>
        <w:rPr>
          <w:sz w:val="20"/>
          <w:szCs w:val="20"/>
          <w:color w:val="auto"/>
        </w:rPr>
      </w:pPr>
    </w:p>
    <w:p>
      <w:pPr>
        <w:jc w:val="both"/>
        <w:ind w:right="200" w:firstLine="589"/>
        <w:spacing w:after="0" w:line="271" w:lineRule="auto"/>
        <w:rPr>
          <w:sz w:val="20"/>
          <w:szCs w:val="20"/>
          <w:color w:val="auto"/>
        </w:rPr>
      </w:pPr>
      <w:r>
        <w:rPr>
          <w:rFonts w:ascii="Arial" w:cs="Arial" w:eastAsia="Arial" w:hAnsi="Arial"/>
          <w:sz w:val="16"/>
          <w:szCs w:val="16"/>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62" w:lineRule="exact"/>
        <w:rPr>
          <w:sz w:val="20"/>
          <w:szCs w:val="20"/>
          <w:color w:val="auto"/>
        </w:rPr>
      </w:pPr>
    </w:p>
    <w:p>
      <w:pPr>
        <w:ind w:right="40" w:firstLine="589"/>
        <w:spacing w:after="0" w:line="266" w:lineRule="auto"/>
        <w:rPr>
          <w:sz w:val="20"/>
          <w:szCs w:val="20"/>
          <w:color w:val="auto"/>
        </w:rPr>
      </w:pPr>
      <w:r>
        <w:rPr>
          <w:rFonts w:ascii="Arial" w:cs="Arial" w:eastAsia="Arial" w:hAnsi="Arial"/>
          <w:sz w:val="16"/>
          <w:szCs w:val="16"/>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66" w:lineRule="exact"/>
        <w:rPr>
          <w:sz w:val="20"/>
          <w:szCs w:val="20"/>
          <w:color w:val="auto"/>
        </w:rPr>
      </w:pPr>
    </w:p>
    <w:p>
      <w:pPr>
        <w:ind w:right="260" w:firstLine="589"/>
        <w:spacing w:after="0" w:line="286" w:lineRule="auto"/>
        <w:rPr>
          <w:sz w:val="20"/>
          <w:szCs w:val="20"/>
          <w:color w:val="auto"/>
        </w:rPr>
      </w:pPr>
      <w:r>
        <w:rPr>
          <w:rFonts w:ascii="Arial" w:cs="Arial" w:eastAsia="Arial" w:hAnsi="Arial"/>
          <w:sz w:val="16"/>
          <w:szCs w:val="16"/>
          <w:color w:val="auto"/>
        </w:rPr>
        <w:t>The Company has elected to reclassify any tax effects stranded in accumulated other comprehensive income as a result of a change in income tax rates to retained earnings.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Credit Risk:</w:t>
      </w:r>
    </w:p>
    <w:p>
      <w:pPr>
        <w:spacing w:after="0" w:line="209" w:lineRule="exact"/>
        <w:rPr>
          <w:sz w:val="20"/>
          <w:szCs w:val="20"/>
          <w:color w:val="auto"/>
        </w:rPr>
      </w:pPr>
    </w:p>
    <w:p>
      <w:pPr>
        <w:jc w:val="both"/>
        <w:ind w:right="80" w:firstLine="589"/>
        <w:spacing w:after="0" w:line="266" w:lineRule="auto"/>
        <w:rPr>
          <w:sz w:val="20"/>
          <w:szCs w:val="20"/>
          <w:color w:val="auto"/>
        </w:rPr>
      </w:pPr>
      <w:r>
        <w:rPr>
          <w:rFonts w:ascii="Arial" w:cs="Arial" w:eastAsia="Arial" w:hAnsi="Arial"/>
          <w:sz w:val="16"/>
          <w:szCs w:val="16"/>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66" w:lineRule="exact"/>
        <w:rPr>
          <w:sz w:val="20"/>
          <w:szCs w:val="20"/>
          <w:color w:val="auto"/>
        </w:rPr>
      </w:pPr>
    </w:p>
    <w:p>
      <w:pPr>
        <w:ind w:right="160" w:firstLine="589"/>
        <w:spacing w:after="0" w:line="286" w:lineRule="auto"/>
        <w:rPr>
          <w:sz w:val="20"/>
          <w:szCs w:val="20"/>
          <w:color w:val="auto"/>
        </w:rPr>
      </w:pPr>
      <w:r>
        <w:rPr>
          <w:rFonts w:ascii="Arial" w:cs="Arial" w:eastAsia="Arial" w:hAnsi="Arial"/>
          <w:sz w:val="16"/>
          <w:szCs w:val="16"/>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50"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Reinsurance:</w:t>
      </w:r>
    </w:p>
    <w:p>
      <w:pPr>
        <w:spacing w:after="0" w:line="209" w:lineRule="exact"/>
        <w:rPr>
          <w:sz w:val="20"/>
          <w:szCs w:val="20"/>
          <w:color w:val="auto"/>
        </w:rPr>
      </w:pPr>
    </w:p>
    <w:p>
      <w:pPr>
        <w:ind w:right="180" w:firstLine="589"/>
        <w:spacing w:after="0" w:line="271" w:lineRule="auto"/>
        <w:rPr>
          <w:sz w:val="20"/>
          <w:szCs w:val="20"/>
          <w:color w:val="auto"/>
        </w:rPr>
      </w:pPr>
      <w:r>
        <w:rPr>
          <w:rFonts w:ascii="Arial" w:cs="Arial" w:eastAsia="Arial" w:hAnsi="Arial"/>
          <w:sz w:val="16"/>
          <w:szCs w:val="16"/>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62"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u w:val="single" w:color="auto"/>
          <w:color w:val="auto"/>
        </w:rPr>
        <w:t>Goodwill and Intangibles:</w:t>
      </w:r>
    </w:p>
    <w:p>
      <w:pPr>
        <w:spacing w:after="0" w:line="209" w:lineRule="exact"/>
        <w:rPr>
          <w:sz w:val="20"/>
          <w:szCs w:val="20"/>
          <w:color w:val="auto"/>
        </w:rPr>
      </w:pPr>
    </w:p>
    <w:p>
      <w:pPr>
        <w:ind w:right="40" w:firstLine="589"/>
        <w:spacing w:after="0" w:line="261" w:lineRule="auto"/>
        <w:rPr>
          <w:sz w:val="20"/>
          <w:szCs w:val="20"/>
          <w:color w:val="auto"/>
        </w:rPr>
      </w:pPr>
      <w:r>
        <w:rPr>
          <w:rFonts w:ascii="Arial" w:cs="Arial" w:eastAsia="Arial" w:hAnsi="Arial"/>
          <w:sz w:val="16"/>
          <w:szCs w:val="16"/>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and nine month periods ended September 30, 2018 and 2017.</w:t>
      </w:r>
    </w:p>
    <w:p>
      <w:pPr>
        <w:spacing w:after="0" w:line="169" w:lineRule="exact"/>
        <w:rPr>
          <w:sz w:val="20"/>
          <w:szCs w:val="20"/>
          <w:color w:val="auto"/>
        </w:rPr>
      </w:pPr>
    </w:p>
    <w:p>
      <w:pPr>
        <w:ind w:right="20" w:firstLine="589"/>
        <w:spacing w:after="0" w:line="285" w:lineRule="auto"/>
        <w:rPr>
          <w:sz w:val="20"/>
          <w:szCs w:val="20"/>
          <w:color w:val="auto"/>
        </w:rPr>
      </w:pPr>
      <w:r>
        <w:rPr>
          <w:rFonts w:ascii="Arial" w:cs="Arial" w:eastAsia="Arial" w:hAnsi="Arial"/>
          <w:sz w:val="15"/>
          <w:szCs w:val="15"/>
          <w:color w:val="auto"/>
        </w:rPr>
        <w:t>Goodwill arising from the acquisition of Primero in 2014 represents the excess of the purchase price over the fair value of the net assets acquired.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15" w:name="page16"/>
    <w:bookmarkEnd w:id="15"/>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left="2" w:firstLine="589"/>
        <w:spacing w:after="0" w:line="266" w:lineRule="auto"/>
        <w:rPr>
          <w:sz w:val="20"/>
          <w:szCs w:val="20"/>
          <w:color w:val="auto"/>
        </w:rPr>
      </w:pPr>
      <w:r>
        <w:rPr>
          <w:rFonts w:ascii="Arial" w:cs="Arial" w:eastAsia="Arial" w:hAnsi="Arial"/>
          <w:sz w:val="16"/>
          <w:szCs w:val="16"/>
          <w:color w:val="auto"/>
        </w:rPr>
        <w:t>Intangible assets arising from the acquisition of Direct Auto in 2018 represent the estimated fair values of certain intangible assets, including a bargain lease contract, a state insurance license, the value of the Direct Auto trade name, and the value of business acquired (“VOBA”). The state insurance license asset has an indefinite life, while the bargain lease contract, Direct Auto trade name, and VOBA assets will be amortized over eighteen months, five years, and twelve months, respectively, from the August 31, 2018 valuation date.</w:t>
      </w:r>
    </w:p>
    <w:p>
      <w:pPr>
        <w:spacing w:after="0" w:line="162" w:lineRule="exact"/>
        <w:rPr>
          <w:sz w:val="20"/>
          <w:szCs w:val="20"/>
          <w:color w:val="auto"/>
        </w:rPr>
      </w:pPr>
    </w:p>
    <w:p>
      <w:pPr>
        <w:ind w:left="582" w:hanging="582"/>
        <w:spacing w:after="0"/>
        <w:tabs>
          <w:tab w:leader="none" w:pos="58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of Direct Auto Insurance Company</w:t>
      </w:r>
    </w:p>
    <w:p>
      <w:pPr>
        <w:spacing w:after="0" w:line="213" w:lineRule="exact"/>
        <w:rPr>
          <w:sz w:val="20"/>
          <w:szCs w:val="20"/>
          <w:color w:val="auto"/>
        </w:rPr>
      </w:pPr>
    </w:p>
    <w:p>
      <w:pPr>
        <w:ind w:left="2" w:right="120" w:firstLine="589"/>
        <w:spacing w:after="0" w:line="271" w:lineRule="auto"/>
        <w:rPr>
          <w:sz w:val="20"/>
          <w:szCs w:val="20"/>
          <w:color w:val="auto"/>
        </w:rPr>
      </w:pPr>
      <w:r>
        <w:rPr>
          <w:rFonts w:ascii="Arial" w:cs="Arial" w:eastAsia="Arial" w:hAnsi="Arial"/>
          <w:sz w:val="16"/>
          <w:szCs w:val="16"/>
          <w:color w:val="auto"/>
        </w:rPr>
        <w:t>On August 31, 2018, the Company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 The Company realized a $4,578 gain on the bargain purchase of Direct Auto.</w:t>
      </w:r>
    </w:p>
    <w:p>
      <w:pPr>
        <w:spacing w:after="0" w:line="162" w:lineRule="exact"/>
        <w:rPr>
          <w:sz w:val="20"/>
          <w:szCs w:val="20"/>
          <w:color w:val="auto"/>
        </w:rPr>
      </w:pPr>
    </w:p>
    <w:p>
      <w:pPr>
        <w:ind w:left="2" w:right="60" w:firstLine="589"/>
        <w:spacing w:after="0" w:line="271" w:lineRule="auto"/>
        <w:rPr>
          <w:sz w:val="20"/>
          <w:szCs w:val="20"/>
          <w:color w:val="auto"/>
        </w:rPr>
      </w:pPr>
      <w:r>
        <w:rPr>
          <w:rFonts w:ascii="Arial" w:cs="Arial" w:eastAsia="Arial" w:hAnsi="Arial"/>
          <w:sz w:val="16"/>
          <w:szCs w:val="16"/>
          <w:color w:val="auto"/>
        </w:rPr>
        <w:t>Direct Auto will remain headquartered in Chicago, Illinois and the current president (who was also one of the principal shareholders) of Direct Auto will continue to manage the Direct Auto insurance operations along with the current staff and management team. The results of Direct Auto are included as part of the Company’s non-standard auto business segment following the closing date.</w:t>
      </w:r>
    </w:p>
    <w:p>
      <w:pPr>
        <w:spacing w:after="0" w:line="162" w:lineRule="exact"/>
        <w:rPr>
          <w:sz w:val="20"/>
          <w:szCs w:val="20"/>
          <w:color w:val="auto"/>
        </w:rPr>
      </w:pPr>
    </w:p>
    <w:p>
      <w:pPr>
        <w:ind w:left="2" w:right="80" w:firstLine="589"/>
        <w:spacing w:after="0" w:line="285" w:lineRule="auto"/>
        <w:rPr>
          <w:sz w:val="20"/>
          <w:szCs w:val="20"/>
          <w:color w:val="auto"/>
        </w:rPr>
      </w:pPr>
      <w:r>
        <w:rPr>
          <w:rFonts w:ascii="Arial" w:cs="Arial" w:eastAsia="Arial" w:hAnsi="Arial"/>
          <w:sz w:val="15"/>
          <w:szCs w:val="15"/>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w:t>
      </w:r>
    </w:p>
    <w:p>
      <w:pPr>
        <w:spacing w:after="0" w:line="153" w:lineRule="exact"/>
        <w:rPr>
          <w:sz w:val="20"/>
          <w:szCs w:val="20"/>
          <w:color w:val="auto"/>
        </w:rPr>
      </w:pPr>
    </w:p>
    <w:p>
      <w:pPr>
        <w:ind w:left="2" w:right="100" w:firstLine="589"/>
        <w:spacing w:after="0" w:line="322" w:lineRule="auto"/>
        <w:rPr>
          <w:sz w:val="20"/>
          <w:szCs w:val="20"/>
          <w:color w:val="auto"/>
        </w:rPr>
      </w:pPr>
      <w:r>
        <w:rPr>
          <w:rFonts w:ascii="Arial" w:cs="Arial" w:eastAsia="Arial" w:hAnsi="Arial"/>
          <w:sz w:val="15"/>
          <w:szCs w:val="15"/>
          <w:color w:val="auto"/>
        </w:rPr>
        <w:t>The acquired Direct Auto business contributed revenues of $3,663 and net income of $260 to the Company for the period from September 1, 2018 to September 30, 2018. The following unaudited pro forma summary presents consolidated information of the Company as if the business combination had occurred on January 1, 2017:</w:t>
      </w:r>
    </w:p>
    <w:p>
      <w:pPr>
        <w:spacing w:after="0" w:line="122"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left="438"/>
              <w:spacing w:after="0"/>
              <w:rPr>
                <w:sz w:val="20"/>
                <w:szCs w:val="20"/>
                <w:color w:val="auto"/>
              </w:rPr>
            </w:pPr>
            <w:r>
              <w:rPr>
                <w:rFonts w:ascii="Arial" w:cs="Arial" w:eastAsia="Arial" w:hAnsi="Arial"/>
                <w:sz w:val="16"/>
                <w:szCs w:val="16"/>
                <w:b w:val="1"/>
                <w:bCs w:val="1"/>
                <w:color w:val="auto"/>
                <w:w w:val="95"/>
              </w:rPr>
              <w:t>Pro forma</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3"/>
          </w:tcPr>
          <w:p>
            <w:pPr>
              <w:jc w:val="center"/>
              <w:ind w:left="438"/>
              <w:spacing w:after="0"/>
              <w:rPr>
                <w:sz w:val="20"/>
                <w:szCs w:val="20"/>
                <w:color w:val="auto"/>
              </w:rPr>
            </w:pPr>
            <w:r>
              <w:rPr>
                <w:rFonts w:ascii="Arial" w:cs="Arial" w:eastAsia="Arial" w:hAnsi="Arial"/>
                <w:sz w:val="16"/>
                <w:szCs w:val="16"/>
                <w:b w:val="1"/>
                <w:bCs w:val="1"/>
                <w:color w:val="auto"/>
                <w:w w:val="95"/>
              </w:rPr>
              <w:t>Pro forma</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7"/>
                <w:szCs w:val="17"/>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Nine Months Ended</w:t>
            </w:r>
          </w:p>
        </w:tc>
      </w:tr>
      <w:tr>
        <w:trPr>
          <w:trHeight w:val="218"/>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r>
      <w:tr>
        <w:trPr>
          <w:trHeight w:val="207"/>
        </w:trPr>
        <w:tc>
          <w:tcPr>
            <w:tcW w:w="6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189"/>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67,126</w:t>
            </w: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180,323</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167,724</w:t>
            </w:r>
          </w:p>
        </w:tc>
        <w:tc>
          <w:tcPr>
            <w:tcW w:w="100" w:type="dxa"/>
            <w:vAlign w:val="bottom"/>
            <w:shd w:val="clear" w:color="auto" w:fill="CCEEFF"/>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NI Holdings, Inc.</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5,550</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(2,272)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12,029</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7,750</w:t>
            </w:r>
          </w:p>
        </w:tc>
      </w:t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(loss) per share attributable to NI Holdings, Inc.</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0.25</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0.54</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0.34</w:t>
            </w:r>
          </w:p>
        </w:tc>
      </w:tr>
    </w:tbl>
    <w:p>
      <w:pPr>
        <w:spacing w:after="0" w:line="184" w:lineRule="exact"/>
        <w:rPr>
          <w:sz w:val="20"/>
          <w:szCs w:val="20"/>
          <w:color w:val="auto"/>
        </w:rPr>
      </w:pPr>
    </w:p>
    <w:p>
      <w:pPr>
        <w:ind w:left="2" w:right="800" w:firstLine="589"/>
        <w:spacing w:after="0" w:line="286" w:lineRule="auto"/>
        <w:rPr>
          <w:sz w:val="20"/>
          <w:szCs w:val="20"/>
          <w:color w:val="auto"/>
        </w:rPr>
      </w:pPr>
      <w:r>
        <w:rPr>
          <w:rFonts w:ascii="Arial" w:cs="Arial" w:eastAsia="Arial" w:hAnsi="Arial"/>
          <w:sz w:val="16"/>
          <w:szCs w:val="16"/>
          <w:color w:val="auto"/>
        </w:rPr>
        <w:t>Other than the gain on bargain purchase, the Company did not have any material, nonrecurring pro forma adjustments directly attributable to the business combination to be included in the reported pro forma revenue and earnings.</w:t>
      </w:r>
    </w:p>
    <w:p>
      <w:pPr>
        <w:spacing w:after="0" w:line="150" w:lineRule="exact"/>
        <w:rPr>
          <w:sz w:val="20"/>
          <w:szCs w:val="20"/>
          <w:color w:val="auto"/>
        </w:rPr>
      </w:pPr>
    </w:p>
    <w:p>
      <w:pPr>
        <w:ind w:left="2" w:right="160" w:firstLine="589"/>
        <w:spacing w:after="0" w:line="266" w:lineRule="auto"/>
        <w:rPr>
          <w:sz w:val="20"/>
          <w:szCs w:val="20"/>
          <w:color w:val="auto"/>
        </w:rPr>
      </w:pPr>
      <w:r>
        <w:rPr>
          <w:rFonts w:ascii="Arial" w:cs="Arial" w:eastAsia="Arial" w:hAnsi="Arial"/>
          <w:sz w:val="16"/>
          <w:szCs w:val="16"/>
          <w:color w:val="auto"/>
        </w:rPr>
        <w:t>These pro forma amounts have been calculated after applying the Company’s accounting policies and adjusting the results of Direct Auto to reflect the deferral and amortization of policy acquisition costs and the additional amortization that would have been charged assuming the fair value adjustments to intangible assets had been applied from January 1, 2017, with the consequential tax effects. The gain is recognized in the first quarter of 2017 instead of the third quarter of 2018 for these pro forma amounts.</w:t>
      </w:r>
    </w:p>
    <w:p>
      <w:pPr>
        <w:spacing w:after="0" w:line="166" w:lineRule="exact"/>
        <w:rPr>
          <w:sz w:val="20"/>
          <w:szCs w:val="20"/>
          <w:color w:val="auto"/>
        </w:rPr>
      </w:pPr>
    </w:p>
    <w:p>
      <w:pPr>
        <w:ind w:left="2" w:right="360" w:firstLine="589"/>
        <w:spacing w:after="0" w:line="271" w:lineRule="auto"/>
        <w:rPr>
          <w:sz w:val="20"/>
          <w:szCs w:val="20"/>
          <w:color w:val="auto"/>
        </w:rPr>
      </w:pPr>
      <w:r>
        <w:rPr>
          <w:rFonts w:ascii="Arial" w:cs="Arial" w:eastAsia="Arial" w:hAnsi="Arial"/>
          <w:sz w:val="16"/>
          <w:szCs w:val="16"/>
          <w:color w:val="auto"/>
        </w:rPr>
        <w:t>In 2018, the Company incurred $91 of acquisition-related costs. These expenses are included in other underwriting and general expense in the Company’s Consolidated Statements of Operations for the three and nine months ended September 30, 2018 and are reflected in pro forma earnings for the year ended December 31, 2017 in the table above.</w:t>
      </w:r>
    </w:p>
    <w:p>
      <w:pPr>
        <w:spacing w:after="0" w:line="162"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sectPr>
      </w:pPr>
    </w:p>
    <w:bookmarkStart w:id="16" w:name="page17"/>
    <w:bookmarkEnd w:id="16"/>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93" w:lineRule="exact"/>
        <w:rPr>
          <w:sz w:val="20"/>
          <w:szCs w:val="20"/>
          <w:color w:val="auto"/>
        </w:rPr>
      </w:pPr>
    </w:p>
    <w:p>
      <w:pPr>
        <w:ind w:left="2" w:right="20" w:firstLine="589"/>
        <w:spacing w:after="0" w:line="271" w:lineRule="auto"/>
        <w:rPr>
          <w:sz w:val="20"/>
          <w:szCs w:val="20"/>
          <w:color w:val="auto"/>
        </w:rPr>
      </w:pPr>
      <w:r>
        <w:rPr>
          <w:rFonts w:ascii="Arial" w:cs="Arial" w:eastAsia="Arial" w:hAnsi="Arial"/>
          <w:sz w:val="16"/>
          <w:szCs w:val="16"/>
          <w:color w:val="auto"/>
        </w:rPr>
        <w:t>The Company paid $17,000 in cash consideration to the private shareholders of Direct Auto. The acquisition of Direct Auto did not include any contingent consideration. The following table summarizes the consideration transferred to acquire Direct Auto and the amounts of identified assets acquired and liabilities assumed at the acquisition date:</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8840" w:type="dxa"/>
            <w:vAlign w:val="bottom"/>
          </w:tcPr>
          <w:p>
            <w:pPr>
              <w:ind w:left="4060"/>
              <w:spacing w:after="0"/>
              <w:rPr>
                <w:sz w:val="20"/>
                <w:szCs w:val="20"/>
                <w:color w:val="auto"/>
              </w:rPr>
            </w:pPr>
            <w:r>
              <w:rPr>
                <w:rFonts w:ascii="Arial" w:cs="Arial" w:eastAsia="Arial" w:hAnsi="Arial"/>
                <w:sz w:val="16"/>
                <w:szCs w:val="16"/>
                <w:b w:val="1"/>
                <w:bCs w:val="1"/>
                <w:color w:val="auto"/>
              </w:rPr>
              <w:t>Acquisition of Direct Auto Insurance Company</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8840" w:type="dxa"/>
            <w:vAlign w:val="bottom"/>
          </w:tcPr>
          <w:p>
            <w:pPr>
              <w:spacing w:after="0"/>
              <w:rPr>
                <w:sz w:val="20"/>
                <w:szCs w:val="20"/>
                <w:color w:val="auto"/>
              </w:rPr>
            </w:pPr>
            <w:r>
              <w:rPr>
                <w:rFonts w:ascii="Arial" w:cs="Arial" w:eastAsia="Arial" w:hAnsi="Arial"/>
                <w:sz w:val="16"/>
                <w:szCs w:val="16"/>
                <w:b w:val="1"/>
                <w:bCs w:val="1"/>
                <w:color w:val="auto"/>
              </w:rPr>
              <w:t>Fair Value of Consideration:</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Total cash consideration transferred</w:t>
            </w:r>
          </w:p>
        </w:tc>
        <w:tc>
          <w:tcPr>
            <w:tcW w:w="176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17,000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74"/>
        </w:trPr>
        <w:tc>
          <w:tcPr>
            <w:tcW w:w="8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Recognized Amounts of Identifiable Assets Acquired and Liabilities Assumed:</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840" w:type="dxa"/>
            <w:vAlign w:val="bottom"/>
          </w:tcPr>
          <w:p>
            <w:pPr>
              <w:spacing w:after="0"/>
              <w:rPr>
                <w:sz w:val="20"/>
                <w:szCs w:val="20"/>
                <w:color w:val="auto"/>
              </w:rPr>
            </w:pPr>
            <w:r>
              <w:rPr>
                <w:rFonts w:ascii="Arial" w:cs="Arial" w:eastAsia="Arial" w:hAnsi="Arial"/>
                <w:sz w:val="16"/>
                <w:szCs w:val="16"/>
                <w:color w:val="auto"/>
              </w:rPr>
              <w:t>Identifiable net assets: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76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44,485</w:t>
            </w: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Fixed income securities, at fair value</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11,414</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securities, at fair value</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14,634</w:t>
            </w: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Premiums and agents' balances receivable</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5,849</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investment income</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lease contract (included in intangibles)</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License (included in intangibles)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 (included in intangibles)</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248</w:t>
            </w: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Value of business acquired (included in intangibles)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5,134</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w:t>
            </w: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Unpaid losses and loss adjustment expenses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(40,967)</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premiums</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(15,955)</w:t>
            </w:r>
          </w:p>
        </w:tc>
      </w:tr>
      <w:tr>
        <w:trPr>
          <w:trHeight w:val="196"/>
        </w:trPr>
        <w:tc>
          <w:tcPr>
            <w:tcW w:w="8840" w:type="dxa"/>
            <w:vAlign w:val="bottom"/>
          </w:tcPr>
          <w:p>
            <w:pPr>
              <w:ind w:left="140"/>
              <w:spacing w:after="0"/>
              <w:rPr>
                <w:sz w:val="20"/>
                <w:szCs w:val="20"/>
                <w:color w:val="auto"/>
              </w:rPr>
            </w:pPr>
            <w:r>
              <w:rPr>
                <w:rFonts w:ascii="Arial" w:cs="Arial" w:eastAsia="Arial" w:hAnsi="Arial"/>
                <w:sz w:val="16"/>
                <w:szCs w:val="16"/>
                <w:color w:val="auto"/>
              </w:rPr>
              <w:t>Federal income tax payable</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(1,486)</w:t>
            </w: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 net</w:t>
            </w: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r>
      <w:tr>
        <w:trPr>
          <w:trHeight w:val="208"/>
        </w:trPr>
        <w:tc>
          <w:tcPr>
            <w:tcW w:w="8840" w:type="dxa"/>
            <w:vAlign w:val="bottom"/>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(657)</w:t>
            </w:r>
          </w:p>
        </w:tc>
      </w:tr>
      <w:tr>
        <w:trPr>
          <w:trHeight w:val="201"/>
        </w:trPr>
        <w:tc>
          <w:tcPr>
            <w:tcW w:w="88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net assets</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8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Gain on bargain purchase</w:t>
            </w:r>
          </w:p>
        </w:tc>
        <w:tc>
          <w:tcPr>
            <w:tcW w:w="1760" w:type="dxa"/>
            <w:vAlign w:val="bottom"/>
            <w:gridSpan w:val="2"/>
            <w:shd w:val="clear" w:color="auto" w:fill="CCEEFF"/>
          </w:tcPr>
          <w:p>
            <w:pPr>
              <w:jc w:val="right"/>
              <w:ind w:right="143"/>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2" w:right="40" w:firstLine="589"/>
        <w:spacing w:after="0" w:line="322" w:lineRule="auto"/>
        <w:rPr>
          <w:sz w:val="20"/>
          <w:szCs w:val="20"/>
          <w:color w:val="auto"/>
        </w:rPr>
      </w:pPr>
      <w:r>
        <w:rPr>
          <w:rFonts w:ascii="Arial" w:cs="Arial" w:eastAsia="Arial" w:hAnsi="Arial"/>
          <w:sz w:val="15"/>
          <w:szCs w:val="15"/>
          <w:color w:val="auto"/>
        </w:rPr>
        <w:t>The fair value of the assets acquired includes premiums and agents’ balances receivable of $5,849. This is the gross amount due from policyholders and agents, none of which is anticipated to be uncollectible. The Company did not acquire any other material class of receivable as a result of the acquisition of Direct Auto.</w:t>
      </w:r>
    </w:p>
    <w:p>
      <w:pPr>
        <w:spacing w:after="0" w:line="126" w:lineRule="exact"/>
        <w:rPr>
          <w:sz w:val="20"/>
          <w:szCs w:val="20"/>
          <w:color w:val="auto"/>
        </w:rPr>
      </w:pPr>
    </w:p>
    <w:p>
      <w:pPr>
        <w:jc w:val="both"/>
        <w:ind w:left="2" w:right="140" w:firstLine="589"/>
        <w:spacing w:after="0" w:line="271" w:lineRule="auto"/>
        <w:rPr>
          <w:sz w:val="20"/>
          <w:szCs w:val="20"/>
          <w:color w:val="auto"/>
        </w:rPr>
      </w:pPr>
      <w:r>
        <w:rPr>
          <w:rFonts w:ascii="Arial" w:cs="Arial" w:eastAsia="Arial" w:hAnsi="Arial"/>
          <w:sz w:val="16"/>
          <w:szCs w:val="16"/>
          <w:color w:val="auto"/>
        </w:rPr>
        <w:t>The fair values of the acquired bargain lease contract, state insurance license, Direct Auto trade name, and VOBA intangible assets of $20, $100, $248, and $5,134, respectively, are provisional pending receipt of the final valuations for those assets. The state insurance license has an indefinite life, while the other intangible assets will be amortized over useful lives of up to five years.</w:t>
      </w:r>
    </w:p>
    <w:p>
      <w:pPr>
        <w:spacing w:after="0" w:line="162" w:lineRule="exact"/>
        <w:rPr>
          <w:sz w:val="20"/>
          <w:szCs w:val="20"/>
          <w:color w:val="auto"/>
        </w:rPr>
      </w:pPr>
    </w:p>
    <w:p>
      <w:pPr>
        <w:ind w:left="2" w:right="740" w:firstLine="589"/>
        <w:spacing w:after="0" w:line="286" w:lineRule="auto"/>
        <w:rPr>
          <w:sz w:val="20"/>
          <w:szCs w:val="20"/>
          <w:color w:val="auto"/>
        </w:rPr>
      </w:pPr>
      <w:r>
        <w:rPr>
          <w:rFonts w:ascii="Arial" w:cs="Arial" w:eastAsia="Arial" w:hAnsi="Arial"/>
          <w:sz w:val="16"/>
          <w:szCs w:val="16"/>
          <w:color w:val="auto"/>
        </w:rPr>
        <w:t>The gain realized on bargain purchase gain of $4,578 from the Direct Auto acquisition is included in fee and other income in the Company’s Consolidated Statements of Operations for the three and nine months ended September 30, 2018.</w:t>
      </w:r>
    </w:p>
    <w:p>
      <w:pPr>
        <w:spacing w:after="0" w:line="343" w:lineRule="exact"/>
        <w:rPr>
          <w:sz w:val="20"/>
          <w:szCs w:val="20"/>
          <w:color w:val="auto"/>
        </w:rPr>
      </w:pPr>
    </w:p>
    <w:p>
      <w:pPr>
        <w:ind w:left="582" w:hanging="582"/>
        <w:spacing w:after="0"/>
        <w:tabs>
          <w:tab w:leader="none" w:pos="58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w:t>
      </w:r>
    </w:p>
    <w:p>
      <w:pPr>
        <w:spacing w:after="0" w:line="213" w:lineRule="exact"/>
        <w:rPr>
          <w:sz w:val="20"/>
          <w:szCs w:val="20"/>
          <w:color w:val="auto"/>
        </w:rPr>
      </w:pPr>
    </w:p>
    <w:p>
      <w:pPr>
        <w:ind w:left="2" w:right="80" w:firstLine="589"/>
        <w:spacing w:after="0" w:line="271" w:lineRule="auto"/>
        <w:rPr>
          <w:sz w:val="20"/>
          <w:szCs w:val="20"/>
          <w:color w:val="auto"/>
        </w:rPr>
      </w:pPr>
      <w:r>
        <w:rPr>
          <w:rFonts w:ascii="Arial" w:cs="Arial" w:eastAsia="Arial" w:hAnsi="Arial"/>
          <w:sz w:val="16"/>
          <w:szCs w:val="16"/>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Adopted</w:t>
      </w:r>
    </w:p>
    <w:p>
      <w:pPr>
        <w:spacing w:after="0" w:line="209" w:lineRule="exact"/>
        <w:rPr>
          <w:sz w:val="20"/>
          <w:szCs w:val="20"/>
          <w:color w:val="auto"/>
        </w:rPr>
      </w:pPr>
    </w:p>
    <w:p>
      <w:pPr>
        <w:ind w:left="2" w:right="20" w:firstLine="589"/>
        <w:spacing w:after="0" w:line="280" w:lineRule="auto"/>
        <w:rPr>
          <w:sz w:val="20"/>
          <w:szCs w:val="20"/>
          <w:color w:val="auto"/>
        </w:rPr>
      </w:pPr>
      <w:r>
        <w:rPr>
          <w:rFonts w:ascii="Arial" w:cs="Arial" w:eastAsia="Arial" w:hAnsi="Arial"/>
          <w:sz w:val="15"/>
          <w:szCs w:val="15"/>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early adopted this guidance on a prospective basis as a change in accounting principle, therefore at the date of adoption there was no impact to the Company’s financial position or results of operations.</w:t>
      </w:r>
    </w:p>
    <w:p>
      <w:pPr>
        <w:spacing w:after="0" w:line="15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sectPr>
      </w:pPr>
    </w:p>
    <w:bookmarkStart w:id="17" w:name="page18"/>
    <w:bookmarkEnd w:id="17"/>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right="40" w:firstLine="589"/>
        <w:spacing w:after="0" w:line="277" w:lineRule="auto"/>
        <w:rPr>
          <w:sz w:val="20"/>
          <w:szCs w:val="20"/>
          <w:color w:val="auto"/>
        </w:rPr>
      </w:pPr>
      <w:r>
        <w:rPr>
          <w:rFonts w:ascii="Arial" w:cs="Arial" w:eastAsia="Arial" w:hAnsi="Arial"/>
          <w:sz w:val="15"/>
          <w:szCs w:val="15"/>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65" w:lineRule="exact"/>
        <w:rPr>
          <w:sz w:val="20"/>
          <w:szCs w:val="20"/>
          <w:color w:val="auto"/>
        </w:rPr>
      </w:pPr>
    </w:p>
    <w:p>
      <w:pPr>
        <w:ind w:right="40" w:firstLine="589"/>
        <w:spacing w:after="0" w:line="261" w:lineRule="auto"/>
        <w:rPr>
          <w:sz w:val="20"/>
          <w:szCs w:val="20"/>
          <w:color w:val="auto"/>
        </w:rPr>
      </w:pPr>
      <w:r>
        <w:rPr>
          <w:rFonts w:ascii="Arial" w:cs="Arial" w:eastAsia="Arial" w:hAnsi="Arial"/>
          <w:sz w:val="16"/>
          <w:szCs w:val="16"/>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 Yet Adopted</w:t>
      </w:r>
    </w:p>
    <w:p>
      <w:pPr>
        <w:spacing w:after="0" w:line="209" w:lineRule="exact"/>
        <w:rPr>
          <w:sz w:val="20"/>
          <w:szCs w:val="20"/>
          <w:color w:val="auto"/>
        </w:rPr>
      </w:pPr>
    </w:p>
    <w:p>
      <w:pPr>
        <w:ind w:right="80" w:firstLine="589"/>
        <w:spacing w:after="0" w:line="261" w:lineRule="auto"/>
        <w:rPr>
          <w:sz w:val="20"/>
          <w:szCs w:val="20"/>
          <w:color w:val="auto"/>
        </w:rPr>
      </w:pPr>
      <w:r>
        <w:rPr>
          <w:rFonts w:ascii="Arial" w:cs="Arial" w:eastAsia="Arial" w:hAnsi="Arial"/>
          <w:sz w:val="16"/>
          <w:szCs w:val="16"/>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w:t>
      </w:r>
    </w:p>
    <w:p>
      <w:pPr>
        <w:spacing w:after="0" w:line="169" w:lineRule="exact"/>
        <w:rPr>
          <w:sz w:val="20"/>
          <w:szCs w:val="20"/>
          <w:color w:val="auto"/>
        </w:rPr>
      </w:pPr>
    </w:p>
    <w:p>
      <w:pPr>
        <w:ind w:firstLine="589"/>
        <w:spacing w:after="0" w:line="259" w:lineRule="auto"/>
        <w:rPr>
          <w:sz w:val="20"/>
          <w:szCs w:val="20"/>
          <w:color w:val="auto"/>
        </w:rPr>
      </w:pPr>
      <w:r>
        <w:rPr>
          <w:rFonts w:ascii="Arial" w:cs="Arial" w:eastAsia="Arial" w:hAnsi="Arial"/>
          <w:sz w:val="16"/>
          <w:szCs w:val="16"/>
          <w:color w:val="auto"/>
        </w:rPr>
        <w:t>In January 2016, the FASB issued amended guidance that generally requires entities to measure equity securities at fair value and recognize changes in fair value in their results of operations. The FASB issued other impairment, disclosure, and presentation improvements related to financial instruments within the guidance. This guidance is to be applied through a cumulative-effect adjustment to beginning retained earnings which results in no impact to the Company’s results of operations at the date of adoption. We will adopt this standard on its effective date of January 1, 2019 for emerging growth companies. The most significant anticipated impact, using values as of September 30, 2018, relate to the change in accounting for equity securities, where $19,826 of pre-tax unrealized net capital gains would be reclassified from accumulated other comprehensive income to retained earnings. The after-tax change in accounting for equity securities will not likely affect the Company’s equity; however, the unrealized net capital gains reclassified at the transition date to retained earnings will never be recognized in net income. Going forward, the accounting used for equity securities will record the market fluctuations attributed to equity securities through our results of operations rather than as a component of Other Comprehensive Income, which will add a level of volatility to our net income.</w:t>
      </w:r>
    </w:p>
    <w:p>
      <w:pPr>
        <w:spacing w:after="0" w:line="176" w:lineRule="exact"/>
        <w:rPr>
          <w:sz w:val="20"/>
          <w:szCs w:val="20"/>
          <w:color w:val="auto"/>
        </w:rPr>
      </w:pPr>
    </w:p>
    <w:p>
      <w:pPr>
        <w:ind w:right="40" w:firstLine="589"/>
        <w:spacing w:after="0" w:line="260" w:lineRule="auto"/>
        <w:rPr>
          <w:sz w:val="20"/>
          <w:szCs w:val="20"/>
          <w:color w:val="auto"/>
        </w:rPr>
      </w:pPr>
      <w:r>
        <w:rPr>
          <w:rFonts w:ascii="Arial" w:cs="Arial" w:eastAsia="Arial" w:hAnsi="Arial"/>
          <w:sz w:val="16"/>
          <w:szCs w:val="16"/>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cumulative adoption.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sectPr>
      </w:pPr>
    </w:p>
    <w:bookmarkStart w:id="18" w:name="page19"/>
    <w:bookmarkEnd w:id="1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right="80" w:firstLine="589"/>
        <w:spacing w:after="0" w:line="277" w:lineRule="auto"/>
        <w:rPr>
          <w:sz w:val="20"/>
          <w:szCs w:val="20"/>
          <w:color w:val="auto"/>
        </w:rPr>
      </w:pPr>
      <w:r>
        <w:rPr>
          <w:rFonts w:ascii="Arial" w:cs="Arial" w:eastAsia="Arial" w:hAnsi="Arial"/>
          <w:sz w:val="15"/>
          <w:szCs w:val="15"/>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60" w:lineRule="exact"/>
        <w:rPr>
          <w:sz w:val="20"/>
          <w:szCs w:val="20"/>
          <w:color w:val="auto"/>
        </w:rPr>
      </w:pPr>
    </w:p>
    <w:p>
      <w:pPr>
        <w:ind w:right="40" w:firstLine="589"/>
        <w:spacing w:after="0" w:line="262" w:lineRule="auto"/>
        <w:rPr>
          <w:sz w:val="20"/>
          <w:szCs w:val="20"/>
          <w:color w:val="auto"/>
        </w:rPr>
      </w:pPr>
      <w:r>
        <w:rPr>
          <w:rFonts w:ascii="Arial" w:cs="Arial" w:eastAsia="Arial" w:hAnsi="Arial"/>
          <w:sz w:val="16"/>
          <w:szCs w:val="16"/>
          <w:color w:val="auto"/>
        </w:rPr>
        <w:t>In August 2016, the FASB issued amended guidance that addresses diversity in how certain cash receipts and cash payments are presented and classified in the Consolidated Statement of Cash Flows. The amendments provide clarity on the treatment of eight specifically defined types of cash inflows and outflows. For private companies and emerging growth companies, this guidance is effective for annual reporting periods beginning after December 15, 2018 and interim periods within fiscal years beginning after December 15, 2019 using a retrospective transition method to each period presented or prospectively if adoption of an issue is impracticable. The adoption of this amended guidance will have no effect on our financial position or results of operations. We do not expect this amended guidance to have a significant impact on our Consolidated Statement of Cash Flows.</w:t>
      </w:r>
    </w:p>
    <w:p>
      <w:pPr>
        <w:spacing w:after="0" w:line="169" w:lineRule="exact"/>
        <w:rPr>
          <w:sz w:val="20"/>
          <w:szCs w:val="20"/>
          <w:color w:val="auto"/>
        </w:rPr>
      </w:pPr>
    </w:p>
    <w:p>
      <w:pPr>
        <w:ind w:right="60" w:firstLine="589"/>
        <w:spacing w:after="0" w:line="281" w:lineRule="auto"/>
        <w:rPr>
          <w:sz w:val="20"/>
          <w:szCs w:val="20"/>
          <w:color w:val="auto"/>
        </w:rPr>
      </w:pPr>
      <w:r>
        <w:rPr>
          <w:rFonts w:ascii="Arial" w:cs="Arial" w:eastAsia="Arial" w:hAnsi="Arial"/>
          <w:sz w:val="15"/>
          <w:szCs w:val="15"/>
          <w:color w:val="auto"/>
        </w:rPr>
        <w:t>In November 2016, the FASB issued amended guidance on the presentation of restricted cash in the Consolidated Statement of Cash Flows. Entities will be required to explain the changes during a reporting period in the total of cash, cash equivalents, and amounts generally described as restricted cash or restricted cash equivalents.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 effect on our financial position or results of operations. We do not expect this amended guidance to have a significant impact on our Consolidated Statement of Cash Flows.</w:t>
      </w:r>
    </w:p>
    <w:p>
      <w:pPr>
        <w:spacing w:after="0" w:line="156" w:lineRule="exact"/>
        <w:rPr>
          <w:sz w:val="20"/>
          <w:szCs w:val="20"/>
          <w:color w:val="auto"/>
        </w:rPr>
      </w:pPr>
    </w:p>
    <w:p>
      <w:pPr>
        <w:ind w:right="160" w:firstLine="589"/>
        <w:spacing w:after="0" w:line="281" w:lineRule="auto"/>
        <w:rPr>
          <w:sz w:val="20"/>
          <w:szCs w:val="20"/>
          <w:color w:val="auto"/>
        </w:rPr>
      </w:pPr>
      <w:r>
        <w:rPr>
          <w:rFonts w:ascii="Arial" w:cs="Arial" w:eastAsia="Arial" w:hAnsi="Arial"/>
          <w:sz w:val="15"/>
          <w:szCs w:val="15"/>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56"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In August 2018, the FASB issued modified disclosure requirements relating to the fair value of assets and liabilities. The amended requirements are effective for fiscal years, and interim periods within those fiscal years, beginning after December 15, 2019. Early adoption is permitted. We do not expect these modified requirements will have a material impact on our financial disclosures.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sectPr>
      </w:pPr>
    </w:p>
    <w:bookmarkStart w:id="19" w:name="page20"/>
    <w:bookmarkEnd w:id="19"/>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386" w:lineRule="exact"/>
        <w:rPr>
          <w:sz w:val="20"/>
          <w:szCs w:val="20"/>
          <w:color w:val="auto"/>
        </w:rPr>
      </w:pPr>
    </w:p>
    <w:p>
      <w:pPr>
        <w:ind w:left="582" w:hanging="582"/>
        <w:spacing w:after="0"/>
        <w:tabs>
          <w:tab w:leader="none" w:pos="58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114"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The amortized cost and estimated fair value of investment securities as of September 30, 2018 and December 31, 2017, were as follows:</w:t>
      </w:r>
    </w:p>
    <w:p>
      <w:pPr>
        <w:spacing w:after="0" w:line="11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978"/>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3"/>
        </w:trPr>
        <w:tc>
          <w:tcPr>
            <w:tcW w:w="5840" w:type="dxa"/>
            <w:vAlign w:val="bottom"/>
          </w:tcPr>
          <w:p>
            <w:pPr>
              <w:spacing w:after="0"/>
              <w:rPr>
                <w:sz w:val="15"/>
                <w:szCs w:val="15"/>
                <w:color w:val="auto"/>
              </w:rPr>
            </w:pPr>
          </w:p>
        </w:tc>
        <w:tc>
          <w:tcPr>
            <w:tcW w:w="1460" w:type="dxa"/>
            <w:vAlign w:val="bottom"/>
            <w:gridSpan w:val="3"/>
          </w:tcPr>
          <w:p>
            <w:pPr>
              <w:ind w:left="20"/>
              <w:spacing w:after="0" w:line="173" w:lineRule="exact"/>
              <w:rPr>
                <w:sz w:val="20"/>
                <w:szCs w:val="20"/>
                <w:color w:val="auto"/>
              </w:rPr>
            </w:pPr>
            <w:r>
              <w:rPr>
                <w:rFonts w:ascii="Arial" w:cs="Arial" w:eastAsia="Arial" w:hAnsi="Arial"/>
                <w:sz w:val="16"/>
                <w:szCs w:val="16"/>
                <w:b w:val="1"/>
                <w:bCs w:val="1"/>
                <w:color w:val="auto"/>
              </w:rPr>
              <w:t>Cost or Amortized</w:t>
            </w:r>
          </w:p>
        </w:tc>
        <w:tc>
          <w:tcPr>
            <w:tcW w:w="100" w:type="dxa"/>
            <w:vAlign w:val="bottom"/>
          </w:tcPr>
          <w:p>
            <w:pPr>
              <w:spacing w:after="0"/>
              <w:rPr>
                <w:sz w:val="15"/>
                <w:szCs w:val="15"/>
                <w:color w:val="auto"/>
              </w:rPr>
            </w:pPr>
          </w:p>
        </w:tc>
        <w:tc>
          <w:tcPr>
            <w:tcW w:w="1460" w:type="dxa"/>
            <w:vAlign w:val="bottom"/>
            <w:gridSpan w:val="3"/>
          </w:tcPr>
          <w:p>
            <w:pPr>
              <w:ind w:left="20"/>
              <w:spacing w:after="0" w:line="173" w:lineRule="exact"/>
              <w:rPr>
                <w:sz w:val="20"/>
                <w:szCs w:val="20"/>
                <w:color w:val="auto"/>
              </w:rPr>
            </w:pPr>
            <w:r>
              <w:rPr>
                <w:rFonts w:ascii="Arial" w:cs="Arial" w:eastAsia="Arial" w:hAnsi="Arial"/>
                <w:sz w:val="16"/>
                <w:szCs w:val="16"/>
                <w:b w:val="1"/>
                <w:bCs w:val="1"/>
                <w:color w:val="auto"/>
              </w:rPr>
              <w:t>Gross Unrealized</w:t>
            </w:r>
          </w:p>
        </w:tc>
        <w:tc>
          <w:tcPr>
            <w:tcW w:w="1460" w:type="dxa"/>
            <w:vAlign w:val="bottom"/>
            <w:gridSpan w:val="3"/>
          </w:tcPr>
          <w:p>
            <w:pPr>
              <w:ind w:left="20"/>
              <w:spacing w:after="0" w:line="173" w:lineRule="exact"/>
              <w:rPr>
                <w:sz w:val="20"/>
                <w:szCs w:val="20"/>
                <w:color w:val="auto"/>
              </w:rPr>
            </w:pPr>
            <w:r>
              <w:rPr>
                <w:rFonts w:ascii="Arial" w:cs="Arial" w:eastAsia="Arial" w:hAnsi="Arial"/>
                <w:sz w:val="16"/>
                <w:szCs w:val="16"/>
                <w:b w:val="1"/>
                <w:bCs w:val="1"/>
                <w:color w:val="auto"/>
              </w:rPr>
              <w:t>Gross Unrealized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Cost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Gains</w:t>
            </w:r>
          </w:p>
        </w:tc>
        <w:tc>
          <w:tcPr>
            <w:tcW w:w="240" w:type="dxa"/>
            <w:vAlign w:val="bottom"/>
          </w:tcPr>
          <w:p>
            <w:pPr>
              <w:spacing w:after="0"/>
              <w:rPr>
                <w:sz w:val="18"/>
                <w:szCs w:val="18"/>
                <w:color w:val="auto"/>
              </w:rPr>
            </w:pPr>
          </w:p>
        </w:tc>
        <w:tc>
          <w:tcPr>
            <w:tcW w:w="1220" w:type="dxa"/>
            <w:vAlign w:val="bottom"/>
            <w:gridSpan w:val="2"/>
          </w:tcPr>
          <w:p>
            <w:pPr>
              <w:jc w:val="right"/>
              <w:ind w:right="518"/>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w:t>
            </w:r>
          </w:p>
        </w:tc>
      </w:tr>
      <w:tr>
        <w:trPr>
          <w:trHeight w:val="189"/>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U.S. Government and agencies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18,977</w:t>
            </w: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(304)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18,768</w:t>
            </w: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Obligations of states and political subdivisions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278</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51,178</w:t>
            </w:r>
          </w:p>
        </w:tc>
        <w:tc>
          <w:tcPr>
            <w:tcW w:w="80" w:type="dxa"/>
            <w:vAlign w:val="bottom"/>
            <w:shd w:val="clear" w:color="auto" w:fill="CCEEFF"/>
          </w:tcPr>
          <w:p>
            <w:pPr>
              <w:spacing w:after="0"/>
              <w:rPr>
                <w:sz w:val="17"/>
                <w:szCs w:val="17"/>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Corporate securities</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100,329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242</w:t>
            </w:r>
          </w:p>
        </w:tc>
        <w:tc>
          <w:tcPr>
            <w:tcW w:w="24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(1,565)</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99,006</w:t>
            </w: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44,687</w:t>
            </w:r>
          </w:p>
        </w:tc>
        <w:tc>
          <w:tcPr>
            <w:tcW w:w="80" w:type="dxa"/>
            <w:vAlign w:val="bottom"/>
            <w:shd w:val="clear" w:color="auto" w:fill="CCEEFF"/>
          </w:tcPr>
          <w:p>
            <w:pPr>
              <w:spacing w:after="0"/>
              <w:rPr>
                <w:sz w:val="17"/>
                <w:szCs w:val="17"/>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14,418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14,036</w:t>
            </w:r>
          </w:p>
        </w:tc>
        <w:tc>
          <w:tcPr>
            <w:tcW w:w="80" w:type="dxa"/>
            <w:vAlign w:val="bottom"/>
          </w:tcPr>
          <w:p>
            <w:pPr>
              <w:spacing w:after="0"/>
              <w:rPr>
                <w:sz w:val="17"/>
                <w:szCs w:val="17"/>
                <w:color w:val="auto"/>
              </w:rPr>
            </w:pPr>
          </w:p>
        </w:tc>
      </w:tr>
      <w:tr>
        <w:trPr>
          <w:trHeight w:val="20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19,731</w:t>
            </w:r>
          </w:p>
        </w:tc>
        <w:tc>
          <w:tcPr>
            <w:tcW w:w="80" w:type="dxa"/>
            <w:vAlign w:val="bottom"/>
            <w:shd w:val="clear" w:color="auto" w:fill="CCEEFF"/>
          </w:tcPr>
          <w:p>
            <w:pPr>
              <w:spacing w:after="0"/>
              <w:rPr>
                <w:sz w:val="18"/>
                <w:szCs w:val="18"/>
                <w:color w:val="auto"/>
              </w:rPr>
            </w:pPr>
          </w:p>
        </w:tc>
      </w:tr>
      <w:tr>
        <w:trPr>
          <w:trHeight w:val="189"/>
        </w:trPr>
        <w:tc>
          <w:tcPr>
            <w:tcW w:w="58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fixed income securities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251,295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247,406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9"/>
        </w:trPr>
        <w:tc>
          <w:tcPr>
            <w:tcW w:w="5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5840" w:type="dxa"/>
            <w:vAlign w:val="bottom"/>
          </w:tcPr>
          <w:p>
            <w:pPr>
              <w:spacing w:after="0"/>
              <w:rPr>
                <w:sz w:val="20"/>
                <w:szCs w:val="20"/>
                <w:color w:val="auto"/>
              </w:rPr>
            </w:pPr>
            <w:r>
              <w:rPr>
                <w:rFonts w:ascii="Arial" w:cs="Arial" w:eastAsia="Arial" w:hAnsi="Arial"/>
                <w:sz w:val="16"/>
                <w:szCs w:val="16"/>
                <w:color w:val="auto"/>
              </w:rPr>
              <w:t>Equity securities: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materials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1,629</w:t>
            </w:r>
          </w:p>
        </w:tc>
        <w:tc>
          <w:tcPr>
            <w:tcW w:w="80" w:type="dxa"/>
            <w:vAlign w:val="bottom"/>
            <w:shd w:val="clear" w:color="auto" w:fill="CCEEFF"/>
          </w:tcPr>
          <w:p>
            <w:pPr>
              <w:spacing w:after="0"/>
              <w:rPr>
                <w:sz w:val="17"/>
                <w:szCs w:val="17"/>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5,415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1,681</w:t>
            </w:r>
          </w:p>
        </w:tc>
        <w:tc>
          <w:tcPr>
            <w:tcW w:w="24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6,892</w:t>
            </w: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cyclical</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4,132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9,355</w:t>
            </w:r>
          </w:p>
        </w:tc>
        <w:tc>
          <w:tcPr>
            <w:tcW w:w="80" w:type="dxa"/>
            <w:vAlign w:val="bottom"/>
            <w:shd w:val="clear" w:color="auto" w:fill="CCEEFF"/>
          </w:tcPr>
          <w:p>
            <w:pPr>
              <w:spacing w:after="0"/>
              <w:rPr>
                <w:sz w:val="17"/>
                <w:szCs w:val="17"/>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Consumer, non-cyclical</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5,652</w:t>
            </w:r>
          </w:p>
        </w:tc>
        <w:tc>
          <w:tcPr>
            <w:tcW w:w="24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14,830</w:t>
            </w: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2,013</w:t>
            </w:r>
          </w:p>
        </w:tc>
        <w:tc>
          <w:tcPr>
            <w:tcW w:w="80" w:type="dxa"/>
            <w:vAlign w:val="bottom"/>
            <w:shd w:val="clear" w:color="auto" w:fill="CCEEFF"/>
          </w:tcPr>
          <w:p>
            <w:pPr>
              <w:spacing w:after="0"/>
              <w:rPr>
                <w:sz w:val="17"/>
                <w:szCs w:val="17"/>
                <w:color w:val="auto"/>
              </w:rPr>
            </w:pPr>
          </w:p>
        </w:tc>
      </w:tr>
      <w:tr>
        <w:trPr>
          <w:trHeight w:val="196"/>
        </w:trPr>
        <w:tc>
          <w:tcPr>
            <w:tcW w:w="5840" w:type="dxa"/>
            <w:vAlign w:val="bottom"/>
          </w:tcPr>
          <w:p>
            <w:pPr>
              <w:ind w:left="140"/>
              <w:spacing w:after="0"/>
              <w:rPr>
                <w:sz w:val="20"/>
                <w:szCs w:val="20"/>
                <w:color w:val="auto"/>
              </w:rPr>
            </w:pPr>
            <w:r>
              <w:rPr>
                <w:rFonts w:ascii="Arial" w:cs="Arial" w:eastAsia="Arial" w:hAnsi="Arial"/>
                <w:sz w:val="16"/>
                <w:szCs w:val="16"/>
                <w:color w:val="auto"/>
              </w:rPr>
              <w:t>Financial</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273</w:t>
            </w:r>
          </w:p>
        </w:tc>
        <w:tc>
          <w:tcPr>
            <w:tcW w:w="240" w:type="dxa"/>
            <w:vAlign w:val="bottom"/>
          </w:tcPr>
          <w:p>
            <w:pPr>
              <w:spacing w:after="0"/>
              <w:rPr>
                <w:sz w:val="17"/>
                <w:szCs w:val="17"/>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4,656</w:t>
            </w:r>
          </w:p>
        </w:tc>
        <w:tc>
          <w:tcPr>
            <w:tcW w:w="80" w:type="dxa"/>
            <w:vAlign w:val="bottom"/>
          </w:tcPr>
          <w:p>
            <w:pPr>
              <w:spacing w:after="0"/>
              <w:rPr>
                <w:sz w:val="17"/>
                <w:szCs w:val="17"/>
                <w:color w:val="auto"/>
              </w:rPr>
            </w:pPr>
          </w:p>
        </w:tc>
      </w:tr>
      <w:tr>
        <w:trPr>
          <w:trHeight w:val="196"/>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Industrial</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3,627</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8,360</w:t>
            </w:r>
          </w:p>
        </w:tc>
        <w:tc>
          <w:tcPr>
            <w:tcW w:w="80" w:type="dxa"/>
            <w:vAlign w:val="bottom"/>
            <w:shd w:val="clear" w:color="auto" w:fill="CCEEFF"/>
          </w:tcPr>
          <w:p>
            <w:pPr>
              <w:spacing w:after="0"/>
              <w:rPr>
                <w:sz w:val="17"/>
                <w:szCs w:val="17"/>
                <w:color w:val="auto"/>
              </w:rPr>
            </w:pPr>
          </w:p>
        </w:tc>
      </w:tr>
      <w:tr>
        <w:trPr>
          <w:trHeight w:val="208"/>
        </w:trPr>
        <w:tc>
          <w:tcPr>
            <w:tcW w:w="584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5,069</w:t>
            </w:r>
          </w:p>
        </w:tc>
        <w:tc>
          <w:tcPr>
            <w:tcW w:w="24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11,990</w:t>
            </w:r>
          </w:p>
        </w:tc>
        <w:tc>
          <w:tcPr>
            <w:tcW w:w="80" w:type="dxa"/>
            <w:vAlign w:val="bottom"/>
          </w:tcPr>
          <w:p>
            <w:pPr>
              <w:spacing w:after="0"/>
              <w:rPr>
                <w:sz w:val="18"/>
                <w:szCs w:val="18"/>
                <w:color w:val="auto"/>
              </w:rPr>
            </w:pPr>
          </w:p>
        </w:tc>
      </w:tr>
      <w:tr>
        <w:trPr>
          <w:trHeight w:val="189"/>
        </w:trPr>
        <w:tc>
          <w:tcPr>
            <w:tcW w:w="5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equity securities</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20,682</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0"/>
        </w:trPr>
        <w:tc>
          <w:tcPr>
            <w:tcW w:w="5840" w:type="dxa"/>
            <w:vAlign w:val="bottom"/>
          </w:tcPr>
          <w:p>
            <w:pPr>
              <w:ind w:left="300"/>
              <w:spacing w:after="0"/>
              <w:rPr>
                <w:sz w:val="20"/>
                <w:szCs w:val="20"/>
                <w:color w:val="auto"/>
              </w:rPr>
            </w:pPr>
            <w:r>
              <w:rPr>
                <w:rFonts w:ascii="Arial" w:cs="Arial" w:eastAsia="Arial" w:hAnsi="Arial"/>
                <w:sz w:val="16"/>
                <w:szCs w:val="16"/>
                <w:color w:val="auto"/>
              </w:rPr>
              <w:t>Total investments</w:t>
            </w: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(5,361</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307,131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0"/>
              </w:rPr>
              <w:t>December 31, 2017</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40" w:type="dxa"/>
            <w:vAlign w:val="bottom"/>
            <w:gridSpan w:val="3"/>
          </w:tcPr>
          <w:p>
            <w:pPr>
              <w:ind w:left="20"/>
              <w:spacing w:after="0" w:line="173" w:lineRule="exact"/>
              <w:rPr>
                <w:sz w:val="20"/>
                <w:szCs w:val="20"/>
                <w:color w:val="auto"/>
              </w:rPr>
            </w:pPr>
            <w:r>
              <w:rPr>
                <w:rFonts w:ascii="Arial" w:cs="Arial" w:eastAsia="Arial" w:hAnsi="Arial"/>
                <w:sz w:val="16"/>
                <w:szCs w:val="16"/>
                <w:b w:val="1"/>
                <w:bCs w:val="1"/>
                <w:color w:val="auto"/>
              </w:rPr>
              <w:t>Cost or Amortized</w:t>
            </w:r>
          </w:p>
        </w:tc>
        <w:tc>
          <w:tcPr>
            <w:tcW w:w="120" w:type="dxa"/>
            <w:vAlign w:val="bottom"/>
          </w:tcPr>
          <w:p>
            <w:pPr>
              <w:spacing w:after="0"/>
              <w:rPr>
                <w:sz w:val="15"/>
                <w:szCs w:val="15"/>
                <w:color w:val="auto"/>
              </w:rPr>
            </w:pPr>
          </w:p>
        </w:tc>
        <w:tc>
          <w:tcPr>
            <w:tcW w:w="1420" w:type="dxa"/>
            <w:vAlign w:val="bottom"/>
            <w:gridSpan w:val="3"/>
          </w:tcPr>
          <w:p>
            <w:pPr>
              <w:jc w:val="right"/>
              <w:ind w:right="220"/>
              <w:spacing w:after="0" w:line="173" w:lineRule="exact"/>
              <w:rPr>
                <w:sz w:val="20"/>
                <w:szCs w:val="20"/>
                <w:color w:val="auto"/>
              </w:rPr>
            </w:pPr>
            <w:r>
              <w:rPr>
                <w:rFonts w:ascii="Arial" w:cs="Arial" w:eastAsia="Arial" w:hAnsi="Arial"/>
                <w:sz w:val="16"/>
                <w:szCs w:val="16"/>
                <w:b w:val="1"/>
                <w:bCs w:val="1"/>
                <w:color w:val="auto"/>
                <w:w w:val="89"/>
              </w:rPr>
              <w:t>Gross Unrealized</w:t>
            </w:r>
          </w:p>
        </w:tc>
        <w:tc>
          <w:tcPr>
            <w:tcW w:w="1460" w:type="dxa"/>
            <w:vAlign w:val="bottom"/>
            <w:gridSpan w:val="3"/>
          </w:tcPr>
          <w:p>
            <w:pPr>
              <w:ind w:left="20"/>
              <w:spacing w:after="0" w:line="173" w:lineRule="exact"/>
              <w:rPr>
                <w:sz w:val="20"/>
                <w:szCs w:val="20"/>
                <w:color w:val="auto"/>
              </w:rPr>
            </w:pPr>
            <w:r>
              <w:rPr>
                <w:rFonts w:ascii="Arial" w:cs="Arial" w:eastAsia="Arial" w:hAnsi="Arial"/>
                <w:sz w:val="16"/>
                <w:szCs w:val="16"/>
                <w:b w:val="1"/>
                <w:bCs w:val="1"/>
                <w:color w:val="auto"/>
              </w:rPr>
              <w:t>Gross Unrealized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Gains</w:t>
            </w:r>
          </w:p>
        </w:tc>
        <w:tc>
          <w:tcPr>
            <w:tcW w:w="400" w:type="dxa"/>
            <w:vAlign w:val="bottom"/>
          </w:tcPr>
          <w:p>
            <w:pPr>
              <w:spacing w:after="0"/>
              <w:rPr>
                <w:sz w:val="18"/>
                <w:szCs w:val="18"/>
                <w:color w:val="auto"/>
              </w:rPr>
            </w:pPr>
          </w:p>
        </w:tc>
        <w:tc>
          <w:tcPr>
            <w:tcW w:w="1060" w:type="dxa"/>
            <w:vAlign w:val="bottom"/>
            <w:gridSpan w:val="2"/>
          </w:tcPr>
          <w:p>
            <w:pPr>
              <w:jc w:val="right"/>
              <w:ind w:right="518"/>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14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U.S. Government and agencies</w:t>
            </w:r>
          </w:p>
        </w:tc>
        <w:tc>
          <w:tcPr>
            <w:tcW w:w="174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9,531</w:t>
            </w:r>
          </w:p>
        </w:tc>
        <w:tc>
          <w:tcPr>
            <w:tcW w:w="100" w:type="dxa"/>
            <w:vAlign w:val="bottom"/>
          </w:tcPr>
          <w:p>
            <w:pPr>
              <w:spacing w:after="0"/>
              <w:rPr>
                <w:sz w:val="17"/>
                <w:szCs w:val="17"/>
                <w:color w:val="auto"/>
              </w:rPr>
            </w:pPr>
          </w:p>
        </w:tc>
        <w:tc>
          <w:tcPr>
            <w:tcW w:w="3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175</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Obligations of states and political subdivisions</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81,741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1,171</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82,595</w:t>
            </w: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Corporate securities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88,474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1,197</w:t>
            </w:r>
          </w:p>
        </w:tc>
        <w:tc>
          <w:tcPr>
            <w:tcW w:w="40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89,451</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28,524</w:t>
            </w: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11,170</w:t>
            </w: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15,369</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fixed income securities</w:t>
            </w:r>
          </w:p>
        </w:tc>
        <w:tc>
          <w:tcPr>
            <w:tcW w:w="14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234,978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2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236,758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Arial" w:cs="Arial" w:eastAsia="Arial" w:hAnsi="Arial"/>
                <w:sz w:val="16"/>
                <w:szCs w:val="16"/>
                <w:color w:val="auto"/>
              </w:rPr>
              <w:t>Equity securities: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materials</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1,449</w:t>
            </w:r>
          </w:p>
        </w:tc>
        <w:tc>
          <w:tcPr>
            <w:tcW w:w="40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cyclical</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4,156</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9,339</w:t>
            </w: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Consumer, non-cyclical</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3,940</w:t>
            </w:r>
          </w:p>
        </w:tc>
        <w:tc>
          <w:tcPr>
            <w:tcW w:w="40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10,905</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196"/>
        </w:trPr>
        <w:tc>
          <w:tcPr>
            <w:tcW w:w="4420" w:type="dxa"/>
            <w:vAlign w:val="bottom"/>
          </w:tcPr>
          <w:p>
            <w:pPr>
              <w:ind w:left="140"/>
              <w:spacing w:after="0"/>
              <w:rPr>
                <w:sz w:val="20"/>
                <w:szCs w:val="20"/>
                <w:color w:val="auto"/>
              </w:rPr>
            </w:pPr>
            <w:r>
              <w:rPr>
                <w:rFonts w:ascii="Arial" w:cs="Arial" w:eastAsia="Arial" w:hAnsi="Arial"/>
                <w:sz w:val="16"/>
                <w:szCs w:val="16"/>
                <w:color w:val="auto"/>
              </w:rPr>
              <w:t>Financial</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410</w:t>
            </w:r>
          </w:p>
        </w:tc>
        <w:tc>
          <w:tcPr>
            <w:tcW w:w="400" w:type="dxa"/>
            <w:vAlign w:val="bottom"/>
          </w:tcPr>
          <w:p>
            <w:pPr>
              <w:spacing w:after="0"/>
              <w:rPr>
                <w:sz w:val="17"/>
                <w:szCs w:val="17"/>
                <w:color w:val="auto"/>
              </w:rPr>
            </w:pPr>
          </w:p>
        </w:tc>
        <w:tc>
          <w:tcPr>
            <w:tcW w:w="106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Industrial</w:t>
            </w: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4,167</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9,205</w:t>
            </w:r>
          </w:p>
        </w:tc>
        <w:tc>
          <w:tcPr>
            <w:tcW w:w="0" w:type="dxa"/>
            <w:vAlign w:val="bottom"/>
          </w:tcPr>
          <w:p>
            <w:pPr>
              <w:spacing w:after="0"/>
              <w:rPr>
                <w:sz w:val="1"/>
                <w:szCs w:val="1"/>
                <w:color w:val="auto"/>
              </w:rPr>
            </w:pPr>
          </w:p>
        </w:tc>
      </w:tr>
      <w:tr>
        <w:trPr>
          <w:trHeight w:val="208"/>
        </w:trPr>
        <w:tc>
          <w:tcPr>
            <w:tcW w:w="442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4,668</w:t>
            </w:r>
          </w:p>
        </w:tc>
        <w:tc>
          <w:tcPr>
            <w:tcW w:w="40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equity securities</w:t>
            </w:r>
          </w:p>
        </w:tc>
        <w:tc>
          <w:tcPr>
            <w:tcW w:w="14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19,186</w:t>
            </w: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20" w:type="dxa"/>
            <w:vAlign w:val="bottom"/>
          </w:tcPr>
          <w:p>
            <w:pPr>
              <w:ind w:left="300"/>
              <w:spacing w:after="0"/>
              <w:rPr>
                <w:sz w:val="20"/>
                <w:szCs w:val="20"/>
                <w:color w:val="auto"/>
              </w:rPr>
            </w:pPr>
            <w:r>
              <w:rPr>
                <w:rFonts w:ascii="Arial" w:cs="Arial" w:eastAsia="Arial" w:hAnsi="Arial"/>
                <w:sz w:val="16"/>
                <w:szCs w:val="16"/>
                <w:color w:val="auto"/>
              </w:rPr>
              <w:t>Total investments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21,924</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(1,611</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4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2"/>
          </w:cols>
          <w:pgMar w:left="238" w:top="218" w:right="239" w:bottom="1440" w:gutter="0" w:footer="0" w:header="0"/>
        </w:sectPr>
      </w:pPr>
    </w:p>
    <w:bookmarkStart w:id="20" w:name="page21"/>
    <w:bookmarkEnd w:id="20"/>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20" w:right="400" w:firstLine="576"/>
        <w:spacing w:after="0" w:line="362" w:lineRule="auto"/>
        <w:rPr>
          <w:sz w:val="20"/>
          <w:szCs w:val="20"/>
          <w:color w:val="auto"/>
        </w:rPr>
      </w:pPr>
      <w:r>
        <w:rPr>
          <w:rFonts w:ascii="Arial" w:cs="Arial" w:eastAsia="Arial" w:hAnsi="Arial"/>
          <w:sz w:val="14"/>
          <w:szCs w:val="14"/>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6"/>
          </w:tcPr>
          <w:p>
            <w:pPr>
              <w:ind w:left="200"/>
              <w:spacing w:after="0"/>
              <w:rPr>
                <w:sz w:val="20"/>
                <w:szCs w:val="20"/>
                <w:color w:val="auto"/>
              </w:rPr>
            </w:pPr>
            <w:r>
              <w:rPr>
                <w:rFonts w:ascii="Arial" w:cs="Arial" w:eastAsia="Arial" w:hAnsi="Arial"/>
                <w:sz w:val="16"/>
                <w:szCs w:val="16"/>
                <w:b w:val="1"/>
                <w:bCs w:val="1"/>
                <w:color w:val="auto"/>
              </w:rPr>
              <w:t>September 30, 2018</w:t>
            </w:r>
          </w:p>
        </w:tc>
      </w:tr>
      <w:tr>
        <w:trPr>
          <w:trHeight w:val="201"/>
        </w:trPr>
        <w:tc>
          <w:tcPr>
            <w:tcW w:w="8980" w:type="dxa"/>
            <w:vAlign w:val="bottom"/>
          </w:tcPr>
          <w:p>
            <w:pPr>
              <w:spacing w:after="0"/>
              <w:rPr>
                <w:sz w:val="17"/>
                <w:szCs w:val="17"/>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7"/>
                <w:szCs w:val="17"/>
                <w:color w:val="auto"/>
              </w:rPr>
            </w:pPr>
          </w:p>
        </w:tc>
      </w:tr>
      <w:tr>
        <w:trPr>
          <w:trHeight w:val="189"/>
        </w:trPr>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mature:</w:t>
            </w: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8980" w:type="dxa"/>
            <w:vAlign w:val="bottom"/>
          </w:tcPr>
          <w:p>
            <w:pPr>
              <w:ind w:left="140"/>
              <w:spacing w:after="0"/>
              <w:rPr>
                <w:sz w:val="20"/>
                <w:szCs w:val="20"/>
                <w:color w:val="auto"/>
              </w:rPr>
            </w:pPr>
            <w:r>
              <w:rPr>
                <w:rFonts w:ascii="Arial" w:cs="Arial" w:eastAsia="Arial" w:hAnsi="Arial"/>
                <w:sz w:val="16"/>
                <w:szCs w:val="16"/>
                <w:color w:val="auto"/>
              </w:rPr>
              <w:t>One year or less</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13,432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13,423</w:t>
            </w:r>
          </w:p>
        </w:tc>
      </w:tr>
      <w:tr>
        <w:trPr>
          <w:trHeight w:val="196"/>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one year through five years</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96,945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96,322</w:t>
            </w:r>
          </w:p>
        </w:tc>
      </w:tr>
      <w:tr>
        <w:trPr>
          <w:trHeight w:val="196"/>
        </w:trPr>
        <w:tc>
          <w:tcPr>
            <w:tcW w:w="8980" w:type="dxa"/>
            <w:vAlign w:val="bottom"/>
          </w:tcPr>
          <w:p>
            <w:pPr>
              <w:ind w:left="140"/>
              <w:spacing w:after="0"/>
              <w:rPr>
                <w:sz w:val="20"/>
                <w:szCs w:val="20"/>
                <w:color w:val="auto"/>
              </w:rPr>
            </w:pPr>
            <w:r>
              <w:rPr>
                <w:rFonts w:ascii="Arial" w:cs="Arial" w:eastAsia="Arial" w:hAnsi="Arial"/>
                <w:sz w:val="16"/>
                <w:szCs w:val="16"/>
                <w:color w:val="auto"/>
              </w:rPr>
              <w:t>After five years through ten years</w:t>
            </w:r>
          </w:p>
        </w:tc>
        <w:tc>
          <w:tcPr>
            <w:tcW w:w="2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56,627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55,359</w:t>
            </w:r>
          </w:p>
        </w:tc>
      </w:tr>
      <w:tr>
        <w:trPr>
          <w:trHeight w:val="196"/>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ten years</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3,848</w:t>
            </w:r>
          </w:p>
        </w:tc>
      </w:tr>
      <w:tr>
        <w:trPr>
          <w:trHeight w:val="208"/>
        </w:trPr>
        <w:tc>
          <w:tcPr>
            <w:tcW w:w="8980" w:type="dxa"/>
            <w:vAlign w:val="bottom"/>
          </w:tcPr>
          <w:p>
            <w:pPr>
              <w:ind w:left="140"/>
              <w:spacing w:after="0"/>
              <w:rPr>
                <w:sz w:val="20"/>
                <w:szCs w:val="20"/>
                <w:color w:val="auto"/>
              </w:rPr>
            </w:pPr>
            <w:r>
              <w:rPr>
                <w:rFonts w:ascii="Arial" w:cs="Arial" w:eastAsia="Arial" w:hAnsi="Arial"/>
                <w:sz w:val="16"/>
                <w:szCs w:val="16"/>
                <w:color w:val="auto"/>
              </w:rPr>
              <w:t>Mortgage / asset-backed securities</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80,229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78,454</w:t>
            </w:r>
          </w:p>
        </w:tc>
      </w:tr>
      <w:tr>
        <w:trPr>
          <w:trHeight w:val="201"/>
        </w:trPr>
        <w:tc>
          <w:tcPr>
            <w:tcW w:w="89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fixed income securities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247,406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6"/>
          </w:tcPr>
          <w:p>
            <w:pPr>
              <w:ind w:left="200"/>
              <w:spacing w:after="0"/>
              <w:rPr>
                <w:sz w:val="20"/>
                <w:szCs w:val="20"/>
                <w:color w:val="auto"/>
              </w:rPr>
            </w:pPr>
            <w:r>
              <w:rPr>
                <w:rFonts w:ascii="Arial" w:cs="Arial" w:eastAsia="Arial" w:hAnsi="Arial"/>
                <w:sz w:val="16"/>
                <w:szCs w:val="16"/>
                <w:b w:val="1"/>
                <w:bCs w:val="1"/>
                <w:color w:val="auto"/>
              </w:rPr>
              <w:t>December 31, 2017</w:t>
            </w:r>
          </w:p>
        </w:tc>
      </w:tr>
      <w:tr>
        <w:trPr>
          <w:trHeight w:val="201"/>
        </w:trPr>
        <w:tc>
          <w:tcPr>
            <w:tcW w:w="8980" w:type="dxa"/>
            <w:vAlign w:val="bottom"/>
          </w:tcPr>
          <w:p>
            <w:pPr>
              <w:spacing w:after="0"/>
              <w:rPr>
                <w:sz w:val="17"/>
                <w:szCs w:val="17"/>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7"/>
                <w:szCs w:val="17"/>
                <w:color w:val="auto"/>
              </w:rPr>
            </w:pPr>
          </w:p>
        </w:tc>
      </w:tr>
      <w:tr>
        <w:trPr>
          <w:trHeight w:val="189"/>
        </w:trPr>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to mature:</w:t>
            </w: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8980" w:type="dxa"/>
            <w:vAlign w:val="bottom"/>
          </w:tcPr>
          <w:p>
            <w:pPr>
              <w:ind w:left="140"/>
              <w:spacing w:after="0"/>
              <w:rPr>
                <w:sz w:val="20"/>
                <w:szCs w:val="20"/>
                <w:color w:val="auto"/>
              </w:rPr>
            </w:pPr>
            <w:r>
              <w:rPr>
                <w:rFonts w:ascii="Arial" w:cs="Arial" w:eastAsia="Arial" w:hAnsi="Arial"/>
                <w:sz w:val="16"/>
                <w:szCs w:val="16"/>
                <w:color w:val="auto"/>
              </w:rPr>
              <w:t>One year or less</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12,761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12,766</w:t>
            </w:r>
          </w:p>
        </w:tc>
      </w:tr>
      <w:tr>
        <w:trPr>
          <w:trHeight w:val="196"/>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one year through five years</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87,642</w:t>
            </w:r>
          </w:p>
        </w:tc>
      </w:tr>
      <w:tr>
        <w:trPr>
          <w:trHeight w:val="196"/>
        </w:trPr>
        <w:tc>
          <w:tcPr>
            <w:tcW w:w="8980" w:type="dxa"/>
            <w:vAlign w:val="bottom"/>
          </w:tcPr>
          <w:p>
            <w:pPr>
              <w:ind w:left="140"/>
              <w:spacing w:after="0"/>
              <w:rPr>
                <w:sz w:val="20"/>
                <w:szCs w:val="20"/>
                <w:color w:val="auto"/>
              </w:rPr>
            </w:pPr>
            <w:r>
              <w:rPr>
                <w:rFonts w:ascii="Arial" w:cs="Arial" w:eastAsia="Arial" w:hAnsi="Arial"/>
                <w:sz w:val="16"/>
                <w:szCs w:val="16"/>
                <w:color w:val="auto"/>
              </w:rPr>
              <w:t>After five years through ten years</w:t>
            </w:r>
          </w:p>
        </w:tc>
        <w:tc>
          <w:tcPr>
            <w:tcW w:w="3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69,586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70,680</w:t>
            </w:r>
          </w:p>
        </w:tc>
      </w:tr>
      <w:tr>
        <w:trPr>
          <w:trHeight w:val="196"/>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After ten years</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10,607</w:t>
            </w:r>
          </w:p>
        </w:tc>
      </w:tr>
      <w:tr>
        <w:trPr>
          <w:trHeight w:val="208"/>
        </w:trPr>
        <w:tc>
          <w:tcPr>
            <w:tcW w:w="8980" w:type="dxa"/>
            <w:vAlign w:val="bottom"/>
          </w:tcPr>
          <w:p>
            <w:pPr>
              <w:ind w:left="140"/>
              <w:spacing w:after="0"/>
              <w:rPr>
                <w:sz w:val="20"/>
                <w:szCs w:val="20"/>
                <w:color w:val="auto"/>
              </w:rPr>
            </w:pPr>
            <w:r>
              <w:rPr>
                <w:rFonts w:ascii="Arial" w:cs="Arial" w:eastAsia="Arial" w:hAnsi="Arial"/>
                <w:sz w:val="16"/>
                <w:szCs w:val="16"/>
                <w:color w:val="auto"/>
              </w:rPr>
              <w:t>Mortgage / asset-backed securities</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55,232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55,063</w:t>
            </w:r>
          </w:p>
        </w:tc>
      </w:tr>
      <w:tr>
        <w:trPr>
          <w:trHeight w:val="201"/>
        </w:trPr>
        <w:tc>
          <w:tcPr>
            <w:tcW w:w="89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fixed income securities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234,978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236,758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2" w:lineRule="exact"/>
        <w:rPr>
          <w:sz w:val="20"/>
          <w:szCs w:val="20"/>
          <w:color w:val="auto"/>
        </w:rPr>
      </w:pPr>
    </w:p>
    <w:p>
      <w:pPr>
        <w:ind w:left="20" w:right="160" w:firstLine="576"/>
        <w:spacing w:after="0" w:line="322" w:lineRule="auto"/>
        <w:rPr>
          <w:sz w:val="20"/>
          <w:szCs w:val="20"/>
          <w:color w:val="auto"/>
        </w:rPr>
      </w:pPr>
      <w:r>
        <w:rPr>
          <w:rFonts w:ascii="Arial" w:cs="Arial" w:eastAsia="Arial" w:hAnsi="Arial"/>
          <w:sz w:val="15"/>
          <w:szCs w:val="15"/>
          <w:color w:val="auto"/>
        </w:rPr>
        <w:t>Fixed income securities with a fair value of $4,861 at September 30, 2018 and $3,493 at December 31, 2017, were deposited with various state regulatory agencies as required by law. The increase was primarily due to the Direct Auto acquisition. The Company has not pledged any assets to secure any obligations.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21" w:name="page22"/>
    <w:bookmarkEnd w:id="21"/>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investment category and duration of the Company’s gross unrealized losses on fixed income securities and equity securities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638"/>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498"/>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6"/>
                <w:szCs w:val="16"/>
                <w:b w:val="1"/>
                <w:bCs w:val="1"/>
                <w:color w:val="auto"/>
              </w:rPr>
              <w:t>Greater than 12 months</w:t>
            </w:r>
          </w:p>
        </w:tc>
        <w:tc>
          <w:tcPr>
            <w:tcW w:w="2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2"/>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46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18"/>
              <w:spacing w:after="0" w:line="172" w:lineRule="exact"/>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58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38"/>
              <w:spacing w:after="0" w:line="172"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78"/>
              <w:spacing w:after="0" w:line="172"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4"/>
                <w:szCs w:val="14"/>
                <w:color w:val="auto"/>
              </w:rPr>
            </w:pPr>
          </w:p>
        </w:tc>
      </w:tr>
      <w:tr>
        <w:trPr>
          <w:trHeight w:val="212"/>
        </w:trPr>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8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14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83"/>
              </w:rPr>
              <w:t>Losses</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83"/>
              </w:rPr>
              <w:t>Losses</w:t>
            </w:r>
          </w:p>
        </w:tc>
      </w:tr>
      <w:tr>
        <w:trPr>
          <w:trHeight w:val="18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U.S. Government and agencies</w:t>
            </w:r>
          </w:p>
        </w:tc>
        <w:tc>
          <w:tcPr>
            <w:tcW w:w="62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12,433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3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2,321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(108)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14,754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(304)</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Obligations of states and political subdivisions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23,395</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7,155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(289)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Corporate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63,676</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12,724</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(279)</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76,400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(1,565)</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 securities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30,864</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12,339</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(606)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43,203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(382)</w:t>
            </w:r>
          </w:p>
        </w:tc>
      </w:tr>
      <w:tr>
        <w:trPr>
          <w:trHeight w:val="209"/>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6,153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9,073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189"/>
        </w:trPr>
        <w:tc>
          <w:tcPr>
            <w:tcW w:w="36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income securities</w:t>
            </w:r>
          </w:p>
        </w:tc>
        <w:tc>
          <w:tcPr>
            <w:tcW w:w="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147,801</w:t>
            </w: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46,368</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194,169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3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Equity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materials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(204)</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cyclical</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Consumer, non-cyclical</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Financial</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(107)</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Industrial</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8"/>
        </w:trPr>
        <w:tc>
          <w:tcPr>
            <w:tcW w:w="36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2,449</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(200)</w:t>
            </w:r>
          </w:p>
        </w:tc>
      </w:tr>
      <w:tr>
        <w:trPr>
          <w:trHeight w:val="189"/>
        </w:trPr>
        <w:tc>
          <w:tcPr>
            <w:tcW w:w="3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equity securities</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13,525</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13,834</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0"/>
        </w:trPr>
        <w:tc>
          <w:tcPr>
            <w:tcW w:w="3600" w:type="dxa"/>
            <w:vAlign w:val="bottom"/>
          </w:tcPr>
          <w:p>
            <w:pPr>
              <w:ind w:left="280"/>
              <w:spacing w:after="0"/>
              <w:rPr>
                <w:sz w:val="20"/>
                <w:szCs w:val="20"/>
                <w:color w:val="auto"/>
              </w:rPr>
            </w:pPr>
            <w:r>
              <w:rPr>
                <w:rFonts w:ascii="Arial" w:cs="Arial" w:eastAsia="Arial" w:hAnsi="Arial"/>
                <w:sz w:val="16"/>
                <w:szCs w:val="16"/>
                <w:color w:val="auto"/>
              </w:rPr>
              <w:t>Total investments</w:t>
            </w:r>
          </w:p>
        </w:tc>
        <w:tc>
          <w:tcPr>
            <w:tcW w:w="40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161,326</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46,677</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58"/>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3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498"/>
              <w:spacing w:after="0"/>
              <w:rPr>
                <w:sz w:val="20"/>
                <w:szCs w:val="20"/>
                <w:color w:val="auto"/>
              </w:rPr>
            </w:pPr>
            <w:r>
              <w:rPr>
                <w:rFonts w:ascii="Arial" w:cs="Arial" w:eastAsia="Arial" w:hAnsi="Arial"/>
                <w:sz w:val="16"/>
                <w:szCs w:val="16"/>
                <w:b w:val="1"/>
                <w:bCs w:val="1"/>
                <w:color w:val="auto"/>
              </w:rPr>
              <w:t>Less than 12 Months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6"/>
                <w:szCs w:val="16"/>
                <w:b w:val="1"/>
                <w:bCs w:val="1"/>
                <w:color w:val="auto"/>
              </w:rPr>
              <w:t>Greater than 12 months</w:t>
            </w:r>
          </w:p>
        </w:tc>
        <w:tc>
          <w:tcPr>
            <w:tcW w:w="200" w:type="dxa"/>
            <w:vAlign w:val="bottom"/>
          </w:tcPr>
          <w:p>
            <w:pPr>
              <w:spacing w:after="0"/>
              <w:rPr>
                <w:sz w:val="17"/>
                <w:szCs w:val="17"/>
                <w:color w:val="auto"/>
              </w:rPr>
            </w:pPr>
          </w:p>
        </w:tc>
        <w:tc>
          <w:tcPr>
            <w:tcW w:w="1140" w:type="dxa"/>
            <w:vAlign w:val="bottom"/>
            <w:gridSpan w:val="4"/>
          </w:tcPr>
          <w:p>
            <w:pPr>
              <w:jc w:val="right"/>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2"/>
        </w:trPr>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center"/>
              <w:ind w:right="46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18"/>
              <w:spacing w:after="0" w:line="172" w:lineRule="exact"/>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58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320"/>
              <w:spacing w:after="0" w:line="172" w:lineRule="exact"/>
              <w:rPr>
                <w:sz w:val="20"/>
                <w:szCs w:val="20"/>
                <w:color w:val="auto"/>
              </w:rPr>
            </w:pPr>
            <w:r>
              <w:rPr>
                <w:rFonts w:ascii="Arial" w:cs="Arial" w:eastAsia="Arial" w:hAnsi="Arial"/>
                <w:sz w:val="16"/>
                <w:szCs w:val="16"/>
                <w:b w:val="1"/>
                <w:bCs w:val="1"/>
                <w:color w:val="auto"/>
              </w:rPr>
              <w:t>Fair</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4"/>
                <w:szCs w:val="14"/>
                <w:color w:val="auto"/>
              </w:rPr>
            </w:pPr>
          </w:p>
        </w:tc>
      </w:tr>
      <w:tr>
        <w:trPr>
          <w:trHeight w:val="212"/>
        </w:trPr>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8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14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83"/>
              </w:rPr>
              <w:t>Losses</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83"/>
              </w:rPr>
              <w:t>Losses</w:t>
            </w:r>
          </w:p>
        </w:tc>
      </w:tr>
      <w:tr>
        <w:trPr>
          <w:trHeight w:val="18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U.S. Government and agencies</w:t>
            </w:r>
          </w:p>
        </w:tc>
        <w:tc>
          <w:tcPr>
            <w:tcW w:w="620" w:type="dxa"/>
            <w:vAlign w:val="bottom"/>
            <w:gridSpan w:val="2"/>
          </w:tcPr>
          <w:p>
            <w:pPr>
              <w:jc w:val="right"/>
              <w:ind w:right="3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6,442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30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6,939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Obligations of states and political subdivisions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28,219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31,812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Corporate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39,025</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40,220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(220)</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 securities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7,573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4,652</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w:t>
            </w:r>
          </w:p>
        </w:tc>
      </w:tr>
      <w:tr>
        <w:trPr>
          <w:trHeight w:val="209"/>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13,386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89"/>
        </w:trPr>
        <w:tc>
          <w:tcPr>
            <w:tcW w:w="36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income securities</w:t>
            </w:r>
          </w:p>
        </w:tc>
        <w:tc>
          <w:tcPr>
            <w:tcW w:w="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99,297</w:t>
            </w: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14,957</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114,254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3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600" w:type="dxa"/>
            <w:vAlign w:val="bottom"/>
          </w:tcPr>
          <w:p>
            <w:pPr>
              <w:spacing w:after="0"/>
              <w:rPr>
                <w:sz w:val="20"/>
                <w:szCs w:val="20"/>
                <w:color w:val="auto"/>
              </w:rPr>
            </w:pPr>
            <w:r>
              <w:rPr>
                <w:rFonts w:ascii="Arial" w:cs="Arial" w:eastAsia="Arial" w:hAnsi="Arial"/>
                <w:sz w:val="16"/>
                <w:szCs w:val="16"/>
                <w:color w:val="auto"/>
              </w:rPr>
              <w:t>Equity securities: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Communications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Consumer, cyclical</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(120)</w:t>
            </w:r>
          </w:p>
        </w:tc>
      </w:tr>
      <w:tr>
        <w:trPr>
          <w:trHeight w:val="196"/>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non-cyclical</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196"/>
        </w:trPr>
        <w:tc>
          <w:tcPr>
            <w:tcW w:w="3600" w:type="dxa"/>
            <w:vAlign w:val="bottom"/>
          </w:tcPr>
          <w:p>
            <w:pPr>
              <w:ind w:left="140"/>
              <w:spacing w:after="0"/>
              <w:rPr>
                <w:sz w:val="20"/>
                <w:szCs w:val="20"/>
                <w:color w:val="auto"/>
              </w:rPr>
            </w:pPr>
            <w:r>
              <w:rPr>
                <w:rFonts w:ascii="Arial" w:cs="Arial" w:eastAsia="Arial" w:hAnsi="Arial"/>
                <w:sz w:val="16"/>
                <w:szCs w:val="16"/>
                <w:color w:val="auto"/>
              </w:rPr>
              <w:t>Energy</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09"/>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189"/>
        </w:trPr>
        <w:tc>
          <w:tcPr>
            <w:tcW w:w="36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equity securities</w:t>
            </w:r>
          </w:p>
        </w:tc>
        <w:tc>
          <w:tcPr>
            <w:tcW w:w="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4,982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3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investments</w:t>
            </w:r>
          </w:p>
        </w:tc>
        <w:tc>
          <w:tcPr>
            <w:tcW w:w="4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103,806</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15,430</w:t>
            </w: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598"/>
        </w:trPr>
        <w:tc>
          <w:tcPr>
            <w:tcW w:w="3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sectPr>
      </w:pPr>
    </w:p>
    <w:bookmarkStart w:id="22" w:name="page23"/>
    <w:bookmarkEnd w:id="22"/>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22" w:right="80" w:firstLine="576"/>
        <w:spacing w:after="0" w:line="286" w:lineRule="auto"/>
        <w:rPr>
          <w:sz w:val="20"/>
          <w:szCs w:val="20"/>
          <w:color w:val="auto"/>
        </w:rPr>
      </w:pPr>
      <w:r>
        <w:rPr>
          <w:rFonts w:ascii="Arial" w:cs="Arial" w:eastAsia="Arial" w:hAnsi="Arial"/>
          <w:sz w:val="16"/>
          <w:szCs w:val="16"/>
          <w:color w:val="auto"/>
        </w:rPr>
        <w:t>Investments with unrealized losses are categorized with a duration of greater than 12 months when all positions of a security have continually been in a loss position for at least 12 months.</w:t>
      </w:r>
    </w:p>
    <w:p>
      <w:pPr>
        <w:spacing w:after="0" w:line="52" w:lineRule="exact"/>
        <w:rPr>
          <w:sz w:val="20"/>
          <w:szCs w:val="20"/>
          <w:color w:val="auto"/>
        </w:rPr>
      </w:pPr>
    </w:p>
    <w:p>
      <w:pPr>
        <w:ind w:left="22" w:right="20" w:firstLine="576"/>
        <w:spacing w:after="0" w:line="285" w:lineRule="auto"/>
        <w:rPr>
          <w:sz w:val="20"/>
          <w:szCs w:val="20"/>
          <w:color w:val="auto"/>
        </w:rPr>
      </w:pPr>
      <w:r>
        <w:rPr>
          <w:rFonts w:ascii="Arial" w:cs="Arial" w:eastAsia="Arial" w:hAnsi="Arial"/>
          <w:sz w:val="15"/>
          <w:szCs w:val="15"/>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55" w:lineRule="exact"/>
        <w:rPr>
          <w:sz w:val="20"/>
          <w:szCs w:val="20"/>
          <w:color w:val="auto"/>
        </w:rPr>
      </w:pPr>
    </w:p>
    <w:p>
      <w:pPr>
        <w:ind w:left="22" w:right="160" w:firstLine="576"/>
        <w:spacing w:after="0" w:line="286" w:lineRule="auto"/>
        <w:rPr>
          <w:sz w:val="20"/>
          <w:szCs w:val="20"/>
          <w:color w:val="auto"/>
        </w:rPr>
      </w:pPr>
      <w:r>
        <w:rPr>
          <w:rFonts w:ascii="Arial" w:cs="Arial" w:eastAsia="Arial" w:hAnsi="Arial"/>
          <w:sz w:val="16"/>
          <w:szCs w:val="16"/>
          <w:color w:val="auto"/>
        </w:rPr>
        <w:t>The Company recorded impairments of $382 during the three and nine months ended September 30, 2018. The Company recorded impairments of $124 during the three months ended September 30, 2017 and impairments of $330 during the nine months ended September 30, 2017.</w:t>
      </w:r>
    </w:p>
    <w:p>
      <w:pPr>
        <w:spacing w:after="0" w:line="52" w:lineRule="exact"/>
        <w:rPr>
          <w:sz w:val="20"/>
          <w:szCs w:val="20"/>
          <w:color w:val="auto"/>
        </w:rPr>
      </w:pPr>
    </w:p>
    <w:p>
      <w:pPr>
        <w:ind w:left="22" w:right="120" w:firstLine="576"/>
        <w:spacing w:after="0" w:line="266" w:lineRule="auto"/>
        <w:rPr>
          <w:sz w:val="20"/>
          <w:szCs w:val="20"/>
          <w:color w:val="auto"/>
        </w:rPr>
      </w:pPr>
      <w:r>
        <w:rPr>
          <w:rFonts w:ascii="Arial" w:cs="Arial" w:eastAsia="Arial" w:hAnsi="Arial"/>
          <w:sz w:val="16"/>
          <w:szCs w:val="16"/>
          <w:color w:val="auto"/>
        </w:rPr>
        <w:t>As of September 30, 2018, we held 348 fixed income securities with unrealized losses. As of December 31, 2017, we held 196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67"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060" w:type="dxa"/>
            <w:vAlign w:val="bottom"/>
          </w:tcPr>
          <w:p>
            <w:pPr>
              <w:ind w:left="580"/>
              <w:spacing w:after="0"/>
              <w:rPr>
                <w:sz w:val="20"/>
                <w:szCs w:val="20"/>
                <w:color w:val="auto"/>
              </w:rPr>
            </w:pPr>
            <w:r>
              <w:rPr>
                <w:rFonts w:ascii="Arial" w:cs="Arial" w:eastAsia="Arial" w:hAnsi="Arial"/>
                <w:sz w:val="16"/>
                <w:szCs w:val="16"/>
                <w:color w:val="auto"/>
              </w:rPr>
              <w:t>Net investment income consisted of the following:</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07"/>
        </w:trPr>
        <w:tc>
          <w:tcPr>
            <w:tcW w:w="5060" w:type="dxa"/>
            <w:vAlign w:val="bottom"/>
          </w:tcPr>
          <w:p>
            <w:pPr>
              <w:spacing w:after="0"/>
              <w:rPr>
                <w:sz w:val="24"/>
                <w:szCs w:val="24"/>
                <w:color w:val="auto"/>
              </w:rPr>
            </w:pPr>
          </w:p>
        </w:tc>
        <w:tc>
          <w:tcPr>
            <w:tcW w:w="3880" w:type="dxa"/>
            <w:vAlign w:val="bottom"/>
            <w:gridSpan w:val="8"/>
          </w:tcPr>
          <w:p>
            <w:pPr>
              <w:ind w:left="1160"/>
              <w:spacing w:after="0"/>
              <w:rPr>
                <w:sz w:val="20"/>
                <w:szCs w:val="20"/>
                <w:color w:val="auto"/>
              </w:rPr>
            </w:pPr>
            <w:r>
              <w:rPr>
                <w:rFonts w:ascii="Arial" w:cs="Arial" w:eastAsia="Arial" w:hAnsi="Arial"/>
                <w:sz w:val="16"/>
                <w:szCs w:val="16"/>
                <w:b w:val="1"/>
                <w:bCs w:val="1"/>
                <w:color w:val="auto"/>
                <w:w w:val="99"/>
              </w:rPr>
              <w:t>Three Months Ended September 30,</w:t>
            </w:r>
          </w:p>
        </w:tc>
        <w:tc>
          <w:tcPr>
            <w:tcW w:w="2480" w:type="dxa"/>
            <w:vAlign w:val="bottom"/>
            <w:gridSpan w:val="7"/>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50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1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w:t>
            </w:r>
          </w:p>
        </w:tc>
        <w:tc>
          <w:tcPr>
            <w:tcW w:w="100" w:type="dxa"/>
            <w:vAlign w:val="bottom"/>
            <w:shd w:val="clear" w:color="auto" w:fill="CCEEFF"/>
          </w:tcPr>
          <w:p>
            <w:pPr>
              <w:spacing w:after="0"/>
              <w:rPr>
                <w:sz w:val="16"/>
                <w:szCs w:val="16"/>
                <w:color w:val="auto"/>
              </w:rPr>
            </w:pPr>
          </w:p>
        </w:tc>
      </w:tr>
      <w:tr>
        <w:trPr>
          <w:trHeight w:val="196"/>
        </w:trPr>
        <w:tc>
          <w:tcPr>
            <w:tcW w:w="5060" w:type="dxa"/>
            <w:vAlign w:val="bottom"/>
          </w:tcPr>
          <w:p>
            <w:pPr>
              <w:spacing w:after="0"/>
              <w:rPr>
                <w:sz w:val="20"/>
                <w:szCs w:val="20"/>
                <w:color w:val="auto"/>
              </w:rPr>
            </w:pPr>
            <w:r>
              <w:rPr>
                <w:rFonts w:ascii="Arial" w:cs="Arial" w:eastAsia="Arial" w:hAnsi="Arial"/>
                <w:sz w:val="16"/>
                <w:szCs w:val="16"/>
                <w:color w:val="auto"/>
              </w:rPr>
              <w:t>Equity securities</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244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242</w:t>
            </w: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Real estate</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w:t>
            </w:r>
          </w:p>
        </w:tc>
      </w:tr>
      <w:tr>
        <w:trPr>
          <w:trHeight w:val="208"/>
        </w:trPr>
        <w:tc>
          <w:tcPr>
            <w:tcW w:w="50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r>
      <w:tr>
        <w:trPr>
          <w:trHeight w:val="189"/>
        </w:trPr>
        <w:tc>
          <w:tcPr>
            <w:tcW w:w="50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gross investment income</w:t>
            </w:r>
          </w:p>
        </w:tc>
        <w:tc>
          <w:tcPr>
            <w:tcW w:w="1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2,166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5060" w:type="dxa"/>
            <w:vAlign w:val="bottom"/>
          </w:tcPr>
          <w:p>
            <w:pPr>
              <w:spacing w:after="0"/>
              <w:rPr>
                <w:sz w:val="20"/>
                <w:szCs w:val="20"/>
                <w:color w:val="auto"/>
              </w:rPr>
            </w:pPr>
            <w:r>
              <w:rPr>
                <w:rFonts w:ascii="Arial" w:cs="Arial" w:eastAsia="Arial" w:hAnsi="Arial"/>
                <w:sz w:val="16"/>
                <w:szCs w:val="16"/>
                <w:color w:val="auto"/>
              </w:rPr>
              <w:t>Investment expenses</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537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473</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1,634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1,462</w:t>
            </w:r>
          </w:p>
        </w:tc>
      </w:tr>
      <w:tr>
        <w:trPr>
          <w:trHeight w:val="201"/>
        </w:trPr>
        <w:tc>
          <w:tcPr>
            <w:tcW w:w="50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investment income</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2"/>
          </w:cols>
          <w:pgMar w:left="238" w:top="218" w:right="239" w:bottom="1440" w:gutter="0" w:footer="0" w:header="0"/>
        </w:sectPr>
      </w:pPr>
    </w:p>
    <w:p>
      <w:pPr>
        <w:spacing w:after="0" w:line="82" w:lineRule="exact"/>
        <w:rPr>
          <w:sz w:val="20"/>
          <w:szCs w:val="20"/>
          <w:color w:val="auto"/>
        </w:rPr>
      </w:pPr>
    </w:p>
    <w:p>
      <w:pPr>
        <w:jc w:val="right"/>
        <w:ind w:right="500"/>
        <w:spacing w:after="0"/>
        <w:rPr>
          <w:sz w:val="20"/>
          <w:szCs w:val="20"/>
          <w:color w:val="auto"/>
        </w:rPr>
      </w:pPr>
      <w:r>
        <w:rPr>
          <w:rFonts w:ascii="Arial" w:cs="Arial" w:eastAsia="Arial" w:hAnsi="Arial"/>
          <w:sz w:val="16"/>
          <w:szCs w:val="16"/>
          <w:color w:val="auto"/>
        </w:rPr>
        <w:t>Net realized capital gain on investments consisted of the following:</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Arial" w:cs="Arial" w:eastAsia="Arial" w:hAnsi="Arial"/>
          <w:sz w:val="16"/>
          <w:szCs w:val="16"/>
          <w:color w:val="auto"/>
        </w:rPr>
        <w:t>Gross realized gains</w:t>
      </w:r>
    </w:p>
    <w:p>
      <w:pPr>
        <w:spacing w:after="0" w:line="24" w:lineRule="exact"/>
        <w:rPr>
          <w:sz w:val="20"/>
          <w:szCs w:val="20"/>
          <w:color w:val="auto"/>
        </w:rPr>
      </w:pPr>
    </w:p>
    <w:p>
      <w:pPr>
        <w:ind w:left="2" w:right="740"/>
        <w:spacing w:after="0" w:line="256" w:lineRule="auto"/>
        <w:rPr>
          <w:sz w:val="20"/>
          <w:szCs w:val="20"/>
          <w:color w:val="auto"/>
        </w:rPr>
      </w:pPr>
      <w:r>
        <w:rPr>
          <w:rFonts w:ascii="Arial" w:cs="Arial" w:eastAsia="Arial" w:hAnsi="Arial"/>
          <w:sz w:val="16"/>
          <w:szCs w:val="16"/>
          <w:color w:val="auto"/>
        </w:rPr>
        <w:t>Gross realized losses, excluding other-than-temporary impairment losses Other-than-temporary impairment losses</w:t>
      </w:r>
    </w:p>
    <w:p>
      <w:pPr>
        <w:spacing w:after="0" w:line="1" w:lineRule="exact"/>
        <w:rPr>
          <w:sz w:val="20"/>
          <w:szCs w:val="20"/>
          <w:color w:val="auto"/>
        </w:rPr>
      </w:pPr>
    </w:p>
    <w:p>
      <w:pPr>
        <w:ind w:left="282"/>
        <w:spacing w:after="0"/>
        <w:rPr>
          <w:sz w:val="20"/>
          <w:szCs w:val="20"/>
          <w:color w:val="auto"/>
        </w:rPr>
      </w:pPr>
      <w:r>
        <w:rPr>
          <w:rFonts w:ascii="Arial" w:cs="Arial" w:eastAsia="Arial" w:hAnsi="Arial"/>
          <w:sz w:val="16"/>
          <w:szCs w:val="16"/>
          <w:color w:val="auto"/>
        </w:rPr>
        <w:t>Net realized capital gain on investments</w:t>
      </w:r>
    </w:p>
    <w:p>
      <w:pPr>
        <w:spacing w:after="0" w:line="200" w:lineRule="exact"/>
        <w:rPr>
          <w:sz w:val="20"/>
          <w:szCs w:val="20"/>
          <w:color w:val="auto"/>
        </w:rPr>
      </w:pPr>
    </w:p>
    <w:p>
      <w:pPr>
        <w:spacing w:after="0" w:line="262" w:lineRule="exact"/>
        <w:rPr>
          <w:sz w:val="20"/>
          <w:szCs w:val="20"/>
          <w:color w:val="auto"/>
        </w:rPr>
      </w:pPr>
    </w:p>
    <w:p>
      <w:pPr>
        <w:ind w:left="582" w:hanging="582"/>
        <w:spacing w:after="0"/>
        <w:tabs>
          <w:tab w:leader="none" w:pos="58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20" w:type="dxa"/>
            <w:vAlign w:val="bottom"/>
            <w:gridSpan w:val="7"/>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2440" w:type="dxa"/>
            <w:vAlign w:val="bottom"/>
            <w:gridSpan w:val="8"/>
          </w:tcPr>
          <w:p>
            <w:pP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3,973</w:t>
            </w:r>
          </w:p>
        </w:tc>
        <w:tc>
          <w:tcPr>
            <w:tcW w:w="26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2,104</w:t>
            </w:r>
          </w:p>
        </w:tc>
        <w:tc>
          <w:tcPr>
            <w:tcW w:w="2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5,168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3,284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(114)</w:t>
            </w: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(382)</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(382)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(330)</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2,840</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-552450</wp:posOffset>
            </wp:positionV>
            <wp:extent cx="7259320" cy="132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320" cy="132715"/>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-295275</wp:posOffset>
            </wp:positionV>
            <wp:extent cx="7259320" cy="132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5502" w:space="720"/>
            <w:col w:w="5200"/>
          </w:cols>
          <w:pgMar w:left="238" w:top="218" w:right="239" w:bottom="1440" w:gutter="0" w:footer="0" w:header="0"/>
          <w:type w:val="continuous"/>
        </w:sectPr>
      </w:pPr>
    </w:p>
    <w:p>
      <w:pPr>
        <w:ind w:left="22" w:right="200" w:firstLine="576"/>
        <w:spacing w:after="0" w:line="322" w:lineRule="auto"/>
        <w:rPr>
          <w:sz w:val="20"/>
          <w:szCs w:val="20"/>
          <w:color w:val="auto"/>
        </w:rPr>
      </w:pPr>
      <w:r>
        <w:rPr>
          <w:rFonts w:ascii="Arial" w:cs="Arial" w:eastAsia="Arial" w:hAnsi="Arial"/>
          <w:sz w:val="15"/>
          <w:szCs w:val="15"/>
          <w:color w:val="auto"/>
        </w:rPr>
        <w:t>We maximize the use of observable inputs in our valuation techniques and apply unobservable inputs only to the extent that observable inputs are unavailable. The largest class of assets and liabilities carried at fair value by the Company at September 30, 2018 and December 31, 2017 were fixed income securities.</w:t>
      </w:r>
    </w:p>
    <w:p>
      <w:pPr>
        <w:spacing w:after="0" w:line="28" w:lineRule="exact"/>
        <w:rPr>
          <w:sz w:val="20"/>
          <w:szCs w:val="20"/>
          <w:color w:val="auto"/>
        </w:rPr>
      </w:pPr>
    </w:p>
    <w:p>
      <w:pPr>
        <w:ind w:left="582"/>
        <w:spacing w:after="0"/>
        <w:rPr>
          <w:sz w:val="20"/>
          <w:szCs w:val="20"/>
          <w:color w:val="auto"/>
        </w:rPr>
      </w:pPr>
      <w:r>
        <w:rPr>
          <w:rFonts w:ascii="Arial" w:cs="Arial" w:eastAsia="Arial" w:hAnsi="Arial"/>
          <w:sz w:val="16"/>
          <w:szCs w:val="16"/>
          <w:color w:val="auto"/>
        </w:rPr>
        <w:t>Prices provided by independent pricing services and independent broker quotes can vary widely, even for the same security.</w:t>
      </w:r>
    </w:p>
    <w:p>
      <w:pPr>
        <w:spacing w:after="0" w:line="110" w:lineRule="exact"/>
        <w:rPr>
          <w:sz w:val="20"/>
          <w:szCs w:val="20"/>
          <w:color w:val="auto"/>
        </w:rPr>
      </w:pPr>
    </w:p>
    <w:p>
      <w:pPr>
        <w:ind w:left="22" w:right="60" w:firstLine="576"/>
        <w:spacing w:after="0" w:line="263" w:lineRule="auto"/>
        <w:rPr>
          <w:sz w:val="20"/>
          <w:szCs w:val="20"/>
          <w:color w:val="auto"/>
        </w:rPr>
      </w:pPr>
      <w:r>
        <w:rPr>
          <w:rFonts w:ascii="Arial" w:cs="Arial" w:eastAsia="Arial" w:hAnsi="Arial"/>
          <w:sz w:val="16"/>
          <w:szCs w:val="16"/>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September 30, 2018 or December 31, 2017.</w:t>
      </w:r>
    </w:p>
    <w:p>
      <w:pPr>
        <w:spacing w:after="0" w:line="16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type w:val="continuous"/>
        </w:sectPr>
      </w:pPr>
    </w:p>
    <w:bookmarkStart w:id="23" w:name="page24"/>
    <w:bookmarkEnd w:id="2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following tables set forth our assets which are measured on a recurring basis by the level within the fair value hierarchy in which fair value measurements fall: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6"/>
                <w:szCs w:val="16"/>
                <w:b w:val="1"/>
                <w:bCs w:val="1"/>
                <w:color w:val="auto"/>
              </w:rPr>
              <w:t>September 30, 2018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I</w:t>
            </w:r>
          </w:p>
        </w:tc>
        <w:tc>
          <w:tcPr>
            <w:tcW w:w="16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Level II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Arial" w:cs="Arial" w:eastAsia="Arial" w:hAnsi="Arial"/>
                <w:sz w:val="16"/>
                <w:szCs w:val="16"/>
                <w:b w:val="1"/>
                <w:bCs w:val="1"/>
                <w:color w:val="auto"/>
              </w:rPr>
              <w:t>Level III</w:t>
            </w:r>
          </w:p>
        </w:tc>
        <w:tc>
          <w:tcPr>
            <w:tcW w:w="100" w:type="dxa"/>
            <w:vAlign w:val="bottom"/>
            <w:gridSpan w:val="2"/>
          </w:tcPr>
          <w:p>
            <w:pPr>
              <w:spacing w:after="0"/>
              <w:rPr>
                <w:sz w:val="17"/>
                <w:szCs w:val="17"/>
                <w:color w:val="auto"/>
              </w:rPr>
            </w:pPr>
          </w:p>
        </w:tc>
      </w:tr>
      <w:tr>
        <w:trPr>
          <w:trHeight w:val="18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U.S. Government and agencies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18,768</w:t>
            </w:r>
          </w:p>
        </w:tc>
        <w:tc>
          <w:tcPr>
            <w:tcW w:w="30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18,768</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Obligations of states and political subdivisions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51,178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Corporate securities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99,006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99,006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 mortgage-backed securities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44,687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14,036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14,036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20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fixed income securities</w:t>
            </w: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247,406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247,406</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gridSpan w:val="2"/>
          </w:tcPr>
          <w:p>
            <w:pPr>
              <w:spacing w:after="0"/>
              <w:rPr>
                <w:sz w:val="16"/>
                <w:szCs w:val="16"/>
                <w:color w:val="auto"/>
              </w:rPr>
            </w:pPr>
          </w:p>
        </w:tc>
      </w:tr>
      <w:tr>
        <w:trPr>
          <w:trHeight w:val="189"/>
        </w:trPr>
        <w:tc>
          <w:tcPr>
            <w:tcW w:w="6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520" w:type="dxa"/>
            <w:vAlign w:val="bottom"/>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materials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6,892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6,892</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cyclical</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9,355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Consumer, non-cyclical</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14,830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14,830</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Energy</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40"/>
              <w:spacing w:after="0"/>
              <w:rPr>
                <w:sz w:val="20"/>
                <w:szCs w:val="20"/>
                <w:color w:val="auto"/>
              </w:rPr>
            </w:pPr>
            <w:r>
              <w:rPr>
                <w:rFonts w:ascii="Arial" w:cs="Arial" w:eastAsia="Arial" w:hAnsi="Arial"/>
                <w:sz w:val="16"/>
                <w:szCs w:val="16"/>
                <w:color w:val="auto"/>
              </w:rPr>
              <w:t>Financial</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4,656</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Industrial</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8,360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8,360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8"/>
        </w:trPr>
        <w:tc>
          <w:tcPr>
            <w:tcW w:w="652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11,990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11,990</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gridSpan w:val="2"/>
            <w:shd w:val="clear" w:color="auto" w:fill="CCEEFF"/>
          </w:tcPr>
          <w:p>
            <w:pPr>
              <w:spacing w:after="0"/>
              <w:rPr>
                <w:sz w:val="16"/>
                <w:szCs w:val="16"/>
                <w:color w:val="auto"/>
              </w:rPr>
            </w:pPr>
          </w:p>
        </w:tc>
      </w:tr>
      <w:tr>
        <w:trPr>
          <w:trHeight w:val="189"/>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51,660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51,660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0"/>
        </w:trPr>
        <w:tc>
          <w:tcPr>
            <w:tcW w:w="6520" w:type="dxa"/>
            <w:vAlign w:val="bottom"/>
          </w:tcPr>
          <w:p>
            <w:pPr>
              <w:ind w:left="30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358,791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111,385</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247,406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gridSpan w:val="2"/>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I</w:t>
            </w:r>
          </w:p>
        </w:tc>
        <w:tc>
          <w:tcPr>
            <w:tcW w:w="16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Level II</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ind w:left="60"/>
              <w:spacing w:after="0"/>
              <w:rPr>
                <w:sz w:val="20"/>
                <w:szCs w:val="20"/>
                <w:color w:val="auto"/>
              </w:rPr>
            </w:pPr>
            <w:r>
              <w:rPr>
                <w:rFonts w:ascii="Arial" w:cs="Arial" w:eastAsia="Arial" w:hAnsi="Arial"/>
                <w:sz w:val="16"/>
                <w:szCs w:val="16"/>
                <w:b w:val="1"/>
                <w:bCs w:val="1"/>
                <w:color w:val="auto"/>
              </w:rPr>
              <w:t>Level III</w:t>
            </w:r>
          </w:p>
        </w:tc>
        <w:tc>
          <w:tcPr>
            <w:tcW w:w="100" w:type="dxa"/>
            <w:vAlign w:val="bottom"/>
            <w:gridSpan w:val="2"/>
          </w:tcPr>
          <w:p>
            <w:pPr>
              <w:spacing w:after="0"/>
              <w:rPr>
                <w:sz w:val="17"/>
                <w:szCs w:val="17"/>
                <w:color w:val="auto"/>
              </w:rPr>
            </w:pPr>
          </w:p>
        </w:tc>
      </w:tr>
      <w:tr>
        <w:trPr>
          <w:trHeight w:val="189"/>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9,649</w:t>
            </w:r>
          </w:p>
        </w:tc>
        <w:tc>
          <w:tcPr>
            <w:tcW w:w="30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9,649</w:t>
            </w:r>
          </w:p>
        </w:tc>
        <w:tc>
          <w:tcPr>
            <w:tcW w:w="22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Obligations of states and political subdivisions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82,595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82,595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Corporate securities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89,451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89,451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28,524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Commercial mortgage-backed securities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11,170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11,170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209"/>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fixed income securities</w:t>
            </w: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236,758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236,758</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gridSpan w:val="2"/>
          </w:tcPr>
          <w:p>
            <w:pPr>
              <w:spacing w:after="0"/>
              <w:rPr>
                <w:sz w:val="16"/>
                <w:szCs w:val="16"/>
                <w:color w:val="auto"/>
              </w:rPr>
            </w:pPr>
          </w:p>
        </w:tc>
      </w:tr>
      <w:tr>
        <w:trPr>
          <w:trHeight w:val="189"/>
        </w:trPr>
        <w:tc>
          <w:tcPr>
            <w:tcW w:w="6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520" w:type="dxa"/>
            <w:vAlign w:val="bottom"/>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materials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892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Communications</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4,322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4,322</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Consumer, cyclical</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9,339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Consumer, non-cyclical</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10,905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10,905</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Energy</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tcPr>
          <w:p>
            <w:pPr>
              <w:ind w:left="180"/>
              <w:spacing w:after="0"/>
              <w:rPr>
                <w:sz w:val="20"/>
                <w:szCs w:val="20"/>
                <w:color w:val="auto"/>
              </w:rPr>
            </w:pPr>
            <w:r>
              <w:rPr>
                <w:rFonts w:ascii="Arial" w:cs="Arial" w:eastAsia="Arial" w:hAnsi="Arial"/>
                <w:sz w:val="16"/>
                <w:szCs w:val="16"/>
                <w:color w:val="auto"/>
              </w:rPr>
              <w:t>Financial</w:t>
            </w:r>
          </w:p>
        </w:tc>
        <w:tc>
          <w:tcPr>
            <w:tcW w:w="2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2,417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2,417</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96"/>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Industrial</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9,205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8"/>
        </w:trPr>
        <w:tc>
          <w:tcPr>
            <w:tcW w:w="652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8,250</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47,561</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gridSpan w:val="2"/>
            <w:shd w:val="clear" w:color="auto" w:fill="CCEEFF"/>
          </w:tcPr>
          <w:p>
            <w:pPr>
              <w:spacing w:after="0"/>
              <w:rPr>
                <w:sz w:val="16"/>
                <w:szCs w:val="16"/>
                <w:color w:val="auto"/>
              </w:rPr>
            </w:pPr>
          </w:p>
        </w:tc>
      </w:tr>
      <w:tr>
        <w:trPr>
          <w:trHeight w:val="189"/>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27,594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r>
      <w:tr>
        <w:trPr>
          <w:trHeight w:val="200"/>
        </w:trPr>
        <w:tc>
          <w:tcPr>
            <w:tcW w:w="6520" w:type="dxa"/>
            <w:vAlign w:val="bottom"/>
          </w:tcPr>
          <w:p>
            <w:pPr>
              <w:ind w:left="34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311,913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75,155</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236,758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w w:val="87"/>
              </w:rPr>
              <w:t>—</w:t>
            </w:r>
          </w:p>
        </w:tc>
        <w:tc>
          <w:tcPr>
            <w:tcW w:w="100" w:type="dxa"/>
            <w:vAlign w:val="bottom"/>
            <w:gridSpan w:val="2"/>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 were no liabilities measured at fair value on a recurring basis at September 30, 2018 or December 31, 2017.</w:t>
      </w: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24" w:name="page25"/>
    <w:bookmarkEnd w:id="24"/>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89" w:lineRule="exact"/>
        <w:rPr>
          <w:sz w:val="20"/>
          <w:szCs w:val="20"/>
          <w:color w:val="auto"/>
        </w:rPr>
      </w:pPr>
    </w:p>
    <w:p>
      <w:pPr>
        <w:ind w:left="582" w:hanging="582"/>
        <w:spacing w:after="0"/>
        <w:tabs>
          <w:tab w:leader="none" w:pos="582"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Reinsurance</w:t>
      </w:r>
    </w:p>
    <w:p>
      <w:pPr>
        <w:spacing w:after="0" w:line="213" w:lineRule="exact"/>
        <w:rPr>
          <w:sz w:val="20"/>
          <w:szCs w:val="20"/>
          <w:color w:val="auto"/>
        </w:rPr>
      </w:pPr>
    </w:p>
    <w:p>
      <w:pPr>
        <w:ind w:left="22" w:right="560" w:firstLine="576"/>
        <w:spacing w:after="0" w:line="271"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64" w:lineRule="exact"/>
        <w:rPr>
          <w:sz w:val="20"/>
          <w:szCs w:val="20"/>
          <w:color w:val="auto"/>
        </w:rPr>
      </w:pPr>
    </w:p>
    <w:p>
      <w:pPr>
        <w:ind w:left="22" w:right="240" w:firstLine="576"/>
        <w:spacing w:after="0" w:line="297" w:lineRule="auto"/>
        <w:rPr>
          <w:sz w:val="20"/>
          <w:szCs w:val="20"/>
          <w:color w:val="auto"/>
        </w:rPr>
      </w:pPr>
      <w:r>
        <w:rPr>
          <w:rFonts w:ascii="Arial" w:cs="Arial" w:eastAsia="Arial" w:hAnsi="Arial"/>
          <w:sz w:val="15"/>
          <w:szCs w:val="15"/>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47" w:lineRule="exact"/>
        <w:rPr>
          <w:sz w:val="20"/>
          <w:szCs w:val="20"/>
          <w:color w:val="auto"/>
        </w:rPr>
      </w:pPr>
    </w:p>
    <w:p>
      <w:pPr>
        <w:ind w:left="22" w:right="240" w:firstLine="576"/>
        <w:spacing w:after="0" w:line="322" w:lineRule="auto"/>
        <w:rPr>
          <w:sz w:val="20"/>
          <w:szCs w:val="20"/>
          <w:color w:val="auto"/>
        </w:rPr>
      </w:pPr>
      <w:r>
        <w:rPr>
          <w:rFonts w:ascii="Arial" w:cs="Arial" w:eastAsia="Arial" w:hAnsi="Arial"/>
          <w:sz w:val="15"/>
          <w:szCs w:val="15"/>
          <w:color w:val="auto"/>
        </w:rPr>
        <w:t>As a group, during the nine months ended September 30, 2018, the Company retained the first $10,000 of weather-related losses from catastrophic events and had reinsurance under various reinsurance agreements up to $74,600 in excess of its $10,000 retained risk. These reinsurance risk limits are unchanged from 2017.</w:t>
      </w:r>
    </w:p>
    <w:p>
      <w:pPr>
        <w:spacing w:after="0" w:line="28" w:lineRule="exact"/>
        <w:rPr>
          <w:sz w:val="20"/>
          <w:szCs w:val="20"/>
          <w:color w:val="auto"/>
        </w:rPr>
      </w:pPr>
    </w:p>
    <w:p>
      <w:pPr>
        <w:ind w:left="22" w:firstLine="576"/>
        <w:spacing w:after="0" w:line="285" w:lineRule="auto"/>
        <w:rPr>
          <w:sz w:val="20"/>
          <w:szCs w:val="20"/>
          <w:color w:val="auto"/>
        </w:rPr>
      </w:pPr>
      <w:r>
        <w:rPr>
          <w:rFonts w:ascii="Arial" w:cs="Arial" w:eastAsia="Arial" w:hAnsi="Arial"/>
          <w:sz w:val="15"/>
          <w:szCs w:val="15"/>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55" w:lineRule="exact"/>
        <w:rPr>
          <w:sz w:val="20"/>
          <w:szCs w:val="20"/>
          <w:color w:val="auto"/>
        </w:rPr>
      </w:pPr>
    </w:p>
    <w:p>
      <w:pPr>
        <w:ind w:left="582"/>
        <w:spacing w:after="0"/>
        <w:rPr>
          <w:sz w:val="20"/>
          <w:szCs w:val="20"/>
          <w:color w:val="auto"/>
        </w:rPr>
      </w:pPr>
      <w:r>
        <w:rPr>
          <w:rFonts w:ascii="Arial" w:cs="Arial" w:eastAsia="Arial" w:hAnsi="Arial"/>
          <w:sz w:val="16"/>
          <w:szCs w:val="16"/>
          <w:color w:val="auto"/>
        </w:rPr>
        <w:t>A reconciliation of direct to net premiums on both a written and an earned basis is as follows:</w:t>
      </w:r>
    </w:p>
    <w:p>
      <w:pPr>
        <w:spacing w:after="0" w:line="11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3700" w:type="dxa"/>
            <w:vAlign w:val="bottom"/>
            <w:gridSpan w:val="7"/>
          </w:tcPr>
          <w:p>
            <w:pPr>
              <w:ind w:left="600"/>
              <w:spacing w:after="0"/>
              <w:rPr>
                <w:sz w:val="20"/>
                <w:szCs w:val="20"/>
                <w:color w:val="auto"/>
              </w:rPr>
            </w:pPr>
            <w:r>
              <w:rPr>
                <w:rFonts w:ascii="Arial" w:cs="Arial" w:eastAsia="Arial" w:hAnsi="Arial"/>
                <w:sz w:val="16"/>
                <w:szCs w:val="16"/>
                <w:b w:val="1"/>
                <w:bCs w:val="1"/>
                <w:color w:val="auto"/>
                <w:w w:val="98"/>
              </w:rPr>
              <w:t>Three Months Ended September 30, 2018</w:t>
            </w:r>
          </w:p>
        </w:tc>
        <w:tc>
          <w:tcPr>
            <w:tcW w:w="298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Nine Months Ended September 30, 2018</w:t>
            </w:r>
          </w:p>
        </w:tc>
      </w:tr>
      <w:tr>
        <w:trPr>
          <w:trHeight w:val="201"/>
        </w:trPr>
        <w:tc>
          <w:tcPr>
            <w:tcW w:w="4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Premiums Written</w:t>
            </w: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Premiums Earned</w:t>
            </w:r>
          </w:p>
        </w:tc>
        <w:tc>
          <w:tcPr>
            <w:tcW w:w="240" w:type="dxa"/>
            <w:vAlign w:val="bottom"/>
          </w:tcPr>
          <w:p>
            <w:pPr>
              <w:spacing w:after="0"/>
              <w:rPr>
                <w:sz w:val="17"/>
                <w:szCs w:val="17"/>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Premiums Written</w:t>
            </w: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1"/>
              </w:rPr>
              <w:t>Premiums Earned</w:t>
            </w:r>
          </w:p>
        </w:tc>
        <w:tc>
          <w:tcPr>
            <w:tcW w:w="140" w:type="dxa"/>
            <w:vAlign w:val="bottom"/>
            <w:gridSpan w:val="2"/>
          </w:tcPr>
          <w:p>
            <w:pPr>
              <w:spacing w:after="0"/>
              <w:rPr>
                <w:sz w:val="17"/>
                <w:szCs w:val="17"/>
                <w:color w:val="auto"/>
              </w:rPr>
            </w:pPr>
          </w:p>
        </w:tc>
      </w:tr>
      <w:tr>
        <w:trPr>
          <w:trHeight w:val="18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w:t>
            </w: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46,220</w:t>
            </w:r>
          </w:p>
        </w:tc>
        <w:tc>
          <w:tcPr>
            <w:tcW w:w="2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63,737</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174,074</w:t>
            </w: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154,916</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6"/>
        </w:trPr>
        <w:tc>
          <w:tcPr>
            <w:tcW w:w="4740" w:type="dxa"/>
            <w:vAlign w:val="bottom"/>
          </w:tcPr>
          <w:p>
            <w:pPr>
              <w:spacing w:after="0"/>
              <w:rPr>
                <w:sz w:val="20"/>
                <w:szCs w:val="20"/>
                <w:color w:val="auto"/>
              </w:rPr>
            </w:pPr>
            <w:r>
              <w:rPr>
                <w:rFonts w:ascii="Arial" w:cs="Arial" w:eastAsia="Arial" w:hAnsi="Arial"/>
                <w:sz w:val="16"/>
                <w:szCs w:val="16"/>
                <w:color w:val="auto"/>
              </w:rPr>
              <w:t>Assumed premium</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974</w:t>
            </w:r>
          </w:p>
        </w:tc>
        <w:tc>
          <w:tcPr>
            <w:tcW w:w="42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1,084</w:t>
            </w:r>
          </w:p>
        </w:tc>
        <w:tc>
          <w:tcPr>
            <w:tcW w:w="44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5,506</w:t>
            </w:r>
          </w:p>
        </w:tc>
        <w:tc>
          <w:tcPr>
            <w:tcW w:w="4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17"/>
                <w:szCs w:val="17"/>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Ceded premium</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(10,685)</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(10,685)</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(19,563)</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(19,563)</w:t>
            </w:r>
          </w:p>
        </w:tc>
      </w:tr>
      <w:tr>
        <w:trPr>
          <w:trHeight w:val="240"/>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premiums</w:t>
            </w:r>
          </w:p>
        </w:tc>
        <w:tc>
          <w:tcPr>
            <w:tcW w:w="6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36,509</w:t>
            </w:r>
          </w:p>
        </w:tc>
        <w:tc>
          <w:tcPr>
            <w:tcW w:w="28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54,136</w:t>
            </w:r>
          </w:p>
        </w:tc>
        <w:tc>
          <w:tcPr>
            <w:tcW w:w="2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160,017</w:t>
            </w:r>
          </w:p>
        </w:tc>
        <w:tc>
          <w:tcPr>
            <w:tcW w:w="2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140,925</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r>
      <w:tr>
        <w:trPr>
          <w:trHeight w:val="173"/>
        </w:trPr>
        <w:tc>
          <w:tcPr>
            <w:tcW w:w="47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6"/>
                <w:szCs w:val="16"/>
                <w:color w:val="auto"/>
              </w:rPr>
              <w:t>Percentage of assumed earned premium to net earned premium</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5140" w:type="dxa"/>
            <w:vAlign w:val="bottom"/>
            <w:gridSpan w:val="7"/>
          </w:tcPr>
          <w:p>
            <w:pPr>
              <w:ind w:left="2040"/>
              <w:spacing w:after="0"/>
              <w:rPr>
                <w:sz w:val="20"/>
                <w:szCs w:val="20"/>
                <w:color w:val="auto"/>
              </w:rPr>
            </w:pPr>
            <w:r>
              <w:rPr>
                <w:rFonts w:ascii="Arial" w:cs="Arial" w:eastAsia="Arial" w:hAnsi="Arial"/>
                <w:sz w:val="16"/>
                <w:szCs w:val="16"/>
                <w:b w:val="1"/>
                <w:bCs w:val="1"/>
                <w:color w:val="auto"/>
                <w:w w:val="98"/>
              </w:rPr>
              <w:t>Three Months Ended September 30, 2017</w:t>
            </w:r>
          </w:p>
        </w:tc>
        <w:tc>
          <w:tcPr>
            <w:tcW w:w="298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Nine Months Ended September 30, 2017</w:t>
            </w:r>
          </w:p>
        </w:tc>
      </w:tr>
      <w:tr>
        <w:trPr>
          <w:trHeight w:val="201"/>
        </w:trPr>
        <w:tc>
          <w:tcPr>
            <w:tcW w:w="3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Premiums Written</w:t>
            </w: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2"/>
              </w:rPr>
              <w:t>Premiums Earned</w:t>
            </w:r>
          </w:p>
        </w:tc>
        <w:tc>
          <w:tcPr>
            <w:tcW w:w="240" w:type="dxa"/>
            <w:vAlign w:val="bottom"/>
          </w:tcPr>
          <w:p>
            <w:pPr>
              <w:spacing w:after="0"/>
              <w:rPr>
                <w:sz w:val="17"/>
                <w:szCs w:val="17"/>
                <w:color w:val="auto"/>
              </w:rPr>
            </w:pPr>
          </w:p>
        </w:tc>
        <w:tc>
          <w:tcPr>
            <w:tcW w:w="158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Premiums Written</w:t>
            </w: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91"/>
              </w:rPr>
              <w:t>Premiums Earned</w:t>
            </w:r>
          </w:p>
        </w:tc>
        <w:tc>
          <w:tcPr>
            <w:tcW w:w="140" w:type="dxa"/>
            <w:vAlign w:val="bottom"/>
          </w:tcPr>
          <w:p>
            <w:pPr>
              <w:spacing w:after="0"/>
              <w:rPr>
                <w:sz w:val="17"/>
                <w:szCs w:val="17"/>
                <w:color w:val="auto"/>
              </w:rPr>
            </w:pPr>
          </w:p>
        </w:tc>
      </w:tr>
      <w:tr>
        <w:trPr>
          <w:trHeight w:val="18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w:t>
            </w:r>
          </w:p>
        </w:tc>
        <w:tc>
          <w:tcPr>
            <w:tcW w:w="20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39,005</w:t>
            </w: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57,979</w:t>
            </w: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159,056</w:t>
            </w: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140,659</w:t>
            </w: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3300" w:type="dxa"/>
            <w:vAlign w:val="bottom"/>
          </w:tcPr>
          <w:p>
            <w:pPr>
              <w:spacing w:after="0"/>
              <w:rPr>
                <w:sz w:val="20"/>
                <w:szCs w:val="20"/>
                <w:color w:val="auto"/>
              </w:rPr>
            </w:pPr>
            <w:r>
              <w:rPr>
                <w:rFonts w:ascii="Arial" w:cs="Arial" w:eastAsia="Arial" w:hAnsi="Arial"/>
                <w:sz w:val="16"/>
                <w:szCs w:val="16"/>
                <w:color w:val="auto"/>
              </w:rPr>
              <w:t>Assumed premium</w:t>
            </w: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1,112</w:t>
            </w:r>
          </w:p>
        </w:tc>
        <w:tc>
          <w:tcPr>
            <w:tcW w:w="46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1,190</w:t>
            </w:r>
          </w:p>
        </w:tc>
        <w:tc>
          <w:tcPr>
            <w:tcW w:w="44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5,703</w:t>
            </w:r>
          </w:p>
        </w:tc>
        <w:tc>
          <w:tcPr>
            <w:tcW w:w="4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5,729</w:t>
            </w: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Ceded premium</w:t>
            </w:r>
          </w:p>
        </w:tc>
        <w:tc>
          <w:tcPr>
            <w:tcW w:w="2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(3,970)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(6,644)</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(15,401)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(15,401)</w:t>
            </w:r>
          </w:p>
        </w:tc>
      </w:tr>
      <w:tr>
        <w:trPr>
          <w:trHeight w:val="240"/>
        </w:trPr>
        <w:tc>
          <w:tcPr>
            <w:tcW w:w="3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premiums</w:t>
            </w:r>
          </w:p>
        </w:tc>
        <w:tc>
          <w:tcPr>
            <w:tcW w:w="204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36,147</w:t>
            </w:r>
          </w:p>
        </w:tc>
        <w:tc>
          <w:tcPr>
            <w:tcW w:w="28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52,525</w:t>
            </w:r>
          </w:p>
        </w:tc>
        <w:tc>
          <w:tcPr>
            <w:tcW w:w="2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149,358</w:t>
            </w:r>
          </w:p>
        </w:tc>
        <w:tc>
          <w:tcPr>
            <w:tcW w:w="2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130,987</w:t>
            </w:r>
          </w:p>
        </w:tc>
        <w:tc>
          <w:tcPr>
            <w:tcW w:w="140" w:type="dxa"/>
            <w:vAlign w:val="bottom"/>
            <w:tcBorders>
              <w:bottom w:val="single" w:sz="8" w:color="CCEEFF"/>
            </w:tcBorders>
          </w:tcPr>
          <w:p>
            <w:pPr>
              <w:spacing w:after="0"/>
              <w:rPr>
                <w:sz w:val="20"/>
                <w:szCs w:val="20"/>
                <w:color w:val="auto"/>
              </w:rPr>
            </w:pPr>
          </w:p>
        </w:tc>
      </w:tr>
      <w:tr>
        <w:trPr>
          <w:trHeight w:val="173"/>
        </w:trPr>
        <w:tc>
          <w:tcPr>
            <w:tcW w:w="3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422"/>
          </w:cols>
          <w:pgMar w:left="238" w:top="218" w:right="239" w:bottom="1440" w:gutter="0" w:footer="0" w:header="0"/>
        </w:sectPr>
      </w:pPr>
    </w:p>
    <w:p>
      <w:pPr>
        <w:ind w:left="2"/>
        <w:spacing w:after="0"/>
        <w:rPr>
          <w:sz w:val="20"/>
          <w:szCs w:val="20"/>
          <w:color w:val="auto"/>
        </w:rPr>
      </w:pPr>
      <w:r>
        <w:rPr>
          <w:rFonts w:ascii="Arial" w:cs="Arial" w:eastAsia="Arial" w:hAnsi="Arial"/>
          <w:sz w:val="16"/>
          <w:szCs w:val="16"/>
          <w:color w:val="auto"/>
        </w:rPr>
        <w:t>Percentage of assumed earned premium to net earned premium</w:t>
      </w:r>
    </w:p>
    <w:p>
      <w:pPr>
        <w:spacing w:after="0" w:line="159" w:lineRule="exact"/>
        <w:rPr>
          <w:sz w:val="20"/>
          <w:szCs w:val="20"/>
          <w:color w:val="auto"/>
        </w:rPr>
      </w:pPr>
    </w:p>
    <w:p>
      <w:pPr>
        <w:ind w:left="582"/>
        <w:spacing w:after="0"/>
        <w:rPr>
          <w:sz w:val="20"/>
          <w:szCs w:val="20"/>
          <w:color w:val="auto"/>
        </w:rPr>
      </w:pPr>
      <w:r>
        <w:rPr>
          <w:rFonts w:ascii="Arial" w:cs="Arial" w:eastAsia="Arial" w:hAnsi="Arial"/>
          <w:sz w:val="14"/>
          <w:szCs w:val="14"/>
          <w:color w:val="auto"/>
        </w:rPr>
        <w:t>A reconciliation of direct to net losses and loss adjustment expenses is as follows:</w:t>
      </w:r>
    </w:p>
    <w:p>
      <w:pPr>
        <w:spacing w:after="0" w:line="200" w:lineRule="exact"/>
        <w:rPr>
          <w:sz w:val="20"/>
          <w:szCs w:val="20"/>
          <w:color w:val="auto"/>
        </w:rPr>
      </w:pPr>
    </w:p>
    <w:p>
      <w:pPr>
        <w:spacing w:after="0" w:line="375" w:lineRule="exact"/>
        <w:rPr>
          <w:sz w:val="20"/>
          <w:szCs w:val="20"/>
          <w:color w:val="auto"/>
        </w:rPr>
      </w:pPr>
    </w:p>
    <w:p>
      <w:pPr>
        <w:ind w:left="2"/>
        <w:spacing w:after="0"/>
        <w:rPr>
          <w:sz w:val="20"/>
          <w:szCs w:val="20"/>
          <w:color w:val="auto"/>
        </w:rPr>
      </w:pPr>
      <w:r>
        <w:rPr>
          <w:rFonts w:ascii="Arial" w:cs="Arial" w:eastAsia="Arial" w:hAnsi="Arial"/>
          <w:sz w:val="16"/>
          <w:szCs w:val="16"/>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132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2"/>
        <w:spacing w:after="0"/>
        <w:rPr>
          <w:sz w:val="20"/>
          <w:szCs w:val="20"/>
          <w:color w:val="auto"/>
        </w:rPr>
      </w:pPr>
      <w:r>
        <w:rPr>
          <w:rFonts w:ascii="Arial" w:cs="Arial" w:eastAsia="Arial" w:hAnsi="Arial"/>
          <w:sz w:val="16"/>
          <w:szCs w:val="16"/>
          <w:color w:val="auto"/>
        </w:rPr>
        <w:t>Assumed losses and loss adjustment expenses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Ceded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ind w:left="242"/>
        <w:spacing w:after="0"/>
        <w:rPr>
          <w:sz w:val="20"/>
          <w:szCs w:val="20"/>
          <w:color w:val="auto"/>
        </w:rPr>
      </w:pPr>
      <w:r>
        <w:rPr>
          <w:rFonts w:ascii="Arial" w:cs="Arial" w:eastAsia="Arial" w:hAnsi="Arial"/>
          <w:sz w:val="16"/>
          <w:szCs w:val="16"/>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5"/>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8"/>
        </w:trPr>
        <w:tc>
          <w:tcPr>
            <w:tcW w:w="2720" w:type="dxa"/>
            <w:vAlign w:val="bottom"/>
            <w:gridSpan w:val="9"/>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2480" w:type="dxa"/>
            <w:vAlign w:val="bottom"/>
            <w:gridSpan w:val="10"/>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39,219</w:t>
            </w:r>
          </w:p>
        </w:tc>
        <w:tc>
          <w:tcPr>
            <w:tcW w:w="26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48,295</w:t>
            </w:r>
          </w:p>
        </w:tc>
        <w:tc>
          <w:tcPr>
            <w:tcW w:w="2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98,977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104,030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6"/>
                <w:szCs w:val="16"/>
                <w:color w:val="auto"/>
              </w:rPr>
              <w:t>827</w:t>
            </w:r>
          </w:p>
        </w:tc>
        <w:tc>
          <w:tcPr>
            <w:tcW w:w="240" w:type="dxa"/>
            <w:vAlign w:val="bottom"/>
          </w:tcPr>
          <w:p>
            <w:pPr>
              <w:spacing w:after="0"/>
              <w:rPr>
                <w:sz w:val="17"/>
                <w:szCs w:val="17"/>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6"/>
                <w:szCs w:val="16"/>
                <w:color w:val="auto"/>
              </w:rPr>
              <w:t>2,699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1,903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6"/>
                <w:szCs w:val="16"/>
                <w:color w:val="auto"/>
              </w:rPr>
              <w:t>5,312</w:t>
            </w:r>
          </w:p>
        </w:tc>
        <w:tc>
          <w:tcPr>
            <w:tcW w:w="8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(2,590)</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(1,395)</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(3,854)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6"/>
                <w:szCs w:val="16"/>
                <w:color w:val="auto"/>
              </w:rPr>
              <w:t>(5,792)</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37,456</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49,599</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97,026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103,550</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2">
            <w:col w:w="5942" w:space="280"/>
            <w:col w:w="5200"/>
          </w:cols>
          <w:pgMar w:left="238" w:top="218" w:right="239" w:bottom="1440" w:gutter="0" w:footer="0" w:header="0"/>
          <w:type w:val="continuous"/>
        </w:sectPr>
      </w:pPr>
    </w:p>
    <w:p>
      <w:pPr>
        <w:ind w:left="582"/>
        <w:spacing w:after="0"/>
        <w:rPr>
          <w:sz w:val="20"/>
          <w:szCs w:val="20"/>
          <w:color w:val="auto"/>
        </w:rPr>
      </w:pPr>
      <w:r>
        <w:rPr>
          <w:rFonts w:ascii="Arial" w:cs="Arial" w:eastAsia="Arial" w:hAnsi="Arial"/>
          <w:sz w:val="14"/>
          <w:szCs w:val="14"/>
          <w:color w:val="auto"/>
        </w:rPr>
        <w:t>If 100% of our ceded reinsurance was cancelled as of September 30, 2018 or December 31, 2017, no ceded commissions would need to be returned to the reinsurers.</w:t>
      </w:r>
    </w:p>
    <w:p>
      <w:pPr>
        <w:spacing w:after="0" w:line="47" w:lineRule="exact"/>
        <w:rPr>
          <w:sz w:val="20"/>
          <w:szCs w:val="20"/>
          <w:color w:val="auto"/>
        </w:rPr>
      </w:pPr>
    </w:p>
    <w:p>
      <w:pPr>
        <w:ind w:left="22"/>
        <w:spacing w:after="0"/>
        <w:rPr>
          <w:sz w:val="20"/>
          <w:szCs w:val="20"/>
          <w:color w:val="auto"/>
        </w:rPr>
      </w:pPr>
      <w:r>
        <w:rPr>
          <w:rFonts w:ascii="Arial" w:cs="Arial" w:eastAsia="Arial" w:hAnsi="Arial"/>
          <w:sz w:val="16"/>
          <w:szCs w:val="16"/>
          <w:color w:val="auto"/>
        </w:rPr>
        <w:t>Reinsurance contracts are typically effective from January 1 through December 31 each year.</w:t>
      </w:r>
    </w:p>
    <w:p>
      <w:pPr>
        <w:spacing w:after="0" w:line="197"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type w:val="continuous"/>
        </w:sectPr>
      </w:pPr>
    </w:p>
    <w:bookmarkStart w:id="25" w:name="page26"/>
    <w:bookmarkEnd w:id="25"/>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35" w:lineRule="exact"/>
        <w:rPr>
          <w:sz w:val="20"/>
          <w:szCs w:val="20"/>
          <w:color w:val="auto"/>
        </w:rPr>
      </w:pPr>
    </w:p>
    <w:p>
      <w:pPr>
        <w:ind w:left="3722"/>
        <w:spacing w:after="0"/>
        <w:rPr>
          <w:sz w:val="20"/>
          <w:szCs w:val="20"/>
          <w:color w:val="auto"/>
        </w:rPr>
      </w:pPr>
      <w:r>
        <w:rPr>
          <w:rFonts w:ascii="Arial" w:cs="Arial" w:eastAsia="Arial" w:hAnsi="Arial"/>
          <w:sz w:val="14"/>
          <w:szCs w:val="14"/>
          <w:b w:val="1"/>
          <w:bCs w:val="1"/>
          <w:color w:val="auto"/>
        </w:rPr>
        <w:t>(dollar amounts in thousands, except per share amounts)</w:t>
      </w:r>
    </w:p>
    <w:p>
      <w:pPr>
        <w:spacing w:after="0" w:line="216" w:lineRule="exact"/>
        <w:rPr>
          <w:sz w:val="20"/>
          <w:szCs w:val="20"/>
          <w:color w:val="auto"/>
        </w:rPr>
      </w:pPr>
    </w:p>
    <w:p>
      <w:pPr>
        <w:ind w:left="582" w:hanging="582"/>
        <w:spacing w:after="0"/>
        <w:tabs>
          <w:tab w:leader="none" w:pos="58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Deferred Policy Acquisition Costs</w:t>
      </w:r>
    </w:p>
    <w:p>
      <w:pPr>
        <w:sectPr>
          <w:pgSz w:w="11900" w:h="16838" w:orient="portrait"/>
          <w:cols w:equalWidth="0" w:num="1">
            <w:col w:w="11422"/>
          </w:cols>
          <w:pgMar w:left="238" w:top="218" w:right="239" w:bottom="1440" w:gutter="0" w:footer="0" w:header="0"/>
        </w:sectPr>
      </w:pPr>
    </w:p>
    <w:p>
      <w:pPr>
        <w:spacing w:after="0" w:line="114" w:lineRule="exact"/>
        <w:rPr>
          <w:sz w:val="20"/>
          <w:szCs w:val="20"/>
          <w:color w:val="auto"/>
        </w:rPr>
      </w:pPr>
    </w:p>
    <w:p>
      <w:pPr>
        <w:jc w:val="center"/>
        <w:ind w:left="582"/>
        <w:spacing w:after="0"/>
        <w:rPr>
          <w:sz w:val="20"/>
          <w:szCs w:val="20"/>
          <w:color w:val="auto"/>
        </w:rPr>
      </w:pPr>
      <w:r>
        <w:rPr>
          <w:rFonts w:ascii="Arial" w:cs="Arial" w:eastAsia="Arial" w:hAnsi="Arial"/>
          <w:sz w:val="15"/>
          <w:szCs w:val="15"/>
          <w:color w:val="auto"/>
        </w:rPr>
        <w:t>Activity with regards to our deferred policy acquisition costs was as follows:</w:t>
      </w:r>
    </w:p>
    <w:p>
      <w:pPr>
        <w:spacing w:after="0" w:line="200" w:lineRule="exact"/>
        <w:rPr>
          <w:sz w:val="20"/>
          <w:szCs w:val="20"/>
          <w:color w:val="auto"/>
        </w:rPr>
      </w:pPr>
    </w:p>
    <w:p>
      <w:pPr>
        <w:spacing w:after="0" w:line="363"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132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2"/>
        <w:spacing w:after="0"/>
        <w:rPr>
          <w:sz w:val="20"/>
          <w:szCs w:val="20"/>
          <w:color w:val="auto"/>
        </w:rPr>
      </w:pPr>
      <w:r>
        <w:rPr>
          <w:rFonts w:ascii="Arial" w:cs="Arial" w:eastAsia="Arial" w:hAnsi="Arial"/>
          <w:sz w:val="16"/>
          <w:szCs w:val="16"/>
          <w:color w:val="auto"/>
        </w:rPr>
        <w:t>Deferral of policy acquisition costs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Amortization of 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ind w:left="122"/>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20" w:type="dxa"/>
            <w:vAlign w:val="bottom"/>
            <w:gridSpan w:val="7"/>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2440" w:type="dxa"/>
            <w:vAlign w:val="bottom"/>
            <w:gridSpan w:val="8"/>
          </w:tcPr>
          <w:p>
            <w:pPr>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12,190</w:t>
            </w:r>
          </w:p>
        </w:tc>
        <w:tc>
          <w:tcPr>
            <w:tcW w:w="26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76" w:lineRule="exact"/>
              <w:rPr>
                <w:sz w:val="20"/>
                <w:szCs w:val="20"/>
                <w:color w:val="auto"/>
              </w:rPr>
            </w:pPr>
            <w:r>
              <w:rPr>
                <w:rFonts w:ascii="Arial" w:cs="Arial" w:eastAsia="Arial" w:hAnsi="Arial"/>
                <w:sz w:val="16"/>
                <w:szCs w:val="16"/>
                <w:color w:val="auto"/>
              </w:rPr>
              <w:t>14,126</w:t>
            </w:r>
          </w:p>
        </w:tc>
        <w:tc>
          <w:tcPr>
            <w:tcW w:w="220" w:type="dxa"/>
            <w:vAlign w:val="bottom"/>
          </w:tcPr>
          <w:p>
            <w:pPr>
              <w:spacing w:after="0"/>
              <w:rPr>
                <w:sz w:val="15"/>
                <w:szCs w:val="15"/>
                <w:color w:val="auto"/>
              </w:rPr>
            </w:pPr>
          </w:p>
        </w:tc>
        <w:tc>
          <w:tcPr>
            <w:tcW w:w="220" w:type="dxa"/>
            <w:vAlign w:val="bottom"/>
          </w:tcPr>
          <w:p>
            <w:pPr>
              <w:spacing w:after="0" w:line="176"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8,859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76" w:lineRule="exact"/>
              <w:rPr>
                <w:sz w:val="20"/>
                <w:szCs w:val="20"/>
                <w:color w:val="auto"/>
              </w:rPr>
            </w:pPr>
            <w:r>
              <w:rPr>
                <w:rFonts w:ascii="Arial" w:cs="Arial" w:eastAsia="Arial" w:hAnsi="Arial"/>
                <w:sz w:val="16"/>
                <w:szCs w:val="16"/>
                <w:color w:val="auto"/>
              </w:rPr>
              <w:t>8,942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10,554</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7,419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29,542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23,913</w:t>
            </w: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(10,951)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(9,792)</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(26,608)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(21,102)</w:t>
            </w:r>
          </w:p>
        </w:tc>
      </w:tr>
      <w:tr>
        <w:trPr>
          <w:trHeight w:val="201"/>
        </w:trPr>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11,793</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11,753</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2" w:space="600"/>
            <w:col w:w="5200"/>
          </w:cols>
          <w:pgMar w:left="238" w:top="218" w:right="239" w:bottom="1440" w:gutter="0" w:footer="0" w:header="0"/>
          <w:type w:val="continuous"/>
        </w:sectPr>
      </w:pPr>
    </w:p>
    <w:p>
      <w:pPr>
        <w:spacing w:after="0" w:line="176" w:lineRule="exact"/>
        <w:rPr>
          <w:sz w:val="20"/>
          <w:szCs w:val="20"/>
          <w:color w:val="auto"/>
        </w:rPr>
      </w:pPr>
    </w:p>
    <w:p>
      <w:pPr>
        <w:ind w:left="582" w:hanging="582"/>
        <w:spacing w:after="0"/>
        <w:tabs>
          <w:tab w:leader="none" w:pos="58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Unpaid Losses and Loss Adjustment Expenses</w:t>
      </w:r>
    </w:p>
    <w:p>
      <w:pPr>
        <w:spacing w:after="0" w:line="114"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Activity in the liability for unpaid losses and loss adjustment expenses is summarized as follows:</w:t>
      </w:r>
    </w:p>
    <w:p>
      <w:pPr>
        <w:spacing w:after="0" w:line="106"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Nine Months Ended September</w:t>
      </w:r>
    </w:p>
    <w:p>
      <w:pPr>
        <w:spacing w:after="0" w:line="51" w:lineRule="exact"/>
        <w:rPr>
          <w:sz w:val="20"/>
          <w:szCs w:val="20"/>
          <w:color w:val="auto"/>
        </w:rPr>
      </w:pPr>
    </w:p>
    <w:p>
      <w:pPr>
        <w:jc w:val="center"/>
        <w:ind w:left="8940"/>
        <w:spacing w:after="0"/>
        <w:rPr>
          <w:sz w:val="20"/>
          <w:szCs w:val="20"/>
          <w:color w:val="auto"/>
        </w:rPr>
      </w:pPr>
      <w:r>
        <w:rPr>
          <w:rFonts w:ascii="Arial" w:cs="Arial" w:eastAsia="Arial" w:hAnsi="Arial"/>
          <w:sz w:val="16"/>
          <w:szCs w:val="16"/>
          <w:b w:val="1"/>
          <w:bCs w:val="1"/>
          <w:color w:val="auto"/>
        </w:rPr>
        <w:t>30,</w:t>
      </w:r>
    </w:p>
    <w:p>
      <w:pPr>
        <w:sectPr>
          <w:pgSz w:w="11900" w:h="16838" w:orient="portrait"/>
          <w:cols w:equalWidth="0" w:num="1">
            <w:col w:w="11422"/>
          </w:cols>
          <w:pgMar w:left="238" w:top="218" w:right="239" w:bottom="1440" w:gutter="0" w:footer="0" w:header="0"/>
          <w:type w:val="continuous"/>
        </w:sectPr>
      </w:pPr>
    </w:p>
    <w:p>
      <w:pPr>
        <w:spacing w:after="0" w:line="234" w:lineRule="exact"/>
        <w:rPr>
          <w:sz w:val="20"/>
          <w:szCs w:val="20"/>
          <w:color w:val="auto"/>
        </w:rPr>
      </w:pPr>
    </w:p>
    <w:p>
      <w:pPr>
        <w:ind w:left="2"/>
        <w:spacing w:after="0"/>
        <w:rPr>
          <w:sz w:val="20"/>
          <w:szCs w:val="20"/>
          <w:color w:val="auto"/>
        </w:rPr>
      </w:pPr>
      <w:r>
        <w:rPr>
          <w:rFonts w:ascii="Arial" w:cs="Arial" w:eastAsia="Arial" w:hAnsi="Arial"/>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122"/>
        <w:spacing w:after="0"/>
        <w:rPr>
          <w:sz w:val="20"/>
          <w:szCs w:val="20"/>
          <w:color w:val="auto"/>
        </w:rPr>
      </w:pPr>
      <w:r>
        <w:rPr>
          <w:rFonts w:ascii="Arial" w:cs="Arial" w:eastAsia="Arial" w:hAnsi="Arial"/>
          <w:sz w:val="14"/>
          <w:szCs w:val="14"/>
          <w:color w:val="auto"/>
        </w:rPr>
        <w:t>Liability for unpaid losses and loss adjustment expenses</w:t>
      </w:r>
    </w:p>
    <w:p>
      <w:pPr>
        <w:spacing w:after="0" w:line="35" w:lineRule="exact"/>
        <w:rPr>
          <w:sz w:val="20"/>
          <w:szCs w:val="20"/>
          <w:color w:val="auto"/>
        </w:rPr>
      </w:pPr>
    </w:p>
    <w:p>
      <w:pPr>
        <w:ind w:left="122"/>
        <w:spacing w:after="0"/>
        <w:rPr>
          <w:sz w:val="20"/>
          <w:szCs w:val="20"/>
          <w:color w:val="auto"/>
        </w:rPr>
      </w:pPr>
      <w:r>
        <w:rPr>
          <w:rFonts w:ascii="Arial" w:cs="Arial" w:eastAsia="Arial" w:hAnsi="Arial"/>
          <w:sz w:val="16"/>
          <w:szCs w:val="16"/>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ind w:left="242"/>
        <w:spacing w:after="0"/>
        <w:rPr>
          <w:sz w:val="20"/>
          <w:szCs w:val="20"/>
          <w:color w:val="auto"/>
        </w:rPr>
      </w:pPr>
      <w:r>
        <w:rPr>
          <w:rFonts w:ascii="Arial" w:cs="Arial" w:eastAsia="Arial" w:hAnsi="Arial"/>
          <w:sz w:val="16"/>
          <w:szCs w:val="16"/>
          <w:color w:val="auto"/>
        </w:rPr>
        <w:t>Net balance at beginning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2017</w:t>
            </w:r>
          </w:p>
        </w:tc>
      </w:tr>
      <w:tr>
        <w:trPr>
          <w:trHeight w:val="384"/>
        </w:trPr>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45,890</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59,632</w:t>
            </w:r>
          </w:p>
        </w:tc>
      </w:tr>
      <w:tr>
        <w:trPr>
          <w:trHeight w:val="209"/>
        </w:trPr>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7,192</w:t>
            </w:r>
          </w:p>
        </w:tc>
      </w:tr>
      <w:tr>
        <w:trPr>
          <w:trHeight w:val="190"/>
        </w:trPr>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52,440</w:t>
            </w:r>
          </w:p>
        </w:tc>
      </w:tr>
    </w:tbl>
    <w:p>
      <w:pPr>
        <w:spacing w:after="0" w:line="20" w:lineRule="exact"/>
        <w:rPr>
          <w:sz w:val="20"/>
          <w:szCs w:val="20"/>
          <w:color w:val="auto"/>
        </w:rPr>
      </w:pPr>
    </w:p>
    <w:p>
      <w:pPr>
        <w:sectPr>
          <w:pgSz w:w="11900" w:h="16838" w:orient="portrait"/>
          <w:cols w:equalWidth="0" w:num="2">
            <w:col w:w="8322" w:space="720"/>
            <w:col w:w="2380"/>
          </w:cols>
          <w:pgMar w:left="238" w:top="218" w:right="239" w:bottom="1440" w:gutter="0" w:footer="0" w:header="0"/>
          <w:type w:val="continuous"/>
        </w:sectPr>
      </w:pPr>
    </w:p>
    <w:tbl>
      <w:tblPr>
        <w:tblLayout w:type="fixed"/>
        <w:tblInd w:w="2" w:type="dxa"/>
        <w:tblCellMar>
          <w:top w:w="0" w:type="dxa"/>
          <w:left w:w="0" w:type="dxa"/>
          <w:bottom w:w="0" w:type="dxa"/>
          <w:right w:w="0" w:type="dxa"/>
        </w:tblCellMar>
      </w:tblPr>
      <w:tr>
        <w:trPr>
          <w:trHeight w:val="176"/>
        </w:trPr>
        <w:tc>
          <w:tcPr>
            <w:tcW w:w="9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9040" w:type="dxa"/>
            <w:vAlign w:val="bottom"/>
          </w:tcPr>
          <w:p>
            <w:pPr>
              <w:spacing w:after="0"/>
              <w:rPr>
                <w:sz w:val="20"/>
                <w:szCs w:val="20"/>
                <w:color w:val="auto"/>
              </w:rPr>
            </w:pPr>
            <w:r>
              <w:rPr>
                <w:rFonts w:ascii="Arial" w:cs="Arial" w:eastAsia="Arial" w:hAnsi="Arial"/>
                <w:sz w:val="16"/>
                <w:szCs w:val="16"/>
                <w:color w:val="auto"/>
              </w:rPr>
              <w:t>Acquired unpaid losses and loss adjustment expenses related to:</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year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17,795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9040" w:type="dxa"/>
            <w:vAlign w:val="bottom"/>
          </w:tcPr>
          <w:p>
            <w:pPr>
              <w:ind w:left="120"/>
              <w:spacing w:after="0"/>
              <w:rPr>
                <w:sz w:val="20"/>
                <w:szCs w:val="20"/>
                <w:color w:val="auto"/>
              </w:rPr>
            </w:pPr>
            <w:r>
              <w:rPr>
                <w:rFonts w:ascii="Arial" w:cs="Arial" w:eastAsia="Arial" w:hAnsi="Arial"/>
                <w:sz w:val="16"/>
                <w:szCs w:val="16"/>
                <w:color w:val="auto"/>
              </w:rPr>
              <w:t>Prior year</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23,172</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9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incurred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40,967</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9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Incurred related to:</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9040" w:type="dxa"/>
            <w:vAlign w:val="bottom"/>
          </w:tcPr>
          <w:p>
            <w:pPr>
              <w:ind w:left="120"/>
              <w:spacing w:after="0"/>
              <w:rPr>
                <w:sz w:val="20"/>
                <w:szCs w:val="20"/>
                <w:color w:val="auto"/>
              </w:rPr>
            </w:pPr>
            <w:r>
              <w:rPr>
                <w:rFonts w:ascii="Arial" w:cs="Arial" w:eastAsia="Arial" w:hAnsi="Arial"/>
                <w:sz w:val="16"/>
                <w:szCs w:val="16"/>
                <w:color w:val="auto"/>
              </w:rPr>
              <w:t>Current year</w:t>
            </w:r>
          </w:p>
        </w:tc>
        <w:tc>
          <w:tcPr>
            <w:tcW w:w="1040" w:type="dxa"/>
            <w:vAlign w:val="bottom"/>
          </w:tcPr>
          <w:p>
            <w:pPr>
              <w:jc w:val="right"/>
              <w:spacing w:after="0"/>
              <w:rPr>
                <w:sz w:val="20"/>
                <w:szCs w:val="20"/>
                <w:color w:val="auto"/>
              </w:rPr>
            </w:pPr>
            <w:r>
              <w:rPr>
                <w:rFonts w:ascii="Arial" w:cs="Arial" w:eastAsia="Arial" w:hAnsi="Arial"/>
                <w:sz w:val="16"/>
                <w:szCs w:val="16"/>
                <w:color w:val="auto"/>
              </w:rPr>
              <w:t>100,191</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110,199</w:t>
            </w:r>
          </w:p>
        </w:tc>
      </w:tr>
      <w:tr>
        <w:trPr>
          <w:trHeight w:val="209"/>
        </w:trPr>
        <w:tc>
          <w:tcPr>
            <w:tcW w:w="9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Prior years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(3,165)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(6,649)</w:t>
            </w:r>
          </w:p>
        </w:tc>
      </w:tr>
      <w:tr>
        <w:trPr>
          <w:trHeight w:val="189"/>
        </w:trPr>
        <w:tc>
          <w:tcPr>
            <w:tcW w:w="9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incurred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97,026</w:t>
            </w:r>
          </w:p>
        </w:tc>
        <w:tc>
          <w:tcPr>
            <w:tcW w:w="2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103,550</w:t>
            </w:r>
          </w:p>
        </w:tc>
        <w:tc>
          <w:tcPr>
            <w:tcW w:w="100" w:type="dxa"/>
            <w:vAlign w:val="bottom"/>
            <w:tcBorders>
              <w:bottom w:val="single" w:sz="8" w:color="CCEEFF"/>
            </w:tcBorders>
          </w:tcPr>
          <w:p>
            <w:pPr>
              <w:spacing w:after="0"/>
              <w:rPr>
                <w:sz w:val="16"/>
                <w:szCs w:val="16"/>
                <w:color w:val="auto"/>
              </w:rPr>
            </w:pPr>
          </w:p>
        </w:tc>
      </w:tr>
      <w:tr>
        <w:trPr>
          <w:trHeight w:val="189"/>
        </w:trPr>
        <w:tc>
          <w:tcPr>
            <w:tcW w:w="90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9040" w:type="dxa"/>
            <w:vAlign w:val="bottom"/>
          </w:tcPr>
          <w:p>
            <w:pPr>
              <w:spacing w:after="0"/>
              <w:rPr>
                <w:sz w:val="20"/>
                <w:szCs w:val="20"/>
                <w:color w:val="auto"/>
              </w:rPr>
            </w:pPr>
            <w:r>
              <w:rPr>
                <w:rFonts w:ascii="Arial" w:cs="Arial" w:eastAsia="Arial" w:hAnsi="Arial"/>
                <w:sz w:val="16"/>
                <w:szCs w:val="16"/>
                <w:color w:val="auto"/>
              </w:rPr>
              <w:t>Paid related to:</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year</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59,708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53,241</w:t>
            </w:r>
          </w:p>
        </w:tc>
      </w:tr>
      <w:tr>
        <w:trPr>
          <w:trHeight w:val="208"/>
        </w:trPr>
        <w:tc>
          <w:tcPr>
            <w:tcW w:w="9040" w:type="dxa"/>
            <w:vAlign w:val="bottom"/>
          </w:tcPr>
          <w:p>
            <w:pPr>
              <w:ind w:left="120"/>
              <w:spacing w:after="0"/>
              <w:rPr>
                <w:sz w:val="20"/>
                <w:szCs w:val="20"/>
                <w:color w:val="auto"/>
              </w:rPr>
            </w:pPr>
            <w:r>
              <w:rPr>
                <w:rFonts w:ascii="Arial" w:cs="Arial" w:eastAsia="Arial" w:hAnsi="Arial"/>
                <w:sz w:val="16"/>
                <w:szCs w:val="16"/>
                <w:color w:val="auto"/>
              </w:rPr>
              <w:t>Prior years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20,022</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26,002</w:t>
            </w:r>
          </w:p>
        </w:tc>
      </w:tr>
      <w:tr>
        <w:trPr>
          <w:trHeight w:val="189"/>
        </w:trPr>
        <w:tc>
          <w:tcPr>
            <w:tcW w:w="9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paid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79,730</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79,243</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4" w:lineRule="exact"/>
        <w:rPr>
          <w:sz w:val="20"/>
          <w:szCs w:val="20"/>
          <w:color w:val="auto"/>
        </w:rPr>
      </w:pPr>
    </w:p>
    <w:p>
      <w:pPr>
        <w:sectPr>
          <w:pgSz w:w="11900" w:h="16838" w:orient="portrait"/>
          <w:cols w:equalWidth="0" w:num="1">
            <w:col w:w="11422"/>
          </w:cols>
          <w:pgMar w:left="238" w:top="218" w:right="239" w:bottom="1440" w:gutter="0" w:footer="0" w:header="0"/>
          <w:type w:val="continuous"/>
        </w:sectPr>
      </w:pPr>
    </w:p>
    <w:p>
      <w:pPr>
        <w:ind w:left="2"/>
        <w:spacing w:after="0"/>
        <w:rPr>
          <w:sz w:val="20"/>
          <w:szCs w:val="20"/>
          <w:color w:val="auto"/>
        </w:rPr>
      </w:pPr>
      <w:r>
        <w:rPr>
          <w:rFonts w:ascii="Arial" w:cs="Arial" w:eastAsia="Arial" w:hAnsi="Arial"/>
          <w:sz w:val="16"/>
          <w:szCs w:val="16"/>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320" cy="12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320" cy="124460"/>
                    </a:xfrm>
                    <a:prstGeom prst="rect">
                      <a:avLst/>
                    </a:prstGeom>
                    <a:noFill/>
                  </pic:spPr>
                </pic:pic>
              </a:graphicData>
            </a:graphic>
          </wp:anchor>
        </w:drawing>
      </w:r>
    </w:p>
    <w:p>
      <w:pPr>
        <w:spacing w:after="0" w:line="4" w:lineRule="exact"/>
        <w:rPr>
          <w:sz w:val="20"/>
          <w:szCs w:val="20"/>
          <w:color w:val="auto"/>
        </w:rPr>
      </w:pPr>
    </w:p>
    <w:p>
      <w:pPr>
        <w:ind w:left="122"/>
        <w:spacing w:after="0"/>
        <w:rPr>
          <w:sz w:val="20"/>
          <w:szCs w:val="20"/>
          <w:color w:val="auto"/>
        </w:rPr>
      </w:pPr>
      <w:r>
        <w:rPr>
          <w:rFonts w:ascii="Arial" w:cs="Arial" w:eastAsia="Arial" w:hAnsi="Arial"/>
          <w:sz w:val="14"/>
          <w:szCs w:val="14"/>
          <w:color w:val="auto"/>
        </w:rPr>
        <w:t>Liability for unpaid losses and loss adjustment expenses</w:t>
      </w:r>
    </w:p>
    <w:p>
      <w:pPr>
        <w:spacing w:after="0" w:line="35" w:lineRule="exact"/>
        <w:rPr>
          <w:sz w:val="20"/>
          <w:szCs w:val="20"/>
          <w:color w:val="auto"/>
        </w:rPr>
      </w:pPr>
    </w:p>
    <w:p>
      <w:pPr>
        <w:ind w:left="122"/>
        <w:spacing w:after="0"/>
        <w:rPr>
          <w:sz w:val="20"/>
          <w:szCs w:val="20"/>
          <w:color w:val="auto"/>
        </w:rPr>
      </w:pPr>
      <w:r>
        <w:rPr>
          <w:rFonts w:ascii="Arial" w:cs="Arial" w:eastAsia="Arial" w:hAnsi="Arial"/>
          <w:sz w:val="16"/>
          <w:szCs w:val="16"/>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ind w:left="242"/>
        <w:spacing w:after="0"/>
        <w:rPr>
          <w:sz w:val="20"/>
          <w:szCs w:val="20"/>
          <w:color w:val="auto"/>
        </w:rPr>
      </w:pPr>
      <w:r>
        <w:rPr>
          <w:rFonts w:ascii="Arial" w:cs="Arial" w:eastAsia="Arial" w:hAnsi="Arial"/>
          <w:sz w:val="16"/>
          <w:szCs w:val="16"/>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259320" cy="140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32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105,653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85,427</w:t>
            </w:r>
          </w:p>
        </w:tc>
      </w:tr>
      <w:tr>
        <w:trPr>
          <w:trHeight w:val="209"/>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8,680</w:t>
            </w:r>
          </w:p>
        </w:tc>
      </w:tr>
      <w:tr>
        <w:trPr>
          <w:trHeight w:val="201"/>
        </w:trPr>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76,747</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2" w:space="720"/>
            <w:col w:w="2380"/>
          </w:cols>
          <w:pgMar w:left="238" w:top="218" w:right="239" w:bottom="1440" w:gutter="0" w:footer="0" w:header="0"/>
          <w:type w:val="continuous"/>
        </w:sectPr>
      </w:pPr>
    </w:p>
    <w:p>
      <w:pPr>
        <w:spacing w:after="0" w:line="82" w:lineRule="exact"/>
        <w:rPr>
          <w:sz w:val="20"/>
          <w:szCs w:val="20"/>
          <w:color w:val="auto"/>
        </w:rPr>
      </w:pPr>
    </w:p>
    <w:p>
      <w:pPr>
        <w:jc w:val="both"/>
        <w:ind w:left="22" w:right="280" w:firstLine="576"/>
        <w:spacing w:after="0" w:line="271" w:lineRule="auto"/>
        <w:rPr>
          <w:sz w:val="20"/>
          <w:szCs w:val="20"/>
          <w:color w:val="auto"/>
        </w:rPr>
      </w:pPr>
      <w:r>
        <w:rPr>
          <w:rFonts w:ascii="Arial" w:cs="Arial" w:eastAsia="Arial" w:hAnsi="Arial"/>
          <w:sz w:val="16"/>
          <w:szCs w:val="16"/>
          <w:color w:val="auto"/>
        </w:rPr>
        <w:t>The prior years’ provision for unpaid losses and loss adjustment expenses decreased by $3,165 during the nine months ended September 30, 2018, compared to a decrease of $6,649 during the nine months ended September 30, 2017. Increases and decreases are generally the result of ongoing analysis of loss development trends. As additional information becomes known regarding individual claims, original estimates are increased or decreased accordingly.</w:t>
      </w:r>
    </w:p>
    <w:p>
      <w:pPr>
        <w:spacing w:after="0" w:line="162"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type w:val="continuous"/>
        </w:sectPr>
      </w:pPr>
    </w:p>
    <w:bookmarkStart w:id="26" w:name="page27"/>
    <w:bookmarkEnd w:id="26"/>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89" w:lineRule="exact"/>
        <w:rPr>
          <w:sz w:val="20"/>
          <w:szCs w:val="20"/>
          <w:color w:val="auto"/>
        </w:rPr>
      </w:pPr>
    </w:p>
    <w:p>
      <w:pPr>
        <w:ind w:left="582" w:hanging="582"/>
        <w:spacing w:after="0"/>
        <w:tabs>
          <w:tab w:leader="none" w:pos="582"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114"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6"/>
          <w:szCs w:val="16"/>
          <w:color w:val="auto"/>
        </w:rPr>
        <w:t>Property and equipment consisted of the following:</w:t>
      </w:r>
    </w:p>
    <w:p>
      <w:pPr>
        <w:spacing w:after="0" w:line="11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6"/>
                <w:szCs w:val="16"/>
                <w:b w:val="1"/>
                <w:bCs w:val="1"/>
                <w:color w:val="auto"/>
                <w:w w:val="99"/>
              </w:rPr>
              <w:t>September 30, 2018</w:t>
            </w:r>
          </w:p>
        </w:tc>
        <w:tc>
          <w:tcPr>
            <w:tcW w:w="160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2017</w:t>
            </w: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Estimated Useful Life</w:t>
            </w:r>
          </w:p>
        </w:tc>
      </w:tr>
      <w:tr>
        <w:trPr>
          <w:trHeight w:val="18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w:t>
            </w:r>
          </w:p>
        </w:tc>
        <w:tc>
          <w:tcPr>
            <w:tcW w:w="4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6800" w:type="dxa"/>
            <w:vAlign w:val="bottom"/>
          </w:tcPr>
          <w:p>
            <w:pPr>
              <w:ind w:left="140"/>
              <w:spacing w:after="0"/>
              <w:rPr>
                <w:sz w:val="20"/>
                <w:szCs w:val="20"/>
                <w:color w:val="auto"/>
              </w:rPr>
            </w:pPr>
            <w:r>
              <w:rPr>
                <w:rFonts w:ascii="Arial" w:cs="Arial" w:eastAsia="Arial" w:hAnsi="Arial"/>
                <w:sz w:val="16"/>
                <w:szCs w:val="16"/>
                <w:color w:val="auto"/>
              </w:rPr>
              <w:t>Real estate</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11,041</w:t>
            </w: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10,633</w:t>
            </w:r>
          </w:p>
        </w:tc>
        <w:tc>
          <w:tcPr>
            <w:tcW w:w="1520" w:type="dxa"/>
            <w:vAlign w:val="bottom"/>
          </w:tcPr>
          <w:p>
            <w:pPr>
              <w:jc w:val="right"/>
              <w:spacing w:after="0"/>
              <w:rPr>
                <w:sz w:val="20"/>
                <w:szCs w:val="20"/>
                <w:color w:val="auto"/>
              </w:rPr>
            </w:pPr>
            <w:r>
              <w:rPr>
                <w:rFonts w:ascii="Arial" w:cs="Arial" w:eastAsia="Arial" w:hAnsi="Arial"/>
                <w:sz w:val="16"/>
                <w:szCs w:val="16"/>
                <w:color w:val="auto"/>
              </w:rPr>
              <w:t>10 - 31 years</w:t>
            </w:r>
          </w:p>
        </w:tc>
        <w:tc>
          <w:tcPr>
            <w:tcW w:w="20" w:type="dxa"/>
            <w:vAlign w:val="bottom"/>
          </w:tcPr>
          <w:p>
            <w:pPr>
              <w:spacing w:after="0"/>
              <w:rPr>
                <w:sz w:val="17"/>
                <w:szCs w:val="17"/>
                <w:color w:val="auto"/>
              </w:rPr>
            </w:pPr>
          </w:p>
        </w:tc>
      </w:tr>
      <w:tr>
        <w:trPr>
          <w:trHeight w:val="19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Electronic data processing equipment</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1,455</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1,288</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years</w:t>
            </w:r>
          </w:p>
        </w:tc>
        <w:tc>
          <w:tcPr>
            <w:tcW w:w="20" w:type="dxa"/>
            <w:vAlign w:val="bottom"/>
          </w:tcPr>
          <w:p>
            <w:pPr>
              <w:spacing w:after="0"/>
              <w:rPr>
                <w:sz w:val="17"/>
                <w:szCs w:val="17"/>
                <w:color w:val="auto"/>
              </w:rPr>
            </w:pPr>
          </w:p>
        </w:tc>
      </w:tr>
      <w:tr>
        <w:trPr>
          <w:trHeight w:val="196"/>
        </w:trPr>
        <w:tc>
          <w:tcPr>
            <w:tcW w:w="6800" w:type="dxa"/>
            <w:vAlign w:val="bottom"/>
          </w:tcPr>
          <w:p>
            <w:pPr>
              <w:ind w:left="140"/>
              <w:spacing w:after="0"/>
              <w:rPr>
                <w:sz w:val="20"/>
                <w:szCs w:val="20"/>
                <w:color w:val="auto"/>
              </w:rPr>
            </w:pPr>
            <w:r>
              <w:rPr>
                <w:rFonts w:ascii="Arial" w:cs="Arial" w:eastAsia="Arial" w:hAnsi="Arial"/>
                <w:sz w:val="16"/>
                <w:szCs w:val="16"/>
                <w:color w:val="auto"/>
              </w:rPr>
              <w:t>Furniture and fixtures</w:t>
            </w:r>
          </w:p>
        </w:tc>
        <w:tc>
          <w:tcPr>
            <w:tcW w:w="4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3,536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3,511</w:t>
            </w:r>
          </w:p>
        </w:tc>
        <w:tc>
          <w:tcPr>
            <w:tcW w:w="1520" w:type="dxa"/>
            <w:vAlign w:val="bottom"/>
          </w:tcPr>
          <w:p>
            <w:pPr>
              <w:jc w:val="right"/>
              <w:spacing w:after="0"/>
              <w:rPr>
                <w:sz w:val="20"/>
                <w:szCs w:val="20"/>
                <w:color w:val="auto"/>
              </w:rPr>
            </w:pPr>
            <w:r>
              <w:rPr>
                <w:rFonts w:ascii="Arial" w:cs="Arial" w:eastAsia="Arial" w:hAnsi="Arial"/>
                <w:sz w:val="16"/>
                <w:szCs w:val="16"/>
                <w:color w:val="auto"/>
              </w:rPr>
              <w:t>5-7 years</w:t>
            </w:r>
          </w:p>
        </w:tc>
        <w:tc>
          <w:tcPr>
            <w:tcW w:w="20" w:type="dxa"/>
            <w:vAlign w:val="bottom"/>
          </w:tcPr>
          <w:p>
            <w:pPr>
              <w:spacing w:after="0"/>
              <w:rPr>
                <w:sz w:val="17"/>
                <w:szCs w:val="17"/>
                <w:color w:val="auto"/>
              </w:rPr>
            </w:pPr>
          </w:p>
        </w:tc>
      </w:tr>
      <w:tr>
        <w:trPr>
          <w:trHeight w:val="209"/>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Automobiles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1,595</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years</w:t>
            </w:r>
          </w:p>
        </w:tc>
        <w:tc>
          <w:tcPr>
            <w:tcW w:w="20" w:type="dxa"/>
            <w:vAlign w:val="bottom"/>
          </w:tcPr>
          <w:p>
            <w:pPr>
              <w:spacing w:after="0"/>
              <w:rPr>
                <w:sz w:val="18"/>
                <w:szCs w:val="18"/>
                <w:color w:val="auto"/>
              </w:rPr>
            </w:pPr>
          </w:p>
        </w:tc>
      </w:tr>
      <w:tr>
        <w:trPr>
          <w:trHeight w:val="189"/>
        </w:trPr>
        <w:tc>
          <w:tcPr>
            <w:tcW w:w="6800" w:type="dxa"/>
            <w:vAlign w:val="bottom"/>
          </w:tcPr>
          <w:p>
            <w:pPr>
              <w:ind w:left="300"/>
              <w:spacing w:after="0"/>
              <w:rPr>
                <w:sz w:val="20"/>
                <w:szCs w:val="20"/>
                <w:color w:val="auto"/>
              </w:rPr>
            </w:pPr>
            <w:r>
              <w:rPr>
                <w:rFonts w:ascii="Arial" w:cs="Arial" w:eastAsia="Arial" w:hAnsi="Arial"/>
                <w:sz w:val="16"/>
                <w:szCs w:val="16"/>
                <w:color w:val="auto"/>
              </w:rPr>
              <w:t>Gross cost</w:t>
            </w: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17,027</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6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Accumulated depreciation</w:t>
            </w:r>
          </w:p>
        </w:tc>
        <w:tc>
          <w:tcPr>
            <w:tcW w:w="4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(11,485)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(11,150)</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68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property and equipment, net</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2" w:lineRule="exact"/>
        <w:rPr>
          <w:sz w:val="20"/>
          <w:szCs w:val="20"/>
          <w:color w:val="auto"/>
        </w:rPr>
      </w:pPr>
    </w:p>
    <w:p>
      <w:pPr>
        <w:ind w:left="22" w:right="400" w:firstLine="576"/>
        <w:spacing w:after="0" w:line="286" w:lineRule="auto"/>
        <w:rPr>
          <w:sz w:val="20"/>
          <w:szCs w:val="20"/>
          <w:color w:val="auto"/>
        </w:rPr>
      </w:pPr>
      <w:r>
        <w:rPr>
          <w:rFonts w:ascii="Arial" w:cs="Arial" w:eastAsia="Arial" w:hAnsi="Arial"/>
          <w:sz w:val="16"/>
          <w:szCs w:val="16"/>
          <w:color w:val="auto"/>
        </w:rPr>
        <w:t>Depreciation expense was $129 and $127 for the three months ended September 30, 2018 and 2017, respectively, and $372 and $376 for the nine months ended September 30, 2018 and 2017, respectively.</w:t>
      </w:r>
    </w:p>
    <w:p>
      <w:pPr>
        <w:spacing w:after="0" w:line="343" w:lineRule="exact"/>
        <w:rPr>
          <w:sz w:val="20"/>
          <w:szCs w:val="20"/>
          <w:color w:val="auto"/>
        </w:rPr>
      </w:pPr>
    </w:p>
    <w:p>
      <w:pPr>
        <w:ind w:left="582" w:hanging="582"/>
        <w:spacing w:after="0"/>
        <w:tabs>
          <w:tab w:leader="none" w:pos="582"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114" w:lineRule="exact"/>
        <w:rPr>
          <w:sz w:val="20"/>
          <w:szCs w:val="20"/>
          <w:color w:val="auto"/>
        </w:rPr>
      </w:pPr>
    </w:p>
    <w:p>
      <w:pPr>
        <w:ind w:left="2" w:right="100" w:firstLine="577"/>
        <w:spacing w:after="0" w:line="315" w:lineRule="auto"/>
        <w:rPr>
          <w:sz w:val="20"/>
          <w:szCs w:val="20"/>
          <w:color w:val="auto"/>
        </w:rPr>
      </w:pPr>
      <w:r>
        <w:rPr>
          <w:rFonts w:ascii="Arial" w:cs="Arial" w:eastAsia="Arial" w:hAnsi="Arial"/>
          <w:sz w:val="14"/>
          <w:szCs w:val="14"/>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$383 and $351 during the three months ended September 30, 2018 and 2017, respectively. Royalties paid to the NDFB were $1,065 and $1,002 during the nine months ended September 30, 2018 and 2017, respectively. Royalty amounts payable of $30 and $99 were accrued as a liability to the NDFB at September 30, 2018 and December 31, 2017, respectively.</w:t>
      </w:r>
    </w:p>
    <w:p>
      <w:pPr>
        <w:spacing w:after="0" w:line="38" w:lineRule="exact"/>
        <w:rPr>
          <w:sz w:val="20"/>
          <w:szCs w:val="20"/>
          <w:color w:val="auto"/>
        </w:rPr>
      </w:pPr>
    </w:p>
    <w:p>
      <w:pPr>
        <w:ind w:left="2" w:right="60" w:firstLine="577"/>
        <w:spacing w:after="0" w:line="263" w:lineRule="auto"/>
        <w:rPr>
          <w:sz w:val="20"/>
          <w:szCs w:val="20"/>
          <w:color w:val="auto"/>
        </w:rPr>
      </w:pPr>
      <w:r>
        <w:rPr>
          <w:rFonts w:ascii="Arial" w:cs="Arial" w:eastAsia="Arial" w:hAnsi="Arial"/>
          <w:sz w:val="16"/>
          <w:szCs w:val="16"/>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2017 exceeded the amount of statutory capital and surplus necessary to satisfy regulatory requirements, including the RBC requirements, by a significant margin.</w:t>
      </w:r>
    </w:p>
    <w:p>
      <w:pPr>
        <w:spacing w:after="0" w:line="71" w:lineRule="exact"/>
        <w:rPr>
          <w:sz w:val="20"/>
          <w:szCs w:val="20"/>
          <w:color w:val="auto"/>
        </w:rPr>
      </w:pPr>
    </w:p>
    <w:p>
      <w:pPr>
        <w:ind w:left="2" w:right="40" w:firstLine="577"/>
        <w:spacing w:after="0" w:line="306" w:lineRule="auto"/>
        <w:rPr>
          <w:sz w:val="20"/>
          <w:szCs w:val="20"/>
          <w:color w:val="auto"/>
        </w:rPr>
      </w:pPr>
      <w:r>
        <w:rPr>
          <w:rFonts w:ascii="Arial" w:cs="Arial" w:eastAsia="Arial" w:hAnsi="Arial"/>
          <w:sz w:val="14"/>
          <w:szCs w:val="14"/>
          <w:color w:val="auto"/>
        </w:rPr>
        <w:t>The amount available for payment of dividends from Nodak Insurance to NI Holdings after the conversion without the prior approval of the North Dakota Insurance Department is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nine months ended September 30, 2018 or the year ended December 31, 2017.</w:t>
      </w:r>
    </w:p>
    <w:p>
      <w:pPr>
        <w:spacing w:after="0" w:line="44" w:lineRule="exact"/>
        <w:rPr>
          <w:sz w:val="20"/>
          <w:szCs w:val="20"/>
          <w:color w:val="auto"/>
        </w:rPr>
      </w:pPr>
    </w:p>
    <w:p>
      <w:pPr>
        <w:ind w:left="2" w:right="60" w:firstLine="577"/>
        <w:spacing w:after="0" w:line="282" w:lineRule="auto"/>
        <w:rPr>
          <w:sz w:val="20"/>
          <w:szCs w:val="20"/>
          <w:color w:val="auto"/>
        </w:rPr>
      </w:pPr>
      <w:r>
        <w:rPr>
          <w:rFonts w:ascii="Arial" w:cs="Arial" w:eastAsia="Arial" w:hAnsi="Arial"/>
          <w:sz w:val="15"/>
          <w:szCs w:val="15"/>
          <w:color w:val="auto"/>
        </w:rPr>
        <w:t>The amount available for payment of dividends from Direct Auto to NI Holdings without the prior approval of the Illinois Department of Insurance is $1,206 based upon the policyholders’ surplus of Direct Auto at December 31, 2017.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subsequent to December 31, 2017.</w:t>
      </w:r>
    </w:p>
    <w:p>
      <w:pPr>
        <w:spacing w:after="0" w:line="200" w:lineRule="exact"/>
        <w:rPr>
          <w:sz w:val="20"/>
          <w:szCs w:val="20"/>
          <w:color w:val="auto"/>
        </w:rPr>
      </w:pPr>
    </w:p>
    <w:p>
      <w:pPr>
        <w:spacing w:after="0" w:line="25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42"/>
          </w:cols>
          <w:pgMar w:left="238" w:top="218" w:right="219" w:bottom="1440" w:gutter="0" w:footer="0" w:header="0"/>
        </w:sectPr>
      </w:pPr>
    </w:p>
    <w:bookmarkStart w:id="27" w:name="page28"/>
    <w:bookmarkEnd w:id="27"/>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following table illustrates the impact of including Battle Creek in our Consolidated Balance Sheets prior to intercompany eliminations:</w:t>
      </w:r>
    </w:p>
    <w:p>
      <w:pPr>
        <w:spacing w:after="0" w:line="11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430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September 30, 2018</w:t>
            </w:r>
          </w:p>
        </w:tc>
        <w:tc>
          <w:tcPr>
            <w:tcW w:w="1420" w:type="dxa"/>
            <w:vAlign w:val="bottom"/>
            <w:gridSpan w:val="4"/>
          </w:tcPr>
          <w:p>
            <w:pPr>
              <w:spacing w:after="0"/>
              <w:rPr>
                <w:sz w:val="20"/>
                <w:szCs w:val="20"/>
                <w:color w:val="auto"/>
              </w:rPr>
            </w:pPr>
            <w:r>
              <w:rPr>
                <w:rFonts w:ascii="Arial" w:cs="Arial" w:eastAsia="Arial" w:hAnsi="Arial"/>
                <w:sz w:val="16"/>
                <w:szCs w:val="16"/>
                <w:b w:val="1"/>
                <w:bCs w:val="1"/>
                <w:color w:val="auto"/>
                <w:w w:val="97"/>
              </w:rPr>
              <w:t>December 31, 2017</w:t>
            </w:r>
          </w:p>
        </w:tc>
      </w:tr>
      <w:tr>
        <w:trPr>
          <w:trHeight w:val="18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27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700" w:type="dxa"/>
            <w:vAlign w:val="bottom"/>
          </w:tcPr>
          <w:p>
            <w:pPr>
              <w:ind w:left="120"/>
              <w:spacing w:after="0"/>
              <w:rPr>
                <w:sz w:val="20"/>
                <w:szCs w:val="20"/>
                <w:color w:val="auto"/>
              </w:rPr>
            </w:pPr>
            <w:r>
              <w:rPr>
                <w:rFonts w:ascii="Arial" w:cs="Arial" w:eastAsia="Arial" w:hAnsi="Arial"/>
                <w:sz w:val="16"/>
                <w:szCs w:val="16"/>
                <w:color w:val="auto"/>
              </w:rPr>
              <w:t>Cash and cash equivalents (overdraft)</w:t>
            </w:r>
          </w:p>
        </w:tc>
        <w:tc>
          <w:tcPr>
            <w:tcW w:w="3200" w:type="dxa"/>
            <w:vAlign w:val="bottom"/>
            <w:gridSpan w:val="2"/>
          </w:tcPr>
          <w:p>
            <w:pPr>
              <w:jc w:val="right"/>
              <w:ind w:right="32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(375)</w:t>
            </w: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(726)</w:t>
            </w:r>
          </w:p>
        </w:tc>
      </w:tr>
      <w:tr>
        <w:trPr>
          <w:trHeight w:val="196"/>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Investments</w:t>
            </w:r>
          </w:p>
        </w:tc>
        <w:tc>
          <w:tcPr>
            <w:tcW w:w="2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4,336</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4,364</w:t>
            </w:r>
          </w:p>
        </w:tc>
        <w:tc>
          <w:tcPr>
            <w:tcW w:w="80" w:type="dxa"/>
            <w:vAlign w:val="bottom"/>
            <w:shd w:val="clear" w:color="auto" w:fill="CCEEFF"/>
          </w:tcPr>
          <w:p>
            <w:pPr>
              <w:spacing w:after="0"/>
              <w:rPr>
                <w:sz w:val="17"/>
                <w:szCs w:val="17"/>
                <w:color w:val="auto"/>
              </w:rPr>
            </w:pPr>
          </w:p>
        </w:tc>
      </w:tr>
      <w:tr>
        <w:trPr>
          <w:trHeight w:val="196"/>
        </w:trPr>
        <w:tc>
          <w:tcPr>
            <w:tcW w:w="5700" w:type="dxa"/>
            <w:vAlign w:val="bottom"/>
          </w:tcPr>
          <w:p>
            <w:pPr>
              <w:ind w:left="120"/>
              <w:spacing w:after="0"/>
              <w:rPr>
                <w:sz w:val="20"/>
                <w:szCs w:val="20"/>
                <w:color w:val="auto"/>
              </w:rPr>
            </w:pPr>
            <w:r>
              <w:rPr>
                <w:rFonts w:ascii="Arial" w:cs="Arial" w:eastAsia="Arial" w:hAnsi="Arial"/>
                <w:sz w:val="16"/>
                <w:szCs w:val="16"/>
                <w:color w:val="auto"/>
              </w:rPr>
              <w:t>Premiums and agents’ balances receivable</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4,725</w:t>
            </w:r>
          </w:p>
        </w:tc>
        <w:tc>
          <w:tcPr>
            <w:tcW w:w="4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4,055</w:t>
            </w:r>
          </w:p>
        </w:tc>
        <w:tc>
          <w:tcPr>
            <w:tcW w:w="80" w:type="dxa"/>
            <w:vAlign w:val="bottom"/>
          </w:tcPr>
          <w:p>
            <w:pPr>
              <w:spacing w:after="0"/>
              <w:rPr>
                <w:sz w:val="17"/>
                <w:szCs w:val="17"/>
                <w:color w:val="auto"/>
              </w:rPr>
            </w:pPr>
          </w:p>
        </w:tc>
      </w:tr>
      <w:tr>
        <w:trPr>
          <w:trHeight w:val="233"/>
        </w:trPr>
        <w:tc>
          <w:tcPr>
            <w:tcW w:w="5700" w:type="dxa"/>
            <w:vAlign w:val="bottom"/>
            <w:shd w:val="clear" w:color="auto" w:fill="CCEEFF"/>
          </w:tcPr>
          <w:p>
            <w:pPr>
              <w:ind w:left="120"/>
              <w:spacing w:after="0" w:line="233" w:lineRule="exact"/>
              <w:rPr>
                <w:sz w:val="20"/>
                <w:szCs w:val="20"/>
                <w:color w:val="auto"/>
              </w:rPr>
            </w:pPr>
            <w:r>
              <w:rPr>
                <w:rFonts w:ascii="Arial" w:cs="Arial" w:eastAsia="Arial" w:hAnsi="Arial"/>
                <w:sz w:val="16"/>
                <w:szCs w:val="16"/>
                <w:color w:val="auto"/>
              </w:rPr>
              <w:t xml:space="preserve">Reinsurance recoverables on losses </w:t>
            </w:r>
            <w:r>
              <w:rPr>
                <w:rFonts w:ascii="Arial" w:cs="Arial" w:eastAsia="Arial" w:hAnsi="Arial"/>
                <w:sz w:val="27"/>
                <w:szCs w:val="27"/>
                <w:color w:val="auto"/>
                <w:vertAlign w:val="superscript"/>
              </w:rPr>
              <w:t>(1)</w:t>
            </w:r>
          </w:p>
        </w:tc>
        <w:tc>
          <w:tcPr>
            <w:tcW w:w="2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22,337</w:t>
            </w:r>
          </w:p>
        </w:tc>
        <w:tc>
          <w:tcPr>
            <w:tcW w:w="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20,932</w:t>
            </w:r>
          </w:p>
        </w:tc>
        <w:tc>
          <w:tcPr>
            <w:tcW w:w="80" w:type="dxa"/>
            <w:vAlign w:val="bottom"/>
            <w:shd w:val="clear" w:color="auto" w:fill="CCEEFF"/>
          </w:tcPr>
          <w:p>
            <w:pPr>
              <w:spacing w:after="0"/>
              <w:rPr>
                <w:sz w:val="20"/>
                <w:szCs w:val="20"/>
                <w:color w:val="auto"/>
              </w:rPr>
            </w:pPr>
          </w:p>
        </w:tc>
      </w:tr>
      <w:tr>
        <w:trPr>
          <w:trHeight w:val="196"/>
        </w:trPr>
        <w:tc>
          <w:tcPr>
            <w:tcW w:w="5700" w:type="dxa"/>
            <w:vAlign w:val="bottom"/>
          </w:tcPr>
          <w:p>
            <w:pPr>
              <w:ind w:left="120"/>
              <w:spacing w:after="0"/>
              <w:rPr>
                <w:sz w:val="20"/>
                <w:szCs w:val="20"/>
                <w:color w:val="auto"/>
              </w:rPr>
            </w:pPr>
            <w:r>
              <w:rPr>
                <w:rFonts w:ascii="Arial" w:cs="Arial" w:eastAsia="Arial" w:hAnsi="Arial"/>
                <w:sz w:val="16"/>
                <w:szCs w:val="16"/>
                <w:color w:val="auto"/>
              </w:rPr>
              <w:t>Accrued investment income</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 asset, net</w:t>
            </w:r>
          </w:p>
        </w:tc>
        <w:tc>
          <w:tcPr>
            <w:tcW w:w="2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390</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17"/>
                <w:szCs w:val="17"/>
                <w:color w:val="auto"/>
              </w:rPr>
            </w:pPr>
          </w:p>
        </w:tc>
      </w:tr>
      <w:tr>
        <w:trPr>
          <w:trHeight w:val="196"/>
        </w:trPr>
        <w:tc>
          <w:tcPr>
            <w:tcW w:w="5700" w:type="dxa"/>
            <w:vAlign w:val="bottom"/>
          </w:tcPr>
          <w:p>
            <w:pPr>
              <w:ind w:left="120"/>
              <w:spacing w:after="0"/>
              <w:rPr>
                <w:sz w:val="20"/>
                <w:szCs w:val="20"/>
                <w:color w:val="auto"/>
              </w:rPr>
            </w:pPr>
            <w:r>
              <w:rPr>
                <w:rFonts w:ascii="Arial" w:cs="Arial" w:eastAsia="Arial" w:hAnsi="Arial"/>
                <w:sz w:val="16"/>
                <w:szCs w:val="16"/>
                <w:color w:val="auto"/>
              </w:rPr>
              <w:t>Property and equipment</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361</w:t>
            </w:r>
          </w:p>
        </w:tc>
        <w:tc>
          <w:tcPr>
            <w:tcW w:w="4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7"/>
                <w:szCs w:val="17"/>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0"/>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assets</w:t>
            </w:r>
          </w:p>
        </w:tc>
        <w:tc>
          <w:tcPr>
            <w:tcW w:w="272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31,860</w:t>
            </w:r>
          </w:p>
        </w:tc>
        <w:tc>
          <w:tcPr>
            <w:tcW w:w="220" w:type="dxa"/>
            <w:vAlign w:val="bottom"/>
            <w:tcBorders>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29,467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73"/>
        </w:trPr>
        <w:tc>
          <w:tcPr>
            <w:tcW w:w="57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color w:val="auto"/>
              </w:rPr>
              <w:t>Liabilities:</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Unpaid losses and loss adjustment expenses</w:t>
            </w:r>
          </w:p>
        </w:tc>
        <w:tc>
          <w:tcPr>
            <w:tcW w:w="3200" w:type="dxa"/>
            <w:vAlign w:val="bottom"/>
            <w:gridSpan w:val="2"/>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7,401</w:t>
            </w: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7,995</w:t>
            </w:r>
          </w:p>
        </w:tc>
        <w:tc>
          <w:tcPr>
            <w:tcW w:w="80" w:type="dxa"/>
            <w:vAlign w:val="bottom"/>
            <w:shd w:val="clear" w:color="auto" w:fill="CCEEFF"/>
          </w:tcPr>
          <w:p>
            <w:pPr>
              <w:spacing w:after="0"/>
              <w:rPr>
                <w:sz w:val="17"/>
                <w:szCs w:val="17"/>
                <w:color w:val="auto"/>
              </w:rPr>
            </w:pPr>
          </w:p>
        </w:tc>
      </w:tr>
      <w:tr>
        <w:trPr>
          <w:trHeight w:val="196"/>
        </w:trPr>
        <w:tc>
          <w:tcPr>
            <w:tcW w:w="5700" w:type="dxa"/>
            <w:vAlign w:val="bottom"/>
          </w:tcPr>
          <w:p>
            <w:pPr>
              <w:ind w:left="120"/>
              <w:spacing w:after="0"/>
              <w:rPr>
                <w:sz w:val="20"/>
                <w:szCs w:val="20"/>
                <w:color w:val="auto"/>
              </w:rPr>
            </w:pPr>
            <w:r>
              <w:rPr>
                <w:rFonts w:ascii="Arial" w:cs="Arial" w:eastAsia="Arial" w:hAnsi="Arial"/>
                <w:sz w:val="16"/>
                <w:szCs w:val="16"/>
                <w:color w:val="auto"/>
              </w:rPr>
              <w:t>Unearned premiums</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14,962</w:t>
            </w:r>
          </w:p>
        </w:tc>
        <w:tc>
          <w:tcPr>
            <w:tcW w:w="4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12,937</w:t>
            </w:r>
          </w:p>
        </w:tc>
        <w:tc>
          <w:tcPr>
            <w:tcW w:w="80" w:type="dxa"/>
            <w:vAlign w:val="bottom"/>
          </w:tcPr>
          <w:p>
            <w:pPr>
              <w:spacing w:after="0"/>
              <w:rPr>
                <w:sz w:val="17"/>
                <w:szCs w:val="17"/>
                <w:color w:val="auto"/>
              </w:rPr>
            </w:pPr>
          </w:p>
        </w:tc>
      </w:tr>
      <w:tr>
        <w:trPr>
          <w:trHeight w:val="233"/>
        </w:trPr>
        <w:tc>
          <w:tcPr>
            <w:tcW w:w="5700" w:type="dxa"/>
            <w:vAlign w:val="bottom"/>
            <w:shd w:val="clear" w:color="auto" w:fill="CCEEFF"/>
          </w:tcPr>
          <w:p>
            <w:pPr>
              <w:ind w:left="120"/>
              <w:spacing w:after="0" w:line="233" w:lineRule="exact"/>
              <w:rPr>
                <w:sz w:val="20"/>
                <w:szCs w:val="20"/>
                <w:color w:val="auto"/>
              </w:rPr>
            </w:pPr>
            <w:r>
              <w:rPr>
                <w:rFonts w:ascii="Arial" w:cs="Arial" w:eastAsia="Arial" w:hAnsi="Arial"/>
                <w:sz w:val="16"/>
                <w:szCs w:val="16"/>
                <w:color w:val="auto"/>
              </w:rPr>
              <w:t xml:space="preserve">Notes payable </w:t>
            </w:r>
            <w:r>
              <w:rPr>
                <w:rFonts w:ascii="Arial" w:cs="Arial" w:eastAsia="Arial" w:hAnsi="Arial"/>
                <w:sz w:val="27"/>
                <w:szCs w:val="27"/>
                <w:color w:val="auto"/>
                <w:vertAlign w:val="superscript"/>
              </w:rPr>
              <w:t>(1)</w:t>
            </w:r>
          </w:p>
        </w:tc>
        <w:tc>
          <w:tcPr>
            <w:tcW w:w="2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w:t>
            </w:r>
          </w:p>
        </w:tc>
        <w:tc>
          <w:tcPr>
            <w:tcW w:w="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CEEFF"/>
          </w:tcPr>
          <w:p>
            <w:pPr>
              <w:spacing w:after="0"/>
              <w:rPr>
                <w:sz w:val="20"/>
                <w:szCs w:val="20"/>
                <w:color w:val="auto"/>
              </w:rPr>
            </w:pPr>
          </w:p>
        </w:tc>
      </w:tr>
      <w:tr>
        <w:trPr>
          <w:trHeight w:val="233"/>
        </w:trPr>
        <w:tc>
          <w:tcPr>
            <w:tcW w:w="5700" w:type="dxa"/>
            <w:vAlign w:val="bottom"/>
          </w:tcPr>
          <w:p>
            <w:pPr>
              <w:ind w:left="120"/>
              <w:spacing w:after="0" w:line="233" w:lineRule="exact"/>
              <w:rPr>
                <w:sz w:val="20"/>
                <w:szCs w:val="20"/>
                <w:color w:val="auto"/>
              </w:rPr>
            </w:pPr>
            <w:r>
              <w:rPr>
                <w:rFonts w:ascii="Arial" w:cs="Arial" w:eastAsia="Arial" w:hAnsi="Arial"/>
                <w:sz w:val="16"/>
                <w:szCs w:val="16"/>
                <w:color w:val="auto"/>
              </w:rPr>
              <w:t xml:space="preserve">Reinsurance payable </w:t>
            </w:r>
            <w:r>
              <w:rPr>
                <w:rFonts w:ascii="Arial" w:cs="Arial" w:eastAsia="Arial" w:hAnsi="Arial"/>
                <w:sz w:val="27"/>
                <w:szCs w:val="27"/>
                <w:color w:val="auto"/>
                <w:vertAlign w:val="superscript"/>
              </w:rPr>
              <w:t>(1)</w:t>
            </w: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2,333</w:t>
            </w:r>
          </w:p>
        </w:tc>
        <w:tc>
          <w:tcPr>
            <w:tcW w:w="4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20"/>
                <w:szCs w:val="20"/>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988</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1,392</w:t>
            </w:r>
          </w:p>
        </w:tc>
        <w:tc>
          <w:tcPr>
            <w:tcW w:w="80" w:type="dxa"/>
            <w:vAlign w:val="bottom"/>
            <w:shd w:val="clear" w:color="auto" w:fill="CCEEFF"/>
          </w:tcPr>
          <w:p>
            <w:pPr>
              <w:spacing w:after="0"/>
              <w:rPr>
                <w:sz w:val="18"/>
                <w:szCs w:val="18"/>
                <w:color w:val="auto"/>
              </w:rPr>
            </w:pPr>
          </w:p>
        </w:tc>
      </w:tr>
      <w:tr>
        <w:trPr>
          <w:trHeight w:val="18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w:t>
            </w:r>
          </w:p>
        </w:tc>
        <w:tc>
          <w:tcPr>
            <w:tcW w:w="272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28,684</w:t>
            </w:r>
          </w:p>
        </w:tc>
        <w:tc>
          <w:tcPr>
            <w:tcW w:w="22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26,289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9"/>
        </w:trPr>
        <w:tc>
          <w:tcPr>
            <w:tcW w:w="57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5700" w:type="dxa"/>
            <w:vAlign w:val="bottom"/>
          </w:tcPr>
          <w:p>
            <w:pPr>
              <w:spacing w:after="0"/>
              <w:rPr>
                <w:sz w:val="20"/>
                <w:szCs w:val="20"/>
                <w:color w:val="auto"/>
              </w:rPr>
            </w:pPr>
            <w:r>
              <w:rPr>
                <w:rFonts w:ascii="Arial" w:cs="Arial" w:eastAsia="Arial" w:hAnsi="Arial"/>
                <w:sz w:val="16"/>
                <w:szCs w:val="16"/>
                <w:color w:val="auto"/>
              </w:rPr>
              <w:t>Equity:</w:t>
            </w:r>
          </w:p>
        </w:tc>
        <w:tc>
          <w:tcPr>
            <w:tcW w:w="2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3,176</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3,178</w:t>
            </w:r>
          </w:p>
        </w:tc>
        <w:tc>
          <w:tcPr>
            <w:tcW w:w="80" w:type="dxa"/>
            <w:vAlign w:val="bottom"/>
            <w:shd w:val="clear" w:color="auto" w:fill="CCEEFF"/>
          </w:tcPr>
          <w:p>
            <w:pPr>
              <w:spacing w:after="0"/>
              <w:rPr>
                <w:sz w:val="18"/>
                <w:szCs w:val="18"/>
                <w:color w:val="auto"/>
              </w:rPr>
            </w:pPr>
          </w:p>
        </w:tc>
      </w:tr>
      <w:tr>
        <w:trPr>
          <w:trHeight w:val="18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272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22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9"/>
        </w:trPr>
        <w:tc>
          <w:tcPr>
            <w:tcW w:w="57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0"/>
        </w:trPr>
        <w:tc>
          <w:tcPr>
            <w:tcW w:w="570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3200" w:type="dxa"/>
            <w:vAlign w:val="bottom"/>
            <w:gridSpan w:val="2"/>
          </w:tcPr>
          <w:p>
            <w:pPr>
              <w:jc w:val="right"/>
              <w:ind w:right="323"/>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31,860</w:t>
            </w: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29,467</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8" w:lineRule="exact"/>
        <w:rPr>
          <w:sz w:val="20"/>
          <w:szCs w:val="20"/>
          <w:color w:val="auto"/>
        </w:rPr>
      </w:pPr>
    </w:p>
    <w:p>
      <w:pPr>
        <w:ind w:left="682" w:hanging="387"/>
        <w:spacing w:after="0"/>
        <w:tabs>
          <w:tab w:leader="none" w:pos="682"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Amount eliminated in consolidation.</w:t>
      </w:r>
    </w:p>
    <w:p>
      <w:pPr>
        <w:spacing w:after="0" w:line="381" w:lineRule="exact"/>
        <w:rPr>
          <w:sz w:val="20"/>
          <w:szCs w:val="20"/>
          <w:color w:val="auto"/>
        </w:rPr>
      </w:pPr>
    </w:p>
    <w:p>
      <w:pPr>
        <w:ind w:left="22" w:right="260" w:firstLine="576"/>
        <w:spacing w:after="0" w:line="271" w:lineRule="auto"/>
        <w:rPr>
          <w:sz w:val="20"/>
          <w:szCs w:val="20"/>
          <w:color w:val="auto"/>
        </w:rPr>
      </w:pPr>
      <w:r>
        <w:rPr>
          <w:rFonts w:ascii="Arial" w:cs="Arial" w:eastAsia="Arial" w:hAnsi="Arial"/>
          <w:sz w:val="16"/>
          <w:szCs w:val="16"/>
          <w:color w:val="auto"/>
        </w:rPr>
        <w:t>Total statutory revenues and expenses of Battle Creek after intercompany eliminations, which is limited to net investment income and certain miscellaneous other income and expenses, were $36 and $0, respectively, during the three months ended September 30, 2018, and $19 and $0, respectively, during the three months ended September 30, 2017.</w:t>
      </w:r>
    </w:p>
    <w:p>
      <w:pPr>
        <w:spacing w:after="0" w:line="64" w:lineRule="exact"/>
        <w:rPr>
          <w:sz w:val="20"/>
          <w:szCs w:val="20"/>
          <w:color w:val="auto"/>
        </w:rPr>
      </w:pPr>
    </w:p>
    <w:p>
      <w:pPr>
        <w:ind w:left="22" w:right="260" w:firstLine="576"/>
        <w:spacing w:after="0" w:line="271" w:lineRule="auto"/>
        <w:rPr>
          <w:sz w:val="20"/>
          <w:szCs w:val="20"/>
          <w:color w:val="auto"/>
        </w:rPr>
      </w:pPr>
      <w:r>
        <w:rPr>
          <w:rFonts w:ascii="Arial" w:cs="Arial" w:eastAsia="Arial" w:hAnsi="Arial"/>
          <w:sz w:val="16"/>
          <w:szCs w:val="16"/>
          <w:color w:val="auto"/>
        </w:rPr>
        <w:t>Total statutory revenues and expenses of Battle Creek after intercompany eliminations, which is limited to net investment income and certain miscellaneous other income and expenses, were $112 and $0, respectively, during the nine months ended September 30, 2018, and $88 and $0, respectively, during the nine months ended September 30, 2017.</w:t>
      </w:r>
    </w:p>
    <w:p>
      <w:pPr>
        <w:spacing w:after="0" w:line="354" w:lineRule="exact"/>
        <w:rPr>
          <w:sz w:val="20"/>
          <w:szCs w:val="20"/>
          <w:color w:val="auto"/>
        </w:rPr>
      </w:pPr>
    </w:p>
    <w:p>
      <w:pPr>
        <w:ind w:left="582" w:hanging="582"/>
        <w:spacing w:after="0"/>
        <w:tabs>
          <w:tab w:leader="none" w:pos="58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Benefit Plans</w:t>
      </w:r>
    </w:p>
    <w:p>
      <w:pPr>
        <w:spacing w:after="0" w:line="114" w:lineRule="exact"/>
        <w:rPr>
          <w:sz w:val="20"/>
          <w:szCs w:val="20"/>
          <w:color w:val="auto"/>
        </w:rPr>
      </w:pPr>
    </w:p>
    <w:p>
      <w:pPr>
        <w:ind w:left="22" w:right="240" w:firstLine="576"/>
        <w:spacing w:after="0" w:line="271" w:lineRule="auto"/>
        <w:rPr>
          <w:sz w:val="20"/>
          <w:szCs w:val="20"/>
          <w:color w:val="auto"/>
        </w:rPr>
      </w:pPr>
      <w:r>
        <w:rPr>
          <w:rFonts w:ascii="Arial" w:cs="Arial" w:eastAsia="Arial" w:hAnsi="Arial"/>
          <w:sz w:val="16"/>
          <w:szCs w:val="16"/>
          <w:color w:val="auto"/>
        </w:rPr>
        <w:t>The Company sponsors a profit-sharing plan that covers all eligible employees. Plan costs are funded annually as they are earned. The Company’s contribution expense for the profit-sharing plan totaled $255 and $176 during the three months ended September 30, 2018 and 2017, respectively, and totaled $847 and $702 during the nine months ended September 30, 2018 and 2017, respectively.</w:t>
      </w:r>
    </w:p>
    <w:p>
      <w:pPr>
        <w:spacing w:after="0" w:line="64" w:lineRule="exact"/>
        <w:rPr>
          <w:sz w:val="20"/>
          <w:szCs w:val="20"/>
          <w:color w:val="auto"/>
        </w:rPr>
      </w:pPr>
    </w:p>
    <w:p>
      <w:pPr>
        <w:jc w:val="both"/>
        <w:ind w:left="22" w:right="100" w:firstLine="576"/>
        <w:spacing w:after="0" w:line="266" w:lineRule="auto"/>
        <w:rPr>
          <w:sz w:val="20"/>
          <w:szCs w:val="20"/>
          <w:color w:val="auto"/>
        </w:rPr>
      </w:pPr>
      <w:r>
        <w:rPr>
          <w:rFonts w:ascii="Arial" w:cs="Arial" w:eastAsia="Arial" w:hAnsi="Arial"/>
          <w:sz w:val="16"/>
          <w:szCs w:val="16"/>
          <w:color w:val="auto"/>
        </w:rPr>
        <w:t>The Company also sponsors a 401(k) plan with an automatic contribution to all eligible employees and a matching contribution for eligible employees of 50% up to 3% of eligible compensation. The Company’s contributions expense to the 401(k) plan totaled $182 and $115 during the three months ended September 30, 2018 and 2017, respectively, and totaled $421 and $345 during the nine months ended September 30, 2018 and 2017, respectively. All fees associated with both plans are deducted from the eligible employee accounts.</w:t>
      </w:r>
    </w:p>
    <w:p>
      <w:pPr>
        <w:spacing w:after="0" w:line="67"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Deferred Compensation Plan</w:t>
      </w:r>
    </w:p>
    <w:p>
      <w:pPr>
        <w:spacing w:after="0" w:line="110" w:lineRule="exact"/>
        <w:rPr>
          <w:sz w:val="20"/>
          <w:szCs w:val="20"/>
          <w:color w:val="auto"/>
        </w:rPr>
      </w:pPr>
    </w:p>
    <w:p>
      <w:pPr>
        <w:ind w:left="22" w:right="240" w:firstLine="576"/>
        <w:spacing w:after="0" w:line="289" w:lineRule="auto"/>
        <w:rPr>
          <w:sz w:val="20"/>
          <w:szCs w:val="20"/>
          <w:color w:val="auto"/>
        </w:rPr>
      </w:pPr>
      <w:r>
        <w:rPr>
          <w:rFonts w:ascii="Arial" w:cs="Arial" w:eastAsia="Arial" w:hAnsi="Arial"/>
          <w:sz w:val="15"/>
          <w:szCs w:val="15"/>
          <w:color w:val="auto"/>
        </w:rPr>
        <w:t>Effective April 28, 2016, the Board of Directors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beginning in 2017. Funds deposited were $13 and $11 during the three months ended September 30, 2018 and 2017, respectively. Funds deposited were $171 and $128 during the nine months ended September 30, 2018 and 2017, respectively.</w:t>
      </w:r>
    </w:p>
    <w:p>
      <w:pPr>
        <w:spacing w:after="0" w:line="15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sectPr>
      </w:pPr>
    </w:p>
    <w:bookmarkStart w:id="28" w:name="page29"/>
    <w:bookmarkEnd w:id="2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Employee Stock Ownership Plan</w:t>
      </w:r>
    </w:p>
    <w:p>
      <w:pPr>
        <w:spacing w:after="0" w:line="17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pacing w:after="0" w:line="126" w:lineRule="exact"/>
        <w:rPr>
          <w:sz w:val="20"/>
          <w:szCs w:val="20"/>
          <w:color w:val="auto"/>
        </w:rPr>
      </w:pPr>
    </w:p>
    <w:p>
      <w:pPr>
        <w:ind w:right="40" w:firstLine="589"/>
        <w:spacing w:after="0" w:line="266" w:lineRule="auto"/>
        <w:rPr>
          <w:sz w:val="20"/>
          <w:szCs w:val="20"/>
          <w:color w:val="auto"/>
        </w:rPr>
      </w:pPr>
      <w:r>
        <w:rPr>
          <w:rFonts w:ascii="Arial" w:cs="Arial" w:eastAsia="Arial" w:hAnsi="Arial"/>
          <w:sz w:val="16"/>
          <w:szCs w:val="16"/>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29" w:lineRule="exact"/>
        <w:rPr>
          <w:sz w:val="20"/>
          <w:szCs w:val="20"/>
          <w:color w:val="auto"/>
        </w:rPr>
      </w:pPr>
    </w:p>
    <w:p>
      <w:pPr>
        <w:ind w:firstLine="589"/>
        <w:spacing w:after="0" w:line="26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33" w:lineRule="exact"/>
        <w:rPr>
          <w:sz w:val="20"/>
          <w:szCs w:val="20"/>
          <w:color w:val="auto"/>
        </w:rPr>
      </w:pPr>
    </w:p>
    <w:p>
      <w:pPr>
        <w:ind w:right="100" w:firstLine="589"/>
        <w:spacing w:after="0" w:line="271" w:lineRule="auto"/>
        <w:rPr>
          <w:sz w:val="20"/>
          <w:szCs w:val="20"/>
          <w:color w:val="auto"/>
        </w:rPr>
      </w:pPr>
      <w:r>
        <w:rPr>
          <w:rFonts w:ascii="Arial" w:cs="Arial" w:eastAsia="Arial" w:hAnsi="Arial"/>
          <w:sz w:val="16"/>
          <w:szCs w:val="16"/>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and Direct Auto will not participate in the ESOP. American West and Battle Creek have no employees.</w:t>
      </w:r>
    </w:p>
    <w:p>
      <w:pPr>
        <w:spacing w:after="0" w:line="137"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14" w:lineRule="exact"/>
        <w:rPr>
          <w:sz w:val="20"/>
          <w:szCs w:val="20"/>
          <w:color w:val="auto"/>
        </w:rPr>
      </w:pPr>
    </w:p>
    <w:p>
      <w:pPr>
        <w:ind w:right="20" w:firstLine="589"/>
        <w:spacing w:after="0" w:line="263" w:lineRule="auto"/>
        <w:rPr>
          <w:sz w:val="20"/>
          <w:szCs w:val="20"/>
          <w:color w:val="auto"/>
        </w:rPr>
      </w:pPr>
      <w:r>
        <w:rPr>
          <w:rFonts w:ascii="Arial" w:cs="Arial" w:eastAsia="Arial" w:hAnsi="Arial"/>
          <w:sz w:val="16"/>
          <w:szCs w:val="16"/>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33" w:lineRule="exact"/>
        <w:rPr>
          <w:sz w:val="20"/>
          <w:szCs w:val="20"/>
          <w:color w:val="auto"/>
        </w:rPr>
      </w:pPr>
    </w:p>
    <w:p>
      <w:pPr>
        <w:ind w:right="540" w:firstLine="589"/>
        <w:spacing w:after="0" w:line="286" w:lineRule="auto"/>
        <w:rPr>
          <w:sz w:val="20"/>
          <w:szCs w:val="20"/>
          <w:color w:val="auto"/>
        </w:rPr>
      </w:pPr>
      <w:r>
        <w:rPr>
          <w:rFonts w:ascii="Arial" w:cs="Arial" w:eastAsia="Arial" w:hAnsi="Arial"/>
          <w:sz w:val="16"/>
          <w:szCs w:val="16"/>
          <w:color w:val="auto"/>
        </w:rPr>
        <w:t>The Company recognized compensation expense of $100 and $303 during the three and nine months ended September 30, 2018, respectively. The Company recognized compensation expense of $295 and $295 during the three and nine months ended September 30, 2017.</w:t>
      </w:r>
    </w:p>
    <w:p>
      <w:pPr>
        <w:spacing w:after="0" w:line="126"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At December 31, 2017, 24,315 ESOP shares were released and allocated to participants, with a remainder of 215,685 ESOP shares in suspense at both December 31, 2017 and September 30, 2018. Using the Company’s quarter-end market price of $16.87 per share, the fair value of the unearned ESOP shares was $3,639 at September 30, 2018.</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72593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80"/>
          </w:cols>
          <w:pgMar w:left="240" w:top="218" w:right="279" w:bottom="1440" w:gutter="0" w:footer="0" w:header="0"/>
        </w:sectPr>
      </w:pPr>
    </w:p>
    <w:bookmarkStart w:id="29" w:name="page30"/>
    <w:bookmarkEnd w:id="29"/>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89" w:lineRule="exact"/>
        <w:rPr>
          <w:sz w:val="20"/>
          <w:szCs w:val="20"/>
          <w:color w:val="auto"/>
        </w:rPr>
      </w:pPr>
    </w:p>
    <w:p>
      <w:pPr>
        <w:ind w:left="582" w:hanging="582"/>
        <w:spacing w:after="0"/>
        <w:tabs>
          <w:tab w:leader="none" w:pos="582"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Line of Credit</w:t>
      </w:r>
    </w:p>
    <w:p>
      <w:pPr>
        <w:spacing w:after="0" w:line="114" w:lineRule="exact"/>
        <w:rPr>
          <w:sz w:val="20"/>
          <w:szCs w:val="20"/>
          <w:color w:val="auto"/>
        </w:rPr>
      </w:pPr>
    </w:p>
    <w:p>
      <w:pPr>
        <w:ind w:left="22" w:right="140" w:firstLine="576"/>
        <w:spacing w:after="0" w:line="286" w:lineRule="auto"/>
        <w:rPr>
          <w:sz w:val="20"/>
          <w:szCs w:val="20"/>
          <w:color w:val="auto"/>
        </w:rPr>
      </w:pPr>
      <w:r>
        <w:rPr>
          <w:rFonts w:ascii="Arial" w:cs="Arial" w:eastAsia="Arial" w:hAnsi="Arial"/>
          <w:sz w:val="16"/>
          <w:szCs w:val="16"/>
          <w:color w:val="auto"/>
        </w:rPr>
        <w:t>Nodak Insurance has a $3,000 line of credit with Wells Fargo Bank, N.A., of which there were no outstanding amounts as of September 30, 2018 or December 31, 2017. This line of credit is scheduled to expire on November 30, 2018.</w:t>
      </w:r>
    </w:p>
    <w:p>
      <w:pPr>
        <w:spacing w:after="0" w:line="343" w:lineRule="exact"/>
        <w:rPr>
          <w:sz w:val="20"/>
          <w:szCs w:val="20"/>
          <w:color w:val="auto"/>
        </w:rPr>
      </w:pPr>
    </w:p>
    <w:p>
      <w:pPr>
        <w:ind w:left="582" w:hanging="582"/>
        <w:spacing w:after="0"/>
        <w:tabs>
          <w:tab w:leader="none" w:pos="58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14" w:lineRule="exact"/>
        <w:rPr>
          <w:sz w:val="20"/>
          <w:szCs w:val="20"/>
          <w:color w:val="auto"/>
        </w:rPr>
      </w:pPr>
    </w:p>
    <w:p>
      <w:pPr>
        <w:ind w:left="582"/>
        <w:spacing w:after="0"/>
        <w:rPr>
          <w:sz w:val="20"/>
          <w:szCs w:val="20"/>
          <w:color w:val="auto"/>
        </w:rPr>
      </w:pPr>
      <w:r>
        <w:rPr>
          <w:rFonts w:ascii="Arial" w:cs="Arial" w:eastAsia="Arial" w:hAnsi="Arial"/>
          <w:sz w:val="14"/>
          <w:szCs w:val="14"/>
          <w:color w:val="auto"/>
        </w:rPr>
        <w:t>At September 30, 2018 and December 31, 2017, we had no unrecognized tax benefits, no accrued interest and penalties, and no significant uncertain tax positions.</w:t>
      </w:r>
    </w:p>
    <w:p>
      <w:pPr>
        <w:spacing w:after="0" w:line="47" w:lineRule="exact"/>
        <w:rPr>
          <w:sz w:val="20"/>
          <w:szCs w:val="20"/>
          <w:color w:val="auto"/>
        </w:rPr>
      </w:pPr>
    </w:p>
    <w:p>
      <w:pPr>
        <w:ind w:left="22"/>
        <w:spacing w:after="0"/>
        <w:rPr>
          <w:sz w:val="20"/>
          <w:szCs w:val="20"/>
          <w:color w:val="auto"/>
        </w:rPr>
      </w:pPr>
      <w:r>
        <w:rPr>
          <w:rFonts w:ascii="Arial" w:cs="Arial" w:eastAsia="Arial" w:hAnsi="Arial"/>
          <w:sz w:val="16"/>
          <w:szCs w:val="16"/>
          <w:color w:val="auto"/>
        </w:rPr>
        <w:t>No interest and penalties were recognized during the three or nine months ended September 30, 2018 or 2017.</w:t>
      </w:r>
    </w:p>
    <w:p>
      <w:pPr>
        <w:spacing w:after="0" w:line="99" w:lineRule="exact"/>
        <w:rPr>
          <w:sz w:val="20"/>
          <w:szCs w:val="20"/>
          <w:color w:val="auto"/>
        </w:rPr>
      </w:pPr>
    </w:p>
    <w:p>
      <w:pPr>
        <w:jc w:val="both"/>
        <w:ind w:left="2" w:right="260" w:firstLine="577"/>
        <w:spacing w:after="0" w:line="271" w:lineRule="auto"/>
        <w:rPr>
          <w:sz w:val="20"/>
          <w:szCs w:val="20"/>
          <w:color w:val="auto"/>
        </w:rPr>
      </w:pPr>
      <w:r>
        <w:rPr>
          <w:rFonts w:ascii="Arial" w:cs="Arial" w:eastAsia="Arial" w:hAnsi="Arial"/>
          <w:sz w:val="16"/>
          <w:szCs w:val="16"/>
          <w:color w:val="auto"/>
        </w:rPr>
        <w:t>At September 30, 2018 and December 31, 2017, the Company, other than Battle Creek, had no income tax related carryovers for net operating losses, alternative minimum tax credits, or capital losses. Battle Creek, which files its income tax returns on a stand-alone basis, had $4,951 of net operating loss carryover at December 31, 2017. The net operating loss carryforward expires beginning in 2021 through 2030.</w:t>
      </w:r>
    </w:p>
    <w:p>
      <w:pPr>
        <w:spacing w:after="0" w:line="354" w:lineRule="exact"/>
        <w:rPr>
          <w:sz w:val="20"/>
          <w:szCs w:val="20"/>
          <w:color w:val="auto"/>
        </w:rPr>
      </w:pPr>
    </w:p>
    <w:p>
      <w:pPr>
        <w:ind w:left="582" w:hanging="582"/>
        <w:spacing w:after="0"/>
        <w:tabs>
          <w:tab w:leader="none" w:pos="582"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Leases</w:t>
      </w:r>
    </w:p>
    <w:p>
      <w:pPr>
        <w:spacing w:after="0" w:line="114" w:lineRule="exact"/>
        <w:rPr>
          <w:sz w:val="20"/>
          <w:szCs w:val="20"/>
          <w:color w:val="auto"/>
        </w:rPr>
      </w:pPr>
    </w:p>
    <w:p>
      <w:pPr>
        <w:ind w:left="22" w:firstLine="576"/>
        <w:spacing w:after="0" w:line="266" w:lineRule="auto"/>
        <w:rPr>
          <w:sz w:val="20"/>
          <w:szCs w:val="20"/>
          <w:color w:val="auto"/>
        </w:rPr>
      </w:pPr>
      <w:r>
        <w:rPr>
          <w:rFonts w:ascii="Arial" w:cs="Arial" w:eastAsia="Arial" w:hAnsi="Arial"/>
          <w:sz w:val="16"/>
          <w:szCs w:val="16"/>
          <w:color w:val="auto"/>
        </w:rPr>
        <w:t>Our Primero subsidiary leases a facility in Spearfish, South Dakota under a non-cancellable operating lease expiring in 2023. Our Direct Auto subsidiary leases a facility in Chicago, Illinois under a non-cancellable operating lease expiring in 2020. We leased equipment and software under non-cancellable operating leases expiring at various times in 2017. There were expenses of $35 and $15 related to these leases during the three months ended September 30, 2018 and 2017, and expenses of $65 and $65 during the nine months ended September 30, 2018 and 2017, respectively.</w:t>
      </w:r>
    </w:p>
    <w:p>
      <w:pPr>
        <w:spacing w:after="0" w:line="67" w:lineRule="exact"/>
        <w:rPr>
          <w:sz w:val="20"/>
          <w:szCs w:val="20"/>
          <w:color w:val="auto"/>
        </w:rPr>
      </w:pPr>
    </w:p>
    <w:tbl>
      <w:tblPr>
        <w:tblLayout w:type="fixed"/>
        <w:tblInd w:w="582" w:type="dxa"/>
        <w:tblCellMar>
          <w:top w:w="0" w:type="dxa"/>
          <w:left w:w="0" w:type="dxa"/>
          <w:bottom w:w="0" w:type="dxa"/>
          <w:right w:w="0" w:type="dxa"/>
        </w:tblCellMar>
      </w:tblPr>
      <w:tr>
        <w:trPr>
          <w:trHeight w:val="208"/>
        </w:trPr>
        <w:tc>
          <w:tcPr>
            <w:tcW w:w="7800" w:type="dxa"/>
            <w:vAlign w:val="bottom"/>
            <w:gridSpan w:val="2"/>
          </w:tcPr>
          <w:p>
            <w:pPr>
              <w:spacing w:after="0"/>
              <w:rPr>
                <w:sz w:val="20"/>
                <w:szCs w:val="20"/>
                <w:color w:val="auto"/>
              </w:rPr>
            </w:pPr>
            <w:r>
              <w:rPr>
                <w:rFonts w:ascii="Arial" w:cs="Arial" w:eastAsia="Arial" w:hAnsi="Arial"/>
                <w:sz w:val="16"/>
                <w:szCs w:val="16"/>
                <w:color w:val="auto"/>
              </w:rPr>
              <w:t>As of September 30, 2018, we have minimum future commitments under non-cancellable leases as follows: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9"/>
        </w:trPr>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Estimated Future</w:t>
            </w:r>
          </w:p>
        </w:tc>
      </w:tr>
      <w:tr>
        <w:trPr>
          <w:trHeight w:val="212"/>
        </w:trPr>
        <w:tc>
          <w:tcPr>
            <w:tcW w:w="7800" w:type="dxa"/>
            <w:vAlign w:val="bottom"/>
            <w:gridSpan w:val="2"/>
          </w:tcPr>
          <w:p>
            <w:pPr>
              <w:ind w:left="560"/>
              <w:spacing w:after="0"/>
              <w:rPr>
                <w:sz w:val="20"/>
                <w:szCs w:val="20"/>
                <w:color w:val="auto"/>
              </w:rPr>
            </w:pPr>
            <w:r>
              <w:rPr>
                <w:rFonts w:ascii="Arial" w:cs="Arial" w:eastAsia="Arial" w:hAnsi="Arial"/>
                <w:sz w:val="16"/>
                <w:szCs w:val="16"/>
                <w:b w:val="1"/>
                <w:bCs w:val="1"/>
                <w:color w:val="auto"/>
              </w:rPr>
              <w:t>Year ending December 31,</w:t>
            </w:r>
          </w:p>
        </w:tc>
        <w:tc>
          <w:tcPr>
            <w:tcW w:w="1900" w:type="dxa"/>
            <w:vAlign w:val="bottom"/>
            <w:gridSpan w:val="4"/>
          </w:tcPr>
          <w:p>
            <w:pPr>
              <w:ind w:left="80"/>
              <w:spacing w:after="0"/>
              <w:rPr>
                <w:sz w:val="20"/>
                <w:szCs w:val="20"/>
                <w:color w:val="auto"/>
              </w:rPr>
            </w:pPr>
            <w:r>
              <w:rPr>
                <w:rFonts w:ascii="Arial" w:cs="Arial" w:eastAsia="Arial" w:hAnsi="Arial"/>
                <w:sz w:val="16"/>
                <w:szCs w:val="16"/>
                <w:b w:val="1"/>
                <w:bCs w:val="1"/>
                <w:color w:val="auto"/>
                <w:w w:val="99"/>
              </w:rPr>
              <w:t>Minimum Commitments</w:t>
            </w:r>
          </w:p>
        </w:tc>
      </w:tr>
      <w:tr>
        <w:trPr>
          <w:trHeight w:val="189"/>
        </w:trPr>
        <w:tc>
          <w:tcPr>
            <w:tcW w:w="580" w:type="dxa"/>
            <w:vAlign w:val="bottom"/>
          </w:tcPr>
          <w:p>
            <w:pPr>
              <w:spacing w:after="0"/>
              <w:rPr>
                <w:sz w:val="16"/>
                <w:szCs w:val="16"/>
                <w:color w:val="auto"/>
              </w:rPr>
            </w:pPr>
          </w:p>
        </w:tc>
        <w:tc>
          <w:tcPr>
            <w:tcW w:w="72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Remaining 2018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top w:val="single" w:sz="8" w:color="CCEEFF"/>
            </w:tcBorders>
            <w:shd w:val="clear" w:color="auto" w:fill="CCEEFF"/>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7"/>
                <w:szCs w:val="17"/>
                <w:color w:val="auto"/>
              </w:rPr>
            </w:pPr>
          </w:p>
        </w:tc>
      </w:tr>
      <w:tr>
        <w:trPr>
          <w:trHeight w:val="208"/>
        </w:trPr>
        <w:tc>
          <w:tcPr>
            <w:tcW w:w="58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r>
    </w:tbl>
    <w:p>
      <w:pPr>
        <w:spacing w:after="0" w:line="74" w:lineRule="exact"/>
        <w:rPr>
          <w:sz w:val="20"/>
          <w:szCs w:val="20"/>
          <w:color w:val="auto"/>
        </w:rPr>
      </w:pPr>
    </w:p>
    <w:p>
      <w:pPr>
        <w:ind w:left="582"/>
        <w:spacing w:after="0"/>
        <w:rPr>
          <w:sz w:val="20"/>
          <w:szCs w:val="20"/>
          <w:color w:val="auto"/>
        </w:rPr>
      </w:pPr>
      <w:r>
        <w:rPr>
          <w:rFonts w:ascii="Arial" w:cs="Arial" w:eastAsia="Arial" w:hAnsi="Arial"/>
          <w:sz w:val="16"/>
          <w:szCs w:val="16"/>
          <w:color w:val="auto"/>
        </w:rPr>
        <w:t>We also sub-lease portions of our home office building under non-cancellable operating leases.</w:t>
      </w:r>
    </w:p>
    <w:p>
      <w:pPr>
        <w:spacing w:after="0" w:line="200" w:lineRule="exact"/>
        <w:rPr>
          <w:sz w:val="20"/>
          <w:szCs w:val="20"/>
          <w:color w:val="auto"/>
        </w:rPr>
      </w:pPr>
    </w:p>
    <w:p>
      <w:pPr>
        <w:spacing w:after="0" w:line="201" w:lineRule="exact"/>
        <w:rPr>
          <w:sz w:val="20"/>
          <w:szCs w:val="20"/>
          <w:color w:val="auto"/>
        </w:rPr>
      </w:pPr>
    </w:p>
    <w:p>
      <w:pPr>
        <w:ind w:left="582" w:hanging="582"/>
        <w:spacing w:after="0"/>
        <w:tabs>
          <w:tab w:leader="none" w:pos="582"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Contingencies</w:t>
      </w:r>
    </w:p>
    <w:p>
      <w:pPr>
        <w:spacing w:after="0" w:line="114" w:lineRule="exact"/>
        <w:rPr>
          <w:sz w:val="20"/>
          <w:szCs w:val="20"/>
          <w:color w:val="auto"/>
        </w:rPr>
      </w:pPr>
    </w:p>
    <w:p>
      <w:pPr>
        <w:ind w:left="22" w:right="260" w:firstLine="576"/>
        <w:spacing w:after="0" w:line="286" w:lineRule="auto"/>
        <w:rPr>
          <w:sz w:val="20"/>
          <w:szCs w:val="20"/>
          <w:color w:val="auto"/>
        </w:rPr>
      </w:pPr>
      <w:r>
        <w:rPr>
          <w:rFonts w:ascii="Arial" w:cs="Arial" w:eastAsia="Arial" w:hAnsi="Arial"/>
          <w:sz w:val="16"/>
          <w:szCs w:val="16"/>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52" w:lineRule="exact"/>
        <w:rPr>
          <w:sz w:val="20"/>
          <w:szCs w:val="20"/>
          <w:color w:val="auto"/>
        </w:rPr>
      </w:pPr>
    </w:p>
    <w:p>
      <w:pPr>
        <w:ind w:left="2" w:right="380" w:firstLine="577"/>
        <w:spacing w:after="0" w:line="286" w:lineRule="auto"/>
        <w:rPr>
          <w:sz w:val="20"/>
          <w:szCs w:val="20"/>
          <w:color w:val="auto"/>
        </w:rPr>
      </w:pPr>
      <w:r>
        <w:rPr>
          <w:rFonts w:ascii="Arial" w:cs="Arial" w:eastAsia="Arial" w:hAnsi="Arial"/>
          <w:sz w:val="16"/>
          <w:szCs w:val="16"/>
          <w:color w:val="auto"/>
        </w:rPr>
        <w:t>The Company does not have any unrecorded or potential contingent liabilities or material commitments requiring the use of assets as of September 30, 2018 or December 31, 2017.</w:t>
      </w:r>
    </w:p>
    <w:p>
      <w:pPr>
        <w:spacing w:after="0" w:line="200" w:lineRule="exact"/>
        <w:rPr>
          <w:sz w:val="20"/>
          <w:szCs w:val="20"/>
          <w:color w:val="auto"/>
        </w:rPr>
      </w:pPr>
    </w:p>
    <w:p>
      <w:pPr>
        <w:spacing w:after="0" w:line="245" w:lineRule="exact"/>
        <w:rPr>
          <w:sz w:val="20"/>
          <w:szCs w:val="20"/>
          <w:color w:val="auto"/>
        </w:rPr>
      </w:pPr>
    </w:p>
    <w:p>
      <w:pPr>
        <w:jc w:val="center"/>
        <w:ind w:right="-10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62"/>
          </w:cols>
          <w:pgMar w:left="238" w:top="218" w:right="299" w:bottom="1440" w:gutter="0" w:footer="0" w:header="0"/>
        </w:sectPr>
      </w:pPr>
    </w:p>
    <w:bookmarkStart w:id="30" w:name="page31"/>
    <w:bookmarkEnd w:id="30"/>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89"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00" w:type="dxa"/>
            <w:vAlign w:val="bottom"/>
          </w:tcPr>
          <w:p>
            <w:pPr>
              <w:spacing w:after="0"/>
              <w:rPr>
                <w:sz w:val="20"/>
                <w:szCs w:val="20"/>
                <w:color w:val="auto"/>
              </w:rPr>
            </w:pPr>
            <w:r>
              <w:rPr>
                <w:rFonts w:ascii="Arial" w:cs="Arial" w:eastAsia="Arial" w:hAnsi="Arial"/>
                <w:sz w:val="16"/>
                <w:szCs w:val="16"/>
                <w:b w:val="1"/>
                <w:bCs w:val="1"/>
                <w:color w:val="auto"/>
              </w:rPr>
              <w:t>18.</w:t>
            </w:r>
          </w:p>
        </w:tc>
        <w:tc>
          <w:tcPr>
            <w:tcW w:w="8540" w:type="dxa"/>
            <w:vAlign w:val="bottom"/>
          </w:tcPr>
          <w:p>
            <w:pPr>
              <w:ind w:left="180"/>
              <w:spacing w:after="0"/>
              <w:rPr>
                <w:sz w:val="20"/>
                <w:szCs w:val="20"/>
                <w:color w:val="auto"/>
              </w:rPr>
            </w:pPr>
            <w:r>
              <w:rPr>
                <w:rFonts w:ascii="Arial" w:cs="Arial" w:eastAsia="Arial" w:hAnsi="Arial"/>
                <w:sz w:val="16"/>
                <w:szCs w:val="16"/>
                <w:b w:val="1"/>
                <w:bCs w:val="1"/>
                <w:color w:val="auto"/>
              </w:rPr>
              <w:t>Common Stock</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6"/>
        </w:trPr>
        <w:tc>
          <w:tcPr>
            <w:tcW w:w="400" w:type="dxa"/>
            <w:vAlign w:val="bottom"/>
          </w:tcPr>
          <w:p>
            <w:pPr>
              <w:spacing w:after="0"/>
              <w:rPr>
                <w:sz w:val="24"/>
                <w:szCs w:val="24"/>
                <w:color w:val="auto"/>
              </w:rPr>
            </w:pPr>
          </w:p>
        </w:tc>
        <w:tc>
          <w:tcPr>
            <w:tcW w:w="8540" w:type="dxa"/>
            <w:vAlign w:val="bottom"/>
          </w:tcPr>
          <w:p>
            <w:pPr>
              <w:ind w:left="180"/>
              <w:spacing w:after="0"/>
              <w:rPr>
                <w:sz w:val="20"/>
                <w:szCs w:val="20"/>
                <w:color w:val="auto"/>
              </w:rPr>
            </w:pPr>
            <w:r>
              <w:rPr>
                <w:rFonts w:ascii="Arial" w:cs="Arial" w:eastAsia="Arial" w:hAnsi="Arial"/>
                <w:sz w:val="16"/>
                <w:szCs w:val="16"/>
                <w:color w:val="auto"/>
              </w:rPr>
              <w:t>Changes in the number of common stock shares outstanding are as follows: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1"/>
        </w:trPr>
        <w:tc>
          <w:tcPr>
            <w:tcW w:w="4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48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01"/>
        </w:trPr>
        <w:tc>
          <w:tcPr>
            <w:tcW w:w="400" w:type="dxa"/>
            <w:vAlign w:val="bottom"/>
            <w:tcBorders>
              <w:bottom w:val="single" w:sz="8" w:color="CCEEFF"/>
            </w:tcBorders>
          </w:tcPr>
          <w:p>
            <w:pPr>
              <w:spacing w:after="0"/>
              <w:rPr>
                <w:sz w:val="17"/>
                <w:szCs w:val="17"/>
                <w:color w:val="auto"/>
              </w:rPr>
            </w:pPr>
          </w:p>
        </w:tc>
        <w:tc>
          <w:tcPr>
            <w:tcW w:w="85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9"/>
        </w:trPr>
        <w:tc>
          <w:tcPr>
            <w:tcW w:w="8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outstanding, beginning of period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22,337,644</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6"/>
                <w:szCs w:val="16"/>
                <w:color w:val="auto"/>
              </w:rPr>
            </w:pPr>
          </w:p>
        </w:tc>
      </w:tr>
      <w:tr>
        <w:trPr>
          <w:trHeight w:val="196"/>
        </w:trPr>
        <w:tc>
          <w:tcPr>
            <w:tcW w:w="8940" w:type="dxa"/>
            <w:vAlign w:val="bottom"/>
            <w:gridSpan w:val="2"/>
          </w:tcPr>
          <w:p>
            <w:pPr>
              <w:ind w:left="120"/>
              <w:spacing w:after="0"/>
              <w:rPr>
                <w:sz w:val="20"/>
                <w:szCs w:val="20"/>
                <w:color w:val="auto"/>
              </w:rPr>
            </w:pPr>
            <w:r>
              <w:rPr>
                <w:rFonts w:ascii="Arial" w:cs="Arial" w:eastAsia="Arial" w:hAnsi="Arial"/>
                <w:sz w:val="16"/>
                <w:szCs w:val="16"/>
                <w:color w:val="auto"/>
              </w:rPr>
              <w:t>Initial public offering</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23,000,000</w:t>
            </w:r>
          </w:p>
        </w:tc>
        <w:tc>
          <w:tcPr>
            <w:tcW w:w="80" w:type="dxa"/>
            <w:vAlign w:val="bottom"/>
          </w:tcPr>
          <w:p>
            <w:pPr>
              <w:spacing w:after="0"/>
              <w:rPr>
                <w:sz w:val="17"/>
                <w:szCs w:val="17"/>
                <w:color w:val="auto"/>
              </w:rPr>
            </w:pPr>
          </w:p>
        </w:tc>
      </w:tr>
      <w:tr>
        <w:trPr>
          <w:trHeight w:val="196"/>
        </w:trPr>
        <w:tc>
          <w:tcPr>
            <w:tcW w:w="8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repurchased related to employee stock ownership plan</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(240,000)</w:t>
            </w:r>
          </w:p>
        </w:tc>
      </w:tr>
      <w:tr>
        <w:trPr>
          <w:trHeight w:val="196"/>
        </w:trPr>
        <w:tc>
          <w:tcPr>
            <w:tcW w:w="8940" w:type="dxa"/>
            <w:vAlign w:val="bottom"/>
            <w:gridSpan w:val="2"/>
          </w:tcPr>
          <w:p>
            <w:pPr>
              <w:ind w:left="120"/>
              <w:spacing w:after="0"/>
              <w:rPr>
                <w:sz w:val="20"/>
                <w:szCs w:val="20"/>
                <w:color w:val="auto"/>
              </w:rPr>
            </w:pPr>
            <w:r>
              <w:rPr>
                <w:rFonts w:ascii="Arial" w:cs="Arial" w:eastAsia="Arial" w:hAnsi="Arial"/>
                <w:sz w:val="16"/>
                <w:szCs w:val="16"/>
                <w:color w:val="auto"/>
              </w:rPr>
              <w:t>Treasury shares repurchased through stock repurchase authorization</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(446,671)</w:t>
            </w:r>
          </w:p>
        </w:tc>
      </w:tr>
      <w:tr>
        <w:trPr>
          <w:trHeight w:val="209"/>
        </w:trPr>
        <w:tc>
          <w:tcPr>
            <w:tcW w:w="8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Issuance of treasury shares for vesting of restricted stock units</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22,200</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0"/>
        </w:trPr>
        <w:tc>
          <w:tcPr>
            <w:tcW w:w="8940" w:type="dxa"/>
            <w:vAlign w:val="bottom"/>
            <w:gridSpan w:val="2"/>
          </w:tcPr>
          <w:p>
            <w:pPr>
              <w:spacing w:after="0"/>
              <w:rPr>
                <w:sz w:val="20"/>
                <w:szCs w:val="20"/>
                <w:color w:val="auto"/>
              </w:rPr>
            </w:pPr>
            <w:r>
              <w:rPr>
                <w:rFonts w:ascii="Arial" w:cs="Arial" w:eastAsia="Arial" w:hAnsi="Arial"/>
                <w:sz w:val="16"/>
                <w:szCs w:val="16"/>
                <w:color w:val="auto"/>
              </w:rPr>
              <w:t>Shares outstanding, end of period</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22,359,844</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22,313,329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Note: Shares were not available prior to the Company’s initial public offering in March 2017.</w:t>
      </w:r>
    </w:p>
    <w:p>
      <w:pPr>
        <w:spacing w:after="0" w:line="368" w:lineRule="exact"/>
        <w:rPr>
          <w:sz w:val="20"/>
          <w:szCs w:val="20"/>
          <w:color w:val="auto"/>
        </w:rPr>
      </w:pPr>
    </w:p>
    <w:p>
      <w:pPr>
        <w:ind w:left="2" w:right="240" w:firstLine="589"/>
        <w:spacing w:after="0" w:line="271" w:lineRule="auto"/>
        <w:rPr>
          <w:sz w:val="20"/>
          <w:szCs w:val="20"/>
          <w:color w:val="auto"/>
        </w:rPr>
      </w:pPr>
      <w:r>
        <w:rPr>
          <w:rFonts w:ascii="Arial" w:cs="Arial" w:eastAsia="Arial" w:hAnsi="Arial"/>
          <w:sz w:val="16"/>
          <w:szCs w:val="16"/>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December 31, 2017.</w:t>
      </w:r>
    </w:p>
    <w:p>
      <w:pPr>
        <w:spacing w:after="0" w:line="125" w:lineRule="exact"/>
        <w:rPr>
          <w:sz w:val="20"/>
          <w:szCs w:val="20"/>
          <w:color w:val="auto"/>
        </w:rPr>
      </w:pPr>
    </w:p>
    <w:p>
      <w:pPr>
        <w:ind w:left="2" w:right="520" w:firstLine="589"/>
        <w:spacing w:after="0" w:line="286" w:lineRule="auto"/>
        <w:rPr>
          <w:sz w:val="20"/>
          <w:szCs w:val="20"/>
          <w:color w:val="auto"/>
        </w:rPr>
      </w:pPr>
      <w:r>
        <w:rPr>
          <w:rFonts w:ascii="Arial" w:cs="Arial" w:eastAsia="Arial" w:hAnsi="Arial"/>
          <w:sz w:val="16"/>
          <w:szCs w:val="16"/>
          <w:color w:val="auto"/>
        </w:rPr>
        <w:t>On February 28, 2018, our Board of Directors approved an authorization for the repurchase of up to approximately $10 million of the Company’s outstanding common stock. No shares of our common stock have been repurchased under this authorization.</w:t>
      </w:r>
    </w:p>
    <w:p>
      <w:pPr>
        <w:spacing w:after="0" w:line="200" w:lineRule="exact"/>
        <w:rPr>
          <w:sz w:val="20"/>
          <w:szCs w:val="20"/>
          <w:color w:val="auto"/>
        </w:rPr>
      </w:pPr>
    </w:p>
    <w:p>
      <w:pPr>
        <w:spacing w:after="0" w:line="277" w:lineRule="exact"/>
        <w:rPr>
          <w:sz w:val="20"/>
          <w:szCs w:val="20"/>
          <w:color w:val="auto"/>
        </w:rPr>
      </w:pPr>
    </w:p>
    <w:p>
      <w:pPr>
        <w:ind w:left="582" w:hanging="582"/>
        <w:spacing w:after="0"/>
        <w:tabs>
          <w:tab w:leader="none" w:pos="58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Stock Based Compensation</w:t>
      </w:r>
    </w:p>
    <w:p>
      <w:pPr>
        <w:spacing w:after="0" w:line="176" w:lineRule="exact"/>
        <w:rPr>
          <w:sz w:val="20"/>
          <w:szCs w:val="20"/>
          <w:color w:val="auto"/>
        </w:rPr>
      </w:pPr>
    </w:p>
    <w:p>
      <w:pPr>
        <w:ind w:left="2" w:right="80" w:firstLine="589"/>
        <w:spacing w:after="0" w:line="263" w:lineRule="auto"/>
        <w:rPr>
          <w:sz w:val="20"/>
          <w:szCs w:val="20"/>
          <w:color w:val="auto"/>
        </w:rPr>
      </w:pPr>
      <w:r>
        <w:rPr>
          <w:rFonts w:ascii="Arial" w:cs="Arial" w:eastAsia="Arial" w:hAnsi="Arial"/>
          <w:sz w:val="16"/>
          <w:szCs w:val="16"/>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45" w:lineRule="exact"/>
        <w:rPr>
          <w:sz w:val="20"/>
          <w:szCs w:val="20"/>
          <w:color w:val="auto"/>
        </w:rPr>
      </w:pPr>
    </w:p>
    <w:p>
      <w:pPr>
        <w:ind w:left="2" w:right="100" w:firstLine="589"/>
        <w:spacing w:after="0" w:line="266" w:lineRule="auto"/>
        <w:rPr>
          <w:sz w:val="20"/>
          <w:szCs w:val="20"/>
          <w:color w:val="auto"/>
        </w:rPr>
      </w:pPr>
      <w:r>
        <w:rPr>
          <w:rFonts w:ascii="Arial" w:cs="Arial" w:eastAsia="Arial" w:hAnsi="Arial"/>
          <w:sz w:val="16"/>
          <w:szCs w:val="16"/>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29" w:lineRule="exact"/>
        <w:rPr>
          <w:sz w:val="20"/>
          <w:szCs w:val="20"/>
          <w:color w:val="auto"/>
        </w:rPr>
      </w:pPr>
    </w:p>
    <w:p>
      <w:pPr>
        <w:ind w:left="2" w:firstLine="589"/>
        <w:spacing w:after="0" w:line="285" w:lineRule="auto"/>
        <w:rPr>
          <w:sz w:val="20"/>
          <w:szCs w:val="20"/>
          <w:color w:val="auto"/>
        </w:rPr>
      </w:pPr>
      <w:r>
        <w:rPr>
          <w:rFonts w:ascii="Arial" w:cs="Arial" w:eastAsia="Arial" w:hAnsi="Arial"/>
          <w:sz w:val="15"/>
          <w:szCs w:val="15"/>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17"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84" w:lineRule="exact"/>
        <w:rPr>
          <w:sz w:val="20"/>
          <w:szCs w:val="20"/>
          <w:color w:val="auto"/>
        </w:rPr>
      </w:pPr>
    </w:p>
    <w:p>
      <w:pPr>
        <w:ind w:left="2" w:right="20" w:firstLine="589"/>
        <w:spacing w:after="0" w:line="263" w:lineRule="auto"/>
        <w:rPr>
          <w:sz w:val="20"/>
          <w:szCs w:val="20"/>
          <w:color w:val="auto"/>
        </w:rPr>
      </w:pPr>
      <w:r>
        <w:rPr>
          <w:rFonts w:ascii="Arial" w:cs="Arial" w:eastAsia="Arial" w:hAnsi="Arial"/>
          <w:sz w:val="16"/>
          <w:szCs w:val="16"/>
          <w:color w:val="auto"/>
        </w:rPr>
        <w:t>On December 1, 2017, the Compensation Committee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in May 2018. Dividend equivalents on RSUs are accrued during the vesting period and paid in cash at the end of the vesting period, but are subject to forfeiture until the underlying shares become vested. Participants do not have voting rights with respect to RSUs. On March 1, 2018, the first tranche of executive RSUs vested.</w:t>
      </w:r>
    </w:p>
    <w:p>
      <w:pPr>
        <w:spacing w:after="0" w:line="13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On March 1, 2018, the Compensation Committee awarded additional RSUs to select executives with the same terms as the previous awards.</w:t>
      </w:r>
    </w:p>
    <w:p>
      <w:pPr>
        <w:spacing w:after="0" w:line="20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2"/>
          </w:cols>
          <w:pgMar w:left="238" w:top="218" w:right="239" w:bottom="1440" w:gutter="0" w:footer="0" w:header="0"/>
        </w:sectPr>
      </w:pPr>
    </w:p>
    <w:bookmarkStart w:id="31" w:name="page32"/>
    <w:bookmarkEnd w:id="31"/>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7" w:lineRule="exact"/>
        <w:rPr>
          <w:sz w:val="20"/>
          <w:szCs w:val="20"/>
          <w:color w:val="auto"/>
        </w:rPr>
      </w:pPr>
    </w:p>
    <w:p>
      <w:pPr>
        <w:ind w:right="280" w:firstLine="589"/>
        <w:spacing w:after="0" w:line="286" w:lineRule="auto"/>
        <w:rPr>
          <w:sz w:val="20"/>
          <w:szCs w:val="20"/>
          <w:color w:val="auto"/>
        </w:rPr>
      </w:pPr>
      <w:r>
        <w:rPr>
          <w:rFonts w:ascii="Arial" w:cs="Arial" w:eastAsia="Arial" w:hAnsi="Arial"/>
          <w:sz w:val="16"/>
          <w:szCs w:val="16"/>
          <w:color w:val="auto"/>
        </w:rPr>
        <w:t>On May 22, 2018, the RSUs awarded to non-employee directors vested. Additional RSUs were awarded to non-employee directors to vest on the date of the next annual meeting of shareholders.</w:t>
      </w:r>
    </w:p>
    <w:p>
      <w:pPr>
        <w:spacing w:after="0" w:line="113"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The Company recognizes stock-based compensation costs based on the grant date fair value over the vesting period of the awards. Estimated forfeitures are included in the determination of compensation costs. No forfeitures are currently estimated.</w:t>
      </w:r>
    </w:p>
    <w:p>
      <w:pPr>
        <w:sectPr>
          <w:pgSz w:w="11900" w:h="16838" w:orient="portrait"/>
          <w:cols w:equalWidth="0" w:num="1">
            <w:col w:w="11420"/>
          </w:cols>
          <w:pgMar w:left="240" w:top="218" w:right="239" w:bottom="1440" w:gutter="0" w:footer="0" w:header="0"/>
        </w:sectPr>
      </w:pPr>
    </w:p>
    <w:p>
      <w:pPr>
        <w:spacing w:after="0" w:line="12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 summary of the Company’s outstanding RSUs for the nine months ended September 30, 2018,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Units outstanding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259320" cy="132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Grants</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Units outstanding at September 30, 2018</w:t>
      </w:r>
    </w:p>
    <w:p>
      <w:pPr>
        <w:spacing w:after="0" w:line="2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Average Grant-</w:t>
            </w: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r>
      <w:tr>
        <w:trPr>
          <w:trHeight w:val="196"/>
        </w:trPr>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Fair Value</w:t>
            </w:r>
          </w:p>
        </w:tc>
      </w:tr>
      <w:tr>
        <w:trPr>
          <w:trHeight w:val="224"/>
        </w:trPr>
        <w:tc>
          <w:tcPr>
            <w:tcW w:w="11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Per Share</w:t>
            </w:r>
          </w:p>
        </w:tc>
      </w:tr>
      <w:tr>
        <w:trPr>
          <w:trHeight w:val="177"/>
        </w:trPr>
        <w:tc>
          <w:tcPr>
            <w:tcW w:w="10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65,500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17.31</w:t>
            </w:r>
          </w:p>
        </w:tc>
        <w:tc>
          <w:tcPr>
            <w:tcW w:w="20" w:type="dxa"/>
            <w:vAlign w:val="bottom"/>
          </w:tcPr>
          <w:p>
            <w:pPr>
              <w:spacing w:after="0"/>
              <w:rPr>
                <w:sz w:val="15"/>
                <w:szCs w:val="15"/>
                <w:color w:val="auto"/>
              </w:rPr>
            </w:pPr>
          </w:p>
        </w:tc>
      </w:tr>
      <w:tr>
        <w:trPr>
          <w:trHeight w:val="196"/>
        </w:trPr>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16.25</w:t>
            </w:r>
          </w:p>
        </w:tc>
      </w:tr>
      <w:tr>
        <w:trPr>
          <w:trHeight w:val="220"/>
        </w:trPr>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(26,200)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17.31</w:t>
            </w:r>
          </w:p>
        </w:tc>
      </w:tr>
      <w:tr>
        <w:trPr>
          <w:trHeight w:val="201"/>
        </w:trPr>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79,300</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16.88</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7" w:lineRule="exact"/>
        <w:rPr>
          <w:sz w:val="20"/>
          <w:szCs w:val="20"/>
          <w:color w:val="auto"/>
        </w:rPr>
      </w:pPr>
    </w:p>
    <w:p>
      <w:pPr>
        <w:sectPr>
          <w:pgSz w:w="11900" w:h="16838" w:orient="portrait"/>
          <w:cols w:equalWidth="0" w:num="2">
            <w:col w:w="8280" w:space="720"/>
            <w:col w:w="2420"/>
          </w:cols>
          <w:pgMar w:left="240" w:top="218"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4180" w:type="dxa"/>
            <w:vAlign w:val="bottom"/>
            <w:gridSpan w:val="7"/>
          </w:tcPr>
          <w:p>
            <w:pPr>
              <w:ind w:left="1460"/>
              <w:spacing w:after="0"/>
              <w:rPr>
                <w:sz w:val="20"/>
                <w:szCs w:val="20"/>
                <w:color w:val="auto"/>
              </w:rPr>
            </w:pPr>
            <w:r>
              <w:rPr>
                <w:rFonts w:ascii="Arial" w:cs="Arial" w:eastAsia="Arial" w:hAnsi="Arial"/>
                <w:sz w:val="16"/>
                <w:szCs w:val="16"/>
                <w:b w:val="1"/>
                <w:bCs w:val="1"/>
                <w:color w:val="auto"/>
                <w:w w:val="99"/>
              </w:rPr>
              <w:t>Three Months Ended September 30,</w:t>
            </w: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47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RSU compensation expense</w:t>
            </w:r>
          </w:p>
        </w:tc>
        <w:tc>
          <w:tcPr>
            <w:tcW w:w="1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6"/>
                <w:szCs w:val="16"/>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6"/>
                <w:szCs w:val="16"/>
                <w:color w:val="auto"/>
              </w:rPr>
              <w:t>Income tax benefit</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1"/>
        </w:trPr>
        <w:tc>
          <w:tcPr>
            <w:tcW w:w="47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RSU compensation expense, net of income taxes</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Note: Share-based compensation was not available prior to the Company’s initial public offering in March 2017.</w:t>
      </w:r>
    </w:p>
    <w:p>
      <w:pPr>
        <w:spacing w:after="0" w:line="209" w:lineRule="exact"/>
        <w:rPr>
          <w:sz w:val="20"/>
          <w:szCs w:val="20"/>
          <w:color w:val="auto"/>
        </w:rPr>
      </w:pPr>
    </w:p>
    <w:p>
      <w:pPr>
        <w:ind w:right="300" w:firstLine="589"/>
        <w:spacing w:after="0" w:line="286" w:lineRule="auto"/>
        <w:rPr>
          <w:sz w:val="20"/>
          <w:szCs w:val="20"/>
          <w:color w:val="auto"/>
        </w:rPr>
      </w:pPr>
      <w:r>
        <w:rPr>
          <w:rFonts w:ascii="Arial" w:cs="Arial" w:eastAsia="Arial" w:hAnsi="Arial"/>
          <w:sz w:val="16"/>
          <w:szCs w:val="16"/>
          <w:color w:val="auto"/>
        </w:rPr>
        <w:t>At September 30, 2018, there was $836 of unrecognized compensation cost related to outstanding RSUs. That cost is expected to be recognized over a weighted-average period of 3.43 years.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72" w:lineRule="exact"/>
        <w:rPr>
          <w:sz w:val="20"/>
          <w:szCs w:val="20"/>
          <w:color w:val="auto"/>
        </w:rPr>
      </w:pPr>
    </w:p>
    <w:p>
      <w:pPr>
        <w:ind w:firstLine="589"/>
        <w:spacing w:after="0" w:line="309" w:lineRule="auto"/>
        <w:rPr>
          <w:sz w:val="20"/>
          <w:szCs w:val="20"/>
          <w:color w:val="auto"/>
        </w:rPr>
      </w:pPr>
      <w:r>
        <w:rPr>
          <w:rFonts w:ascii="Arial" w:cs="Arial" w:eastAsia="Arial" w:hAnsi="Arial"/>
          <w:sz w:val="14"/>
          <w:szCs w:val="14"/>
          <w:color w:val="auto"/>
        </w:rPr>
        <w:t>On March 1, 2018, the Compensation Committee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04" w:lineRule="exact"/>
        <w:rPr>
          <w:sz w:val="20"/>
          <w:szCs w:val="20"/>
          <w:color w:val="auto"/>
        </w:rPr>
      </w:pPr>
    </w:p>
    <w:p>
      <w:pPr>
        <w:ind w:right="300" w:firstLine="589"/>
        <w:spacing w:after="0" w:line="271" w:lineRule="auto"/>
        <w:rPr>
          <w:sz w:val="20"/>
          <w:szCs w:val="20"/>
          <w:color w:val="auto"/>
        </w:rPr>
      </w:pPr>
      <w:r>
        <w:rPr>
          <w:rFonts w:ascii="Arial" w:cs="Arial" w:eastAsia="Arial" w:hAnsi="Arial"/>
          <w:sz w:val="16"/>
          <w:szCs w:val="16"/>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summary of the Company’s outstanding PSUs for the nine months ended September 30, 2018,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Weighted-Average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57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Performance Share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 outstanding at December 31, 2017</w:t>
            </w:r>
          </w:p>
        </w:tc>
        <w:tc>
          <w:tcPr>
            <w:tcW w:w="4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tcPr>
          <w:p>
            <w:pPr>
              <w:ind w:left="120"/>
              <w:spacing w:after="0"/>
              <w:rPr>
                <w:sz w:val="20"/>
                <w:szCs w:val="20"/>
                <w:color w:val="auto"/>
              </w:rPr>
            </w:pPr>
            <w:r>
              <w:rPr>
                <w:rFonts w:ascii="Arial" w:cs="Arial" w:eastAsia="Arial" w:hAnsi="Arial"/>
                <w:sz w:val="16"/>
                <w:szCs w:val="16"/>
                <w:color w:val="auto"/>
              </w:rPr>
              <w:t>Grants (at target)</w:t>
            </w:r>
          </w:p>
        </w:tc>
        <w:tc>
          <w:tcPr>
            <w:tcW w:w="5780" w:type="dxa"/>
            <w:vAlign w:val="bottom"/>
            <w:gridSpan w:val="3"/>
          </w:tcPr>
          <w:p>
            <w:pPr>
              <w:jc w:val="right"/>
              <w:ind w:right="120"/>
              <w:spacing w:after="0"/>
              <w:rPr>
                <w:sz w:val="20"/>
                <w:szCs w:val="20"/>
                <w:color w:val="auto"/>
              </w:rPr>
            </w:pPr>
            <w:r>
              <w:rPr>
                <w:rFonts w:ascii="Arial" w:cs="Arial" w:eastAsia="Arial" w:hAnsi="Arial"/>
                <w:sz w:val="16"/>
                <w:szCs w:val="16"/>
                <w:color w:val="auto"/>
              </w:rPr>
              <w:t>48,600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01"/>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 outstanding at September 30, 2018</w:t>
            </w:r>
          </w:p>
        </w:tc>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320" w:type="dxa"/>
            <w:vAlign w:val="bottom"/>
            <w:vMerge w:val="restart"/>
          </w:tcPr>
          <w:p>
            <w:pPr>
              <w:jc w:val="right"/>
              <w:ind w:right="2578"/>
              <w:spacing w:after="0"/>
              <w:rPr>
                <w:sz w:val="20"/>
                <w:szCs w:val="20"/>
                <w:color w:val="auto"/>
              </w:rPr>
            </w:pPr>
            <w:r>
              <w:rPr>
                <w:rFonts w:ascii="Arial" w:cs="Arial" w:eastAsia="Arial" w:hAnsi="Arial"/>
                <w:sz w:val="16"/>
                <w:szCs w:val="16"/>
                <w:color w:val="auto"/>
              </w:rPr>
              <w:t>30</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1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8" w:right="239" w:bottom="1440" w:gutter="0" w:footer="0" w:header="0"/>
          <w:type w:val="continuous"/>
        </w:sectPr>
      </w:pPr>
    </w:p>
    <w:bookmarkStart w:id="32" w:name="page33"/>
    <w:bookmarkEnd w:id="32"/>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93" w:lineRule="exact"/>
        <w:rPr>
          <w:sz w:val="20"/>
          <w:szCs w:val="20"/>
          <w:color w:val="auto"/>
        </w:rPr>
      </w:pPr>
    </w:p>
    <w:p>
      <w:pPr>
        <w:ind w:left="582"/>
        <w:spacing w:after="0"/>
        <w:rPr>
          <w:sz w:val="20"/>
          <w:szCs w:val="20"/>
          <w:color w:val="auto"/>
        </w:rPr>
      </w:pPr>
      <w:r>
        <w:rPr>
          <w:rFonts w:ascii="Arial" w:cs="Arial" w:eastAsia="Arial" w:hAnsi="Arial"/>
          <w:sz w:val="16"/>
          <w:szCs w:val="16"/>
          <w:color w:val="auto"/>
        </w:rPr>
        <w:t>The following table shows the impact of PSU activity to the Company’s financial results:</w:t>
      </w:r>
    </w:p>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4180" w:type="dxa"/>
            <w:vAlign w:val="bottom"/>
            <w:gridSpan w:val="7"/>
          </w:tcPr>
          <w:p>
            <w:pPr>
              <w:ind w:left="1460"/>
              <w:spacing w:after="0"/>
              <w:rPr>
                <w:sz w:val="20"/>
                <w:szCs w:val="20"/>
                <w:color w:val="auto"/>
              </w:rPr>
            </w:pPr>
            <w:r>
              <w:rPr>
                <w:rFonts w:ascii="Arial" w:cs="Arial" w:eastAsia="Arial" w:hAnsi="Arial"/>
                <w:sz w:val="16"/>
                <w:szCs w:val="16"/>
                <w:b w:val="1"/>
                <w:bCs w:val="1"/>
                <w:color w:val="auto"/>
                <w:w w:val="99"/>
              </w:rPr>
              <w:t>Three Months Ended September 30,</w:t>
            </w:r>
          </w:p>
        </w:tc>
        <w:tc>
          <w:tcPr>
            <w:tcW w:w="2480" w:type="dxa"/>
            <w:vAlign w:val="bottom"/>
            <w:gridSpan w:val="6"/>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47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PSU compensation expense</w:t>
            </w:r>
          </w:p>
        </w:tc>
        <w:tc>
          <w:tcPr>
            <w:tcW w:w="1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6"/>
                <w:szCs w:val="16"/>
                <w:color w:val="auto"/>
              </w:rPr>
            </w:pPr>
          </w:p>
        </w:tc>
      </w:tr>
      <w:tr>
        <w:trPr>
          <w:trHeight w:val="208"/>
        </w:trPr>
        <w:tc>
          <w:tcPr>
            <w:tcW w:w="4760" w:type="dxa"/>
            <w:vAlign w:val="bottom"/>
          </w:tcPr>
          <w:p>
            <w:pPr>
              <w:spacing w:after="0"/>
              <w:rPr>
                <w:sz w:val="20"/>
                <w:szCs w:val="20"/>
                <w:color w:val="auto"/>
              </w:rPr>
            </w:pPr>
            <w:r>
              <w:rPr>
                <w:rFonts w:ascii="Arial" w:cs="Arial" w:eastAsia="Arial" w:hAnsi="Arial"/>
                <w:sz w:val="16"/>
                <w:szCs w:val="16"/>
                <w:color w:val="auto"/>
              </w:rPr>
              <w:t>Income tax benefit</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01"/>
        </w:trPr>
        <w:tc>
          <w:tcPr>
            <w:tcW w:w="47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PSU compensation expense, net of income taxes</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Note: Share-based compensation was not available prior to the Company’s initial public offering in March 2017.</w:t>
      </w:r>
    </w:p>
    <w:p>
      <w:pPr>
        <w:spacing w:after="0" w:line="380" w:lineRule="exact"/>
        <w:rPr>
          <w:sz w:val="20"/>
          <w:szCs w:val="20"/>
          <w:color w:val="auto"/>
        </w:rPr>
      </w:pPr>
    </w:p>
    <w:p>
      <w:pPr>
        <w:ind w:left="2" w:right="360" w:firstLine="589"/>
        <w:spacing w:after="0" w:line="271" w:lineRule="auto"/>
        <w:rPr>
          <w:sz w:val="20"/>
          <w:szCs w:val="20"/>
          <w:color w:val="auto"/>
        </w:rPr>
      </w:pPr>
      <w:r>
        <w:rPr>
          <w:rFonts w:ascii="Arial" w:cs="Arial" w:eastAsia="Arial" w:hAnsi="Arial"/>
          <w:sz w:val="16"/>
          <w:szCs w:val="16"/>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25" w:lineRule="exact"/>
        <w:rPr>
          <w:sz w:val="20"/>
          <w:szCs w:val="20"/>
          <w:color w:val="auto"/>
        </w:rPr>
      </w:pPr>
    </w:p>
    <w:p>
      <w:pPr>
        <w:ind w:left="2" w:right="320" w:firstLine="589"/>
        <w:spacing w:after="0" w:line="286" w:lineRule="auto"/>
        <w:rPr>
          <w:sz w:val="20"/>
          <w:szCs w:val="20"/>
          <w:color w:val="auto"/>
        </w:rPr>
      </w:pPr>
      <w:r>
        <w:rPr>
          <w:rFonts w:ascii="Arial" w:cs="Arial" w:eastAsia="Arial" w:hAnsi="Arial"/>
          <w:sz w:val="16"/>
          <w:szCs w:val="16"/>
          <w:color w:val="auto"/>
        </w:rPr>
        <w:t>At September 30, 2018, there was $627 of unrecognized compensation cost related to outstanding PSUs. That cost is expected to be recognized over a weighted-average period of 2.25 years.</w:t>
      </w:r>
    </w:p>
    <w:p>
      <w:pPr>
        <w:spacing w:after="0" w:line="306" w:lineRule="exact"/>
        <w:rPr>
          <w:sz w:val="20"/>
          <w:szCs w:val="20"/>
          <w:color w:val="auto"/>
        </w:rPr>
      </w:pPr>
    </w:p>
    <w:p>
      <w:pPr>
        <w:ind w:left="582" w:hanging="582"/>
        <w:spacing w:after="0"/>
        <w:tabs>
          <w:tab w:leader="none" w:pos="58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13" w:lineRule="exact"/>
        <w:rPr>
          <w:sz w:val="20"/>
          <w:szCs w:val="20"/>
          <w:color w:val="auto"/>
        </w:rPr>
      </w:pPr>
    </w:p>
    <w:p>
      <w:pPr>
        <w:ind w:left="2" w:right="60" w:firstLine="577"/>
        <w:spacing w:after="0" w:line="285" w:lineRule="auto"/>
        <w:rPr>
          <w:sz w:val="20"/>
          <w:szCs w:val="20"/>
          <w:color w:val="auto"/>
        </w:rPr>
      </w:pPr>
      <w:r>
        <w:rPr>
          <w:rFonts w:ascii="Arial" w:cs="Arial" w:eastAsia="Arial" w:hAnsi="Arial"/>
          <w:sz w:val="15"/>
          <w:szCs w:val="15"/>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22,381,344 and 22,373,579, respectively, during the three and nine months ended September 30, 2018, and 22,313,329 and 22,577,233, respectively, during the three and nine months ended September 30, 2017. For the period prior to the date of the conversion, we assumed that the net common shares issued in the initial public offering of 22,760,000 shares were outstanding since January 1, 2017.</w:t>
      </w:r>
    </w:p>
    <w:p>
      <w:pPr>
        <w:spacing w:after="0" w:line="55" w:lineRule="exact"/>
        <w:rPr>
          <w:sz w:val="20"/>
          <w:szCs w:val="20"/>
          <w:color w:val="auto"/>
        </w:rPr>
      </w:pPr>
    </w:p>
    <w:p>
      <w:pPr>
        <w:ind w:left="2" w:right="220" w:firstLine="577"/>
        <w:spacing w:after="0" w:line="286" w:lineRule="auto"/>
        <w:rPr>
          <w:sz w:val="20"/>
          <w:szCs w:val="20"/>
          <w:color w:val="auto"/>
        </w:rPr>
      </w:pPr>
      <w:r>
        <w:rPr>
          <w:rFonts w:ascii="Arial" w:cs="Arial" w:eastAsia="Arial" w:hAnsi="Arial"/>
          <w:sz w:val="16"/>
          <w:szCs w:val="16"/>
          <w:color w:val="auto"/>
        </w:rPr>
        <w:t>Unearned ESOP shares are not considered outstanding until they are released and allocated to plan participants. Unearned RSU and PSU shares are not considered outstanding until they are earned by award participants.</w:t>
      </w:r>
    </w:p>
    <w:p>
      <w:pPr>
        <w:spacing w:after="0" w:line="52"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The following table presents a reconciliation of the numerators and denominators we used in the basic and diluted per share computations for our common stock:</w:t>
      </w:r>
    </w:p>
    <w:p>
      <w:pPr>
        <w:spacing w:after="0" w:line="20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4100" w:type="dxa"/>
            <w:vAlign w:val="bottom"/>
            <w:gridSpan w:val="8"/>
          </w:tcPr>
          <w:p>
            <w:pPr>
              <w:ind w:left="1380"/>
              <w:spacing w:after="0"/>
              <w:rPr>
                <w:sz w:val="20"/>
                <w:szCs w:val="20"/>
                <w:color w:val="auto"/>
              </w:rPr>
            </w:pPr>
            <w:r>
              <w:rPr>
                <w:rFonts w:ascii="Arial" w:cs="Arial" w:eastAsia="Arial" w:hAnsi="Arial"/>
                <w:sz w:val="16"/>
                <w:szCs w:val="16"/>
                <w:b w:val="1"/>
                <w:bCs w:val="1"/>
                <w:color w:val="auto"/>
                <w:w w:val="99"/>
              </w:rPr>
              <w:t>Three Months Ended September 30,</w:t>
            </w:r>
          </w:p>
        </w:tc>
        <w:tc>
          <w:tcPr>
            <w:tcW w:w="2480" w:type="dxa"/>
            <w:vAlign w:val="bottom"/>
            <w:gridSpan w:val="7"/>
          </w:tcPr>
          <w:p>
            <w:pPr>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line="176" w:lineRule="exact"/>
              <w:rPr>
                <w:sz w:val="20"/>
                <w:szCs w:val="20"/>
                <w:color w:val="auto"/>
              </w:rPr>
            </w:pPr>
            <w:r>
              <w:rPr>
                <w:rFonts w:ascii="Arial" w:cs="Arial" w:eastAsia="Arial" w:hAnsi="Arial"/>
                <w:sz w:val="16"/>
                <w:szCs w:val="16"/>
                <w:color w:val="auto"/>
              </w:rPr>
              <w:t>Basic earnings per common share:</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40" w:type="dxa"/>
            <w:vAlign w:val="bottom"/>
          </w:tcPr>
          <w:p>
            <w:pPr>
              <w:spacing w:after="0"/>
              <w:rPr>
                <w:sz w:val="20"/>
                <w:szCs w:val="20"/>
                <w:color w:val="auto"/>
              </w:rPr>
            </w:pPr>
            <w:r>
              <w:rPr>
                <w:rFonts w:ascii="Arial" w:cs="Arial" w:eastAsia="Arial" w:hAnsi="Arial"/>
                <w:sz w:val="16"/>
                <w:szCs w:val="16"/>
                <w:color w:val="auto"/>
              </w:rPr>
              <w:t>Numerator:</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NI Holdings, Inc.</w:t>
            </w:r>
          </w:p>
        </w:tc>
        <w:tc>
          <w:tcPr>
            <w:tcW w:w="162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9,844</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(2,733)</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16,192</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color w:val="auto"/>
              </w:rPr>
              <w:t>Denominator:</w:t>
            </w: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shares outstanding</w:t>
            </w: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22,381,344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22,313,329</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22,373,579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22,577,233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color w:val="auto"/>
              </w:rPr>
              <w:t>Basic earnings per common share</w:t>
            </w:r>
          </w:p>
        </w:tc>
        <w:tc>
          <w:tcPr>
            <w:tcW w:w="13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4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(0.12</w:t>
            </w:r>
          </w:p>
        </w:tc>
        <w:tc>
          <w:tcPr>
            <w:tcW w:w="2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Numerator:</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840" w:type="dxa"/>
            <w:vAlign w:val="bottom"/>
          </w:tcPr>
          <w:p>
            <w:pPr>
              <w:ind w:left="240"/>
              <w:spacing w:after="0"/>
              <w:rPr>
                <w:sz w:val="20"/>
                <w:szCs w:val="20"/>
                <w:color w:val="auto"/>
              </w:rPr>
            </w:pPr>
            <w:r>
              <w:rPr>
                <w:rFonts w:ascii="Arial" w:cs="Arial" w:eastAsia="Arial" w:hAnsi="Arial"/>
                <w:sz w:val="16"/>
                <w:szCs w:val="16"/>
                <w:color w:val="auto"/>
              </w:rPr>
              <w:t>Net income attributable to NI Holdings, Inc.</w:t>
            </w:r>
          </w:p>
        </w:tc>
        <w:tc>
          <w:tcPr>
            <w:tcW w:w="1620" w:type="dxa"/>
            <w:vAlign w:val="bottom"/>
            <w:gridSpan w:val="2"/>
          </w:tcPr>
          <w:p>
            <w:pPr>
              <w:ind w:left="13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9,844</w:t>
            </w:r>
          </w:p>
        </w:tc>
        <w:tc>
          <w:tcPr>
            <w:tcW w:w="36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78"/>
              <w:spacing w:after="0"/>
              <w:rPr>
                <w:sz w:val="20"/>
                <w:szCs w:val="20"/>
                <w:color w:val="auto"/>
              </w:rPr>
            </w:pPr>
            <w:r>
              <w:rPr>
                <w:rFonts w:ascii="Arial" w:cs="Arial" w:eastAsia="Arial" w:hAnsi="Arial"/>
                <w:sz w:val="16"/>
                <w:szCs w:val="16"/>
                <w:color w:val="auto"/>
              </w:rPr>
              <w:t>(2,733)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16,192</w:t>
            </w:r>
          </w:p>
        </w:tc>
        <w:tc>
          <w:tcPr>
            <w:tcW w:w="34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174"/>
        </w:trPr>
        <w:tc>
          <w:tcPr>
            <w:tcW w:w="4840" w:type="dxa"/>
            <w:vAlign w:val="bottom"/>
            <w:tcBorders>
              <w:top w:val="single" w:sz="8" w:color="CCEEFF"/>
            </w:tcBorders>
            <w:shd w:val="clear" w:color="auto" w:fill="CCEEFF"/>
          </w:tcPr>
          <w:p>
            <w:pPr>
              <w:ind w:left="120"/>
              <w:spacing w:after="0" w:line="173" w:lineRule="exact"/>
              <w:rPr>
                <w:sz w:val="20"/>
                <w:szCs w:val="20"/>
                <w:color w:val="auto"/>
              </w:rPr>
            </w:pPr>
            <w:r>
              <w:rPr>
                <w:rFonts w:ascii="Arial" w:cs="Arial" w:eastAsia="Arial" w:hAnsi="Arial"/>
                <w:sz w:val="16"/>
                <w:szCs w:val="16"/>
                <w:color w:val="auto"/>
              </w:rPr>
              <w:t>Denominator:</w:t>
            </w:r>
          </w:p>
        </w:tc>
        <w:tc>
          <w:tcPr>
            <w:tcW w:w="1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Pr>
          <w:p>
            <w:pPr>
              <w:ind w:left="240"/>
              <w:spacing w:after="0"/>
              <w:rPr>
                <w:sz w:val="20"/>
                <w:szCs w:val="20"/>
                <w:color w:val="auto"/>
              </w:rPr>
            </w:pPr>
            <w:r>
              <w:rPr>
                <w:rFonts w:ascii="Arial" w:cs="Arial" w:eastAsia="Arial" w:hAnsi="Arial"/>
                <w:sz w:val="16"/>
                <w:szCs w:val="16"/>
                <w:color w:val="auto"/>
              </w:rPr>
              <w:t>Number of shares used in basic computation</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22,381,344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6"/>
                <w:szCs w:val="16"/>
                <w:color w:val="auto"/>
              </w:rPr>
              <w:t>22,313,329</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22,373,579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22,577,233</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effect of dilutive securities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360"/>
              <w:spacing w:after="0"/>
              <w:rPr>
                <w:sz w:val="20"/>
                <w:szCs w:val="20"/>
                <w:color w:val="auto"/>
              </w:rPr>
            </w:pPr>
            <w:r>
              <w:rPr>
                <w:rFonts w:ascii="Arial" w:cs="Arial" w:eastAsia="Arial" w:hAnsi="Arial"/>
                <w:sz w:val="16"/>
                <w:szCs w:val="16"/>
                <w:color w:val="auto"/>
              </w:rPr>
              <w:t>Add: Restricted stock units and performance share units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32,732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21,598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8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13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22,414,076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22,313,329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22,395,177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22,577,233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120"/>
              <w:spacing w:after="0"/>
              <w:rPr>
                <w:sz w:val="20"/>
                <w:szCs w:val="20"/>
                <w:color w:val="auto"/>
              </w:rPr>
            </w:pPr>
            <w:r>
              <w:rPr>
                <w:rFonts w:ascii="Arial" w:cs="Arial" w:eastAsia="Arial" w:hAnsi="Arial"/>
                <w:sz w:val="16"/>
                <w:szCs w:val="16"/>
                <w:color w:val="auto"/>
              </w:rPr>
              <w:t>Diluted earnings per common share</w:t>
            </w:r>
          </w:p>
        </w:tc>
        <w:tc>
          <w:tcPr>
            <w:tcW w:w="13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0.44</w:t>
            </w:r>
          </w:p>
        </w:tc>
        <w:tc>
          <w:tcPr>
            <w:tcW w:w="1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(0.12</w:t>
            </w:r>
          </w:p>
        </w:tc>
        <w:tc>
          <w:tcPr>
            <w:tcW w:w="2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line="174"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0.72</w:t>
            </w: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0.09</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80" w:type="dxa"/>
            <w:vAlign w:val="bottom"/>
            <w:vMerge w:val="restart"/>
          </w:tcPr>
          <w:p>
            <w:pPr>
              <w:jc w:val="right"/>
              <w:ind w:right="318"/>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2"/>
          </w:cols>
          <w:pgMar w:left="238" w:top="218" w:right="239" w:bottom="1440" w:gutter="0" w:footer="0" w:header="0"/>
        </w:sectPr>
      </w:pPr>
    </w:p>
    <w:bookmarkStart w:id="33" w:name="page34"/>
    <w:bookmarkEnd w:id="33"/>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389" w:lineRule="exact"/>
        <w:rPr>
          <w:sz w:val="20"/>
          <w:szCs w:val="20"/>
          <w:color w:val="auto"/>
        </w:rPr>
      </w:pPr>
    </w:p>
    <w:p>
      <w:pPr>
        <w:ind w:left="582" w:hanging="582"/>
        <w:spacing w:after="0"/>
        <w:tabs>
          <w:tab w:leader="none" w:pos="582"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Segment Information</w:t>
      </w:r>
    </w:p>
    <w:p>
      <w:pPr>
        <w:spacing w:after="0" w:line="213" w:lineRule="exact"/>
        <w:rPr>
          <w:sz w:val="20"/>
          <w:szCs w:val="20"/>
          <w:color w:val="auto"/>
        </w:rPr>
      </w:pPr>
    </w:p>
    <w:p>
      <w:pPr>
        <w:ind w:left="2" w:right="80" w:firstLine="589"/>
        <w:spacing w:after="0" w:line="263" w:lineRule="auto"/>
        <w:rPr>
          <w:sz w:val="20"/>
          <w:szCs w:val="20"/>
          <w:color w:val="auto"/>
        </w:rPr>
      </w:pPr>
      <w:r>
        <w:rPr>
          <w:rFonts w:ascii="Arial" w:cs="Arial" w:eastAsia="Arial" w:hAnsi="Arial"/>
          <w:sz w:val="16"/>
          <w:szCs w:val="16"/>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and nine months ended September 30, 2018 and 2017. Prior years have been restated to reflect the change in segments. For presentation in these tables, “LAE” refers to loss adjustment expenses.</w:t>
      </w:r>
    </w:p>
    <w:p>
      <w:pPr>
        <w:spacing w:after="0" w:line="141"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10"/>
          </w:tcPr>
          <w:p>
            <w:pPr>
              <w:jc w:val="right"/>
              <w:ind w:right="3"/>
              <w:spacing w:after="0"/>
              <w:rPr>
                <w:sz w:val="20"/>
                <w:szCs w:val="20"/>
                <w:color w:val="auto"/>
              </w:rPr>
            </w:pPr>
            <w:r>
              <w:rPr>
                <w:rFonts w:ascii="Arial" w:cs="Arial" w:eastAsia="Arial" w:hAnsi="Arial"/>
                <w:sz w:val="16"/>
                <w:szCs w:val="16"/>
                <w:b w:val="1"/>
                <w:bCs w:val="1"/>
                <w:color w:val="auto"/>
              </w:rPr>
              <w:t>Three Months Ended September 30, 2018</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3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59"/>
              <w:spacing w:after="0" w:line="173" w:lineRule="exact"/>
              <w:rPr>
                <w:sz w:val="20"/>
                <w:szCs w:val="20"/>
                <w:color w:val="auto"/>
              </w:rPr>
            </w:pPr>
            <w:r>
              <w:rPr>
                <w:rFonts w:ascii="Arial" w:cs="Arial" w:eastAsia="Arial" w:hAnsi="Arial"/>
                <w:sz w:val="16"/>
                <w:szCs w:val="16"/>
                <w:b w:val="1"/>
                <w:bCs w:val="1"/>
                <w:color w:val="auto"/>
                <w:w w:val="93"/>
              </w:rPr>
              <w:t>Private</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line="173"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86"/>
              </w:rPr>
              <w:t>Passenger</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Standard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w w:val="95"/>
              </w:rPr>
              <w:t>Home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93"/>
              </w:rPr>
              <w:t>Auto</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Auto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Farm</w:t>
            </w:r>
          </w:p>
        </w:tc>
        <w:tc>
          <w:tcPr>
            <w:tcW w:w="2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Crop</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18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premiums earned</w:t>
            </w: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16,718</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17,977</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63,737</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Assumed premiums earned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99"/>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1,084</w:t>
            </w: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Ceded premiums earned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(829)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(1,736)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(7,947)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(10,685)</w:t>
            </w:r>
          </w:p>
        </w:tc>
      </w:tr>
      <w:tr>
        <w:trPr>
          <w:trHeight w:val="189"/>
        </w:trPr>
        <w:tc>
          <w:tcPr>
            <w:tcW w:w="3160" w:type="dxa"/>
            <w:vAlign w:val="bottom"/>
          </w:tcPr>
          <w:p>
            <w:pPr>
              <w:ind w:left="240"/>
              <w:spacing w:after="0"/>
              <w:rPr>
                <w:sz w:val="20"/>
                <w:szCs w:val="20"/>
                <w:color w:val="auto"/>
              </w:rPr>
            </w:pPr>
            <w:r>
              <w:rPr>
                <w:rFonts w:ascii="Arial" w:cs="Arial" w:eastAsia="Arial" w:hAnsi="Arial"/>
                <w:sz w:val="16"/>
                <w:szCs w:val="16"/>
                <w:color w:val="auto"/>
              </w:rPr>
              <w:t>Net premiums earned</w:t>
            </w:r>
          </w:p>
        </w:tc>
        <w:tc>
          <w:tcPr>
            <w:tcW w:w="8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15,892</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16,237</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11,960</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54,136</w:t>
            </w:r>
          </w:p>
        </w:tc>
        <w:tc>
          <w:tcPr>
            <w:tcW w:w="100" w:type="dxa"/>
            <w:vAlign w:val="bottom"/>
          </w:tcPr>
          <w:p>
            <w:pPr>
              <w:spacing w:after="0"/>
              <w:rPr>
                <w:sz w:val="16"/>
                <w:szCs w:val="16"/>
                <w:color w:val="auto"/>
              </w:rPr>
            </w:pPr>
          </w:p>
        </w:tc>
      </w:tr>
      <w:tr>
        <w:trPr>
          <w:trHeight w:val="196"/>
        </w:trPr>
        <w:tc>
          <w:tcPr>
            <w:tcW w:w="3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Direct losses and LAE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11,940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16,414</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4,976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39,219</w:t>
            </w: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Assumed losses and LAE</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827</w:t>
            </w: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Ceded losses and LAE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(176)</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(1,991)</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(2,590)</w:t>
            </w:r>
          </w:p>
        </w:tc>
      </w:tr>
      <w:tr>
        <w:trPr>
          <w:trHeight w:val="189"/>
        </w:trPr>
        <w:tc>
          <w:tcPr>
            <w:tcW w:w="3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losses and LAE</w:t>
            </w: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3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3,988</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8,445</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16,680</w:t>
            </w:r>
          </w:p>
        </w:tc>
        <w:tc>
          <w:tcPr>
            <w:tcW w:w="100" w:type="dxa"/>
            <w:vAlign w:val="bottom"/>
            <w:shd w:val="clear" w:color="auto" w:fill="CCEEFF"/>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Underwriting and general expenses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4,235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4,678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2,695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14,738</w:t>
            </w:r>
          </w:p>
        </w:tc>
      </w:tr>
      <w:tr>
        <w:trPr>
          <w:trHeight w:val="189"/>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Underwriting gain (loss)</w:t>
            </w:r>
          </w:p>
        </w:tc>
        <w:tc>
          <w:tcPr>
            <w:tcW w:w="8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(4,811</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5,750</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Borders>
              <w:bottom w:val="single" w:sz="8" w:color="CCEEFF"/>
            </w:tcBorders>
          </w:tcPr>
          <w:p>
            <w:pPr>
              <w:spacing w:after="0"/>
              <w:rPr>
                <w:sz w:val="16"/>
                <w:szCs w:val="16"/>
                <w:color w:val="auto"/>
              </w:rPr>
            </w:pPr>
          </w:p>
        </w:tc>
      </w:tr>
      <w:tr>
        <w:trPr>
          <w:trHeight w:val="189"/>
        </w:trPr>
        <w:tc>
          <w:tcPr>
            <w:tcW w:w="3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Fee and other income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5,175</w:t>
            </w:r>
          </w:p>
        </w:tc>
      </w:tr>
      <w:tr>
        <w:trPr>
          <w:trHeight w:val="189"/>
        </w:trPr>
        <w:tc>
          <w:tcPr>
            <w:tcW w:w="3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422"/>
          </w:cols>
          <w:pgMar w:left="238" w:top="218" w:right="239" w:bottom="1440" w:gutter="0" w:footer="0" w:header="0"/>
        </w:sectPr>
      </w:pPr>
    </w:p>
    <w:p>
      <w:pPr>
        <w:ind w:left="2"/>
        <w:spacing w:after="0"/>
        <w:rPr>
          <w:sz w:val="20"/>
          <w:szCs w:val="20"/>
          <w:color w:val="auto"/>
        </w:rPr>
      </w:pPr>
      <w:r>
        <w:rPr>
          <w:rFonts w:ascii="Arial" w:cs="Arial" w:eastAsia="Arial" w:hAnsi="Arial"/>
          <w:sz w:val="16"/>
          <w:szCs w:val="16"/>
          <w:color w:val="auto"/>
        </w:rPr>
        <w:t>Net investment income</w:t>
      </w:r>
    </w:p>
    <w:p>
      <w:pPr>
        <w:spacing w:after="0" w:line="11"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2"/>
        <w:spacing w:after="0"/>
        <w:rPr>
          <w:sz w:val="20"/>
          <w:szCs w:val="20"/>
          <w:color w:val="auto"/>
        </w:rPr>
      </w:pPr>
      <w:r>
        <w:rPr>
          <w:rFonts w:ascii="Arial" w:cs="Arial" w:eastAsia="Arial" w:hAnsi="Arial"/>
          <w:sz w:val="16"/>
          <w:szCs w:val="16"/>
          <w:color w:val="auto"/>
        </w:rPr>
        <w:t>Income before income taxes</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2"/>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5"/>
          <w:szCs w:val="15"/>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59320" cy="132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2"/>
        <w:spacing w:after="0"/>
        <w:rPr>
          <w:sz w:val="20"/>
          <w:szCs w:val="20"/>
          <w:color w:val="auto"/>
        </w:rPr>
      </w:pPr>
      <w:r>
        <w:rPr>
          <w:rFonts w:ascii="Arial" w:cs="Arial" w:eastAsia="Arial" w:hAnsi="Arial"/>
          <w:sz w:val="15"/>
          <w:szCs w:val="15"/>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1,629</w:t>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3,160</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64643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2,029</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64643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4643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17" w:lineRule="exact"/>
        <w:rPr>
          <w:sz w:val="20"/>
          <w:szCs w:val="20"/>
          <w:color w:val="auto"/>
        </w:rPr>
      </w:pPr>
    </w:p>
    <w:p>
      <w:pPr>
        <w:ind w:left="660" w:hanging="659"/>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9,844</w:t>
      </w:r>
    </w:p>
    <w:p>
      <w:pPr>
        <w:spacing w:after="0" w:line="47" w:lineRule="exact"/>
        <w:rPr>
          <w:sz w:val="20"/>
          <w:szCs w:val="20"/>
          <w:color w:val="auto"/>
        </w:rPr>
      </w:pPr>
    </w:p>
    <w:p>
      <w:pPr>
        <w:sectPr>
          <w:pgSz w:w="11900" w:h="16838" w:orient="portrait"/>
          <w:cols w:equalWidth="0" w:num="2">
            <w:col w:w="9582" w:space="720"/>
            <w:col w:w="1120"/>
          </w:cols>
          <w:pgMar w:left="238" w:top="218" w:right="239" w:bottom="1440" w:gutter="0" w:footer="0" w:header="0"/>
          <w:type w:val="continuous"/>
        </w:sectPr>
      </w:pPr>
    </w:p>
    <w:tbl>
      <w:tblPr>
        <w:tblLayout w:type="fixed"/>
        <w:tblInd w:w="2" w:type="dxa"/>
        <w:tblCellMar>
          <w:top w:w="0" w:type="dxa"/>
          <w:left w:w="0" w:type="dxa"/>
          <w:bottom w:w="0" w:type="dxa"/>
          <w:right w:w="0" w:type="dxa"/>
        </w:tblCellMar>
      </w:tblPr>
      <w:tr>
        <w:trPr>
          <w:trHeight w:val="214"/>
        </w:trPr>
        <w:tc>
          <w:tcPr>
            <w:tcW w:w="38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6"/>
                <w:szCs w:val="16"/>
                <w:color w:val="auto"/>
              </w:rPr>
              <w:t>Non-GAAP Ratios: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and LAE ratio</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74.9%</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62.2%</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100.8%</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29.4%</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69.2%</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Expense ratio</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26.6%</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33.3%</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28.8%</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22.5%</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27.2%</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Combined ratio</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101.6%</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95.5%</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129.6%</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51.9%</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96.4%</w:t>
            </w:r>
          </w:p>
        </w:tc>
      </w:tr>
      <w:tr>
        <w:trPr>
          <w:trHeight w:val="196"/>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6"/>
                <w:szCs w:val="16"/>
                <w:color w:val="auto"/>
              </w:rPr>
              <w:t>Balances at September 30, 2018:</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4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17,003</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7,498</w:t>
            </w:r>
          </w:p>
        </w:tc>
        <w:tc>
          <w:tcPr>
            <w:tcW w:w="4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9,094</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27,710</w:t>
            </w:r>
          </w:p>
        </w:tc>
        <w:tc>
          <w:tcPr>
            <w:tcW w:w="44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1,440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62,745</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Deferred policy acquisition costs</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3,663</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1,356</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5,195</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1,001</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11,793</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Reinsurance recoverables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979</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2,425</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5,628</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w w:val="95"/>
              </w:rPr>
              <w:t>Receivable from Federal Crop Insurance Corporation</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29,284</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29,284</w:t>
            </w:r>
          </w:p>
        </w:tc>
      </w:tr>
      <w:tr>
        <w:trPr>
          <w:trHeight w:val="196"/>
        </w:trPr>
        <w:tc>
          <w:tcPr>
            <w:tcW w:w="3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Unpaid losses and LAE</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19,094</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48,020</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15,536</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13,714</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9,289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105,653</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Unearned premiums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26,363</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17,871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36,764</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12,509</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4,801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98,308</w:t>
            </w:r>
          </w:p>
        </w:tc>
      </w:tr>
      <w:tr>
        <w:trPr>
          <w:trHeight w:val="606"/>
        </w:trPr>
        <w:tc>
          <w:tcPr>
            <w:tcW w:w="3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58"/>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2"/>
          </w:cols>
          <w:pgMar w:left="238" w:top="218" w:right="239" w:bottom="1440" w:gutter="0" w:footer="0" w:header="0"/>
          <w:type w:val="continuous"/>
        </w:sectPr>
      </w:pPr>
    </w:p>
    <w:bookmarkStart w:id="34" w:name="page35"/>
    <w:bookmarkEnd w:id="3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Three Months Ended September 30, 2017</w:t>
            </w: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20"/>
              <w:spacing w:after="0" w:line="173" w:lineRule="exact"/>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73" w:lineRule="exact"/>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Passenger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Standard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w w:val="93"/>
              </w:rPr>
              <w:t>Home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Auto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Auto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98"/>
              <w:spacing w:after="0"/>
              <w:rPr>
                <w:sz w:val="20"/>
                <w:szCs w:val="20"/>
                <w:color w:val="auto"/>
              </w:rPr>
            </w:pPr>
            <w:r>
              <w:rPr>
                <w:rFonts w:ascii="Arial" w:cs="Arial" w:eastAsia="Arial" w:hAnsi="Arial"/>
                <w:sz w:val="16"/>
                <w:szCs w:val="16"/>
                <w:b w:val="1"/>
                <w:bCs w:val="1"/>
                <w:color w:val="auto"/>
              </w:rPr>
              <w:t>Farm</w:t>
            </w:r>
          </w:p>
        </w:tc>
        <w:tc>
          <w:tcPr>
            <w:tcW w:w="200" w:type="dxa"/>
            <w:vAlign w:val="bottom"/>
          </w:tcPr>
          <w:p>
            <w:pPr>
              <w:spacing w:after="0"/>
              <w:rPr>
                <w:sz w:val="18"/>
                <w:szCs w:val="18"/>
                <w:color w:val="auto"/>
              </w:rPr>
            </w:pPr>
          </w:p>
        </w:tc>
        <w:tc>
          <w:tcPr>
            <w:tcW w:w="106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Crop</w:t>
            </w:r>
          </w:p>
        </w:tc>
        <w:tc>
          <w:tcPr>
            <w:tcW w:w="140" w:type="dxa"/>
            <w:vAlign w:val="bottom"/>
          </w:tcPr>
          <w:p>
            <w:pPr>
              <w:spacing w:after="0"/>
              <w:rPr>
                <w:sz w:val="18"/>
                <w:szCs w:val="18"/>
                <w:color w:val="auto"/>
              </w:rPr>
            </w:pPr>
          </w:p>
        </w:tc>
        <w:tc>
          <w:tcPr>
            <w:tcW w:w="104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All 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Total</w:t>
            </w:r>
          </w:p>
        </w:tc>
      </w:tr>
      <w:tr>
        <w:trPr>
          <w:trHeight w:val="18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16,327</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21,999</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57,979</w:t>
            </w: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Assumed premiums earned</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7"/>
                <w:szCs w:val="17"/>
                <w:color w:val="auto"/>
              </w:rPr>
            </w:pPr>
          </w:p>
        </w:tc>
        <w:tc>
          <w:tcPr>
            <w:tcW w:w="1040" w:type="dxa"/>
            <w:vAlign w:val="bottom"/>
            <w:gridSpan w:val="2"/>
          </w:tcPr>
          <w:p>
            <w:pPr>
              <w:jc w:val="right"/>
              <w:ind w:right="78"/>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1,190</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(1,403)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(4,333)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(6,644)</w:t>
            </w:r>
          </w:p>
        </w:tc>
      </w:tr>
      <w:tr>
        <w:trPr>
          <w:trHeight w:val="189"/>
        </w:trPr>
        <w:tc>
          <w:tcPr>
            <w:tcW w:w="3880" w:type="dxa"/>
            <w:vAlign w:val="bottom"/>
          </w:tcPr>
          <w:p>
            <w:pPr>
              <w:ind w:left="240"/>
              <w:spacing w:after="0"/>
              <w:rPr>
                <w:sz w:val="20"/>
                <w:szCs w:val="20"/>
                <w:color w:val="auto"/>
              </w:rPr>
            </w:pPr>
            <w:r>
              <w:rPr>
                <w:rFonts w:ascii="Arial" w:cs="Arial" w:eastAsia="Arial" w:hAnsi="Arial"/>
                <w:sz w:val="16"/>
                <w:szCs w:val="16"/>
                <w:color w:val="auto"/>
              </w:rPr>
              <w:t>Net premiums earned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14,909</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17,756</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52,525</w:t>
            </w:r>
          </w:p>
        </w:tc>
        <w:tc>
          <w:tcPr>
            <w:tcW w:w="140" w:type="dxa"/>
            <w:vAlign w:val="bottom"/>
          </w:tcPr>
          <w:p>
            <w:pPr>
              <w:spacing w:after="0"/>
              <w:rPr>
                <w:sz w:val="16"/>
                <w:szCs w:val="16"/>
                <w:color w:val="auto"/>
              </w:rPr>
            </w:pPr>
          </w:p>
        </w:tc>
      </w:tr>
      <w:tr>
        <w:trPr>
          <w:trHeight w:val="196"/>
        </w:trPr>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Direct losses and LAE</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10,475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6"/>
                <w:szCs w:val="16"/>
                <w:color w:val="auto"/>
              </w:rPr>
              <w:t>15,032</w:t>
            </w:r>
          </w:p>
        </w:tc>
        <w:tc>
          <w:tcPr>
            <w:tcW w:w="200" w:type="dxa"/>
            <w:vAlign w:val="bottom"/>
          </w:tcPr>
          <w:p>
            <w:pPr>
              <w:spacing w:after="0"/>
              <w:rPr>
                <w:sz w:val="17"/>
                <w:szCs w:val="17"/>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19,930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48,295</w:t>
            </w: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Assumed losses and LAE</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2,699</w:t>
            </w:r>
          </w:p>
        </w:tc>
      </w:tr>
      <w:tr>
        <w:trPr>
          <w:trHeight w:val="208"/>
        </w:trPr>
        <w:tc>
          <w:tcPr>
            <w:tcW w:w="3880" w:type="dxa"/>
            <w:vAlign w:val="bottom"/>
          </w:tcPr>
          <w:p>
            <w:pPr>
              <w:spacing w:after="0"/>
              <w:rPr>
                <w:sz w:val="20"/>
                <w:szCs w:val="20"/>
                <w:color w:val="auto"/>
              </w:rPr>
            </w:pPr>
            <w:r>
              <w:rPr>
                <w:rFonts w:ascii="Arial" w:cs="Arial" w:eastAsia="Arial" w:hAnsi="Arial"/>
                <w:sz w:val="16"/>
                <w:szCs w:val="16"/>
                <w:color w:val="auto"/>
              </w:rPr>
              <w:t>Ceded losses and LAE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color w:val="auto"/>
              </w:rPr>
              <w:t>(1,683)</w:t>
            </w:r>
          </w:p>
        </w:tc>
        <w:tc>
          <w:tcPr>
            <w:tcW w:w="140" w:type="dxa"/>
            <w:vAlign w:val="bottom"/>
          </w:tcPr>
          <w:p>
            <w:pPr>
              <w:spacing w:after="0"/>
              <w:rPr>
                <w:sz w:val="18"/>
                <w:szCs w:val="18"/>
                <w:color w:val="auto"/>
              </w:rPr>
            </w:pPr>
          </w:p>
        </w:tc>
        <w:tc>
          <w:tcPr>
            <w:tcW w:w="1040" w:type="dxa"/>
            <w:vAlign w:val="bottom"/>
            <w:gridSpan w:val="2"/>
          </w:tcPr>
          <w:p>
            <w:pPr>
              <w:jc w:val="right"/>
              <w:ind w:right="78"/>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(1,395)</w:t>
            </w:r>
          </w:p>
        </w:tc>
      </w:tr>
      <w:tr>
        <w:trPr>
          <w:trHeight w:val="189"/>
        </w:trPr>
        <w:tc>
          <w:tcPr>
            <w:tcW w:w="38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losses and LAE</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49,599</w:t>
            </w:r>
          </w:p>
        </w:tc>
        <w:tc>
          <w:tcPr>
            <w:tcW w:w="140" w:type="dxa"/>
            <w:vAlign w:val="bottom"/>
            <w:tcBorders>
              <w:top w:val="single" w:sz="8" w:color="CCEEFF"/>
            </w:tcBorders>
            <w:shd w:val="clear" w:color="auto" w:fill="CCEEFF"/>
          </w:tcPr>
          <w:p>
            <w:pPr>
              <w:spacing w:after="0"/>
              <w:rPr>
                <w:sz w:val="16"/>
                <w:szCs w:val="16"/>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18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240" w:type="dxa"/>
            <w:vAlign w:val="bottom"/>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40" w:type="dxa"/>
            <w:vAlign w:val="bottom"/>
            <w:shd w:val="clear" w:color="auto" w:fill="CCEEFF"/>
          </w:tcPr>
          <w:p>
            <w:pPr>
              <w:spacing w:after="0"/>
              <w:rPr>
                <w:sz w:val="16"/>
                <w:szCs w:val="16"/>
                <w:color w:val="auto"/>
              </w:rPr>
            </w:pPr>
          </w:p>
        </w:tc>
      </w:t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3,855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2,782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10,092</w:t>
            </w:r>
          </w:p>
        </w:tc>
      </w:tr>
      <w:tr>
        <w:trPr>
          <w:trHeight w:val="189"/>
        </w:trPr>
        <w:tc>
          <w:tcPr>
            <w:tcW w:w="3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Underwriting gain (loss)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1,579</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(4,015</w:t>
            </w:r>
          </w:p>
        </w:tc>
        <w:tc>
          <w:tcPr>
            <w:tcW w:w="260" w:type="dxa"/>
            <w:vAlign w:val="bottom"/>
            <w:tcBorders>
              <w:bottom w:val="single" w:sz="8" w:color="CCEEFF"/>
            </w:tcBorders>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160" w:type="dxa"/>
            <w:vAlign w:val="bottom"/>
            <w:tcBorders>
              <w:bottom w:val="single" w:sz="8" w:color="CCEEFF"/>
            </w:tcBorders>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3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6"/>
                <w:szCs w:val="16"/>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752</w:t>
            </w:r>
          </w:p>
        </w:tc>
      </w:tr>
      <w:tr>
        <w:trPr>
          <w:trHeight w:val="189"/>
        </w:trPr>
        <w:tc>
          <w:tcPr>
            <w:tcW w:w="3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420"/>
          </w:cols>
          <w:pgMar w:left="240" w:top="218" w:right="239" w:bottom="1440" w:gutter="0" w:footer="0" w:header="0"/>
        </w:sectPr>
      </w:pPr>
    </w:p>
    <w:p>
      <w:pPr>
        <w:spacing w:after="0"/>
        <w:rPr>
          <w:sz w:val="20"/>
          <w:szCs w:val="20"/>
          <w:color w:val="auto"/>
        </w:rPr>
      </w:pPr>
      <w:r>
        <w:rPr>
          <w:rFonts w:ascii="Arial" w:cs="Arial" w:eastAsia="Arial" w:hAnsi="Arial"/>
          <w:sz w:val="16"/>
          <w:szCs w:val="16"/>
          <w:color w:val="auto"/>
        </w:rPr>
        <w:t>Net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Loss before income taxes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Income taxes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(loss)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9320" cy="132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Arial" w:cs="Arial" w:eastAsia="Arial" w:hAnsi="Arial"/>
          <w:sz w:val="16"/>
          <w:szCs w:val="16"/>
          <w:color w:val="auto"/>
        </w:rPr>
        <w:t>1,404</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1,885</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464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4"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(432)</w:t>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464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40</w:t>
      </w:r>
    </w:p>
    <w:p>
      <w:pPr>
        <w:spacing w:after="0" w:line="24" w:lineRule="exact"/>
        <w:rPr>
          <w:sz w:val="20"/>
          <w:szCs w:val="20"/>
          <w:color w:val="auto"/>
        </w:rPr>
      </w:pPr>
    </w:p>
    <w:p>
      <w:pPr>
        <w:ind w:left="600" w:hanging="595"/>
        <w:spacing w:after="0"/>
        <w:tabs>
          <w:tab w:leader="none" w:pos="6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(2,733)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6464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9540" w:space="720"/>
            <w:col w:w="1160"/>
          </w:cols>
          <w:pgMar w:left="240" w:top="218"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Non-GAAP Ratios: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and LAE ratio</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rPr>
              <w:t>Expense ratio</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19.2%</w:t>
            </w: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Combined ratio</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113.6%</w:t>
            </w:r>
          </w:p>
        </w:tc>
      </w:tr>
      <w:tr>
        <w:trPr>
          <w:trHeight w:val="196"/>
        </w:trPr>
        <w:tc>
          <w:tcPr>
            <w:tcW w:w="3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Balances at September 30, 2017:</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4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15,400</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1,188</w:t>
            </w:r>
          </w:p>
        </w:tc>
        <w:tc>
          <w:tcPr>
            <w:tcW w:w="3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7,970</w:t>
            </w:r>
          </w:p>
        </w:tc>
        <w:tc>
          <w:tcPr>
            <w:tcW w:w="3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46,782</w:t>
            </w:r>
          </w:p>
        </w:tc>
        <w:tc>
          <w:tcPr>
            <w:tcW w:w="4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1,233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72,573</w:t>
            </w: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rPr>
              <w:t>Deferred policy acquisition costs</w:t>
            </w:r>
          </w:p>
        </w:tc>
        <w:tc>
          <w:tcPr>
            <w:tcW w:w="42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3,506</w:t>
            </w:r>
          </w:p>
        </w:tc>
        <w:tc>
          <w:tcPr>
            <w:tcW w:w="3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6"/>
                <w:szCs w:val="16"/>
                <w:color w:val="auto"/>
              </w:rPr>
              <w:t>304</w:t>
            </w:r>
          </w:p>
        </w:tc>
        <w:tc>
          <w:tcPr>
            <w:tcW w:w="380" w:type="dxa"/>
            <w:vAlign w:val="bottom"/>
          </w:tcPr>
          <w:p>
            <w:pPr>
              <w:spacing w:after="0"/>
              <w:rPr>
                <w:sz w:val="17"/>
                <w:szCs w:val="17"/>
                <w:color w:val="auto"/>
              </w:rPr>
            </w:pPr>
          </w:p>
        </w:tc>
        <w:tc>
          <w:tcPr>
            <w:tcW w:w="900" w:type="dxa"/>
            <w:vAlign w:val="bottom"/>
          </w:tcPr>
          <w:p>
            <w:pPr>
              <w:jc w:val="right"/>
              <w:ind w:right="118"/>
              <w:spacing w:after="0"/>
              <w:rPr>
                <w:sz w:val="20"/>
                <w:szCs w:val="20"/>
                <w:color w:val="auto"/>
              </w:rPr>
            </w:pPr>
            <w:r>
              <w:rPr>
                <w:rFonts w:ascii="Arial" w:cs="Arial" w:eastAsia="Arial" w:hAnsi="Arial"/>
                <w:sz w:val="16"/>
                <w:szCs w:val="16"/>
                <w:color w:val="auto"/>
              </w:rPr>
              <w:t>4,797</w:t>
            </w:r>
          </w:p>
        </w:tc>
        <w:tc>
          <w:tcPr>
            <w:tcW w:w="38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2,593</w:t>
            </w:r>
          </w:p>
        </w:tc>
        <w:tc>
          <w:tcPr>
            <w:tcW w:w="40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553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11,753</w:t>
            </w: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Reinsurance recoverables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650</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2,248</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3,664</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2,118</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8,680</w:t>
            </w: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w w:val="94"/>
              </w:rPr>
              <w:t>Receivable from Federal Crop Insurance Corporation</w:t>
            </w:r>
          </w:p>
        </w:tc>
        <w:tc>
          <w:tcPr>
            <w:tcW w:w="42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20,683</w:t>
            </w:r>
          </w:p>
        </w:tc>
        <w:tc>
          <w:tcPr>
            <w:tcW w:w="40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20,683</w:t>
            </w:r>
          </w:p>
        </w:tc>
      </w:tr>
      <w:tr>
        <w:trPr>
          <w:trHeight w:val="196"/>
        </w:trPr>
        <w:tc>
          <w:tcPr>
            <w:tcW w:w="3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rPr>
              <w:t>Unpaid losses and LAE</w:t>
            </w:r>
          </w:p>
        </w:tc>
        <w:tc>
          <w:tcPr>
            <w:tcW w:w="42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21,281</w:t>
            </w:r>
          </w:p>
        </w:tc>
        <w:tc>
          <w:tcPr>
            <w:tcW w:w="3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6"/>
                <w:szCs w:val="16"/>
                <w:color w:val="auto"/>
              </w:rPr>
              <w:t>5,573</w:t>
            </w:r>
          </w:p>
        </w:tc>
        <w:tc>
          <w:tcPr>
            <w:tcW w:w="380" w:type="dxa"/>
            <w:vAlign w:val="bottom"/>
          </w:tcPr>
          <w:p>
            <w:pPr>
              <w:spacing w:after="0"/>
              <w:rPr>
                <w:sz w:val="17"/>
                <w:szCs w:val="17"/>
                <w:color w:val="auto"/>
              </w:rPr>
            </w:pPr>
          </w:p>
        </w:tc>
        <w:tc>
          <w:tcPr>
            <w:tcW w:w="900" w:type="dxa"/>
            <w:vAlign w:val="bottom"/>
          </w:tcPr>
          <w:p>
            <w:pPr>
              <w:jc w:val="right"/>
              <w:ind w:right="118"/>
              <w:spacing w:after="0"/>
              <w:rPr>
                <w:sz w:val="20"/>
                <w:szCs w:val="20"/>
                <w:color w:val="auto"/>
              </w:rPr>
            </w:pPr>
            <w:r>
              <w:rPr>
                <w:rFonts w:ascii="Arial" w:cs="Arial" w:eastAsia="Arial" w:hAnsi="Arial"/>
                <w:sz w:val="16"/>
                <w:szCs w:val="16"/>
                <w:color w:val="auto"/>
              </w:rPr>
              <w:t>15,013</w:t>
            </w:r>
          </w:p>
        </w:tc>
        <w:tc>
          <w:tcPr>
            <w:tcW w:w="380" w:type="dxa"/>
            <w:vAlign w:val="bottom"/>
          </w:tcPr>
          <w:p>
            <w:pPr>
              <w:spacing w:after="0"/>
              <w:rPr>
                <w:sz w:val="17"/>
                <w:szCs w:val="17"/>
                <w:color w:val="auto"/>
              </w:rPr>
            </w:pPr>
          </w:p>
        </w:tc>
        <w:tc>
          <w:tcPr>
            <w:tcW w:w="880" w:type="dxa"/>
            <w:vAlign w:val="bottom"/>
          </w:tcPr>
          <w:p>
            <w:pPr>
              <w:jc w:val="right"/>
              <w:ind w:right="98"/>
              <w:spacing w:after="0"/>
              <w:rPr>
                <w:sz w:val="20"/>
                <w:szCs w:val="20"/>
                <w:color w:val="auto"/>
              </w:rPr>
            </w:pPr>
            <w:r>
              <w:rPr>
                <w:rFonts w:ascii="Arial" w:cs="Arial" w:eastAsia="Arial" w:hAnsi="Arial"/>
                <w:sz w:val="16"/>
                <w:szCs w:val="16"/>
                <w:color w:val="auto"/>
              </w:rPr>
              <w:t>32,577</w:t>
            </w:r>
          </w:p>
        </w:tc>
        <w:tc>
          <w:tcPr>
            <w:tcW w:w="400" w:type="dxa"/>
            <w:vAlign w:val="bottom"/>
          </w:tcPr>
          <w:p>
            <w:pPr>
              <w:spacing w:after="0"/>
              <w:rPr>
                <w:sz w:val="17"/>
                <w:szCs w:val="17"/>
                <w:color w:val="auto"/>
              </w:rPr>
            </w:pPr>
          </w:p>
        </w:tc>
        <w:tc>
          <w:tcPr>
            <w:tcW w:w="880" w:type="dxa"/>
            <w:vAlign w:val="bottom"/>
          </w:tcPr>
          <w:p>
            <w:pPr>
              <w:jc w:val="right"/>
              <w:ind w:right="118"/>
              <w:spacing w:after="0"/>
              <w:rPr>
                <w:sz w:val="20"/>
                <w:szCs w:val="20"/>
                <w:color w:val="auto"/>
              </w:rPr>
            </w:pPr>
            <w:r>
              <w:rPr>
                <w:rFonts w:ascii="Arial" w:cs="Arial" w:eastAsia="Arial" w:hAnsi="Arial"/>
                <w:sz w:val="16"/>
                <w:szCs w:val="16"/>
                <w:color w:val="auto"/>
              </w:rPr>
              <w:t>10,983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85,427</w:t>
            </w: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Unearned premiums</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24,597</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1,771</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33,012</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11,937</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4,499</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75,816</w:t>
            </w:r>
          </w:p>
        </w:tc>
      </w:tr>
      <w:tr>
        <w:trPr>
          <w:trHeight w:val="802"/>
        </w:trPr>
        <w:tc>
          <w:tcPr>
            <w:tcW w:w="3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type w:val="continuous"/>
        </w:sectPr>
      </w:pPr>
    </w:p>
    <w:bookmarkStart w:id="35" w:name="page36"/>
    <w:bookmarkEnd w:id="35"/>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10"/>
          </w:tcPr>
          <w:p>
            <w:pPr>
              <w:jc w:val="right"/>
              <w:ind w:right="63"/>
              <w:spacing w:after="0"/>
              <w:rPr>
                <w:sz w:val="20"/>
                <w:szCs w:val="20"/>
                <w:color w:val="auto"/>
              </w:rPr>
            </w:pPr>
            <w:r>
              <w:rPr>
                <w:rFonts w:ascii="Arial" w:cs="Arial" w:eastAsia="Arial" w:hAnsi="Arial"/>
                <w:sz w:val="16"/>
                <w:szCs w:val="16"/>
                <w:b w:val="1"/>
                <w:bCs w:val="1"/>
                <w:color w:val="auto"/>
              </w:rPr>
              <w:t>Nine Months Ended September 30, 2018</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3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59"/>
              <w:spacing w:after="0" w:line="173" w:lineRule="exact"/>
              <w:rPr>
                <w:sz w:val="20"/>
                <w:szCs w:val="20"/>
                <w:color w:val="auto"/>
              </w:rPr>
            </w:pPr>
            <w:r>
              <w:rPr>
                <w:rFonts w:ascii="Arial" w:cs="Arial" w:eastAsia="Arial" w:hAnsi="Arial"/>
                <w:sz w:val="16"/>
                <w:szCs w:val="16"/>
                <w:b w:val="1"/>
                <w:bCs w:val="1"/>
                <w:color w:val="auto"/>
                <w:w w:val="93"/>
              </w:rPr>
              <w:t>Private</w:t>
            </w:r>
          </w:p>
        </w:tc>
        <w:tc>
          <w:tcPr>
            <w:tcW w:w="120" w:type="dxa"/>
            <w:vAlign w:val="bottom"/>
          </w:tcPr>
          <w:p>
            <w:pPr>
              <w:spacing w:after="0"/>
              <w:rPr>
                <w:sz w:val="15"/>
                <w:szCs w:val="15"/>
                <w:color w:val="auto"/>
              </w:rPr>
            </w:pPr>
          </w:p>
        </w:tc>
        <w:tc>
          <w:tcPr>
            <w:tcW w:w="1060" w:type="dxa"/>
            <w:vAlign w:val="bottom"/>
            <w:gridSpan w:val="2"/>
          </w:tcPr>
          <w:p>
            <w:pPr>
              <w:jc w:val="center"/>
              <w:ind w:right="178"/>
              <w:spacing w:after="0" w:line="173" w:lineRule="exact"/>
              <w:rPr>
                <w:sz w:val="20"/>
                <w:szCs w:val="20"/>
                <w:color w:val="auto"/>
              </w:rPr>
            </w:pPr>
            <w:r>
              <w:rPr>
                <w:rFonts w:ascii="Arial" w:cs="Arial" w:eastAsia="Arial" w:hAnsi="Arial"/>
                <w:sz w:val="16"/>
                <w:szCs w:val="16"/>
                <w:b w:val="1"/>
                <w:bCs w:val="1"/>
                <w:color w:val="auto"/>
                <w:w w:val="98"/>
              </w:rPr>
              <w:t>Non-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86"/>
              </w:rPr>
              <w:t>Passenger</w:t>
            </w:r>
          </w:p>
        </w:tc>
        <w:tc>
          <w:tcPr>
            <w:tcW w:w="120" w:type="dxa"/>
            <w:vAlign w:val="bottom"/>
          </w:tcPr>
          <w:p>
            <w:pPr>
              <w:spacing w:after="0"/>
              <w:rPr>
                <w:sz w:val="17"/>
                <w:szCs w:val="17"/>
                <w:color w:val="auto"/>
              </w:rPr>
            </w:pPr>
          </w:p>
        </w:tc>
        <w:tc>
          <w:tcPr>
            <w:tcW w:w="10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w w:val="92"/>
              </w:rPr>
              <w:t>Standard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w w:val="95"/>
              </w:rPr>
              <w:t>Home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93"/>
              </w:rPr>
              <w:t>Auto</w:t>
            </w:r>
          </w:p>
        </w:tc>
        <w:tc>
          <w:tcPr>
            <w:tcW w:w="120" w:type="dxa"/>
            <w:vAlign w:val="bottom"/>
          </w:tcPr>
          <w:p>
            <w:pPr>
              <w:spacing w:after="0"/>
              <w:rPr>
                <w:sz w:val="18"/>
                <w:szCs w:val="18"/>
                <w:color w:val="auto"/>
              </w:rPr>
            </w:pPr>
          </w:p>
        </w:tc>
        <w:tc>
          <w:tcPr>
            <w:tcW w:w="1060" w:type="dxa"/>
            <w:vAlign w:val="bottom"/>
            <w:gridSpan w:val="2"/>
          </w:tcPr>
          <w:p>
            <w:pPr>
              <w:jc w:val="center"/>
              <w:ind w:right="178"/>
              <w:spacing w:after="0"/>
              <w:rPr>
                <w:sz w:val="20"/>
                <w:szCs w:val="20"/>
                <w:color w:val="auto"/>
              </w:rPr>
            </w:pPr>
            <w:r>
              <w:rPr>
                <w:rFonts w:ascii="Arial" w:cs="Arial" w:eastAsia="Arial" w:hAnsi="Arial"/>
                <w:sz w:val="16"/>
                <w:szCs w:val="16"/>
                <w:b w:val="1"/>
                <w:bCs w:val="1"/>
                <w:color w:val="auto"/>
                <w:w w:val="98"/>
              </w:rPr>
              <w:t>Auto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Farm</w:t>
            </w:r>
          </w:p>
        </w:tc>
        <w:tc>
          <w:tcPr>
            <w:tcW w:w="2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Crop</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18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premiums earned</w:t>
            </w: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48,436</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34,963</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154,916</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Assumed premiums earned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9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78"/>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2,311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5,572</w:t>
            </w: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Ceded premiums earned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(4,851)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(11,772)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(19,563)</w:t>
            </w:r>
          </w:p>
        </w:tc>
      </w:tr>
      <w:tr>
        <w:trPr>
          <w:trHeight w:val="189"/>
        </w:trPr>
        <w:tc>
          <w:tcPr>
            <w:tcW w:w="3160" w:type="dxa"/>
            <w:vAlign w:val="bottom"/>
          </w:tcPr>
          <w:p>
            <w:pPr>
              <w:ind w:left="240"/>
              <w:spacing w:after="0"/>
              <w:rPr>
                <w:sz w:val="20"/>
                <w:szCs w:val="20"/>
                <w:color w:val="auto"/>
              </w:rPr>
            </w:pPr>
            <w:r>
              <w:rPr>
                <w:rFonts w:ascii="Arial" w:cs="Arial" w:eastAsia="Arial" w:hAnsi="Arial"/>
                <w:sz w:val="16"/>
                <w:szCs w:val="16"/>
                <w:color w:val="auto"/>
              </w:rPr>
              <w:t>Net premiums earned</w:t>
            </w:r>
          </w:p>
        </w:tc>
        <w:tc>
          <w:tcPr>
            <w:tcW w:w="8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46,976</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25,502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140,925</w:t>
            </w:r>
          </w:p>
        </w:tc>
        <w:tc>
          <w:tcPr>
            <w:tcW w:w="100" w:type="dxa"/>
            <w:vAlign w:val="bottom"/>
          </w:tcPr>
          <w:p>
            <w:pPr>
              <w:spacing w:after="0"/>
              <w:rPr>
                <w:sz w:val="16"/>
                <w:szCs w:val="16"/>
                <w:color w:val="auto"/>
              </w:rPr>
            </w:pPr>
          </w:p>
        </w:tc>
      </w:tr>
      <w:tr>
        <w:trPr>
          <w:trHeight w:val="196"/>
        </w:trPr>
        <w:tc>
          <w:tcPr>
            <w:tcW w:w="3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Direct losses and LAE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99"/>
              <w:spacing w:after="0"/>
              <w:rPr>
                <w:sz w:val="20"/>
                <w:szCs w:val="20"/>
                <w:color w:val="auto"/>
              </w:rPr>
            </w:pPr>
            <w:r>
              <w:rPr>
                <w:rFonts w:ascii="Arial" w:cs="Arial" w:eastAsia="Arial" w:hAnsi="Arial"/>
                <w:sz w:val="16"/>
                <w:szCs w:val="16"/>
                <w:color w:val="auto"/>
              </w:rPr>
              <w:t>33,303</w:t>
            </w:r>
          </w:p>
        </w:tc>
        <w:tc>
          <w:tcPr>
            <w:tcW w:w="120" w:type="dxa"/>
            <w:vAlign w:val="bottom"/>
          </w:tcPr>
          <w:p>
            <w:pPr>
              <w:spacing w:after="0"/>
              <w:rPr>
                <w:sz w:val="17"/>
                <w:szCs w:val="17"/>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9,324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38,372</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15,040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98,977</w:t>
            </w: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Assumed losses and LAE</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1,903</w:t>
            </w: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Ceded losses and LAE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38"/>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(2,896)</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(3,854)</w:t>
            </w:r>
          </w:p>
        </w:tc>
      </w:tr>
      <w:tr>
        <w:trPr>
          <w:trHeight w:val="189"/>
        </w:trPr>
        <w:tc>
          <w:tcPr>
            <w:tcW w:w="3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losses and LAE</w:t>
            </w: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33,201</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38,219</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12,837</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97,026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9"/>
        </w:trPr>
        <w:tc>
          <w:tcPr>
            <w:tcW w:w="3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12,826</w:t>
            </w: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8,757</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12,665</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43,899</w:t>
            </w:r>
          </w:p>
        </w:tc>
        <w:tc>
          <w:tcPr>
            <w:tcW w:w="100" w:type="dxa"/>
            <w:vAlign w:val="bottom"/>
            <w:shd w:val="clear" w:color="auto" w:fill="CCEEFF"/>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Underwriting and general expenses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13,357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4,273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14,770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3,346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38,417</w:t>
            </w:r>
          </w:p>
        </w:tc>
      </w:tr>
      <w:tr>
        <w:trPr>
          <w:trHeight w:val="189"/>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Underwriting gain (loss)</w:t>
            </w:r>
          </w:p>
        </w:tc>
        <w:tc>
          <w:tcPr>
            <w:tcW w:w="8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(6,013</w:t>
            </w:r>
          </w:p>
        </w:tc>
        <w:tc>
          <w:tcPr>
            <w:tcW w:w="220" w:type="dxa"/>
            <w:vAlign w:val="bottom"/>
            <w:tcBorders>
              <w:bottom w:val="single" w:sz="8" w:color="CCEEFF"/>
            </w:tcBorders>
          </w:tcPr>
          <w:p>
            <w:pPr>
              <w:jc w:val="right"/>
              <w:ind w:right="7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9,319</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Borders>
              <w:bottom w:val="single" w:sz="8" w:color="CCEEFF"/>
            </w:tcBorders>
          </w:tcPr>
          <w:p>
            <w:pPr>
              <w:spacing w:after="0"/>
              <w:rPr>
                <w:sz w:val="16"/>
                <w:szCs w:val="16"/>
                <w:color w:val="auto"/>
              </w:rPr>
            </w:pPr>
          </w:p>
        </w:tc>
      </w:tr>
      <w:tr>
        <w:trPr>
          <w:trHeight w:val="189"/>
        </w:trPr>
        <w:tc>
          <w:tcPr>
            <w:tcW w:w="3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Fee and other income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6,022</w:t>
            </w:r>
          </w:p>
        </w:tc>
      </w:tr>
      <w:tr>
        <w:trPr>
          <w:trHeight w:val="189"/>
        </w:trPr>
        <w:tc>
          <w:tcPr>
            <w:tcW w:w="3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420"/>
          </w:cols>
          <w:pgMar w:left="240" w:top="218" w:right="239" w:bottom="1440" w:gutter="0" w:footer="0" w:header="0"/>
        </w:sectPr>
      </w:pPr>
    </w:p>
    <w:p>
      <w:pPr>
        <w:spacing w:after="0"/>
        <w:rPr>
          <w:sz w:val="20"/>
          <w:szCs w:val="20"/>
          <w:color w:val="auto"/>
        </w:rPr>
      </w:pPr>
      <w:r>
        <w:rPr>
          <w:rFonts w:ascii="Arial" w:cs="Arial" w:eastAsia="Arial" w:hAnsi="Arial"/>
          <w:sz w:val="16"/>
          <w:szCs w:val="16"/>
          <w:color w:val="auto"/>
        </w:rPr>
        <w:t>Net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before income taxes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9320" cy="132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4,521</w:t>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3,879</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19,904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6464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3,619</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16,285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64643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4643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17" w:lineRule="exact"/>
        <w:rPr>
          <w:sz w:val="20"/>
          <w:szCs w:val="20"/>
          <w:color w:val="auto"/>
        </w:rPr>
      </w:pPr>
    </w:p>
    <w:p>
      <w:pPr>
        <w:ind w:left="580" w:hanging="579"/>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16,192</w:t>
      </w:r>
    </w:p>
    <w:p>
      <w:pPr>
        <w:spacing w:after="0" w:line="47" w:lineRule="exact"/>
        <w:rPr>
          <w:sz w:val="20"/>
          <w:szCs w:val="20"/>
          <w:color w:val="auto"/>
        </w:rPr>
      </w:pPr>
    </w:p>
    <w:p>
      <w:pPr>
        <w:sectPr>
          <w:pgSz w:w="11900" w:h="16838" w:orient="portrait"/>
          <w:cols w:equalWidth="0" w:num="2">
            <w:col w:w="9580" w:space="720"/>
            <w:col w:w="1120"/>
          </w:cols>
          <w:pgMar w:left="240" w:top="218"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8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6"/>
                <w:szCs w:val="16"/>
                <w:color w:val="auto"/>
              </w:rPr>
              <w:t>Non-GAAP Ratios: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and LAE ratio</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72.1%</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69.0%</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81.4%</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50.3%</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68.8%</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Expense ratio</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29.0%</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31.6%</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31.4%</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13.1%</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27.3%</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Combined ratio</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101.2%</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100.6%</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112.8%</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63.5%</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96.1%</w:t>
            </w:r>
          </w:p>
        </w:tc>
      </w:tr>
      <w:tr>
        <w:trPr>
          <w:trHeight w:val="196"/>
        </w:trPr>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6"/>
                <w:szCs w:val="16"/>
                <w:color w:val="auto"/>
              </w:rPr>
              <w:t>Balances at September 30, 2018:</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46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17,003</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7,498</w:t>
            </w:r>
          </w:p>
        </w:tc>
        <w:tc>
          <w:tcPr>
            <w:tcW w:w="4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9,094</w:t>
            </w:r>
          </w:p>
        </w:tc>
        <w:tc>
          <w:tcPr>
            <w:tcW w:w="42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27,710</w:t>
            </w:r>
          </w:p>
        </w:tc>
        <w:tc>
          <w:tcPr>
            <w:tcW w:w="44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1,440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62,745</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Deferred policy acquisition costs</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3,663</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1,356</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5,195</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1,001</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11,793</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Reinsurance recoverables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979</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2,425</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2,182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5,628</w:t>
            </w: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w w:val="95"/>
              </w:rPr>
              <w:t>Receivable from Federal Crop Insurance Corporation</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29,284</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29,284</w:t>
            </w:r>
          </w:p>
        </w:tc>
      </w:tr>
      <w:tr>
        <w:trPr>
          <w:trHeight w:val="196"/>
        </w:trPr>
        <w:tc>
          <w:tcPr>
            <w:tcW w:w="3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3860" w:type="dxa"/>
            <w:vAlign w:val="bottom"/>
          </w:tcPr>
          <w:p>
            <w:pPr>
              <w:ind w:left="240"/>
              <w:spacing w:after="0"/>
              <w:rPr>
                <w:sz w:val="20"/>
                <w:szCs w:val="20"/>
                <w:color w:val="auto"/>
              </w:rPr>
            </w:pPr>
            <w:r>
              <w:rPr>
                <w:rFonts w:ascii="Arial" w:cs="Arial" w:eastAsia="Arial" w:hAnsi="Arial"/>
                <w:sz w:val="16"/>
                <w:szCs w:val="16"/>
                <w:color w:val="auto"/>
              </w:rPr>
              <w:t>Unpaid losses and LAE</w:t>
            </w:r>
          </w:p>
        </w:tc>
        <w:tc>
          <w:tcPr>
            <w:tcW w:w="460" w:type="dxa"/>
            <w:vAlign w:val="bottom"/>
          </w:tcPr>
          <w:p>
            <w:pPr>
              <w:spacing w:after="0"/>
              <w:rPr>
                <w:sz w:val="17"/>
                <w:szCs w:val="17"/>
                <w:color w:val="auto"/>
              </w:rPr>
            </w:pPr>
          </w:p>
        </w:tc>
        <w:tc>
          <w:tcPr>
            <w:tcW w:w="860" w:type="dxa"/>
            <w:vAlign w:val="bottom"/>
          </w:tcPr>
          <w:p>
            <w:pPr>
              <w:jc w:val="right"/>
              <w:ind w:right="38"/>
              <w:spacing w:after="0"/>
              <w:rPr>
                <w:sz w:val="20"/>
                <w:szCs w:val="20"/>
                <w:color w:val="auto"/>
              </w:rPr>
            </w:pPr>
            <w:r>
              <w:rPr>
                <w:rFonts w:ascii="Arial" w:cs="Arial" w:eastAsia="Arial" w:hAnsi="Arial"/>
                <w:sz w:val="16"/>
                <w:szCs w:val="16"/>
                <w:color w:val="auto"/>
              </w:rPr>
              <w:t>19,094</w:t>
            </w:r>
          </w:p>
        </w:tc>
        <w:tc>
          <w:tcPr>
            <w:tcW w:w="340" w:type="dxa"/>
            <w:vAlign w:val="bottom"/>
          </w:tcPr>
          <w:p>
            <w:pPr>
              <w:spacing w:after="0"/>
              <w:rPr>
                <w:sz w:val="17"/>
                <w:szCs w:val="17"/>
                <w:color w:val="auto"/>
              </w:rPr>
            </w:pPr>
          </w:p>
        </w:tc>
        <w:tc>
          <w:tcPr>
            <w:tcW w:w="940" w:type="dxa"/>
            <w:vAlign w:val="bottom"/>
          </w:tcPr>
          <w:p>
            <w:pPr>
              <w:jc w:val="right"/>
              <w:ind w:right="38"/>
              <w:spacing w:after="0"/>
              <w:rPr>
                <w:sz w:val="20"/>
                <w:szCs w:val="20"/>
                <w:color w:val="auto"/>
              </w:rPr>
            </w:pPr>
            <w:r>
              <w:rPr>
                <w:rFonts w:ascii="Arial" w:cs="Arial" w:eastAsia="Arial" w:hAnsi="Arial"/>
                <w:sz w:val="16"/>
                <w:szCs w:val="16"/>
                <w:color w:val="auto"/>
              </w:rPr>
              <w:t>48,020</w:t>
            </w:r>
          </w:p>
        </w:tc>
        <w:tc>
          <w:tcPr>
            <w:tcW w:w="420" w:type="dxa"/>
            <w:vAlign w:val="bottom"/>
          </w:tcPr>
          <w:p>
            <w:pPr>
              <w:spacing w:after="0"/>
              <w:rPr>
                <w:sz w:val="17"/>
                <w:szCs w:val="17"/>
                <w:color w:val="auto"/>
              </w:rPr>
            </w:pPr>
          </w:p>
        </w:tc>
        <w:tc>
          <w:tcPr>
            <w:tcW w:w="840" w:type="dxa"/>
            <w:vAlign w:val="bottom"/>
          </w:tcPr>
          <w:p>
            <w:pPr>
              <w:jc w:val="right"/>
              <w:ind w:right="38"/>
              <w:spacing w:after="0"/>
              <w:rPr>
                <w:sz w:val="20"/>
                <w:szCs w:val="20"/>
                <w:color w:val="auto"/>
              </w:rPr>
            </w:pPr>
            <w:r>
              <w:rPr>
                <w:rFonts w:ascii="Arial" w:cs="Arial" w:eastAsia="Arial" w:hAnsi="Arial"/>
                <w:sz w:val="16"/>
                <w:szCs w:val="16"/>
                <w:color w:val="auto"/>
              </w:rPr>
              <w:t>15,536</w:t>
            </w:r>
          </w:p>
        </w:tc>
        <w:tc>
          <w:tcPr>
            <w:tcW w:w="42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13,714</w:t>
            </w:r>
          </w:p>
        </w:tc>
        <w:tc>
          <w:tcPr>
            <w:tcW w:w="44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9,289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105,653</w:t>
            </w:r>
          </w:p>
        </w:tc>
      </w:tr>
      <w:tr>
        <w:trPr>
          <w:trHeight w:val="19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Unearned premiums</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26,363</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17,871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36,764</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12,509</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4,801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98,308</w:t>
            </w:r>
          </w:p>
        </w:tc>
      </w:tr>
      <w:tr>
        <w:trPr>
          <w:trHeight w:val="606"/>
        </w:trPr>
        <w:tc>
          <w:tcPr>
            <w:tcW w:w="3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58"/>
              <w:spacing w:after="0"/>
              <w:rPr>
                <w:sz w:val="20"/>
                <w:szCs w:val="20"/>
                <w:color w:val="auto"/>
              </w:rPr>
            </w:pPr>
            <w:r>
              <w:rPr>
                <w:rFonts w:ascii="Arial" w:cs="Arial" w:eastAsia="Arial" w:hAnsi="Arial"/>
                <w:sz w:val="16"/>
                <w:szCs w:val="16"/>
                <w:color w:val="auto"/>
              </w:rPr>
              <w:t>34</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18" w:right="239" w:bottom="1440" w:gutter="0" w:footer="0" w:header="0"/>
          <w:type w:val="continuous"/>
        </w:sectPr>
      </w:pPr>
    </w:p>
    <w:bookmarkStart w:id="36" w:name="page37"/>
    <w:bookmarkEnd w:id="36"/>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w w:val="91"/>
              </w:rPr>
              <w:t>Nine Months Ended September 30, 2017</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38"/>
              <w:spacing w:after="0" w:line="173" w:lineRule="exact"/>
              <w:rPr>
                <w:sz w:val="20"/>
                <w:szCs w:val="20"/>
                <w:color w:val="auto"/>
              </w:rPr>
            </w:pPr>
            <w:r>
              <w:rPr>
                <w:rFonts w:ascii="Arial" w:cs="Arial" w:eastAsia="Arial" w:hAnsi="Arial"/>
                <w:sz w:val="16"/>
                <w:szCs w:val="16"/>
                <w:b w:val="1"/>
                <w:bCs w:val="1"/>
                <w:color w:val="auto"/>
                <w:w w:val="93"/>
              </w:rPr>
              <w:t>Private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98"/>
              <w:spacing w:after="0" w:line="173" w:lineRule="exact"/>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86"/>
              </w:rPr>
              <w:t>Passenger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95"/>
              </w:rPr>
              <w:t>Standard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58"/>
              <w:spacing w:after="0"/>
              <w:rPr>
                <w:sz w:val="20"/>
                <w:szCs w:val="20"/>
                <w:color w:val="auto"/>
              </w:rPr>
            </w:pPr>
            <w:r>
              <w:rPr>
                <w:rFonts w:ascii="Arial" w:cs="Arial" w:eastAsia="Arial" w:hAnsi="Arial"/>
                <w:sz w:val="16"/>
                <w:szCs w:val="16"/>
                <w:b w:val="1"/>
                <w:bCs w:val="1"/>
                <w:color w:val="auto"/>
                <w:w w:val="93"/>
              </w:rPr>
              <w:t>Home and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98"/>
              <w:spacing w:after="0"/>
              <w:rPr>
                <w:sz w:val="20"/>
                <w:szCs w:val="20"/>
                <w:color w:val="auto"/>
              </w:rPr>
            </w:pPr>
            <w:r>
              <w:rPr>
                <w:rFonts w:ascii="Arial" w:cs="Arial" w:eastAsia="Arial" w:hAnsi="Arial"/>
                <w:sz w:val="16"/>
                <w:szCs w:val="16"/>
                <w:b w:val="1"/>
                <w:bCs w:val="1"/>
                <w:color w:val="auto"/>
                <w:w w:val="93"/>
              </w:rPr>
              <w:t>Auto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98"/>
              <w:spacing w:after="0"/>
              <w:rPr>
                <w:sz w:val="20"/>
                <w:szCs w:val="20"/>
                <w:color w:val="auto"/>
              </w:rPr>
            </w:pPr>
            <w:r>
              <w:rPr>
                <w:rFonts w:ascii="Arial" w:cs="Arial" w:eastAsia="Arial" w:hAnsi="Arial"/>
                <w:sz w:val="16"/>
                <w:szCs w:val="16"/>
                <w:b w:val="1"/>
                <w:bCs w:val="1"/>
                <w:color w:val="auto"/>
                <w:w w:val="93"/>
              </w:rPr>
              <w:t>Auto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98"/>
              <w:spacing w:after="0"/>
              <w:rPr>
                <w:sz w:val="20"/>
                <w:szCs w:val="20"/>
                <w:color w:val="auto"/>
              </w:rPr>
            </w:pPr>
            <w:r>
              <w:rPr>
                <w:rFonts w:ascii="Arial" w:cs="Arial" w:eastAsia="Arial" w:hAnsi="Arial"/>
                <w:sz w:val="16"/>
                <w:szCs w:val="16"/>
                <w:b w:val="1"/>
                <w:bCs w:val="1"/>
                <w:color w:val="auto"/>
              </w:rPr>
              <w:t>Farm</w:t>
            </w:r>
          </w:p>
        </w:tc>
        <w:tc>
          <w:tcPr>
            <w:tcW w:w="2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Crop</w:t>
            </w: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All 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Total</w:t>
            </w:r>
          </w:p>
        </w:tc>
      </w:tr>
      <w:tr>
        <w:trPr>
          <w:trHeight w:val="18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42,893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47,047</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37,162</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5,773</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140,659</w:t>
            </w:r>
          </w:p>
        </w:tc>
        <w:tc>
          <w:tcPr>
            <w:tcW w:w="140" w:type="dxa"/>
            <w:vAlign w:val="bottom"/>
            <w:tcBorders>
              <w:top w:val="single" w:sz="8" w:color="CCEEFF"/>
            </w:tcBorders>
            <w:shd w:val="clear" w:color="auto" w:fill="CCEEFF"/>
          </w:tcPr>
          <w:p>
            <w:pPr>
              <w:spacing w:after="0"/>
              <w:rPr>
                <w:sz w:val="16"/>
                <w:szCs w:val="16"/>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Assumed premiums earned</w:t>
            </w:r>
          </w:p>
        </w:tc>
        <w:tc>
          <w:tcPr>
            <w:tcW w:w="12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2,527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5,729</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(4,417)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(8,019)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(15,401)</w:t>
            </w:r>
          </w:p>
        </w:tc>
      </w:tr>
      <w:tr>
        <w:trPr>
          <w:trHeight w:val="189"/>
        </w:trPr>
        <w:tc>
          <w:tcPr>
            <w:tcW w:w="3880" w:type="dxa"/>
            <w:vAlign w:val="bottom"/>
          </w:tcPr>
          <w:p>
            <w:pPr>
              <w:ind w:left="240"/>
              <w:spacing w:after="0"/>
              <w:rPr>
                <w:sz w:val="20"/>
                <w:szCs w:val="20"/>
                <w:color w:val="auto"/>
              </w:rPr>
            </w:pPr>
            <w:r>
              <w:rPr>
                <w:rFonts w:ascii="Arial" w:cs="Arial" w:eastAsia="Arial" w:hAnsi="Arial"/>
                <w:sz w:val="16"/>
                <w:szCs w:val="16"/>
                <w:color w:val="auto"/>
              </w:rPr>
              <w:t>Net premiums earned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40,439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42,618</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31,670</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130,987</w:t>
            </w:r>
          </w:p>
        </w:tc>
        <w:tc>
          <w:tcPr>
            <w:tcW w:w="140" w:type="dxa"/>
            <w:vAlign w:val="bottom"/>
          </w:tcPr>
          <w:p>
            <w:pPr>
              <w:spacing w:after="0"/>
              <w:rPr>
                <w:sz w:val="16"/>
                <w:szCs w:val="16"/>
                <w:color w:val="auto"/>
              </w:rPr>
            </w:pPr>
          </w:p>
        </w:tc>
      </w:tr>
      <w:tr>
        <w:trPr>
          <w:trHeight w:val="196"/>
        </w:trPr>
        <w:tc>
          <w:tcPr>
            <w:tcW w:w="3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Direct losses and LAE</w:t>
            </w:r>
          </w:p>
        </w:tc>
        <w:tc>
          <w:tcPr>
            <w:tcW w:w="12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27,936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6,284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78"/>
              <w:spacing w:after="0"/>
              <w:rPr>
                <w:sz w:val="20"/>
                <w:szCs w:val="20"/>
                <w:color w:val="auto"/>
              </w:rPr>
            </w:pPr>
            <w:r>
              <w:rPr>
                <w:rFonts w:ascii="Arial" w:cs="Arial" w:eastAsia="Arial" w:hAnsi="Arial"/>
                <w:sz w:val="16"/>
                <w:szCs w:val="16"/>
                <w:color w:val="auto"/>
              </w:rPr>
              <w:t>34,541</w:t>
            </w:r>
          </w:p>
        </w:tc>
        <w:tc>
          <w:tcPr>
            <w:tcW w:w="2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32,036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104,030</w:t>
            </w:r>
          </w:p>
        </w:tc>
      </w:tr>
      <w:tr>
        <w:trPr>
          <w:trHeight w:val="196"/>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Assumed losses and LAE</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5,312</w:t>
            </w:r>
          </w:p>
        </w:tc>
      </w:tr>
      <w:tr>
        <w:trPr>
          <w:trHeight w:val="208"/>
        </w:trPr>
        <w:tc>
          <w:tcPr>
            <w:tcW w:w="3880" w:type="dxa"/>
            <w:vAlign w:val="bottom"/>
          </w:tcPr>
          <w:p>
            <w:pPr>
              <w:spacing w:after="0"/>
              <w:rPr>
                <w:sz w:val="20"/>
                <w:szCs w:val="20"/>
                <w:color w:val="auto"/>
              </w:rPr>
            </w:pPr>
            <w:r>
              <w:rPr>
                <w:rFonts w:ascii="Arial" w:cs="Arial" w:eastAsia="Arial" w:hAnsi="Arial"/>
                <w:sz w:val="16"/>
                <w:szCs w:val="16"/>
                <w:color w:val="auto"/>
              </w:rPr>
              <w:t>Ceded losses and LAE</w:t>
            </w:r>
          </w:p>
        </w:tc>
        <w:tc>
          <w:tcPr>
            <w:tcW w:w="120" w:type="dxa"/>
            <w:vAlign w:val="bottom"/>
          </w:tcPr>
          <w:p>
            <w:pPr>
              <w:spacing w:after="0"/>
              <w:rPr>
                <w:sz w:val="18"/>
                <w:szCs w:val="18"/>
                <w:color w:val="auto"/>
              </w:rPr>
            </w:pPr>
          </w:p>
        </w:tc>
        <w:tc>
          <w:tcPr>
            <w:tcW w:w="1060" w:type="dxa"/>
            <w:vAlign w:val="bottom"/>
            <w:gridSpan w:val="2"/>
          </w:tcPr>
          <w:p>
            <w:pPr>
              <w:jc w:val="right"/>
              <w:ind w:right="18"/>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18"/>
              <w:spacing w:after="0"/>
              <w:rPr>
                <w:sz w:val="20"/>
                <w:szCs w:val="20"/>
                <w:color w:val="auto"/>
              </w:rPr>
            </w:pPr>
            <w:r>
              <w:rPr>
                <w:rFonts w:ascii="Arial" w:cs="Arial" w:eastAsia="Arial" w:hAnsi="Arial"/>
                <w:sz w:val="16"/>
                <w:szCs w:val="16"/>
                <w:color w:val="auto"/>
              </w:rPr>
              <w:t>(469)</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(3,698)</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(5,792)</w:t>
            </w:r>
          </w:p>
        </w:tc>
      </w:tr>
      <w:tr>
        <w:trPr>
          <w:trHeight w:val="189"/>
        </w:trPr>
        <w:tc>
          <w:tcPr>
            <w:tcW w:w="38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losses and LAE</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28,191</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34,072</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29,707</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103,550</w:t>
            </w:r>
          </w:p>
        </w:tc>
        <w:tc>
          <w:tcPr>
            <w:tcW w:w="140" w:type="dxa"/>
            <w:vAlign w:val="bottom"/>
            <w:tcBorders>
              <w:top w:val="single" w:sz="8" w:color="CCEEFF"/>
            </w:tcBorders>
            <w:shd w:val="clear" w:color="auto" w:fill="CCEEFF"/>
          </w:tcPr>
          <w:p>
            <w:pPr>
              <w:spacing w:after="0"/>
              <w:rPr>
                <w:sz w:val="16"/>
                <w:szCs w:val="16"/>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18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8,546</w:t>
            </w:r>
          </w:p>
        </w:tc>
        <w:tc>
          <w:tcPr>
            <w:tcW w:w="2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27,437</w:t>
            </w:r>
          </w:p>
        </w:tc>
        <w:tc>
          <w:tcPr>
            <w:tcW w:w="140" w:type="dxa"/>
            <w:vAlign w:val="bottom"/>
            <w:shd w:val="clear" w:color="auto" w:fill="CCEEFF"/>
          </w:tcPr>
          <w:p>
            <w:pPr>
              <w:spacing w:after="0"/>
              <w:rPr>
                <w:sz w:val="16"/>
                <w:szCs w:val="16"/>
                <w:color w:val="auto"/>
              </w:rPr>
            </w:pPr>
          </w:p>
        </w:tc>
      </w:tr>
      <w:tr>
        <w:trPr>
          <w:trHeight w:val="189"/>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12,353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8"/>
              <w:spacing w:after="0"/>
              <w:rPr>
                <w:sz w:val="20"/>
                <w:szCs w:val="20"/>
                <w:color w:val="auto"/>
              </w:rPr>
            </w:pPr>
            <w:r>
              <w:rPr>
                <w:rFonts w:ascii="Arial" w:cs="Arial" w:eastAsia="Arial" w:hAnsi="Arial"/>
                <w:sz w:val="16"/>
                <w:szCs w:val="16"/>
                <w:color w:val="auto"/>
              </w:rPr>
              <w:t>13,632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6"/>
                <w:szCs w:val="16"/>
                <w:color w:val="auto"/>
              </w:rPr>
              <w:t>31,536</w:t>
            </w:r>
          </w:p>
        </w:tc>
      </w:tr>
      <w:tr>
        <w:trPr>
          <w:trHeight w:val="189"/>
        </w:trPr>
        <w:tc>
          <w:tcPr>
            <w:tcW w:w="38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Underwriting gain (loss)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CCEEFF"/>
            </w:tcBorders>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(5,086</w:t>
            </w:r>
          </w:p>
        </w:tc>
        <w:tc>
          <w:tcPr>
            <w:tcW w:w="260" w:type="dxa"/>
            <w:vAlign w:val="bottom"/>
            <w:tcBorders>
              <w:bottom w:val="single" w:sz="8" w:color="CCEEFF"/>
            </w:tcBorders>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3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8"/>
        </w:trPr>
        <w:tc>
          <w:tcPr>
            <w:tcW w:w="3880" w:type="dxa"/>
            <w:vAlign w:val="bottom"/>
          </w:tcPr>
          <w:p>
            <w:pPr>
              <w:spacing w:after="0"/>
              <w:rPr>
                <w:sz w:val="20"/>
                <w:szCs w:val="20"/>
                <w:color w:val="auto"/>
              </w:rPr>
            </w:pPr>
            <w:r>
              <w:rPr>
                <w:rFonts w:ascii="Arial" w:cs="Arial" w:eastAsia="Arial" w:hAnsi="Arial"/>
                <w:sz w:val="16"/>
                <w:szCs w:val="16"/>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6"/>
                <w:szCs w:val="16"/>
                <w:color w:val="auto"/>
              </w:rPr>
              <w:t>1,420</w:t>
            </w:r>
          </w:p>
        </w:tc>
      </w:tr>
      <w:tr>
        <w:trPr>
          <w:trHeight w:val="189"/>
        </w:trPr>
        <w:tc>
          <w:tcPr>
            <w:tcW w:w="3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420"/>
          </w:cols>
          <w:pgMar w:left="240" w:top="218" w:right="239" w:bottom="1440" w:gutter="0" w:footer="0" w:header="0"/>
        </w:sectPr>
      </w:pPr>
    </w:p>
    <w:p>
      <w:pPr>
        <w:spacing w:after="0"/>
        <w:rPr>
          <w:sz w:val="20"/>
          <w:szCs w:val="20"/>
          <w:color w:val="auto"/>
        </w:rPr>
      </w:pPr>
      <w:r>
        <w:rPr>
          <w:rFonts w:ascii="Arial" w:cs="Arial" w:eastAsia="Arial" w:hAnsi="Arial"/>
          <w:sz w:val="16"/>
          <w:szCs w:val="16"/>
          <w:color w:val="auto"/>
        </w:rPr>
        <w:t>Net investment income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before income taxes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9320" cy="132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income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9320" cy="132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Arial" w:cs="Arial" w:eastAsia="Arial" w:hAnsi="Arial"/>
          <w:sz w:val="16"/>
          <w:szCs w:val="16"/>
          <w:color w:val="auto"/>
        </w:rPr>
        <w:t>3,706</w:t>
      </w:r>
    </w:p>
    <w:p>
      <w:pPr>
        <w:spacing w:after="0" w:line="12"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2,840</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464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1,694</w:t>
      </w:r>
    </w:p>
    <w:p>
      <w:pPr>
        <w:spacing w:after="0" w:line="2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6464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64643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17" w:lineRule="exact"/>
        <w:rPr>
          <w:sz w:val="20"/>
          <w:szCs w:val="20"/>
          <w:color w:val="auto"/>
        </w:rPr>
      </w:pPr>
    </w:p>
    <w:p>
      <w:pPr>
        <w:ind w:left="660" w:hanging="655"/>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2,085</w:t>
      </w:r>
    </w:p>
    <w:p>
      <w:pPr>
        <w:spacing w:after="0" w:line="47" w:lineRule="exact"/>
        <w:rPr>
          <w:sz w:val="20"/>
          <w:szCs w:val="20"/>
          <w:color w:val="auto"/>
        </w:rPr>
      </w:pPr>
    </w:p>
    <w:p>
      <w:pPr>
        <w:sectPr>
          <w:pgSz w:w="11900" w:h="16838" w:orient="portrait"/>
          <w:cols w:equalWidth="0" w:num="2">
            <w:col w:w="9540" w:space="720"/>
            <w:col w:w="1160"/>
          </w:cols>
          <w:pgMar w:left="240" w:top="218"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30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96"/>
        </w:trPr>
        <w:tc>
          <w:tcPr>
            <w:tcW w:w="3020" w:type="dxa"/>
            <w:vAlign w:val="bottom"/>
          </w:tcPr>
          <w:p>
            <w:pPr>
              <w:spacing w:after="0"/>
              <w:rPr>
                <w:sz w:val="20"/>
                <w:szCs w:val="20"/>
                <w:color w:val="auto"/>
              </w:rPr>
            </w:pPr>
            <w:r>
              <w:rPr>
                <w:rFonts w:ascii="Arial" w:cs="Arial" w:eastAsia="Arial" w:hAnsi="Arial"/>
                <w:sz w:val="16"/>
                <w:szCs w:val="16"/>
                <w:color w:val="auto"/>
              </w:rPr>
              <w:t>Non-GAAP Ratios:</w:t>
            </w:r>
          </w:p>
        </w:tc>
        <w:tc>
          <w:tcPr>
            <w:tcW w:w="2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and LAE ratio</w:t>
            </w:r>
          </w:p>
        </w:tc>
        <w:tc>
          <w:tcPr>
            <w:tcW w:w="24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69.7%</w:t>
            </w:r>
          </w:p>
        </w:tc>
        <w:tc>
          <w:tcPr>
            <w:tcW w:w="12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80.7%</w:t>
            </w:r>
          </w:p>
        </w:tc>
        <w:tc>
          <w:tcPr>
            <w:tcW w:w="13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79.9%</w:t>
            </w:r>
          </w:p>
        </w:tc>
        <w:tc>
          <w:tcPr>
            <w:tcW w:w="128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93.8%</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196"/>
        </w:trPr>
        <w:tc>
          <w:tcPr>
            <w:tcW w:w="3020" w:type="dxa"/>
            <w:vAlign w:val="bottom"/>
          </w:tcPr>
          <w:p>
            <w:pPr>
              <w:ind w:left="240"/>
              <w:spacing w:after="0"/>
              <w:rPr>
                <w:sz w:val="20"/>
                <w:szCs w:val="20"/>
                <w:color w:val="auto"/>
              </w:rPr>
            </w:pPr>
            <w:r>
              <w:rPr>
                <w:rFonts w:ascii="Arial" w:cs="Arial" w:eastAsia="Arial" w:hAnsi="Arial"/>
                <w:sz w:val="16"/>
                <w:szCs w:val="16"/>
                <w:color w:val="auto"/>
              </w:rPr>
              <w:t>Expense ratio</w:t>
            </w:r>
          </w:p>
        </w:tc>
        <w:tc>
          <w:tcPr>
            <w:tcW w:w="2400" w:type="dxa"/>
            <w:vAlign w:val="bottom"/>
          </w:tcPr>
          <w:p>
            <w:pPr>
              <w:jc w:val="right"/>
              <w:ind w:right="298"/>
              <w:spacing w:after="0"/>
              <w:rPr>
                <w:sz w:val="20"/>
                <w:szCs w:val="20"/>
                <w:color w:val="auto"/>
              </w:rPr>
            </w:pPr>
            <w:r>
              <w:rPr>
                <w:rFonts w:ascii="Arial" w:cs="Arial" w:eastAsia="Arial" w:hAnsi="Arial"/>
                <w:sz w:val="16"/>
                <w:szCs w:val="16"/>
                <w:color w:val="auto"/>
              </w:rPr>
              <w:t>30.5%</w:t>
            </w:r>
          </w:p>
        </w:tc>
        <w:tc>
          <w:tcPr>
            <w:tcW w:w="1280" w:type="dxa"/>
            <w:vAlign w:val="bottom"/>
          </w:tcPr>
          <w:p>
            <w:pPr>
              <w:jc w:val="right"/>
              <w:ind w:right="298"/>
              <w:spacing w:after="0"/>
              <w:rPr>
                <w:sz w:val="20"/>
                <w:szCs w:val="20"/>
                <w:color w:val="auto"/>
              </w:rPr>
            </w:pPr>
            <w:r>
              <w:rPr>
                <w:rFonts w:ascii="Arial" w:cs="Arial" w:eastAsia="Arial" w:hAnsi="Arial"/>
                <w:sz w:val="16"/>
                <w:szCs w:val="16"/>
                <w:color w:val="auto"/>
              </w:rPr>
              <w:t>28.7%</w:t>
            </w:r>
          </w:p>
        </w:tc>
        <w:tc>
          <w:tcPr>
            <w:tcW w:w="1320" w:type="dxa"/>
            <w:vAlign w:val="bottom"/>
          </w:tcPr>
          <w:p>
            <w:pPr>
              <w:jc w:val="right"/>
              <w:ind w:right="338"/>
              <w:spacing w:after="0"/>
              <w:rPr>
                <w:sz w:val="20"/>
                <w:szCs w:val="20"/>
                <w:color w:val="auto"/>
              </w:rPr>
            </w:pPr>
            <w:r>
              <w:rPr>
                <w:rFonts w:ascii="Arial" w:cs="Arial" w:eastAsia="Arial" w:hAnsi="Arial"/>
                <w:sz w:val="16"/>
                <w:szCs w:val="16"/>
                <w:color w:val="auto"/>
              </w:rPr>
              <w:t>32.0%</w:t>
            </w:r>
          </w:p>
        </w:tc>
        <w:tc>
          <w:tcPr>
            <w:tcW w:w="1280" w:type="dxa"/>
            <w:vAlign w:val="bottom"/>
          </w:tcPr>
          <w:p>
            <w:pPr>
              <w:jc w:val="right"/>
              <w:ind w:right="358"/>
              <w:spacing w:after="0"/>
              <w:rPr>
                <w:sz w:val="20"/>
                <w:szCs w:val="20"/>
                <w:color w:val="auto"/>
              </w:rPr>
            </w:pPr>
            <w:r>
              <w:rPr>
                <w:rFonts w:ascii="Arial" w:cs="Arial" w:eastAsia="Arial" w:hAnsi="Arial"/>
                <w:sz w:val="16"/>
                <w:szCs w:val="16"/>
                <w:color w:val="auto"/>
              </w:rPr>
              <w:t>4.4%</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22.8%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24.1%</w:t>
            </w:r>
          </w:p>
        </w:tc>
      </w:tr>
      <w:tr>
        <w:trPr>
          <w:trHeight w:val="196"/>
        </w:trPr>
        <w:tc>
          <w:tcPr>
            <w:tcW w:w="3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Combined ratio</w:t>
            </w:r>
          </w:p>
        </w:tc>
        <w:tc>
          <w:tcPr>
            <w:tcW w:w="240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100.3%</w:t>
            </w:r>
          </w:p>
        </w:tc>
        <w:tc>
          <w:tcPr>
            <w:tcW w:w="12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109.4%</w:t>
            </w:r>
          </w:p>
        </w:tc>
        <w:tc>
          <w:tcPr>
            <w:tcW w:w="13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111.9%</w:t>
            </w:r>
          </w:p>
        </w:tc>
        <w:tc>
          <w:tcPr>
            <w:tcW w:w="128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98.2%</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196"/>
        </w:trPr>
        <w:tc>
          <w:tcPr>
            <w:tcW w:w="3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02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20"/>
                <w:szCs w:val="20"/>
                <w:color w:val="auto"/>
              </w:rPr>
            </w:pPr>
            <w:r>
              <w:rPr>
                <w:rFonts w:ascii="Arial" w:cs="Arial" w:eastAsia="Arial" w:hAnsi="Arial"/>
                <w:sz w:val="16"/>
                <w:szCs w:val="16"/>
                <w:color w:val="auto"/>
              </w:rPr>
              <w:t>Balances at September 30, 2017:</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Premiums receivable</w:t>
            </w:r>
          </w:p>
        </w:tc>
        <w:tc>
          <w:tcPr>
            <w:tcW w:w="4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15,400</w:t>
            </w:r>
          </w:p>
        </w:tc>
        <w:tc>
          <w:tcPr>
            <w:tcW w:w="4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1,188</w:t>
            </w:r>
          </w:p>
        </w:tc>
        <w:tc>
          <w:tcPr>
            <w:tcW w:w="4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7,970</w:t>
            </w:r>
          </w:p>
        </w:tc>
        <w:tc>
          <w:tcPr>
            <w:tcW w:w="4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46,782</w:t>
            </w:r>
          </w:p>
        </w:tc>
        <w:tc>
          <w:tcPr>
            <w:tcW w:w="46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1,233</w:t>
            </w:r>
          </w:p>
        </w:tc>
        <w:tc>
          <w:tcPr>
            <w:tcW w:w="4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72,573</w:t>
            </w: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rPr>
              <w:t>Deferred policy acquisition costs</w:t>
            </w:r>
          </w:p>
        </w:tc>
        <w:tc>
          <w:tcPr>
            <w:tcW w:w="42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3,506</w:t>
            </w:r>
          </w:p>
        </w:tc>
        <w:tc>
          <w:tcPr>
            <w:tcW w:w="48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304</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4,797</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2,593</w:t>
            </w:r>
          </w:p>
        </w:tc>
        <w:tc>
          <w:tcPr>
            <w:tcW w:w="46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553</w:t>
            </w:r>
          </w:p>
        </w:tc>
        <w:tc>
          <w:tcPr>
            <w:tcW w:w="440" w:type="dxa"/>
            <w:vAlign w:val="bottom"/>
          </w:tcPr>
          <w:p>
            <w:pPr>
              <w:spacing w:after="0"/>
              <w:rPr>
                <w:sz w:val="17"/>
                <w:szCs w:val="17"/>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11,753</w:t>
            </w: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Reinsurance recoverables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650</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2,248</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3,664</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2,118</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8,680</w:t>
            </w: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w w:val="94"/>
              </w:rPr>
              <w:t>Receivable from Federal Crop Insurance Corporation</w:t>
            </w:r>
          </w:p>
        </w:tc>
        <w:tc>
          <w:tcPr>
            <w:tcW w:w="42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20,683</w:t>
            </w:r>
          </w:p>
        </w:tc>
        <w:tc>
          <w:tcPr>
            <w:tcW w:w="46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20,683</w:t>
            </w:r>
          </w:p>
        </w:tc>
      </w:tr>
      <w:tr>
        <w:trPr>
          <w:trHeight w:val="196"/>
        </w:trPr>
        <w:tc>
          <w:tcPr>
            <w:tcW w:w="3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6"/>
        </w:trPr>
        <w:tc>
          <w:tcPr>
            <w:tcW w:w="3800" w:type="dxa"/>
            <w:vAlign w:val="bottom"/>
          </w:tcPr>
          <w:p>
            <w:pPr>
              <w:ind w:left="240"/>
              <w:spacing w:after="0"/>
              <w:rPr>
                <w:sz w:val="20"/>
                <w:szCs w:val="20"/>
                <w:color w:val="auto"/>
              </w:rPr>
            </w:pPr>
            <w:r>
              <w:rPr>
                <w:rFonts w:ascii="Arial" w:cs="Arial" w:eastAsia="Arial" w:hAnsi="Arial"/>
                <w:sz w:val="16"/>
                <w:szCs w:val="16"/>
                <w:color w:val="auto"/>
              </w:rPr>
              <w:t>Unpaid losses and LAE</w:t>
            </w:r>
          </w:p>
        </w:tc>
        <w:tc>
          <w:tcPr>
            <w:tcW w:w="42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21,281</w:t>
            </w:r>
          </w:p>
        </w:tc>
        <w:tc>
          <w:tcPr>
            <w:tcW w:w="48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5,573</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15,013</w:t>
            </w:r>
          </w:p>
        </w:tc>
        <w:tc>
          <w:tcPr>
            <w:tcW w:w="460" w:type="dxa"/>
            <w:vAlign w:val="bottom"/>
          </w:tcPr>
          <w:p>
            <w:pPr>
              <w:spacing w:after="0"/>
              <w:rPr>
                <w:sz w:val="17"/>
                <w:szCs w:val="17"/>
                <w:color w:val="auto"/>
              </w:rPr>
            </w:pPr>
          </w:p>
        </w:tc>
        <w:tc>
          <w:tcPr>
            <w:tcW w:w="820" w:type="dxa"/>
            <w:vAlign w:val="bottom"/>
          </w:tcPr>
          <w:p>
            <w:pPr>
              <w:jc w:val="right"/>
              <w:ind w:right="38"/>
              <w:spacing w:after="0"/>
              <w:rPr>
                <w:sz w:val="20"/>
                <w:szCs w:val="20"/>
                <w:color w:val="auto"/>
              </w:rPr>
            </w:pPr>
            <w:r>
              <w:rPr>
                <w:rFonts w:ascii="Arial" w:cs="Arial" w:eastAsia="Arial" w:hAnsi="Arial"/>
                <w:sz w:val="16"/>
                <w:szCs w:val="16"/>
                <w:color w:val="auto"/>
              </w:rPr>
              <w:t>32,577</w:t>
            </w:r>
          </w:p>
        </w:tc>
        <w:tc>
          <w:tcPr>
            <w:tcW w:w="460" w:type="dxa"/>
            <w:vAlign w:val="bottom"/>
          </w:tcPr>
          <w:p>
            <w:pPr>
              <w:spacing w:after="0"/>
              <w:rPr>
                <w:sz w:val="17"/>
                <w:szCs w:val="17"/>
                <w:color w:val="auto"/>
              </w:rPr>
            </w:pP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10,983</w:t>
            </w:r>
          </w:p>
        </w:tc>
        <w:tc>
          <w:tcPr>
            <w:tcW w:w="440" w:type="dxa"/>
            <w:vAlign w:val="bottom"/>
          </w:tcPr>
          <w:p>
            <w:pPr>
              <w:spacing w:after="0"/>
              <w:rPr>
                <w:sz w:val="17"/>
                <w:szCs w:val="17"/>
                <w:color w:val="auto"/>
              </w:rPr>
            </w:pPr>
          </w:p>
        </w:tc>
        <w:tc>
          <w:tcPr>
            <w:tcW w:w="840" w:type="dxa"/>
            <w:vAlign w:val="bottom"/>
          </w:tcPr>
          <w:p>
            <w:pPr>
              <w:jc w:val="right"/>
              <w:ind w:right="58"/>
              <w:spacing w:after="0"/>
              <w:rPr>
                <w:sz w:val="20"/>
                <w:szCs w:val="20"/>
                <w:color w:val="auto"/>
              </w:rPr>
            </w:pPr>
            <w:r>
              <w:rPr>
                <w:rFonts w:ascii="Arial" w:cs="Arial" w:eastAsia="Arial" w:hAnsi="Arial"/>
                <w:sz w:val="16"/>
                <w:szCs w:val="16"/>
                <w:color w:val="auto"/>
              </w:rPr>
              <w:t>85,427</w:t>
            </w:r>
          </w:p>
        </w:tc>
      </w:tr>
      <w:tr>
        <w:trPr>
          <w:trHeight w:val="196"/>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Unearned premiums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24,597</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1,771</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33,012</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11,937</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4,499</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75,816</w:t>
            </w:r>
          </w:p>
        </w:tc>
      </w:tr>
    </w:tbl>
    <w:p>
      <w:pPr>
        <w:spacing w:after="0" w:line="200" w:lineRule="exact"/>
        <w:rPr>
          <w:sz w:val="20"/>
          <w:szCs w:val="20"/>
          <w:color w:val="auto"/>
        </w:rPr>
      </w:pPr>
    </w:p>
    <w:p>
      <w:pPr>
        <w:spacing w:after="0" w:line="339" w:lineRule="exact"/>
        <w:rPr>
          <w:sz w:val="20"/>
          <w:szCs w:val="20"/>
          <w:color w:val="auto"/>
        </w:rPr>
      </w:pPr>
    </w:p>
    <w:p>
      <w:pPr>
        <w:jc w:val="both"/>
        <w:ind w:right="220" w:firstLine="589"/>
        <w:spacing w:after="0" w:line="327" w:lineRule="auto"/>
        <w:rPr>
          <w:sz w:val="20"/>
          <w:szCs w:val="20"/>
          <w:color w:val="auto"/>
        </w:rPr>
      </w:pPr>
      <w:r>
        <w:rPr>
          <w:rFonts w:ascii="Arial" w:cs="Arial" w:eastAsia="Arial" w:hAnsi="Arial"/>
          <w:sz w:val="14"/>
          <w:szCs w:val="14"/>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 including the $4,578 gain realized on the bargain purchase of Direct Auto in the third quarter of 2018.</w:t>
      </w:r>
    </w:p>
    <w:p>
      <w:pPr>
        <w:spacing w:after="0" w:line="102" w:lineRule="exact"/>
        <w:rPr>
          <w:sz w:val="20"/>
          <w:szCs w:val="20"/>
          <w:color w:val="auto"/>
        </w:rPr>
      </w:pPr>
    </w:p>
    <w:p>
      <w:pPr>
        <w:ind w:right="20" w:firstLine="589"/>
        <w:spacing w:after="0" w:line="266" w:lineRule="auto"/>
        <w:rPr>
          <w:sz w:val="20"/>
          <w:szCs w:val="20"/>
          <w:color w:val="auto"/>
        </w:rPr>
      </w:pPr>
      <w:r>
        <w:rPr>
          <w:rFonts w:ascii="Arial" w:cs="Arial" w:eastAsia="Arial" w:hAnsi="Arial"/>
          <w:sz w:val="16"/>
          <w:szCs w:val="16"/>
          <w:color w:val="auto"/>
        </w:rPr>
        <w:t>We do not assign or allocate all Consolidated Statement of Operations or Consolidated Balance Sheet line items to our operating segments. Those line items include investment income, net realized capital gain on investments, other income excluding non-standard auto insurance fees, and income taxes within the Consolidated Statement of Operations. For the Consolidated Balance Sheet, those items include cash and investments, property and equipment, other assets, accrued expenses, federal income taxes recoverable or payable, and equity.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259320" cy="23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type w:val="continuous"/>
        </w:sectPr>
      </w:pPr>
    </w:p>
    <w:bookmarkStart w:id="37" w:name="page38"/>
    <w:bookmarkEnd w:id="37"/>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1" w:lineRule="exact"/>
        <w:rPr>
          <w:sz w:val="20"/>
          <w:szCs w:val="20"/>
          <w:color w:val="auto"/>
        </w:rPr>
      </w:pPr>
    </w:p>
    <w:p>
      <w:pPr>
        <w:jc w:val="center"/>
        <w:ind w:right="-1222"/>
        <w:spacing w:after="0"/>
        <w:rPr>
          <w:sz w:val="20"/>
          <w:szCs w:val="20"/>
          <w:color w:val="auto"/>
        </w:rPr>
      </w:pPr>
      <w:r>
        <w:rPr>
          <w:rFonts w:ascii="Arial" w:cs="Arial" w:eastAsia="Arial" w:hAnsi="Arial"/>
          <w:sz w:val="16"/>
          <w:szCs w:val="16"/>
          <w:b w:val="1"/>
          <w:bCs w:val="1"/>
          <w:color w:val="auto"/>
        </w:rPr>
        <w:t>NI Holdings, Inc.</w:t>
      </w:r>
    </w:p>
    <w:p>
      <w:pPr>
        <w:spacing w:after="0" w:line="10" w:lineRule="exact"/>
        <w:rPr>
          <w:sz w:val="20"/>
          <w:szCs w:val="20"/>
          <w:color w:val="auto"/>
        </w:rPr>
      </w:pPr>
    </w:p>
    <w:p>
      <w:pPr>
        <w:ind w:left="3802"/>
        <w:spacing w:after="0"/>
        <w:rPr>
          <w:sz w:val="20"/>
          <w:szCs w:val="20"/>
          <w:color w:val="auto"/>
        </w:rPr>
      </w:pPr>
      <w:r>
        <w:rPr>
          <w:rFonts w:ascii="Arial" w:cs="Arial" w:eastAsia="Arial" w:hAnsi="Arial"/>
          <w:sz w:val="16"/>
          <w:szCs w:val="16"/>
          <w:b w:val="1"/>
          <w:bCs w:val="1"/>
          <w:color w:val="auto"/>
        </w:rPr>
        <w:t>Notes to Unaudited Consolidated Financial Statements</w:t>
      </w:r>
    </w:p>
    <w:p>
      <w:pPr>
        <w:spacing w:after="0" w:line="12" w:lineRule="exact"/>
        <w:rPr>
          <w:sz w:val="20"/>
          <w:szCs w:val="20"/>
          <w:color w:val="auto"/>
        </w:rPr>
      </w:pPr>
    </w:p>
    <w:p>
      <w:pPr>
        <w:ind w:left="3722"/>
        <w:spacing w:after="0"/>
        <w:rPr>
          <w:sz w:val="20"/>
          <w:szCs w:val="20"/>
          <w:color w:val="auto"/>
        </w:rPr>
      </w:pPr>
      <w:r>
        <w:rPr>
          <w:rFonts w:ascii="Arial" w:cs="Arial" w:eastAsia="Arial" w:hAnsi="Arial"/>
          <w:sz w:val="16"/>
          <w:szCs w:val="16"/>
          <w:b w:val="1"/>
          <w:bCs w:val="1"/>
          <w:color w:val="auto"/>
        </w:rPr>
        <w:t>(dollar amounts in thousands, except per share amounts)</w:t>
      </w:r>
    </w:p>
    <w:p>
      <w:pPr>
        <w:spacing w:after="0" w:line="193" w:lineRule="exact"/>
        <w:rPr>
          <w:sz w:val="20"/>
          <w:szCs w:val="20"/>
          <w:color w:val="auto"/>
        </w:rPr>
      </w:pPr>
    </w:p>
    <w:p>
      <w:pPr>
        <w:ind w:left="582" w:hanging="582"/>
        <w:spacing w:after="0"/>
        <w:tabs>
          <w:tab w:leader="none" w:pos="58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14" w:lineRule="exact"/>
        <w:rPr>
          <w:rFonts w:ascii="Arial" w:cs="Arial" w:eastAsia="Arial" w:hAnsi="Arial"/>
          <w:sz w:val="16"/>
          <w:szCs w:val="16"/>
          <w:b w:val="1"/>
          <w:bCs w:val="1"/>
          <w:color w:val="auto"/>
        </w:rPr>
      </w:pPr>
    </w:p>
    <w:p>
      <w:pPr>
        <w:ind w:left="582"/>
        <w:spacing w:after="0"/>
        <w:rPr>
          <w:rFonts w:ascii="Arial" w:cs="Arial" w:eastAsia="Arial" w:hAnsi="Arial"/>
          <w:sz w:val="16"/>
          <w:szCs w:val="16"/>
          <w:b w:val="1"/>
          <w:bCs w:val="1"/>
          <w:color w:val="auto"/>
        </w:rPr>
      </w:pPr>
      <w:r>
        <w:rPr>
          <w:rFonts w:ascii="Arial" w:cs="Arial" w:eastAsia="Arial" w:hAnsi="Arial"/>
          <w:sz w:val="14"/>
          <w:szCs w:val="14"/>
          <w:color w:val="auto"/>
        </w:rPr>
        <w:t>We have evaluated subsequent events through November 13, 2018, the date these consolidated financial statements were available for issuance.</w:t>
      </w:r>
    </w:p>
    <w:p>
      <w:pPr>
        <w:spacing w:after="0" w:line="200" w:lineRule="exact"/>
        <w:rPr>
          <w:sz w:val="20"/>
          <w:szCs w:val="20"/>
          <w:color w:val="auto"/>
        </w:rPr>
      </w:pPr>
    </w:p>
    <w:p>
      <w:pPr>
        <w:spacing w:after="0" w:line="350" w:lineRule="exact"/>
        <w:rPr>
          <w:sz w:val="20"/>
          <w:szCs w:val="20"/>
          <w:color w:val="auto"/>
        </w:rPr>
      </w:pPr>
    </w:p>
    <w:p>
      <w:pPr>
        <w:ind w:left="5662"/>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932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0221"/>
          </w:cols>
          <w:pgMar w:left="238" w:top="218" w:right="1440" w:bottom="1440" w:gutter="0" w:footer="0" w:header="0"/>
        </w:sectPr>
      </w:pPr>
    </w:p>
    <w:bookmarkStart w:id="38" w:name="page39"/>
    <w:bookmarkEnd w:id="3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Management’s Discussion and Analysis of Financial Condition and Results of Operations</w:t>
      </w:r>
    </w:p>
    <w:p>
      <w:pPr>
        <w:spacing w:after="0" w:line="176" w:lineRule="exact"/>
        <w:rPr>
          <w:sz w:val="20"/>
          <w:szCs w:val="20"/>
          <w:color w:val="auto"/>
        </w:rPr>
      </w:pPr>
    </w:p>
    <w:p>
      <w:pPr>
        <w:ind w:right="40" w:firstLine="589"/>
        <w:spacing w:after="0" w:line="282" w:lineRule="auto"/>
        <w:rPr>
          <w:sz w:val="20"/>
          <w:szCs w:val="20"/>
          <w:color w:val="auto"/>
        </w:rPr>
      </w:pPr>
      <w:r>
        <w:rPr>
          <w:rFonts w:ascii="Arial" w:cs="Arial" w:eastAsia="Arial" w:hAnsi="Arial"/>
          <w:sz w:val="15"/>
          <w:szCs w:val="15"/>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dollar amounts included in Item 2 herein are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3"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33" w:lineRule="exact"/>
        <w:rPr>
          <w:sz w:val="20"/>
          <w:szCs w:val="20"/>
          <w:color w:val="auto"/>
        </w:rPr>
      </w:pPr>
    </w:p>
    <w:p>
      <w:pPr>
        <w:ind w:right="20" w:firstLine="589"/>
        <w:spacing w:after="0" w:line="263" w:lineRule="auto"/>
        <w:rPr>
          <w:sz w:val="20"/>
          <w:szCs w:val="20"/>
          <w:color w:val="auto"/>
        </w:rPr>
      </w:pPr>
      <w:r>
        <w:rPr>
          <w:rFonts w:ascii="Arial" w:cs="Arial" w:eastAsia="Arial" w:hAnsi="Arial"/>
          <w:sz w:val="16"/>
          <w:szCs w:val="16"/>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Direct Auto offers limited non-standard auto insurance coverage in Illinois. Nodak Insurance and Battle Creek are rated an “A” by A.M. Best, which is the third highest out of a possible 15 ratings. American West is rated an “A-”. Primero and Direct Auto are unrated.</w:t>
      </w:r>
    </w:p>
    <w:p>
      <w:pPr>
        <w:spacing w:after="0" w:line="133" w:lineRule="exact"/>
        <w:rPr>
          <w:sz w:val="20"/>
          <w:szCs w:val="20"/>
          <w:color w:val="auto"/>
        </w:rPr>
      </w:pPr>
    </w:p>
    <w:p>
      <w:pPr>
        <w:ind w:right="20" w:firstLine="589"/>
        <w:spacing w:after="0" w:line="289" w:lineRule="auto"/>
        <w:rPr>
          <w:sz w:val="20"/>
          <w:szCs w:val="20"/>
          <w:color w:val="auto"/>
        </w:rPr>
      </w:pPr>
      <w:r>
        <w:rPr>
          <w:rFonts w:ascii="Arial" w:cs="Arial" w:eastAsia="Arial" w:hAnsi="Arial"/>
          <w:sz w:val="15"/>
          <w:szCs w:val="15"/>
          <w:color w:val="auto"/>
        </w:rPr>
        <w:t>American West is a wholly-owned subsidiary of Nodak Insurance, Primero is an indirect wholly-owned subsidiary of Nodak Insurance, and Direct Auto is a wholly-owned subsidiary of NI Holdings. Battle Creek is managed by Nodak Insurance, and Nodak Insurance reinsures 100% of the risk on all insurance policies issued by Battle Creek. NI Holdings’ financial statements set forth herein include the consolidated financial results of NI Holdings, Direct Auto (from the acquisition date of August 31, 2018 and thereafter), and Nodak Insurance, including Nodak Insurance’s subsidiaries American West and Primero, and its affiliate Battle Creek.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Direct Auto Insurance Company</w:t>
      </w:r>
    </w:p>
    <w:p>
      <w:pPr>
        <w:spacing w:after="0" w:line="213" w:lineRule="exact"/>
        <w:rPr>
          <w:sz w:val="20"/>
          <w:szCs w:val="20"/>
          <w:color w:val="auto"/>
        </w:rPr>
      </w:pPr>
    </w:p>
    <w:p>
      <w:pPr>
        <w:ind w:right="80" w:firstLine="589"/>
        <w:spacing w:after="0" w:line="362" w:lineRule="auto"/>
        <w:rPr>
          <w:sz w:val="20"/>
          <w:szCs w:val="20"/>
          <w:color w:val="auto"/>
        </w:rPr>
      </w:pPr>
      <w:r>
        <w:rPr>
          <w:rFonts w:ascii="Arial" w:cs="Arial" w:eastAsia="Arial" w:hAnsi="Arial"/>
          <w:sz w:val="14"/>
          <w:szCs w:val="14"/>
          <w:color w:val="auto"/>
        </w:rPr>
        <w:t>On August 31, 2018, NI Holdings completed the acquisition of 100% of the common stock of Direct Auto from private shareholders and Direct Auto became a consolidated subsidiary of the Company. Direct Auto is a property and casualty insurance company specializing in non-standard automobile insurance in the state of Illinois.</w:t>
      </w:r>
    </w:p>
    <w:p>
      <w:pPr>
        <w:spacing w:after="0" w:line="103" w:lineRule="exact"/>
        <w:rPr>
          <w:sz w:val="20"/>
          <w:szCs w:val="20"/>
          <w:color w:val="auto"/>
        </w:rPr>
      </w:pPr>
    </w:p>
    <w:p>
      <w:pPr>
        <w:ind w:right="260" w:firstLine="589"/>
        <w:spacing w:after="0" w:line="271" w:lineRule="auto"/>
        <w:rPr>
          <w:sz w:val="20"/>
          <w:szCs w:val="20"/>
          <w:color w:val="auto"/>
        </w:rPr>
      </w:pPr>
      <w:r>
        <w:rPr>
          <w:rFonts w:ascii="Arial" w:cs="Arial" w:eastAsia="Arial" w:hAnsi="Arial"/>
          <w:sz w:val="16"/>
          <w:szCs w:val="16"/>
          <w:color w:val="auto"/>
        </w:rPr>
        <w:t>Direct Auto remains headquartered in Chicago, Illinois and the current president (who was also one of the principal shareholders) of Direct Auto will continue to manage the Direct Auto insurance operations along with the current staff and management team. The results of Direct Auto are included as part of the Company’s non-standard auto business segment following the closing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80"/>
          </w:cols>
          <w:pgMar w:left="240" w:top="218" w:right="279" w:bottom="1440" w:gutter="0" w:footer="0" w:header="0"/>
        </w:sectPr>
      </w:pPr>
    </w:p>
    <w:bookmarkStart w:id="39" w:name="page40"/>
    <w:bookmarkEnd w:id="39"/>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chart of the corporate structure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7259320" cy="31000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320" cy="3100070"/>
                    </a:xfrm>
                    <a:prstGeom prst="rect">
                      <a:avLst/>
                    </a:prstGeom>
                    <a:noFill/>
                  </pic:spPr>
                </pic:pic>
              </a:graphicData>
            </a:graphic>
          </wp:anchor>
        </w:drawing>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ORGANIZATIONAL CHART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Nodak Mutual Group, Inc.</w:t>
      </w:r>
    </w:p>
    <w:p>
      <w:pPr>
        <w:spacing w:after="0" w:line="221" w:lineRule="exact"/>
        <w:rPr>
          <w:sz w:val="20"/>
          <w:szCs w:val="20"/>
          <w:color w:val="auto"/>
        </w:rPr>
      </w:pPr>
    </w:p>
    <w:p>
      <w:pPr>
        <w:jc w:val="center"/>
        <w:ind w:right="5120"/>
        <w:spacing w:after="0"/>
        <w:rPr>
          <w:sz w:val="20"/>
          <w:szCs w:val="20"/>
          <w:color w:val="auto"/>
        </w:rPr>
      </w:pPr>
      <w:r>
        <w:rPr>
          <w:rFonts w:ascii="Arial" w:cs="Arial" w:eastAsia="Arial" w:hAnsi="Arial"/>
          <w:sz w:val="16"/>
          <w:szCs w:val="16"/>
          <w:color w:val="auto"/>
        </w:rPr>
        <w:t>≥ 55%</w:t>
      </w:r>
    </w:p>
    <w:p>
      <w:pPr>
        <w:spacing w:after="0" w:line="24" w:lineRule="exact"/>
        <w:rPr>
          <w:sz w:val="20"/>
          <w:szCs w:val="20"/>
          <w:color w:val="auto"/>
        </w:rPr>
      </w:pPr>
    </w:p>
    <w:p>
      <w:pPr>
        <w:jc w:val="center"/>
        <w:ind w:right="5120"/>
        <w:spacing w:after="0"/>
        <w:rPr>
          <w:sz w:val="20"/>
          <w:szCs w:val="20"/>
          <w:color w:val="auto"/>
        </w:rPr>
      </w:pPr>
      <w:r>
        <w:rPr>
          <w:rFonts w:ascii="Arial" w:cs="Arial" w:eastAsia="Arial" w:hAnsi="Arial"/>
          <w:sz w:val="16"/>
          <w:szCs w:val="16"/>
          <w:color w:val="auto"/>
        </w:rPr>
        <w:t>ownership</w:t>
      </w:r>
    </w:p>
    <w:p>
      <w:pPr>
        <w:spacing w:after="0" w:line="12" w:lineRule="exact"/>
        <w:rPr>
          <w:sz w:val="20"/>
          <w:szCs w:val="20"/>
          <w:color w:val="auto"/>
        </w:rPr>
      </w:pPr>
    </w:p>
    <w:tbl>
      <w:tblPr>
        <w:tblLayout w:type="fixed"/>
        <w:tblInd w:w="25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2"/>
          </w:tcPr>
          <w:p>
            <w:pPr>
              <w:jc w:val="center"/>
              <w:ind w:left="118"/>
              <w:spacing w:after="0"/>
              <w:rPr>
                <w:sz w:val="20"/>
                <w:szCs w:val="20"/>
                <w:color w:val="auto"/>
              </w:rPr>
            </w:pPr>
            <w:r>
              <w:rPr>
                <w:rFonts w:ascii="Arial" w:cs="Arial" w:eastAsia="Arial" w:hAnsi="Arial"/>
                <w:sz w:val="16"/>
                <w:szCs w:val="16"/>
                <w:color w:val="auto"/>
                <w:w w:val="97"/>
              </w:rPr>
              <w:t>NI Holdings, Inc.</w:t>
            </w:r>
          </w:p>
        </w:tc>
        <w:tc>
          <w:tcPr>
            <w:tcW w:w="11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vMerge w:val="restart"/>
          </w:tcPr>
          <w:p>
            <w:pPr>
              <w:jc w:val="center"/>
              <w:ind w:left="278"/>
              <w:spacing w:after="0"/>
              <w:rPr>
                <w:sz w:val="20"/>
                <w:szCs w:val="20"/>
                <w:color w:val="auto"/>
              </w:rPr>
            </w:pPr>
            <w:r>
              <w:rPr>
                <w:rFonts w:ascii="Arial" w:cs="Arial" w:eastAsia="Arial" w:hAnsi="Arial"/>
                <w:sz w:val="16"/>
                <w:szCs w:val="16"/>
                <w:color w:val="auto"/>
                <w:w w:val="97"/>
              </w:rPr>
              <w:t>100%</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2"/>
              </w:rPr>
              <w:t>100%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center"/>
              <w:ind w:left="278"/>
              <w:spacing w:after="0"/>
              <w:rPr>
                <w:sz w:val="20"/>
                <w:szCs w:val="20"/>
                <w:color w:val="auto"/>
              </w:rPr>
            </w:pPr>
            <w:r>
              <w:rPr>
                <w:rFonts w:ascii="Arial" w:cs="Arial" w:eastAsia="Arial" w:hAnsi="Arial"/>
                <w:sz w:val="16"/>
                <w:szCs w:val="16"/>
                <w:color w:val="auto"/>
                <w:w w:val="93"/>
              </w:rPr>
              <w:t>ownership</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ownership</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4060" w:type="dxa"/>
            <w:vAlign w:val="bottom"/>
            <w:tcBorders>
              <w:bottom w:val="single" w:sz="8" w:color="auto"/>
              <w:right w:val="single" w:sz="8" w:color="auto"/>
            </w:tcBorders>
            <w:gridSpan w:val="5"/>
          </w:tcPr>
          <w:p>
            <w:pPr>
              <w:jc w:val="center"/>
              <w:ind w:right="1680"/>
              <w:spacing w:after="0"/>
              <w:rPr>
                <w:sz w:val="20"/>
                <w:szCs w:val="20"/>
                <w:color w:val="auto"/>
              </w:rPr>
            </w:pPr>
            <w:r>
              <w:rPr>
                <w:rFonts w:ascii="Arial" w:cs="Arial" w:eastAsia="Arial" w:hAnsi="Arial"/>
                <w:sz w:val="16"/>
                <w:szCs w:val="16"/>
                <w:color w:val="auto"/>
                <w:w w:val="91"/>
              </w:rPr>
              <w:t>Nodak Insurance Company</w:t>
            </w:r>
          </w:p>
        </w:tc>
        <w:tc>
          <w:tcPr>
            <w:tcW w:w="24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3"/>
              </w:rPr>
              <w:t>Direct Auto Insurance Company</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60" w:type="dxa"/>
            <w:vAlign w:val="bottom"/>
            <w:tcBorders>
              <w:right w:val="single" w:sz="8" w:color="auto"/>
            </w:tcBorders>
          </w:tcPr>
          <w:p>
            <w:pPr>
              <w:jc w:val="right"/>
              <w:ind w:right="378"/>
              <w:spacing w:after="0"/>
              <w:rPr>
                <w:sz w:val="20"/>
                <w:szCs w:val="20"/>
                <w:color w:val="auto"/>
              </w:rPr>
            </w:pPr>
            <w:r>
              <w:rPr>
                <w:rFonts w:ascii="Arial" w:cs="Arial" w:eastAsia="Arial" w:hAnsi="Arial"/>
                <w:sz w:val="16"/>
                <w:szCs w:val="16"/>
                <w:color w:val="auto"/>
              </w:rPr>
              <w:t>100%</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center"/>
              <w:ind w:left="278"/>
              <w:spacing w:after="0"/>
              <w:rPr>
                <w:sz w:val="20"/>
                <w:szCs w:val="20"/>
                <w:color w:val="auto"/>
              </w:rPr>
            </w:pPr>
            <w:r>
              <w:rPr>
                <w:rFonts w:ascii="Arial" w:cs="Arial" w:eastAsia="Arial" w:hAnsi="Arial"/>
                <w:sz w:val="16"/>
                <w:szCs w:val="16"/>
                <w:color w:val="auto"/>
                <w:w w:val="97"/>
              </w:rPr>
              <w:t>100%</w:t>
            </w:r>
          </w:p>
        </w:tc>
        <w:tc>
          <w:tcPr>
            <w:tcW w:w="40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ownership</w:t>
            </w:r>
          </w:p>
        </w:tc>
        <w:tc>
          <w:tcPr>
            <w:tcW w:w="1380" w:type="dxa"/>
            <w:vAlign w:val="bottom"/>
            <w:gridSpan w:val="2"/>
          </w:tcPr>
          <w:p>
            <w:pPr>
              <w:spacing w:after="0"/>
              <w:rPr>
                <w:sz w:val="18"/>
                <w:szCs w:val="18"/>
                <w:color w:val="auto"/>
              </w:rPr>
            </w:pPr>
          </w:p>
        </w:tc>
        <w:tc>
          <w:tcPr>
            <w:tcW w:w="1640" w:type="dxa"/>
            <w:vAlign w:val="bottom"/>
          </w:tcPr>
          <w:p>
            <w:pPr>
              <w:jc w:val="center"/>
              <w:ind w:left="278"/>
              <w:spacing w:after="0"/>
              <w:rPr>
                <w:sz w:val="20"/>
                <w:szCs w:val="20"/>
                <w:color w:val="auto"/>
              </w:rPr>
            </w:pPr>
            <w:r>
              <w:rPr>
                <w:rFonts w:ascii="Arial" w:cs="Arial" w:eastAsia="Arial" w:hAnsi="Arial"/>
                <w:sz w:val="16"/>
                <w:szCs w:val="16"/>
                <w:color w:val="auto"/>
                <w:w w:val="93"/>
              </w:rPr>
              <w:t>ownership</w:t>
            </w:r>
          </w:p>
        </w:tc>
        <w:tc>
          <w:tcPr>
            <w:tcW w:w="40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Affiliation</w:t>
            </w:r>
          </w:p>
        </w:tc>
        <w:tc>
          <w:tcPr>
            <w:tcW w:w="1380" w:type="dxa"/>
            <w:vAlign w:val="bottom"/>
            <w:gridSpan w:val="2"/>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ownership</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400" w:type="dxa"/>
            <w:vAlign w:val="bottom"/>
            <w:tcBorders>
              <w:top w:val="single" w:sz="8" w:color="auto"/>
              <w:left w:val="single" w:sz="8" w:color="auto"/>
              <w:right w:val="single" w:sz="8" w:color="auto"/>
            </w:tcBorders>
            <w:gridSpan w:val="2"/>
            <w:vMerge w:val="restart"/>
          </w:tcPr>
          <w:p>
            <w:pPr>
              <w:ind w:left="540"/>
              <w:spacing w:after="0"/>
              <w:rPr>
                <w:sz w:val="20"/>
                <w:szCs w:val="20"/>
                <w:color w:val="auto"/>
              </w:rPr>
            </w:pPr>
            <w:r>
              <w:rPr>
                <w:rFonts w:ascii="Arial" w:cs="Arial" w:eastAsia="Arial" w:hAnsi="Arial"/>
                <w:sz w:val="16"/>
                <w:szCs w:val="16"/>
                <w:color w:val="auto"/>
              </w:rPr>
              <w:t>Nodak Agency, Inc.</w:t>
            </w:r>
          </w:p>
        </w:tc>
        <w:tc>
          <w:tcPr>
            <w:tcW w:w="240" w:type="dxa"/>
            <w:vAlign w:val="bottom"/>
            <w:tcBorders>
              <w:right w:val="single" w:sz="8" w:color="auto"/>
            </w:tcBorders>
          </w:tcPr>
          <w:p>
            <w:pPr>
              <w:spacing w:after="0"/>
              <w:rPr>
                <w:sz w:val="15"/>
                <w:szCs w:val="15"/>
                <w:color w:val="auto"/>
              </w:rPr>
            </w:pPr>
          </w:p>
        </w:tc>
        <w:tc>
          <w:tcPr>
            <w:tcW w:w="3180" w:type="dxa"/>
            <w:vAlign w:val="bottom"/>
            <w:tcBorders>
              <w:top w:val="single" w:sz="8" w:color="auto"/>
              <w:right w:val="single" w:sz="8" w:color="auto"/>
            </w:tcBorders>
            <w:gridSpan w:val="3"/>
            <w:vMerge w:val="restart"/>
          </w:tcPr>
          <w:p>
            <w:pPr>
              <w:ind w:left="400"/>
              <w:spacing w:after="0"/>
              <w:rPr>
                <w:sz w:val="20"/>
                <w:szCs w:val="20"/>
                <w:color w:val="auto"/>
              </w:rPr>
            </w:pPr>
            <w:r>
              <w:rPr>
                <w:rFonts w:ascii="Arial" w:cs="Arial" w:eastAsia="Arial" w:hAnsi="Arial"/>
                <w:sz w:val="16"/>
                <w:szCs w:val="16"/>
                <w:color w:val="auto"/>
              </w:rPr>
              <w:t>American West Insurance Company</w:t>
            </w:r>
          </w:p>
        </w:tc>
        <w:tc>
          <w:tcPr>
            <w:tcW w:w="240" w:type="dxa"/>
            <w:vAlign w:val="bottom"/>
            <w:tcBorders>
              <w:right w:val="single" w:sz="8" w:color="auto"/>
            </w:tcBorders>
          </w:tcPr>
          <w:p>
            <w:pPr>
              <w:spacing w:after="0"/>
              <w:rPr>
                <w:sz w:val="15"/>
                <w:szCs w:val="15"/>
                <w:color w:val="auto"/>
              </w:rPr>
            </w:pPr>
          </w:p>
        </w:tc>
        <w:tc>
          <w:tcPr>
            <w:tcW w:w="2280" w:type="dxa"/>
            <w:vAlign w:val="bottom"/>
            <w:tcBorders>
              <w:top w:val="single" w:sz="8" w:color="auto"/>
              <w:right w:val="single" w:sz="8" w:color="auto"/>
            </w:tcBorders>
            <w:gridSpan w:val="2"/>
          </w:tcPr>
          <w:p>
            <w:pPr>
              <w:jc w:val="center"/>
              <w:ind w:right="20"/>
              <w:spacing w:after="0" w:line="178" w:lineRule="exact"/>
              <w:rPr>
                <w:sz w:val="20"/>
                <w:szCs w:val="20"/>
                <w:color w:val="auto"/>
              </w:rPr>
            </w:pPr>
            <w:r>
              <w:rPr>
                <w:rFonts w:ascii="Arial" w:cs="Arial" w:eastAsia="Arial" w:hAnsi="Arial"/>
                <w:sz w:val="16"/>
                <w:szCs w:val="16"/>
                <w:color w:val="auto"/>
                <w:w w:val="93"/>
              </w:rPr>
              <w:t>Battle Creek Mutual Insurance</w:t>
            </w:r>
          </w:p>
        </w:tc>
        <w:tc>
          <w:tcPr>
            <w:tcW w:w="240" w:type="dxa"/>
            <w:vAlign w:val="bottom"/>
            <w:tcBorders>
              <w:right w:val="single" w:sz="8" w:color="auto"/>
            </w:tcBorders>
          </w:tcPr>
          <w:p>
            <w:pPr>
              <w:spacing w:after="0"/>
              <w:rPr>
                <w:sz w:val="15"/>
                <w:szCs w:val="15"/>
                <w:color w:val="auto"/>
              </w:rPr>
            </w:pPr>
          </w:p>
        </w:tc>
        <w:tc>
          <w:tcPr>
            <w:tcW w:w="238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6"/>
                <w:szCs w:val="16"/>
                <w:color w:val="auto"/>
                <w:w w:val="95"/>
              </w:rPr>
              <w:t>Tri-State, Ltd</w:t>
            </w:r>
          </w:p>
        </w:tc>
        <w:tc>
          <w:tcPr>
            <w:tcW w:w="0" w:type="dxa"/>
            <w:vAlign w:val="bottom"/>
          </w:tcPr>
          <w:p>
            <w:pPr>
              <w:spacing w:after="0"/>
              <w:rPr>
                <w:sz w:val="1"/>
                <w:szCs w:val="1"/>
                <w:color w:val="auto"/>
              </w:rPr>
            </w:pPr>
          </w:p>
        </w:tc>
      </w:tr>
      <w:tr>
        <w:trPr>
          <w:trHeight w:val="110"/>
        </w:trPr>
        <w:tc>
          <w:tcPr>
            <w:tcW w:w="2400" w:type="dxa"/>
            <w:vAlign w:val="bottom"/>
            <w:tcBorders>
              <w:left w:val="single" w:sz="8" w:color="auto"/>
              <w:right w:val="single" w:sz="8" w:color="auto"/>
            </w:tcBorders>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3180" w:type="dxa"/>
            <w:vAlign w:val="bottom"/>
            <w:tcBorders>
              <w:right w:val="single" w:sz="8" w:color="auto"/>
            </w:tcBorders>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6"/>
                <w:szCs w:val="16"/>
                <w:color w:val="auto"/>
                <w:w w:val="93"/>
              </w:rPr>
              <w:t>Company</w:t>
            </w:r>
          </w:p>
        </w:tc>
        <w:tc>
          <w:tcPr>
            <w:tcW w:w="24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260" w:type="dxa"/>
            <w:vAlign w:val="bottom"/>
            <w:tcBorders>
              <w:left w:val="single" w:sz="8" w:color="auto"/>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80" w:type="dxa"/>
            <w:vAlign w:val="bottom"/>
            <w:tcBorders>
              <w:bottom w:val="single" w:sz="8" w:color="auto"/>
              <w:right w:val="single" w:sz="8" w:color="auto"/>
            </w:tcBorders>
            <w:gridSpan w:val="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3"/>
        </w:trPr>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ownership</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2"/>
              </w:rPr>
              <w:t>Primero Insurance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160" w:firstLine="589"/>
        <w:spacing w:after="0" w:line="286" w:lineRule="auto"/>
        <w:rPr>
          <w:sz w:val="20"/>
          <w:szCs w:val="20"/>
          <w:color w:val="auto"/>
        </w:rPr>
      </w:pPr>
      <w:r>
        <w:rPr>
          <w:rFonts w:ascii="Arial" w:cs="Arial" w:eastAsia="Arial" w:hAnsi="Arial"/>
          <w:sz w:val="16"/>
          <w:szCs w:val="16"/>
          <w:color w:val="auto"/>
        </w:rPr>
        <w:t>The following tables provide selected amounts from the Company’s Unaudited Consolidated Statements of Operations and Balance Sheets. Additional information can be found later in this section.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98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w w:val="96"/>
              </w:rPr>
              <w:t>Three Months Ended September 30,</w:t>
            </w:r>
          </w:p>
        </w:tc>
        <w:tc>
          <w:tcPr>
            <w:tcW w:w="10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r>
      <w:tr>
        <w:trPr>
          <w:trHeight w:val="201"/>
        </w:trPr>
        <w:tc>
          <w:tcPr>
            <w:tcW w:w="44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Direct premiums written</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46,220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174,074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159,056</w:t>
            </w:r>
          </w:p>
        </w:tc>
        <w:tc>
          <w:tcPr>
            <w:tcW w:w="100" w:type="dxa"/>
            <w:vAlign w:val="bottom"/>
            <w:shd w:val="clear" w:color="auto" w:fill="CCEEFF"/>
          </w:tcPr>
          <w:p>
            <w:pPr>
              <w:spacing w:after="0"/>
              <w:rPr>
                <w:sz w:val="16"/>
                <w:szCs w:val="16"/>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Net premiums earned</w:t>
            </w: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54,136</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52,525</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140,925</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130,987</w:t>
            </w:r>
          </w:p>
        </w:tc>
      </w:tr>
      <w:tr>
        <w:trPr>
          <w:trHeight w:val="19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before non-controlling interest</w:t>
            </w:r>
          </w:p>
        </w:tc>
        <w:tc>
          <w:tcPr>
            <w:tcW w:w="1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9,877</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16,285</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2,173</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w w:val="97"/>
              </w:rPr>
              <w:t>September 30, 2018</w:t>
            </w:r>
          </w:p>
        </w:tc>
        <w:tc>
          <w:tcPr>
            <w:tcW w:w="1520" w:type="dxa"/>
            <w:vAlign w:val="bottom"/>
            <w:gridSpan w:val="4"/>
          </w:tcPr>
          <w:p>
            <w:pPr>
              <w:ind w:left="100"/>
              <w:spacing w:after="0"/>
              <w:rPr>
                <w:sz w:val="20"/>
                <w:szCs w:val="20"/>
                <w:color w:val="auto"/>
              </w:rPr>
            </w:pPr>
            <w:r>
              <w:rPr>
                <w:rFonts w:ascii="Arial" w:cs="Arial" w:eastAsia="Arial" w:hAnsi="Arial"/>
                <w:sz w:val="16"/>
                <w:szCs w:val="16"/>
                <w:b w:val="1"/>
                <w:bCs w:val="1"/>
                <w:color w:val="auto"/>
                <w:w w:val="97"/>
              </w:rPr>
              <w:t>December 31, 2017</w:t>
            </w:r>
          </w:p>
        </w:tc>
      </w:tr>
      <w:tr>
        <w:trPr>
          <w:trHeight w:val="18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490,882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376,988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8420" w:type="dxa"/>
            <w:vAlign w:val="bottom"/>
          </w:tcPr>
          <w:p>
            <w:pPr>
              <w:spacing w:after="0"/>
              <w:rPr>
                <w:sz w:val="20"/>
                <w:szCs w:val="20"/>
                <w:color w:val="auto"/>
              </w:rPr>
            </w:pPr>
            <w:r>
              <w:rPr>
                <w:rFonts w:ascii="Arial" w:cs="Arial" w:eastAsia="Arial" w:hAnsi="Arial"/>
                <w:sz w:val="16"/>
                <w:szCs w:val="16"/>
                <w:color w:val="auto"/>
              </w:rPr>
              <w:t>Equity</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269,392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255,573</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Marketplace Conditions and Trends</w:t>
      </w:r>
    </w:p>
    <w:p>
      <w:pPr>
        <w:spacing w:after="0" w:line="176" w:lineRule="exact"/>
        <w:rPr>
          <w:sz w:val="20"/>
          <w:szCs w:val="20"/>
          <w:color w:val="auto"/>
        </w:rPr>
      </w:pPr>
    </w:p>
    <w:p>
      <w:pPr>
        <w:ind w:right="260" w:firstLine="589"/>
        <w:spacing w:after="0" w:line="266" w:lineRule="auto"/>
        <w:rPr>
          <w:sz w:val="20"/>
          <w:szCs w:val="20"/>
          <w:color w:val="auto"/>
        </w:rPr>
      </w:pPr>
      <w:r>
        <w:rPr>
          <w:rFonts w:ascii="Arial" w:cs="Arial" w:eastAsia="Arial" w:hAnsi="Arial"/>
          <w:sz w:val="16"/>
          <w:szCs w:val="16"/>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in a “firming” phase in response to higher frequency and severity of weather-related events in our markets as well as the rest of the world.</w:t>
      </w:r>
    </w:p>
    <w:p>
      <w:pPr>
        <w:spacing w:after="0" w:line="129"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Unlike property and casualty insurance, the total crop insurance premiums written each year vary mainly based on prevailing commodity prices for the type of crops insured,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0" w:name="page41"/>
    <w:bookmarkEnd w:id="40"/>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Revenue Items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derives its revenue primarily from net premiums earned, net investment income, and net realized capital gain (loss) on investments.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Gross and net premiums written</w:t>
      </w:r>
    </w:p>
    <w:p>
      <w:pPr>
        <w:spacing w:after="0" w:line="172" w:lineRule="exact"/>
        <w:rPr>
          <w:sz w:val="20"/>
          <w:szCs w:val="20"/>
          <w:color w:val="auto"/>
        </w:rPr>
      </w:pPr>
    </w:p>
    <w:p>
      <w:pPr>
        <w:ind w:right="200" w:firstLine="589"/>
        <w:spacing w:after="0" w:line="271" w:lineRule="auto"/>
        <w:rPr>
          <w:sz w:val="20"/>
          <w:szCs w:val="20"/>
          <w:color w:val="auto"/>
        </w:rPr>
      </w:pPr>
      <w:r>
        <w:rPr>
          <w:rFonts w:ascii="Arial" w:cs="Arial" w:eastAsia="Arial" w:hAnsi="Arial"/>
          <w:sz w:val="16"/>
          <w:szCs w:val="16"/>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Premiums earned</w:t>
      </w:r>
    </w:p>
    <w:p>
      <w:pPr>
        <w:spacing w:after="0" w:line="184" w:lineRule="exact"/>
        <w:rPr>
          <w:sz w:val="20"/>
          <w:szCs w:val="20"/>
          <w:color w:val="auto"/>
        </w:rPr>
      </w:pPr>
    </w:p>
    <w:p>
      <w:pPr>
        <w:ind w:firstLine="589"/>
        <w:spacing w:after="0" w:line="262" w:lineRule="auto"/>
        <w:rPr>
          <w:sz w:val="20"/>
          <w:szCs w:val="20"/>
          <w:color w:val="auto"/>
        </w:rPr>
      </w:pPr>
      <w:r>
        <w:rPr>
          <w:rFonts w:ascii="Arial" w:cs="Arial" w:eastAsia="Arial" w:hAnsi="Arial"/>
          <w:sz w:val="16"/>
          <w:szCs w:val="16"/>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 policy that is written on July 1, 2018, one-half of the premiums would be earned in 2018 and the other half would be earned in 2019.</w:t>
      </w:r>
    </w:p>
    <w:p>
      <w:pPr>
        <w:spacing w:after="0" w:line="132" w:lineRule="exact"/>
        <w:rPr>
          <w:sz w:val="20"/>
          <w:szCs w:val="20"/>
          <w:color w:val="auto"/>
        </w:rPr>
      </w:pPr>
    </w:p>
    <w:p>
      <w:pPr>
        <w:ind w:firstLine="589"/>
        <w:spacing w:after="0" w:line="259"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investment income and net realized capital gain (loss) on investments</w:t>
      </w:r>
    </w:p>
    <w:p>
      <w:pPr>
        <w:spacing w:after="0" w:line="184" w:lineRule="exact"/>
        <w:rPr>
          <w:sz w:val="20"/>
          <w:szCs w:val="20"/>
          <w:color w:val="auto"/>
        </w:rPr>
      </w:pPr>
    </w:p>
    <w:p>
      <w:pPr>
        <w:ind w:right="40" w:firstLine="589"/>
        <w:spacing w:after="0" w:line="282" w:lineRule="auto"/>
        <w:rPr>
          <w:sz w:val="20"/>
          <w:szCs w:val="20"/>
          <w:color w:val="auto"/>
        </w:rPr>
      </w:pPr>
      <w:r>
        <w:rPr>
          <w:rFonts w:ascii="Arial" w:cs="Arial" w:eastAsia="Arial" w:hAnsi="Arial"/>
          <w:sz w:val="15"/>
          <w:szCs w:val="15"/>
          <w:color w:val="auto"/>
        </w:rPr>
        <w:t>NI Holdings invests its surplus and the funds supporting its insurance liabilities (including unearned premiums and unpaid loss and loss adjustment expenses) in cash, cash equivalents, equity securities, and fixed income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NI Holdings’ portfolio of investments is managed by Conning, Inc. and Disciplined Growth Investors, who have discretion to buy and sell securities in accordance with the investment policy approved by our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Expense Items</w:t>
      </w:r>
    </w:p>
    <w:p>
      <w:pPr>
        <w:spacing w:after="0" w:line="176" w:lineRule="exact"/>
        <w:rPr>
          <w:sz w:val="20"/>
          <w:szCs w:val="20"/>
          <w:color w:val="auto"/>
        </w:rPr>
      </w:pPr>
    </w:p>
    <w:p>
      <w:pPr>
        <w:ind w:right="180" w:firstLine="589"/>
        <w:spacing w:after="0" w:line="286" w:lineRule="auto"/>
        <w:rPr>
          <w:sz w:val="20"/>
          <w:szCs w:val="20"/>
          <w:color w:val="auto"/>
        </w:rPr>
      </w:pPr>
      <w:r>
        <w:rPr>
          <w:rFonts w:ascii="Arial" w:cs="Arial" w:eastAsia="Arial" w:hAnsi="Arial"/>
          <w:sz w:val="16"/>
          <w:szCs w:val="16"/>
          <w:color w:val="auto"/>
        </w:rPr>
        <w:t>NI Holdings’ expenses consist primarily of losses and loss adjustment expenses (“LAE”), amortization of deferred policy acquisition costs, other underwriting and general expenses, and income taxes.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Losses and Loss Adjustment Expenses</w:t>
      </w:r>
    </w:p>
    <w:p>
      <w:pPr>
        <w:spacing w:after="0" w:line="172" w:lineRule="exact"/>
        <w:rPr>
          <w:sz w:val="20"/>
          <w:szCs w:val="20"/>
          <w:color w:val="auto"/>
        </w:rPr>
      </w:pPr>
    </w:p>
    <w:p>
      <w:pPr>
        <w:ind w:right="300" w:firstLine="589"/>
        <w:spacing w:after="0" w:line="286" w:lineRule="auto"/>
        <w:rPr>
          <w:sz w:val="20"/>
          <w:szCs w:val="20"/>
          <w:color w:val="auto"/>
        </w:rPr>
      </w:pPr>
      <w:r>
        <w:rPr>
          <w:rFonts w:ascii="Arial" w:cs="Arial" w:eastAsia="Arial" w:hAnsi="Arial"/>
          <w:sz w:val="16"/>
          <w:szCs w:val="16"/>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Amortization of deferred policy acquisition costs and other underwriting and general expenses</w:t>
      </w:r>
    </w:p>
    <w:p>
      <w:pPr>
        <w:spacing w:after="0" w:line="184" w:lineRule="exact"/>
        <w:rPr>
          <w:sz w:val="20"/>
          <w:szCs w:val="20"/>
          <w:color w:val="auto"/>
        </w:rPr>
      </w:pPr>
    </w:p>
    <w:p>
      <w:pPr>
        <w:ind w:right="40" w:firstLine="589"/>
        <w:spacing w:after="0" w:line="263" w:lineRule="auto"/>
        <w:rPr>
          <w:sz w:val="20"/>
          <w:szCs w:val="20"/>
          <w:color w:val="auto"/>
        </w:rPr>
      </w:pPr>
      <w:r>
        <w:rPr>
          <w:rFonts w:ascii="Arial" w:cs="Arial" w:eastAsia="Arial" w:hAnsi="Arial"/>
          <w:sz w:val="16"/>
          <w:szCs w:val="16"/>
          <w:color w:val="auto"/>
        </w:rPr>
        <w:t>Expenses incurred to underwrite risks are referred to as policy acquisition costs.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41" w:name="page42"/>
    <w:bookmarkEnd w:id="41"/>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Income taxes</w:t>
      </w:r>
    </w:p>
    <w:p>
      <w:pPr>
        <w:spacing w:after="0" w:line="172" w:lineRule="exact"/>
        <w:rPr>
          <w:sz w:val="20"/>
          <w:szCs w:val="20"/>
          <w:color w:val="auto"/>
        </w:rPr>
      </w:pPr>
    </w:p>
    <w:p>
      <w:pPr>
        <w:ind w:firstLine="589"/>
        <w:spacing w:after="0" w:line="289" w:lineRule="auto"/>
        <w:rPr>
          <w:sz w:val="20"/>
          <w:szCs w:val="20"/>
          <w:color w:val="auto"/>
        </w:rPr>
      </w:pPr>
      <w:r>
        <w:rPr>
          <w:rFonts w:ascii="Arial" w:cs="Arial" w:eastAsia="Arial" w:hAnsi="Arial"/>
          <w:sz w:val="15"/>
          <w:szCs w:val="15"/>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At both September 30, 2018 and December 31, 2017, the Company had recorded valuation allowances with respect to its deferred income tax assets of $628. The effect of a change in tax rates is recognized in the period of the enactment date.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Financial Measures</w:t>
      </w:r>
    </w:p>
    <w:p>
      <w:pPr>
        <w:spacing w:after="0" w:line="176" w:lineRule="exact"/>
        <w:rPr>
          <w:sz w:val="20"/>
          <w:szCs w:val="20"/>
          <w:color w:val="auto"/>
        </w:rPr>
      </w:pPr>
    </w:p>
    <w:p>
      <w:pPr>
        <w:ind w:right="80" w:firstLine="589"/>
        <w:spacing w:after="0" w:line="263" w:lineRule="auto"/>
        <w:rPr>
          <w:sz w:val="20"/>
          <w:szCs w:val="20"/>
          <w:color w:val="auto"/>
        </w:rPr>
      </w:pPr>
      <w:r>
        <w:rPr>
          <w:rFonts w:ascii="Arial" w:cs="Arial" w:eastAsia="Arial" w:hAnsi="Arial"/>
          <w:sz w:val="16"/>
          <w:szCs w:val="16"/>
          <w:color w:val="auto"/>
        </w:rPr>
        <w:t>NI Holdings evaluates its insurance operations by monitoring certain key measures of growth and profitability. In addition to reviewing its financial performance based on results determined in accordance with accounting principles generally accepted in the United States of America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gain, return on average equity, and risk based capital.</w:t>
      </w:r>
    </w:p>
    <w:p>
      <w:pPr>
        <w:spacing w:after="0" w:line="133" w:lineRule="exact"/>
        <w:rPr>
          <w:sz w:val="20"/>
          <w:szCs w:val="20"/>
          <w:color w:val="auto"/>
        </w:rPr>
      </w:pPr>
    </w:p>
    <w:p>
      <w:pPr>
        <w:jc w:val="both"/>
        <w:ind w:right="260" w:firstLine="589"/>
        <w:spacing w:after="0" w:line="271" w:lineRule="auto"/>
        <w:rPr>
          <w:sz w:val="20"/>
          <w:szCs w:val="20"/>
          <w:color w:val="auto"/>
        </w:rPr>
      </w:pPr>
      <w:r>
        <w:rPr>
          <w:rFonts w:ascii="Arial" w:cs="Arial" w:eastAsia="Arial" w:hAnsi="Arial"/>
          <w:sz w:val="16"/>
          <w:szCs w:val="16"/>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Loss and LAE ratio</w:t>
      </w:r>
    </w:p>
    <w:p>
      <w:pPr>
        <w:spacing w:after="0" w:line="172" w:lineRule="exact"/>
        <w:rPr>
          <w:sz w:val="20"/>
          <w:szCs w:val="20"/>
          <w:color w:val="auto"/>
        </w:rPr>
      </w:pPr>
    </w:p>
    <w:p>
      <w:pPr>
        <w:ind w:right="100" w:firstLine="589"/>
        <w:spacing w:after="0" w:line="289" w:lineRule="auto"/>
        <w:rPr>
          <w:sz w:val="20"/>
          <w:szCs w:val="20"/>
          <w:color w:val="auto"/>
        </w:rPr>
      </w:pPr>
      <w:r>
        <w:rPr>
          <w:rFonts w:ascii="Arial" w:cs="Arial" w:eastAsia="Arial" w:hAnsi="Arial"/>
          <w:sz w:val="15"/>
          <w:szCs w:val="15"/>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Expense ratio</w:t>
      </w:r>
    </w:p>
    <w:p>
      <w:pPr>
        <w:spacing w:after="0" w:line="184" w:lineRule="exact"/>
        <w:rPr>
          <w:sz w:val="20"/>
          <w:szCs w:val="20"/>
          <w:color w:val="auto"/>
        </w:rPr>
      </w:pPr>
    </w:p>
    <w:p>
      <w:pPr>
        <w:ind w:right="200" w:firstLine="589"/>
        <w:spacing w:after="0" w:line="271" w:lineRule="auto"/>
        <w:rPr>
          <w:sz w:val="20"/>
          <w:szCs w:val="20"/>
          <w:color w:val="auto"/>
        </w:rPr>
      </w:pPr>
      <w:r>
        <w:rPr>
          <w:rFonts w:ascii="Arial" w:cs="Arial" w:eastAsia="Arial" w:hAnsi="Arial"/>
          <w:sz w:val="16"/>
          <w:szCs w:val="16"/>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Combined ratio</w:t>
      </w:r>
    </w:p>
    <w:p>
      <w:pPr>
        <w:spacing w:after="0" w:line="172" w:lineRule="exact"/>
        <w:rPr>
          <w:sz w:val="20"/>
          <w:szCs w:val="20"/>
          <w:color w:val="auto"/>
        </w:rPr>
      </w:pPr>
    </w:p>
    <w:p>
      <w:pPr>
        <w:ind w:right="220" w:firstLine="589"/>
        <w:spacing w:after="0" w:line="271" w:lineRule="auto"/>
        <w:rPr>
          <w:sz w:val="20"/>
          <w:szCs w:val="20"/>
          <w:color w:val="auto"/>
        </w:rPr>
      </w:pPr>
      <w:r>
        <w:rPr>
          <w:rFonts w:ascii="Arial" w:cs="Arial" w:eastAsia="Arial" w:hAnsi="Arial"/>
          <w:sz w:val="16"/>
          <w:szCs w:val="16"/>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premiums written to statutory surplus ratio</w:t>
      </w:r>
    </w:p>
    <w:p>
      <w:pPr>
        <w:spacing w:after="0" w:line="172" w:lineRule="exact"/>
        <w:rPr>
          <w:sz w:val="20"/>
          <w:szCs w:val="20"/>
          <w:color w:val="auto"/>
        </w:rPr>
      </w:pPr>
    </w:p>
    <w:p>
      <w:pPr>
        <w:ind w:right="180" w:firstLine="589"/>
        <w:spacing w:after="0" w:line="266" w:lineRule="auto"/>
        <w:rPr>
          <w:sz w:val="20"/>
          <w:szCs w:val="20"/>
          <w:color w:val="auto"/>
        </w:rPr>
      </w:pPr>
      <w:r>
        <w:rPr>
          <w:rFonts w:ascii="Arial" w:cs="Arial" w:eastAsia="Arial" w:hAnsi="Arial"/>
          <w:sz w:val="16"/>
          <w:szCs w:val="16"/>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Underwriting gain (loss)</w:t>
      </w:r>
    </w:p>
    <w:p>
      <w:pPr>
        <w:spacing w:after="0" w:line="184" w:lineRule="exact"/>
        <w:rPr>
          <w:sz w:val="20"/>
          <w:szCs w:val="20"/>
          <w:color w:val="auto"/>
        </w:rPr>
      </w:pPr>
    </w:p>
    <w:p>
      <w:pPr>
        <w:ind w:right="400" w:firstLine="589"/>
        <w:spacing w:after="0" w:line="271" w:lineRule="auto"/>
        <w:rPr>
          <w:sz w:val="20"/>
          <w:szCs w:val="20"/>
          <w:color w:val="auto"/>
        </w:rPr>
      </w:pPr>
      <w:r>
        <w:rPr>
          <w:rFonts w:ascii="Arial" w:cs="Arial" w:eastAsia="Arial" w:hAnsi="Arial"/>
          <w:sz w:val="16"/>
          <w:szCs w:val="16"/>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income (loss) and return on average equity</w:t>
      </w:r>
    </w:p>
    <w:p>
      <w:pPr>
        <w:spacing w:after="0" w:line="172" w:lineRule="exact"/>
        <w:rPr>
          <w:sz w:val="20"/>
          <w:szCs w:val="20"/>
          <w:color w:val="auto"/>
        </w:rPr>
      </w:pPr>
    </w:p>
    <w:p>
      <w:pPr>
        <w:ind w:right="140" w:firstLine="589"/>
        <w:spacing w:after="0" w:line="322" w:lineRule="auto"/>
        <w:rPr>
          <w:sz w:val="20"/>
          <w:szCs w:val="20"/>
          <w:color w:val="auto"/>
        </w:rPr>
      </w:pPr>
      <w:r>
        <w:rPr>
          <w:rFonts w:ascii="Arial" w:cs="Arial" w:eastAsia="Arial" w:hAnsi="Arial"/>
          <w:sz w:val="15"/>
          <w:szCs w:val="15"/>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0"/>
          </w:cols>
          <w:pgMar w:left="240" w:top="218" w:right="259" w:bottom="1440" w:gutter="0" w:footer="0" w:header="0"/>
        </w:sectPr>
      </w:pPr>
    </w:p>
    <w:bookmarkStart w:id="42" w:name="page43"/>
    <w:bookmarkEnd w:id="42"/>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General</w:t>
      </w:r>
    </w:p>
    <w:p>
      <w:pPr>
        <w:spacing w:after="0" w:line="184" w:lineRule="exact"/>
        <w:rPr>
          <w:sz w:val="20"/>
          <w:szCs w:val="20"/>
          <w:color w:val="auto"/>
        </w:rPr>
      </w:pPr>
    </w:p>
    <w:p>
      <w:pPr>
        <w:ind w:right="20" w:firstLine="589"/>
        <w:spacing w:after="0" w:line="282" w:lineRule="auto"/>
        <w:rPr>
          <w:sz w:val="20"/>
          <w:szCs w:val="20"/>
          <w:color w:val="auto"/>
        </w:rPr>
      </w:pPr>
      <w:r>
        <w:rPr>
          <w:rFonts w:ascii="Arial" w:cs="Arial" w:eastAsia="Arial" w:hAnsi="Arial"/>
          <w:sz w:val="15"/>
          <w:szCs w:val="15"/>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Unpaid Losses and Loss Adjustment Expenses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How reserves are established</w:t>
      </w:r>
    </w:p>
    <w:p>
      <w:pPr>
        <w:spacing w:after="0" w:line="184" w:lineRule="exact"/>
        <w:rPr>
          <w:sz w:val="20"/>
          <w:szCs w:val="20"/>
          <w:color w:val="auto"/>
        </w:rPr>
      </w:pPr>
    </w:p>
    <w:p>
      <w:pPr>
        <w:ind w:right="140" w:firstLine="589"/>
        <w:spacing w:after="0" w:line="297" w:lineRule="auto"/>
        <w:rPr>
          <w:sz w:val="20"/>
          <w:szCs w:val="20"/>
          <w:color w:val="auto"/>
        </w:rPr>
      </w:pPr>
      <w:r>
        <w:rPr>
          <w:rFonts w:ascii="Arial" w:cs="Arial" w:eastAsia="Arial" w:hAnsi="Arial"/>
          <w:sz w:val="15"/>
          <w:szCs w:val="15"/>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08" w:lineRule="exact"/>
        <w:rPr>
          <w:sz w:val="20"/>
          <w:szCs w:val="20"/>
          <w:color w:val="auto"/>
        </w:rPr>
      </w:pPr>
    </w:p>
    <w:p>
      <w:pPr>
        <w:ind w:right="180" w:firstLine="589"/>
        <w:spacing w:after="0" w:line="263" w:lineRule="auto"/>
        <w:rPr>
          <w:sz w:val="20"/>
          <w:szCs w:val="20"/>
          <w:color w:val="auto"/>
        </w:rPr>
      </w:pPr>
      <w:r>
        <w:rPr>
          <w:rFonts w:ascii="Arial" w:cs="Arial" w:eastAsia="Arial" w:hAnsi="Arial"/>
          <w:sz w:val="16"/>
          <w:szCs w:val="16"/>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33"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45" w:lineRule="exact"/>
        <w:rPr>
          <w:sz w:val="20"/>
          <w:szCs w:val="20"/>
          <w:color w:val="auto"/>
        </w:rPr>
      </w:pPr>
    </w:p>
    <w:p>
      <w:pPr>
        <w:ind w:right="80" w:firstLine="589"/>
        <w:spacing w:after="0" w:line="271" w:lineRule="auto"/>
        <w:rPr>
          <w:sz w:val="20"/>
          <w:szCs w:val="20"/>
          <w:color w:val="auto"/>
        </w:rPr>
      </w:pPr>
      <w:r>
        <w:rPr>
          <w:rFonts w:ascii="Arial" w:cs="Arial" w:eastAsia="Arial" w:hAnsi="Arial"/>
          <w:sz w:val="16"/>
          <w:szCs w:val="16"/>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25" w:lineRule="exact"/>
        <w:rPr>
          <w:sz w:val="20"/>
          <w:szCs w:val="20"/>
          <w:color w:val="auto"/>
        </w:rPr>
      </w:pPr>
    </w:p>
    <w:p>
      <w:pPr>
        <w:ind w:right="180" w:firstLine="589"/>
        <w:spacing w:after="0" w:line="362" w:lineRule="auto"/>
        <w:rPr>
          <w:sz w:val="20"/>
          <w:szCs w:val="20"/>
          <w:color w:val="auto"/>
        </w:rPr>
      </w:pPr>
      <w:r>
        <w:rPr>
          <w:rFonts w:ascii="Arial" w:cs="Arial" w:eastAsia="Arial" w:hAnsi="Arial"/>
          <w:sz w:val="14"/>
          <w:szCs w:val="14"/>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66" w:lineRule="exact"/>
        <w:rPr>
          <w:sz w:val="20"/>
          <w:szCs w:val="20"/>
          <w:color w:val="auto"/>
        </w:rPr>
      </w:pPr>
    </w:p>
    <w:p>
      <w:pPr>
        <w:ind w:right="20" w:firstLine="589"/>
        <w:spacing w:after="0" w:line="280" w:lineRule="auto"/>
        <w:rPr>
          <w:sz w:val="20"/>
          <w:szCs w:val="20"/>
          <w:color w:val="auto"/>
        </w:rPr>
      </w:pPr>
      <w:r>
        <w:rPr>
          <w:rFonts w:ascii="Arial" w:cs="Arial" w:eastAsia="Arial" w:hAnsi="Arial"/>
          <w:sz w:val="15"/>
          <w:szCs w:val="15"/>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NI Holdings accrues its ultimate liability for unpaid losses and LAE by using the following actuarial methodologies:</w:t>
      </w:r>
    </w:p>
    <w:p>
      <w:pPr>
        <w:spacing w:after="0" w:line="168" w:lineRule="exact"/>
        <w:rPr>
          <w:sz w:val="20"/>
          <w:szCs w:val="20"/>
          <w:color w:val="auto"/>
        </w:rPr>
      </w:pPr>
    </w:p>
    <w:p>
      <w:pPr>
        <w:ind w:right="220" w:firstLine="589"/>
        <w:spacing w:after="0" w:line="311" w:lineRule="auto"/>
        <w:rPr>
          <w:sz w:val="20"/>
          <w:szCs w:val="20"/>
          <w:color w:val="auto"/>
        </w:rPr>
      </w:pPr>
      <w:r>
        <w:rPr>
          <w:rFonts w:ascii="Arial" w:cs="Arial" w:eastAsia="Arial" w:hAnsi="Arial"/>
          <w:sz w:val="14"/>
          <w:szCs w:val="14"/>
          <w:b w:val="1"/>
          <w:bCs w:val="1"/>
          <w:u w:val="single" w:color="auto"/>
          <w:color w:val="auto"/>
        </w:rPr>
        <w:t>Bornhuetter-Ferguson Method</w:t>
      </w:r>
      <w:r>
        <w:rPr>
          <w:rFonts w:ascii="Arial" w:cs="Arial" w:eastAsia="Arial" w:hAnsi="Arial"/>
          <w:sz w:val="14"/>
          <w:szCs w:val="14"/>
          <w:b w:val="1"/>
          <w:bCs w:val="1"/>
          <w:color w:val="auto"/>
        </w:rPr>
        <w:t xml:space="preserve"> </w:t>
      </w:r>
      <w:r>
        <w:rPr>
          <w:rFonts w:ascii="Arial" w:cs="Arial" w:eastAsia="Arial" w:hAnsi="Arial"/>
          <w:sz w:val="14"/>
          <w:szCs w:val="14"/>
          <w:color w:val="auto"/>
        </w:rPr>
        <w:t>— The Bornhuetter-Ferguson Method is a blended method that explicitly takes into account both actual loss development to date</w:t>
      </w:r>
      <w:r>
        <w:rPr>
          <w:rFonts w:ascii="Arial" w:cs="Arial" w:eastAsia="Arial" w:hAnsi="Arial"/>
          <w:sz w:val="14"/>
          <w:szCs w:val="14"/>
          <w:b w:val="1"/>
          <w:bCs w:val="1"/>
          <w:color w:val="auto"/>
        </w:rPr>
        <w:t xml:space="preserve"> </w:t>
      </w:r>
      <w:r>
        <w:rPr>
          <w:rFonts w:ascii="Arial" w:cs="Arial" w:eastAsia="Arial" w:hAnsi="Arial"/>
          <w:sz w:val="14"/>
          <w:szCs w:val="14"/>
          <w:color w:val="auto"/>
        </w:rPr>
        <w:t>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3" w:name="page44"/>
    <w:bookmarkEnd w:id="4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ind w:right="20" w:firstLine="589"/>
        <w:spacing w:after="0" w:line="268" w:lineRule="auto"/>
        <w:rPr>
          <w:sz w:val="20"/>
          <w:szCs w:val="20"/>
          <w:color w:val="auto"/>
        </w:rPr>
      </w:pPr>
      <w:r>
        <w:rPr>
          <w:rFonts w:ascii="Arial" w:cs="Arial" w:eastAsia="Arial" w:hAnsi="Arial"/>
          <w:sz w:val="16"/>
          <w:szCs w:val="16"/>
          <w:b w:val="1"/>
          <w:bCs w:val="1"/>
          <w:u w:val="single" w:color="auto"/>
          <w:color w:val="auto"/>
        </w:rPr>
        <w:t>Paid and Case Incurred Loss Method</w:t>
      </w:r>
      <w:r>
        <w:rPr>
          <w:rFonts w:ascii="Arial" w:cs="Arial" w:eastAsia="Arial" w:hAnsi="Arial"/>
          <w:sz w:val="16"/>
          <w:szCs w:val="16"/>
          <w:b w:val="1"/>
          <w:bCs w:val="1"/>
          <w:color w:val="auto"/>
        </w:rPr>
        <w:t xml:space="preserve"> </w:t>
      </w:r>
      <w:r>
        <w:rPr>
          <w:rFonts w:ascii="Arial" w:cs="Arial" w:eastAsia="Arial" w:hAnsi="Arial"/>
          <w:sz w:val="16"/>
          <w:szCs w:val="16"/>
          <w:color w:val="auto"/>
        </w:rPr>
        <w:t>— The Paid and Case Incurred Loss Development Method utilizes ratios of cumulative paid or case incurred losses or LAE</w:t>
      </w:r>
      <w:r>
        <w:rPr>
          <w:rFonts w:ascii="Arial" w:cs="Arial" w:eastAsia="Arial" w:hAnsi="Arial"/>
          <w:sz w:val="16"/>
          <w:szCs w:val="16"/>
          <w:b w:val="1"/>
          <w:bCs w:val="1"/>
          <w:color w:val="auto"/>
        </w:rPr>
        <w:t xml:space="preserve"> </w:t>
      </w:r>
      <w:r>
        <w:rPr>
          <w:rFonts w:ascii="Arial" w:cs="Arial" w:eastAsia="Arial" w:hAnsi="Arial"/>
          <w:sz w:val="16"/>
          <w:szCs w:val="16"/>
          <w:color w:val="auto"/>
        </w:rPr>
        <w:t>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23" w:lineRule="exact"/>
        <w:rPr>
          <w:sz w:val="20"/>
          <w:szCs w:val="20"/>
          <w:color w:val="auto"/>
        </w:rPr>
      </w:pPr>
    </w:p>
    <w:p>
      <w:pPr>
        <w:ind w:right="40" w:firstLine="589"/>
        <w:spacing w:after="0" w:line="300" w:lineRule="auto"/>
        <w:rPr>
          <w:sz w:val="20"/>
          <w:szCs w:val="20"/>
          <w:color w:val="auto"/>
        </w:rPr>
      </w:pPr>
      <w:r>
        <w:rPr>
          <w:rFonts w:ascii="Arial" w:cs="Arial" w:eastAsia="Arial" w:hAnsi="Arial"/>
          <w:sz w:val="15"/>
          <w:szCs w:val="15"/>
          <w:b w:val="1"/>
          <w:bCs w:val="1"/>
          <w:u w:val="single" w:color="auto"/>
          <w:color w:val="auto"/>
        </w:rPr>
        <w:t>Ratio of Paid ALAE to Paid Loss Method</w:t>
      </w:r>
      <w:r>
        <w:rPr>
          <w:rFonts w:ascii="Arial" w:cs="Arial" w:eastAsia="Arial" w:hAnsi="Arial"/>
          <w:sz w:val="15"/>
          <w:szCs w:val="15"/>
          <w:b w:val="1"/>
          <w:bCs w:val="1"/>
          <w:color w:val="auto"/>
        </w:rPr>
        <w:t xml:space="preserve"> </w:t>
      </w:r>
      <w:r>
        <w:rPr>
          <w:rFonts w:ascii="Arial" w:cs="Arial" w:eastAsia="Arial" w:hAnsi="Arial"/>
          <w:sz w:val="15"/>
          <w:szCs w:val="15"/>
          <w:color w:val="auto"/>
        </w:rPr>
        <w:t>— This method utilizes the ratio of paid allocated loss adjustment expense (“ALAE”) to paid losses and is similar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18" w:lineRule="exact"/>
        <w:rPr>
          <w:sz w:val="20"/>
          <w:szCs w:val="20"/>
          <w:color w:val="auto"/>
        </w:rPr>
      </w:pPr>
    </w:p>
    <w:p>
      <w:pPr>
        <w:ind w:firstLine="589"/>
        <w:spacing w:after="0" w:line="281" w:lineRule="auto"/>
        <w:rPr>
          <w:sz w:val="20"/>
          <w:szCs w:val="20"/>
          <w:color w:val="auto"/>
        </w:rPr>
      </w:pPr>
      <w:r>
        <w:rPr>
          <w:rFonts w:ascii="Arial" w:cs="Arial" w:eastAsia="Arial" w:hAnsi="Arial"/>
          <w:sz w:val="15"/>
          <w:szCs w:val="15"/>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20" w:lineRule="exact"/>
        <w:rPr>
          <w:sz w:val="20"/>
          <w:szCs w:val="20"/>
          <w:color w:val="auto"/>
        </w:rPr>
      </w:pPr>
    </w:p>
    <w:p>
      <w:pPr>
        <w:ind w:right="60" w:firstLine="589"/>
        <w:spacing w:after="0" w:line="263" w:lineRule="auto"/>
        <w:rPr>
          <w:sz w:val="20"/>
          <w:szCs w:val="20"/>
          <w:color w:val="auto"/>
        </w:rPr>
      </w:pPr>
      <w:r>
        <w:rPr>
          <w:rFonts w:ascii="Arial" w:cs="Arial" w:eastAsia="Arial" w:hAnsi="Arial"/>
          <w:sz w:val="16"/>
          <w:szCs w:val="16"/>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factors that have or can have an impact on the Company’s case and IBNR reserves include but are not limited to those described below.</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Changes in liability law and public attitudes regarding damage awards</w:t>
      </w:r>
    </w:p>
    <w:p>
      <w:pPr>
        <w:spacing w:after="0" w:line="172" w:lineRule="exact"/>
        <w:rPr>
          <w:sz w:val="20"/>
          <w:szCs w:val="20"/>
          <w:color w:val="auto"/>
        </w:rPr>
      </w:pPr>
    </w:p>
    <w:p>
      <w:pPr>
        <w:ind w:right="60" w:firstLine="589"/>
        <w:spacing w:after="0" w:line="262" w:lineRule="auto"/>
        <w:rPr>
          <w:sz w:val="20"/>
          <w:szCs w:val="20"/>
          <w:color w:val="auto"/>
        </w:rPr>
      </w:pPr>
      <w:r>
        <w:rPr>
          <w:rFonts w:ascii="Arial" w:cs="Arial" w:eastAsia="Arial" w:hAnsi="Arial"/>
          <w:sz w:val="16"/>
          <w:szCs w:val="16"/>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Change in claims handling and/or setting case reserves</w:t>
      </w:r>
    </w:p>
    <w:p>
      <w:pPr>
        <w:spacing w:after="0" w:line="184" w:lineRule="exact"/>
        <w:rPr>
          <w:sz w:val="20"/>
          <w:szCs w:val="20"/>
          <w:color w:val="auto"/>
        </w:rPr>
      </w:pPr>
    </w:p>
    <w:p>
      <w:pPr>
        <w:ind w:right="160" w:firstLine="589"/>
        <w:spacing w:after="0" w:line="266"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Economic inflation</w:t>
      </w:r>
    </w:p>
    <w:p>
      <w:pPr>
        <w:spacing w:after="0" w:line="172"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44" w:name="page45"/>
    <w:bookmarkEnd w:id="4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Increases or decreases in claim severity for reasons other than inflation</w:t>
      </w:r>
    </w:p>
    <w:p>
      <w:pPr>
        <w:spacing w:after="0" w:line="172" w:lineRule="exact"/>
        <w:rPr>
          <w:sz w:val="20"/>
          <w:szCs w:val="20"/>
          <w:color w:val="auto"/>
        </w:rPr>
      </w:pPr>
    </w:p>
    <w:p>
      <w:pPr>
        <w:ind w:right="40" w:firstLine="589"/>
        <w:spacing w:after="0" w:line="262" w:lineRule="auto"/>
        <w:rPr>
          <w:sz w:val="20"/>
          <w:szCs w:val="20"/>
          <w:color w:val="auto"/>
        </w:rPr>
      </w:pPr>
      <w:r>
        <w:rPr>
          <w:rFonts w:ascii="Arial" w:cs="Arial" w:eastAsia="Arial" w:hAnsi="Arial"/>
          <w:sz w:val="16"/>
          <w:szCs w:val="16"/>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Actual settlement experience different from historical data trends</w:t>
      </w:r>
    </w:p>
    <w:p>
      <w:pPr>
        <w:spacing w:after="0" w:line="172" w:lineRule="exact"/>
        <w:rPr>
          <w:sz w:val="20"/>
          <w:szCs w:val="20"/>
          <w:color w:val="auto"/>
        </w:rPr>
      </w:pPr>
    </w:p>
    <w:p>
      <w:pPr>
        <w:ind w:right="220" w:firstLine="589"/>
        <w:spacing w:after="0" w:line="285" w:lineRule="auto"/>
        <w:rPr>
          <w:sz w:val="20"/>
          <w:szCs w:val="20"/>
          <w:color w:val="auto"/>
        </w:rPr>
      </w:pPr>
      <w:r>
        <w:rPr>
          <w:rFonts w:ascii="Arial" w:cs="Arial" w:eastAsia="Arial" w:hAnsi="Arial"/>
          <w:sz w:val="15"/>
          <w:szCs w:val="15"/>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Change in Reporting Lag</w:t>
      </w:r>
    </w:p>
    <w:p>
      <w:pPr>
        <w:spacing w:after="0" w:line="184" w:lineRule="exact"/>
        <w:rPr>
          <w:sz w:val="20"/>
          <w:szCs w:val="20"/>
          <w:color w:val="auto"/>
        </w:rPr>
      </w:pPr>
    </w:p>
    <w:p>
      <w:pPr>
        <w:ind w:right="40" w:firstLine="589"/>
        <w:spacing w:after="0" w:line="263"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33" w:lineRule="exact"/>
        <w:rPr>
          <w:sz w:val="20"/>
          <w:szCs w:val="20"/>
          <w:color w:val="auto"/>
        </w:rPr>
      </w:pPr>
    </w:p>
    <w:p>
      <w:pPr>
        <w:jc w:val="both"/>
        <w:ind w:right="200" w:firstLine="589"/>
        <w:spacing w:after="0" w:line="327" w:lineRule="auto"/>
        <w:rPr>
          <w:sz w:val="20"/>
          <w:szCs w:val="20"/>
          <w:color w:val="auto"/>
        </w:rPr>
      </w:pPr>
      <w:r>
        <w:rPr>
          <w:rFonts w:ascii="Arial" w:cs="Arial" w:eastAsia="Arial" w:hAnsi="Arial"/>
          <w:sz w:val="14"/>
          <w:szCs w:val="14"/>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tcPr>
          <w:p>
            <w:pPr>
              <w:ind w:left="580"/>
              <w:spacing w:after="0"/>
              <w:rPr>
                <w:sz w:val="20"/>
                <w:szCs w:val="20"/>
                <w:color w:val="auto"/>
              </w:rPr>
            </w:pPr>
            <w:r>
              <w:rPr>
                <w:rFonts w:ascii="Arial" w:cs="Arial" w:eastAsia="Arial" w:hAnsi="Arial"/>
                <w:sz w:val="16"/>
                <w:szCs w:val="16"/>
                <w:i w:val="1"/>
                <w:iCs w:val="1"/>
                <w:color w:val="auto"/>
              </w:rPr>
              <w:t>Actuarial Loss Reserves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8"/>
        </w:trPr>
        <w:tc>
          <w:tcPr>
            <w:tcW w:w="8420" w:type="dxa"/>
            <w:vAlign w:val="bottom"/>
          </w:tcPr>
          <w:p>
            <w:pPr>
              <w:ind w:left="580"/>
              <w:spacing w:after="0"/>
              <w:rPr>
                <w:sz w:val="20"/>
                <w:szCs w:val="20"/>
                <w:color w:val="auto"/>
              </w:rPr>
            </w:pPr>
            <w:r>
              <w:rPr>
                <w:rFonts w:ascii="Arial" w:cs="Arial" w:eastAsia="Arial" w:hAnsi="Arial"/>
                <w:sz w:val="16"/>
                <w:szCs w:val="16"/>
                <w:color w:val="auto"/>
              </w:rPr>
              <w:t>NI Holdings’ liabilities for unpaid losses and LAE are summarized below:</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84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w w:val="97"/>
              </w:rPr>
              <w:t>September 30, 2018</w:t>
            </w:r>
          </w:p>
        </w:tc>
        <w:tc>
          <w:tcPr>
            <w:tcW w:w="1520" w:type="dxa"/>
            <w:vAlign w:val="bottom"/>
            <w:gridSpan w:val="4"/>
          </w:tcPr>
          <w:p>
            <w:pPr>
              <w:ind w:left="100"/>
              <w:spacing w:after="0"/>
              <w:rPr>
                <w:sz w:val="20"/>
                <w:szCs w:val="20"/>
                <w:color w:val="auto"/>
              </w:rPr>
            </w:pPr>
            <w:r>
              <w:rPr>
                <w:rFonts w:ascii="Arial" w:cs="Arial" w:eastAsia="Arial" w:hAnsi="Arial"/>
                <w:sz w:val="16"/>
                <w:szCs w:val="16"/>
                <w:b w:val="1"/>
                <w:bCs w:val="1"/>
                <w:color w:val="auto"/>
                <w:w w:val="97"/>
              </w:rPr>
              <w:t>December 31, 2017</w:t>
            </w:r>
          </w:p>
        </w:tc>
      </w:tr>
      <w:tr>
        <w:trPr>
          <w:trHeight w:val="18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Case reserves</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8420" w:type="dxa"/>
            <w:vAlign w:val="bottom"/>
          </w:tcPr>
          <w:p>
            <w:pPr>
              <w:spacing w:after="0"/>
              <w:rPr>
                <w:sz w:val="20"/>
                <w:szCs w:val="20"/>
                <w:color w:val="auto"/>
              </w:rPr>
            </w:pPr>
            <w:r>
              <w:rPr>
                <w:rFonts w:ascii="Arial" w:cs="Arial" w:eastAsia="Arial" w:hAnsi="Arial"/>
                <w:sz w:val="16"/>
                <w:szCs w:val="16"/>
                <w:color w:val="auto"/>
              </w:rPr>
              <w:t>IBNR reserves</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12,830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12,386</w:t>
            </w:r>
          </w:p>
        </w:tc>
      </w:tr>
      <w:tr>
        <w:trPr>
          <w:trHeight w:val="189"/>
        </w:trPr>
        <w:tc>
          <w:tcPr>
            <w:tcW w:w="8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unpaid losses and LAE</w:t>
            </w:r>
          </w:p>
        </w:tc>
        <w:tc>
          <w:tcPr>
            <w:tcW w:w="4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41,762</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8420" w:type="dxa"/>
            <w:vAlign w:val="bottom"/>
          </w:tcPr>
          <w:p>
            <w:pPr>
              <w:spacing w:after="0"/>
              <w:rPr>
                <w:sz w:val="20"/>
                <w:szCs w:val="20"/>
                <w:color w:val="auto"/>
              </w:rPr>
            </w:pPr>
            <w:r>
              <w:rPr>
                <w:rFonts w:ascii="Arial" w:cs="Arial" w:eastAsia="Arial" w:hAnsi="Arial"/>
                <w:sz w:val="16"/>
                <w:szCs w:val="16"/>
                <w:color w:val="auto"/>
              </w:rPr>
              <w:t>Reinsurance recoverables on losses</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5,628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4,128</w:t>
            </w:r>
          </w:p>
        </w:tc>
      </w:tr>
      <w:tr>
        <w:trPr>
          <w:trHeight w:val="201"/>
        </w:trPr>
        <w:tc>
          <w:tcPr>
            <w:tcW w:w="8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Liability for unpaid losses and LAE</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45" w:name="page46"/>
    <w:bookmarkEnd w:id="45"/>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00" w:type="dxa"/>
            <w:vAlign w:val="bottom"/>
          </w:tcPr>
          <w:p>
            <w:pPr>
              <w:ind w:left="580"/>
              <w:spacing w:after="0"/>
              <w:rPr>
                <w:sz w:val="20"/>
                <w:szCs w:val="20"/>
                <w:color w:val="auto"/>
              </w:rPr>
            </w:pPr>
            <w:r>
              <w:rPr>
                <w:rFonts w:ascii="Arial" w:cs="Arial" w:eastAsia="Arial" w:hAnsi="Arial"/>
                <w:sz w:val="16"/>
                <w:szCs w:val="16"/>
                <w:color w:val="auto"/>
                <w:w w:val="95"/>
              </w:rPr>
              <w:t>The following table provides case and IBNR reserves for unpaid losses and LAE by segment.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6900" w:type="dxa"/>
            <w:vAlign w:val="bottom"/>
          </w:tcPr>
          <w:p>
            <w:pPr>
              <w:spacing w:after="0"/>
              <w:rPr>
                <w:sz w:val="20"/>
                <w:szCs w:val="20"/>
                <w:color w:val="auto"/>
              </w:rPr>
            </w:pPr>
            <w:r>
              <w:rPr>
                <w:rFonts w:ascii="Arial" w:cs="Arial" w:eastAsia="Arial" w:hAnsi="Arial"/>
                <w:sz w:val="16"/>
                <w:szCs w:val="16"/>
                <w:b w:val="1"/>
                <w:bCs w:val="1"/>
                <w:color w:val="auto"/>
              </w:rPr>
              <w:t>As of September 30, 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Case Reserves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92"/>
              </w:rPr>
              <w:t>IBNR Reserves</w:t>
            </w:r>
          </w:p>
        </w:tc>
        <w:tc>
          <w:tcPr>
            <w:tcW w:w="10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Reserves</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Private passenger auto</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6"/>
                <w:szCs w:val="16"/>
                <w:color w:val="auto"/>
              </w:rPr>
              <w:t>Non-standard auto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46,640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48,020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Home and farm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3,236</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6"/>
                <w:szCs w:val="16"/>
                <w:color w:val="auto"/>
              </w:rPr>
              <w:t>Crop</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11,267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11,289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All other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Net unpaid losses and LAE</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12,830</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Reinsurance recoverables on losses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120"/>
              <w:spacing w:after="0"/>
              <w:rPr>
                <w:sz w:val="20"/>
                <w:szCs w:val="20"/>
                <w:color w:val="auto"/>
              </w:rPr>
            </w:pPr>
            <w:r>
              <w:rPr>
                <w:rFonts w:ascii="Arial" w:cs="Arial" w:eastAsia="Arial" w:hAnsi="Arial"/>
                <w:sz w:val="16"/>
                <w:szCs w:val="16"/>
                <w:color w:val="auto"/>
              </w:rPr>
              <w:t>Liability for unpaid losses and LAE</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91,866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105,653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Case Reserves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92"/>
              </w:rPr>
              <w:t>IBNR Reserves</w:t>
            </w:r>
          </w:p>
        </w:tc>
        <w:tc>
          <w:tcPr>
            <w:tcW w:w="10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Total Reserves</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Private passenger auto</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17,115</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6"/>
                <w:szCs w:val="16"/>
                <w:color w:val="auto"/>
              </w:rPr>
              <w:t>Non-standard auto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5,810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Home and farm</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Arial" w:cs="Arial" w:eastAsia="Arial" w:hAnsi="Arial"/>
                <w:sz w:val="16"/>
                <w:szCs w:val="16"/>
                <w:color w:val="auto"/>
              </w:rPr>
              <w:t>Crop</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All other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Net unpaid losses and LAE</w:t>
            </w: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12,386</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Reinsurance recoverables on losses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120"/>
              <w:spacing w:after="0"/>
              <w:rPr>
                <w:sz w:val="20"/>
                <w:szCs w:val="20"/>
                <w:color w:val="auto"/>
              </w:rPr>
            </w:pPr>
            <w:r>
              <w:rPr>
                <w:rFonts w:ascii="Arial" w:cs="Arial" w:eastAsia="Arial" w:hAnsi="Arial"/>
                <w:sz w:val="16"/>
                <w:szCs w:val="16"/>
                <w:color w:val="auto"/>
              </w:rPr>
              <w:t>Liability for unpaid losses and LAE</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45,890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ind w:right="260" w:firstLine="589"/>
        <w:spacing w:after="0" w:line="322" w:lineRule="auto"/>
        <w:rPr>
          <w:sz w:val="20"/>
          <w:szCs w:val="20"/>
          <w:color w:val="auto"/>
        </w:rPr>
      </w:pPr>
      <w:r>
        <w:rPr>
          <w:rFonts w:ascii="Arial" w:cs="Arial" w:eastAsia="Arial" w:hAnsi="Arial"/>
          <w:sz w:val="15"/>
          <w:szCs w:val="15"/>
          <w:color w:val="auto"/>
        </w:rPr>
        <w:t>The increase in unpaid losses and LAE in the non-standard segment is primarily attributed to the Direct Auto acquisition, in which $40,967 of reserves for unpaid losses and LAE were acquired. The increase in the crop-related unpaid losses and LAE is due primarily to the seasonal claim experience of this segment.</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Sensitivity of Major Assumptions Underlying the Liabilities for Unpaid Losses and Loss Adjustment Expenses</w:t>
      </w:r>
    </w:p>
    <w:p>
      <w:pPr>
        <w:spacing w:after="0" w:line="184"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Total Reserves</w:t>
      </w:r>
    </w:p>
    <w:p>
      <w:pPr>
        <w:spacing w:after="0" w:line="172" w:lineRule="exact"/>
        <w:rPr>
          <w:sz w:val="20"/>
          <w:szCs w:val="20"/>
          <w:color w:val="auto"/>
        </w:rPr>
      </w:pPr>
    </w:p>
    <w:p>
      <w:pPr>
        <w:ind w:right="260" w:firstLine="589"/>
        <w:spacing w:after="0" w:line="286" w:lineRule="auto"/>
        <w:rPr>
          <w:sz w:val="20"/>
          <w:szCs w:val="20"/>
          <w:color w:val="auto"/>
        </w:rPr>
      </w:pPr>
      <w:r>
        <w:rPr>
          <w:rFonts w:ascii="Arial" w:cs="Arial" w:eastAsia="Arial" w:hAnsi="Arial"/>
          <w:sz w:val="16"/>
          <w:szCs w:val="16"/>
          <w:color w:val="auto"/>
        </w:rPr>
        <w:t>As of September 30, 2018, the impact of a 1% change in our estimate for unpaid losses and LAE, net of reinsurance recoverables, on our net income after income taxes would be approximately $790.</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Inflation</w:t>
      </w:r>
    </w:p>
    <w:p>
      <w:pPr>
        <w:spacing w:after="0" w:line="172"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Inflation is not explicitly selected in the loss reserve analysis. However, historical inflation is embedded in the estimated loss development reserving function through analysis of costs and trends and reviews of historical reserving results. The following table displays the impact on net income after income taxes resulting from various changes from the inflation factor implicitly embedded in the estimated payment pattern as of December 31, 2017, which is deemed consistent with September 30, 2018 excluding the addition of the Direct Auto liability for unpaid losses.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17"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5120" w:type="dxa"/>
            <w:vAlign w:val="bottom"/>
            <w:gridSpan w:val="2"/>
          </w:tcPr>
          <w:p>
            <w:pPr>
              <w:ind w:left="1680"/>
              <w:spacing w:after="0"/>
              <w:rPr>
                <w:sz w:val="20"/>
                <w:szCs w:val="20"/>
                <w:color w:val="auto"/>
              </w:rPr>
            </w:pPr>
            <w:r>
              <w:rPr>
                <w:rFonts w:ascii="Arial" w:cs="Arial" w:eastAsia="Arial" w:hAnsi="Arial"/>
                <w:sz w:val="16"/>
                <w:szCs w:val="16"/>
                <w:b w:val="1"/>
                <w:bCs w:val="1"/>
                <w:color w:val="auto"/>
              </w:rPr>
              <w:t>Change in Inflation</w:t>
            </w:r>
          </w:p>
        </w:tc>
        <w:tc>
          <w:tcPr>
            <w:tcW w:w="600" w:type="dxa"/>
            <w:vAlign w:val="bottom"/>
          </w:tcPr>
          <w:p>
            <w:pPr>
              <w:spacing w:after="0"/>
              <w:rPr>
                <w:sz w:val="18"/>
                <w:szCs w:val="18"/>
                <w:color w:val="auto"/>
              </w:rPr>
            </w:pPr>
          </w:p>
        </w:tc>
        <w:tc>
          <w:tcPr>
            <w:tcW w:w="3400" w:type="dxa"/>
            <w:vAlign w:val="bottom"/>
          </w:tcPr>
          <w:p>
            <w:pPr>
              <w:jc w:val="right"/>
              <w:ind w:right="858"/>
              <w:spacing w:after="0"/>
              <w:rPr>
                <w:sz w:val="20"/>
                <w:szCs w:val="20"/>
                <w:color w:val="auto"/>
              </w:rPr>
            </w:pPr>
            <w:r>
              <w:rPr>
                <w:rFonts w:ascii="Arial" w:cs="Arial" w:eastAsia="Arial" w:hAnsi="Arial"/>
                <w:sz w:val="16"/>
                <w:szCs w:val="16"/>
                <w:b w:val="1"/>
                <w:bCs w:val="1"/>
                <w:color w:val="auto"/>
              </w:rPr>
              <w:t>Impact on After-Tax Earnings</w:t>
            </w:r>
          </w:p>
        </w:tc>
      </w:tr>
      <w:tr>
        <w:trPr>
          <w:trHeight w:val="189"/>
        </w:trPr>
        <w:tc>
          <w:tcPr>
            <w:tcW w:w="47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6"/>
                <w:szCs w:val="16"/>
                <w:color w:val="auto"/>
                <w:w w:val="98"/>
              </w:rPr>
              <w:t>-1%</w:t>
            </w:r>
          </w:p>
        </w:tc>
        <w:tc>
          <w:tcPr>
            <w:tcW w:w="360" w:type="dxa"/>
            <w:vAlign w:val="bottom"/>
            <w:tcBorders>
              <w:top w:val="single" w:sz="8" w:color="CCECFF"/>
            </w:tcBorders>
            <w:shd w:val="clear" w:color="auto" w:fill="CCECFF"/>
          </w:tcPr>
          <w:p>
            <w:pPr>
              <w:spacing w:after="0"/>
              <w:rPr>
                <w:sz w:val="16"/>
                <w:szCs w:val="16"/>
                <w:color w:val="auto"/>
              </w:rPr>
            </w:pPr>
          </w:p>
        </w:tc>
        <w:tc>
          <w:tcPr>
            <w:tcW w:w="600" w:type="dxa"/>
            <w:vAlign w:val="bottom"/>
            <w:tcBorders>
              <w:top w:val="single" w:sz="8" w:color="auto"/>
            </w:tcBorders>
            <w:shd w:val="clear" w:color="auto" w:fill="CCECFF"/>
          </w:tcPr>
          <w:p>
            <w:pPr>
              <w:jc w:val="right"/>
              <w:ind w:right="238"/>
              <w:spacing w:after="0"/>
              <w:rPr>
                <w:sz w:val="20"/>
                <w:szCs w:val="20"/>
                <w:color w:val="auto"/>
              </w:rPr>
            </w:pPr>
            <w:r>
              <w:rPr>
                <w:rFonts w:ascii="Arial" w:cs="Arial" w:eastAsia="Arial" w:hAnsi="Arial"/>
                <w:sz w:val="16"/>
                <w:szCs w:val="16"/>
                <w:color w:val="auto"/>
              </w:rPr>
              <w:t>$</w:t>
            </w:r>
          </w:p>
        </w:tc>
        <w:tc>
          <w:tcPr>
            <w:tcW w:w="3400" w:type="dxa"/>
            <w:vAlign w:val="bottom"/>
            <w:tcBorders>
              <w:top w:val="single" w:sz="8" w:color="auto"/>
            </w:tcBorders>
            <w:shd w:val="clear" w:color="auto" w:fill="CCECFF"/>
          </w:tcPr>
          <w:p>
            <w:pPr>
              <w:jc w:val="right"/>
              <w:ind w:right="1038"/>
              <w:spacing w:after="0"/>
              <w:rPr>
                <w:sz w:val="20"/>
                <w:szCs w:val="20"/>
                <w:color w:val="auto"/>
              </w:rPr>
            </w:pPr>
            <w:r>
              <w:rPr>
                <w:rFonts w:ascii="Arial" w:cs="Arial" w:eastAsia="Arial" w:hAnsi="Arial"/>
                <w:sz w:val="16"/>
                <w:szCs w:val="16"/>
                <w:color w:val="auto"/>
              </w:rPr>
              <w:t>(395)</w:t>
            </w:r>
          </w:p>
        </w:tc>
      </w:tr>
      <w:tr>
        <w:trPr>
          <w:trHeight w:val="196"/>
        </w:trPr>
        <w:tc>
          <w:tcPr>
            <w:tcW w:w="47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jc w:val="right"/>
              <w:ind w:right="1098"/>
              <w:spacing w:after="0"/>
              <w:rPr>
                <w:sz w:val="20"/>
                <w:szCs w:val="20"/>
                <w:color w:val="auto"/>
              </w:rPr>
            </w:pPr>
            <w:r>
              <w:rPr>
                <w:rFonts w:ascii="Arial" w:cs="Arial" w:eastAsia="Arial" w:hAnsi="Arial"/>
                <w:sz w:val="16"/>
                <w:szCs w:val="16"/>
                <w:color w:val="auto"/>
              </w:rPr>
              <w:t>401</w:t>
            </w:r>
          </w:p>
        </w:tc>
      </w:tr>
      <w:tr>
        <w:trPr>
          <w:trHeight w:val="196"/>
        </w:trPr>
        <w:tc>
          <w:tcPr>
            <w:tcW w:w="4760" w:type="dxa"/>
            <w:vAlign w:val="bottom"/>
            <w:shd w:val="clear" w:color="auto" w:fill="CCECFF"/>
          </w:tcPr>
          <w:p>
            <w:pPr>
              <w:jc w:val="center"/>
              <w:spacing w:after="0"/>
              <w:rPr>
                <w:sz w:val="20"/>
                <w:szCs w:val="20"/>
                <w:color w:val="auto"/>
              </w:rPr>
            </w:pPr>
            <w:r>
              <w:rPr>
                <w:rFonts w:ascii="Arial" w:cs="Arial" w:eastAsia="Arial" w:hAnsi="Arial"/>
                <w:sz w:val="16"/>
                <w:szCs w:val="16"/>
                <w:color w:val="auto"/>
                <w:w w:val="94"/>
              </w:rPr>
              <w:t>3%</w:t>
            </w:r>
          </w:p>
        </w:tc>
        <w:tc>
          <w:tcPr>
            <w:tcW w:w="36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3400" w:type="dxa"/>
            <w:vAlign w:val="bottom"/>
            <w:shd w:val="clear" w:color="auto" w:fill="CCECFF"/>
          </w:tcPr>
          <w:p>
            <w:pPr>
              <w:jc w:val="right"/>
              <w:ind w:right="1098"/>
              <w:spacing w:after="0"/>
              <w:rPr>
                <w:sz w:val="20"/>
                <w:szCs w:val="20"/>
                <w:color w:val="auto"/>
              </w:rPr>
            </w:pPr>
            <w:r>
              <w:rPr>
                <w:rFonts w:ascii="Arial" w:cs="Arial" w:eastAsia="Arial" w:hAnsi="Arial"/>
                <w:sz w:val="16"/>
                <w:szCs w:val="16"/>
                <w:color w:val="auto"/>
              </w:rPr>
              <w:t>1,219</w:t>
            </w:r>
          </w:p>
        </w:tc>
      </w:tr>
      <w:tr>
        <w:trPr>
          <w:trHeight w:val="208"/>
        </w:trPr>
        <w:tc>
          <w:tcPr>
            <w:tcW w:w="47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0" w:type="dxa"/>
            <w:vAlign w:val="bottom"/>
          </w:tcPr>
          <w:p>
            <w:pPr>
              <w:jc w:val="right"/>
              <w:ind w:right="1098"/>
              <w:spacing w:after="0"/>
              <w:rPr>
                <w:sz w:val="20"/>
                <w:szCs w:val="20"/>
                <w:color w:val="auto"/>
              </w:rPr>
            </w:pPr>
            <w:r>
              <w:rPr>
                <w:rFonts w:ascii="Arial" w:cs="Arial" w:eastAsia="Arial" w:hAnsi="Arial"/>
                <w:sz w:val="16"/>
                <w:szCs w:val="16"/>
                <w:color w:val="auto"/>
              </w:rPr>
              <w:t>2,062</w:t>
            </w:r>
          </w:p>
        </w:tc>
      </w:tr>
    </w:tbl>
    <w:p>
      <w:pPr>
        <w:spacing w:after="0" w:line="344"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6" w:name="page47"/>
    <w:bookmarkEnd w:id="46"/>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582"/>
        <w:spacing w:after="0"/>
        <w:rPr>
          <w:sz w:val="20"/>
          <w:szCs w:val="20"/>
          <w:color w:val="auto"/>
        </w:rPr>
      </w:pPr>
      <w:r>
        <w:rPr>
          <w:rFonts w:ascii="Arial" w:cs="Arial" w:eastAsia="Arial" w:hAnsi="Arial"/>
          <w:sz w:val="16"/>
          <w:szCs w:val="16"/>
          <w:u w:val="single" w:color="auto"/>
          <w:color w:val="auto"/>
        </w:rPr>
        <w:t>Case Reserves</w:t>
      </w:r>
    </w:p>
    <w:p>
      <w:pPr>
        <w:spacing w:after="0" w:line="172" w:lineRule="exact"/>
        <w:rPr>
          <w:sz w:val="20"/>
          <w:szCs w:val="20"/>
          <w:color w:val="auto"/>
        </w:rPr>
      </w:pPr>
    </w:p>
    <w:p>
      <w:pPr>
        <w:ind w:left="2" w:right="40" w:firstLine="589"/>
        <w:spacing w:after="0" w:line="263" w:lineRule="auto"/>
        <w:rPr>
          <w:sz w:val="20"/>
          <w:szCs w:val="20"/>
          <w:color w:val="auto"/>
        </w:rPr>
      </w:pPr>
      <w:r>
        <w:rPr>
          <w:rFonts w:ascii="Arial" w:cs="Arial" w:eastAsia="Arial" w:hAnsi="Arial"/>
          <w:sz w:val="16"/>
          <w:szCs w:val="16"/>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to the level of case reserves as of December 31, 2017, which is deemed consistent with September 30, 2018 excluding the addition of the Direct Auto liability for unpaid losses. This variance in future IBNR emergence could occur in one year or over multiple years, depending when the change is recognized.</w:t>
      </w:r>
    </w:p>
    <w:p>
      <w:pPr>
        <w:spacing w:after="0" w:line="141" w:lineRule="exact"/>
        <w:rPr>
          <w:sz w:val="20"/>
          <w:szCs w:val="20"/>
          <w:color w:val="auto"/>
        </w:rPr>
      </w:pPr>
    </w:p>
    <w:tbl>
      <w:tblPr>
        <w:tblLayout w:type="fixed"/>
        <w:tblInd w:w="1162" w:type="dxa"/>
        <w:tblCellMar>
          <w:top w:w="0" w:type="dxa"/>
          <w:left w:w="0" w:type="dxa"/>
          <w:bottom w:w="0" w:type="dxa"/>
          <w:right w:w="0" w:type="dxa"/>
        </w:tblCellMar>
      </w:tblPr>
      <w:tr>
        <w:trPr>
          <w:trHeight w:val="212"/>
        </w:trPr>
        <w:tc>
          <w:tcPr>
            <w:tcW w:w="5120" w:type="dxa"/>
            <w:vAlign w:val="bottom"/>
            <w:gridSpan w:val="2"/>
          </w:tcPr>
          <w:p>
            <w:pPr>
              <w:ind w:left="1500"/>
              <w:spacing w:after="0"/>
              <w:rPr>
                <w:sz w:val="20"/>
                <w:szCs w:val="20"/>
                <w:color w:val="auto"/>
              </w:rPr>
            </w:pPr>
            <w:r>
              <w:rPr>
                <w:rFonts w:ascii="Arial" w:cs="Arial" w:eastAsia="Arial" w:hAnsi="Arial"/>
                <w:sz w:val="16"/>
                <w:szCs w:val="16"/>
                <w:b w:val="1"/>
                <w:bCs w:val="1"/>
                <w:color w:val="auto"/>
              </w:rPr>
              <w:t>Change in Case Reserves</w:t>
            </w:r>
          </w:p>
        </w:tc>
        <w:tc>
          <w:tcPr>
            <w:tcW w:w="600" w:type="dxa"/>
            <w:vAlign w:val="bottom"/>
          </w:tcPr>
          <w:p>
            <w:pPr>
              <w:spacing w:after="0"/>
              <w:rPr>
                <w:sz w:val="18"/>
                <w:szCs w:val="18"/>
                <w:color w:val="auto"/>
              </w:rPr>
            </w:pPr>
          </w:p>
        </w:tc>
        <w:tc>
          <w:tcPr>
            <w:tcW w:w="3400" w:type="dxa"/>
            <w:vAlign w:val="bottom"/>
          </w:tcPr>
          <w:p>
            <w:pPr>
              <w:jc w:val="right"/>
              <w:ind w:right="858"/>
              <w:spacing w:after="0"/>
              <w:rPr>
                <w:sz w:val="20"/>
                <w:szCs w:val="20"/>
                <w:color w:val="auto"/>
              </w:rPr>
            </w:pPr>
            <w:r>
              <w:rPr>
                <w:rFonts w:ascii="Arial" w:cs="Arial" w:eastAsia="Arial" w:hAnsi="Arial"/>
                <w:sz w:val="16"/>
                <w:szCs w:val="16"/>
                <w:b w:val="1"/>
                <w:bCs w:val="1"/>
                <w:color w:val="auto"/>
              </w:rPr>
              <w:t>Impact on After-Tax Earnings</w:t>
            </w:r>
          </w:p>
        </w:tc>
      </w:tr>
      <w:tr>
        <w:trPr>
          <w:trHeight w:val="189"/>
        </w:trPr>
        <w:tc>
          <w:tcPr>
            <w:tcW w:w="476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6"/>
                <w:szCs w:val="16"/>
                <w:color w:val="auto"/>
                <w:w w:val="96"/>
              </w:rPr>
              <w:t>-10%</w:t>
            </w:r>
          </w:p>
        </w:tc>
        <w:tc>
          <w:tcPr>
            <w:tcW w:w="360" w:type="dxa"/>
            <w:vAlign w:val="bottom"/>
            <w:tcBorders>
              <w:top w:val="single" w:sz="8" w:color="CCECFF"/>
            </w:tcBorders>
            <w:shd w:val="clear" w:color="auto" w:fill="CCECFF"/>
          </w:tcPr>
          <w:p>
            <w:pPr>
              <w:spacing w:after="0"/>
              <w:rPr>
                <w:sz w:val="16"/>
                <w:szCs w:val="16"/>
                <w:color w:val="auto"/>
              </w:rPr>
            </w:pPr>
          </w:p>
        </w:tc>
        <w:tc>
          <w:tcPr>
            <w:tcW w:w="600" w:type="dxa"/>
            <w:vAlign w:val="bottom"/>
            <w:tcBorders>
              <w:top w:val="single" w:sz="8" w:color="auto"/>
            </w:tcBorders>
            <w:shd w:val="clear" w:color="auto" w:fill="CCECFF"/>
          </w:tcPr>
          <w:p>
            <w:pPr>
              <w:jc w:val="right"/>
              <w:ind w:right="238"/>
              <w:spacing w:after="0"/>
              <w:rPr>
                <w:sz w:val="20"/>
                <w:szCs w:val="20"/>
                <w:color w:val="auto"/>
              </w:rPr>
            </w:pPr>
            <w:r>
              <w:rPr>
                <w:rFonts w:ascii="Arial" w:cs="Arial" w:eastAsia="Arial" w:hAnsi="Arial"/>
                <w:sz w:val="16"/>
                <w:szCs w:val="16"/>
                <w:color w:val="auto"/>
              </w:rPr>
              <w:t>$</w:t>
            </w:r>
          </w:p>
        </w:tc>
        <w:tc>
          <w:tcPr>
            <w:tcW w:w="3400" w:type="dxa"/>
            <w:vAlign w:val="bottom"/>
            <w:tcBorders>
              <w:top w:val="single" w:sz="8" w:color="auto"/>
            </w:tcBorders>
            <w:shd w:val="clear" w:color="auto" w:fill="CCECFF"/>
          </w:tcPr>
          <w:p>
            <w:pPr>
              <w:jc w:val="right"/>
              <w:ind w:right="1038"/>
              <w:spacing w:after="0"/>
              <w:rPr>
                <w:sz w:val="20"/>
                <w:szCs w:val="20"/>
                <w:color w:val="auto"/>
              </w:rPr>
            </w:pPr>
            <w:r>
              <w:rPr>
                <w:rFonts w:ascii="Arial" w:cs="Arial" w:eastAsia="Arial" w:hAnsi="Arial"/>
                <w:sz w:val="16"/>
                <w:szCs w:val="16"/>
                <w:color w:val="auto"/>
              </w:rPr>
              <w:t>(2,575)</w:t>
            </w:r>
          </w:p>
        </w:tc>
      </w:tr>
      <w:tr>
        <w:trPr>
          <w:trHeight w:val="196"/>
        </w:trPr>
        <w:tc>
          <w:tcPr>
            <w:tcW w:w="4760" w:type="dxa"/>
            <w:vAlign w:val="bottom"/>
          </w:tcPr>
          <w:p>
            <w:pPr>
              <w:jc w:val="center"/>
              <w:spacing w:after="0"/>
              <w:rPr>
                <w:sz w:val="20"/>
                <w:szCs w:val="20"/>
                <w:color w:val="auto"/>
              </w:rPr>
            </w:pPr>
            <w:r>
              <w:rPr>
                <w:rFonts w:ascii="Arial" w:cs="Arial" w:eastAsia="Arial" w:hAnsi="Arial"/>
                <w:sz w:val="16"/>
                <w:szCs w:val="16"/>
                <w:color w:val="auto"/>
                <w:w w:val="98"/>
              </w:rPr>
              <w:t>-5%</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jc w:val="right"/>
              <w:ind w:right="1038"/>
              <w:spacing w:after="0"/>
              <w:rPr>
                <w:sz w:val="20"/>
                <w:szCs w:val="20"/>
                <w:color w:val="auto"/>
              </w:rPr>
            </w:pPr>
            <w:r>
              <w:rPr>
                <w:rFonts w:ascii="Arial" w:cs="Arial" w:eastAsia="Arial" w:hAnsi="Arial"/>
                <w:sz w:val="16"/>
                <w:szCs w:val="16"/>
                <w:color w:val="auto"/>
              </w:rPr>
              <w:t>(1,287)</w:t>
            </w:r>
          </w:p>
        </w:tc>
      </w:tr>
      <w:tr>
        <w:trPr>
          <w:trHeight w:val="196"/>
        </w:trPr>
        <w:tc>
          <w:tcPr>
            <w:tcW w:w="4760" w:type="dxa"/>
            <w:vAlign w:val="bottom"/>
            <w:shd w:val="clear" w:color="auto" w:fill="CCECFF"/>
          </w:tcPr>
          <w:p>
            <w:pPr>
              <w:jc w:val="center"/>
              <w:spacing w:after="0"/>
              <w:rPr>
                <w:sz w:val="20"/>
                <w:szCs w:val="20"/>
                <w:color w:val="auto"/>
              </w:rPr>
            </w:pPr>
            <w:r>
              <w:rPr>
                <w:rFonts w:ascii="Arial" w:cs="Arial" w:eastAsia="Arial" w:hAnsi="Arial"/>
                <w:sz w:val="16"/>
                <w:szCs w:val="16"/>
                <w:color w:val="auto"/>
                <w:w w:val="98"/>
              </w:rPr>
              <w:t>-2%</w:t>
            </w:r>
          </w:p>
        </w:tc>
        <w:tc>
          <w:tcPr>
            <w:tcW w:w="36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3400" w:type="dxa"/>
            <w:vAlign w:val="bottom"/>
            <w:shd w:val="clear" w:color="auto" w:fill="CCECFF"/>
          </w:tcPr>
          <w:p>
            <w:pPr>
              <w:jc w:val="right"/>
              <w:ind w:right="1038"/>
              <w:spacing w:after="0"/>
              <w:rPr>
                <w:sz w:val="20"/>
                <w:szCs w:val="20"/>
                <w:color w:val="auto"/>
              </w:rPr>
            </w:pPr>
            <w:r>
              <w:rPr>
                <w:rFonts w:ascii="Arial" w:cs="Arial" w:eastAsia="Arial" w:hAnsi="Arial"/>
                <w:sz w:val="16"/>
                <w:szCs w:val="16"/>
                <w:color w:val="auto"/>
              </w:rPr>
              <w:t>(515)</w:t>
            </w:r>
          </w:p>
        </w:tc>
      </w:tr>
      <w:tr>
        <w:trPr>
          <w:trHeight w:val="196"/>
        </w:trPr>
        <w:tc>
          <w:tcPr>
            <w:tcW w:w="4760" w:type="dxa"/>
            <w:vAlign w:val="bottom"/>
          </w:tcPr>
          <w:p>
            <w:pPr>
              <w:jc w:val="center"/>
              <w:spacing w:after="0"/>
              <w:rPr>
                <w:sz w:val="20"/>
                <w:szCs w:val="20"/>
                <w:color w:val="auto"/>
              </w:rPr>
            </w:pPr>
            <w:r>
              <w:rPr>
                <w:rFonts w:ascii="Arial" w:cs="Arial" w:eastAsia="Arial" w:hAnsi="Arial"/>
                <w:sz w:val="16"/>
                <w:szCs w:val="16"/>
                <w:color w:val="auto"/>
                <w:w w:val="98"/>
              </w:rPr>
              <w:t>+2%</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0" w:type="dxa"/>
            <w:vAlign w:val="bottom"/>
          </w:tcPr>
          <w:p>
            <w:pPr>
              <w:jc w:val="right"/>
              <w:ind w:right="1098"/>
              <w:spacing w:after="0"/>
              <w:rPr>
                <w:sz w:val="20"/>
                <w:szCs w:val="20"/>
                <w:color w:val="auto"/>
              </w:rPr>
            </w:pPr>
            <w:r>
              <w:rPr>
                <w:rFonts w:ascii="Arial" w:cs="Arial" w:eastAsia="Arial" w:hAnsi="Arial"/>
                <w:sz w:val="16"/>
                <w:szCs w:val="16"/>
                <w:color w:val="auto"/>
              </w:rPr>
              <w:t>515</w:t>
            </w:r>
          </w:p>
        </w:tc>
      </w:tr>
      <w:tr>
        <w:trPr>
          <w:trHeight w:val="196"/>
        </w:trPr>
        <w:tc>
          <w:tcPr>
            <w:tcW w:w="4760" w:type="dxa"/>
            <w:vAlign w:val="bottom"/>
            <w:shd w:val="clear" w:color="auto" w:fill="CCECFF"/>
          </w:tcPr>
          <w:p>
            <w:pPr>
              <w:jc w:val="center"/>
              <w:spacing w:after="0"/>
              <w:rPr>
                <w:sz w:val="20"/>
                <w:szCs w:val="20"/>
                <w:color w:val="auto"/>
              </w:rPr>
            </w:pPr>
            <w:r>
              <w:rPr>
                <w:rFonts w:ascii="Arial" w:cs="Arial" w:eastAsia="Arial" w:hAnsi="Arial"/>
                <w:sz w:val="16"/>
                <w:szCs w:val="16"/>
                <w:color w:val="auto"/>
                <w:w w:val="98"/>
              </w:rPr>
              <w:t>+5%</w:t>
            </w:r>
          </w:p>
        </w:tc>
        <w:tc>
          <w:tcPr>
            <w:tcW w:w="360" w:type="dxa"/>
            <w:vAlign w:val="bottom"/>
            <w:shd w:val="clear" w:color="auto" w:fill="CCECFF"/>
          </w:tcPr>
          <w:p>
            <w:pPr>
              <w:spacing w:after="0"/>
              <w:rPr>
                <w:sz w:val="17"/>
                <w:szCs w:val="17"/>
                <w:color w:val="auto"/>
              </w:rPr>
            </w:pPr>
          </w:p>
        </w:tc>
        <w:tc>
          <w:tcPr>
            <w:tcW w:w="600" w:type="dxa"/>
            <w:vAlign w:val="bottom"/>
            <w:shd w:val="clear" w:color="auto" w:fill="CCECFF"/>
          </w:tcPr>
          <w:p>
            <w:pPr>
              <w:spacing w:after="0"/>
              <w:rPr>
                <w:sz w:val="17"/>
                <w:szCs w:val="17"/>
                <w:color w:val="auto"/>
              </w:rPr>
            </w:pPr>
          </w:p>
        </w:tc>
        <w:tc>
          <w:tcPr>
            <w:tcW w:w="3400" w:type="dxa"/>
            <w:vAlign w:val="bottom"/>
            <w:shd w:val="clear" w:color="auto" w:fill="CCECFF"/>
          </w:tcPr>
          <w:p>
            <w:pPr>
              <w:jc w:val="right"/>
              <w:ind w:right="1098"/>
              <w:spacing w:after="0"/>
              <w:rPr>
                <w:sz w:val="20"/>
                <w:szCs w:val="20"/>
                <w:color w:val="auto"/>
              </w:rPr>
            </w:pPr>
            <w:r>
              <w:rPr>
                <w:rFonts w:ascii="Arial" w:cs="Arial" w:eastAsia="Arial" w:hAnsi="Arial"/>
                <w:sz w:val="16"/>
                <w:szCs w:val="16"/>
                <w:color w:val="auto"/>
              </w:rPr>
              <w:t>1,287</w:t>
            </w:r>
          </w:p>
        </w:tc>
      </w:tr>
      <w:tr>
        <w:trPr>
          <w:trHeight w:val="208"/>
        </w:trPr>
        <w:tc>
          <w:tcPr>
            <w:tcW w:w="4760" w:type="dxa"/>
            <w:vAlign w:val="bottom"/>
          </w:tcPr>
          <w:p>
            <w:pPr>
              <w:jc w:val="center"/>
              <w:spacing w:after="0"/>
              <w:rPr>
                <w:sz w:val="20"/>
                <w:szCs w:val="20"/>
                <w:color w:val="auto"/>
              </w:rPr>
            </w:pPr>
            <w:r>
              <w:rPr>
                <w:rFonts w:ascii="Arial" w:cs="Arial" w:eastAsia="Arial" w:hAnsi="Arial"/>
                <w:sz w:val="16"/>
                <w:szCs w:val="16"/>
                <w:color w:val="auto"/>
                <w:w w:val="96"/>
              </w:rPr>
              <w:t>+10%</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0" w:type="dxa"/>
            <w:vAlign w:val="bottom"/>
          </w:tcPr>
          <w:p>
            <w:pPr>
              <w:jc w:val="right"/>
              <w:ind w:right="1098"/>
              <w:spacing w:after="0"/>
              <w:rPr>
                <w:sz w:val="20"/>
                <w:szCs w:val="20"/>
                <w:color w:val="auto"/>
              </w:rPr>
            </w:pPr>
            <w:r>
              <w:rPr>
                <w:rFonts w:ascii="Arial" w:cs="Arial" w:eastAsia="Arial" w:hAnsi="Arial"/>
                <w:sz w:val="16"/>
                <w:szCs w:val="16"/>
                <w:color w:val="auto"/>
              </w:rPr>
              <w:t>2,575</w:t>
            </w:r>
          </w:p>
        </w:tc>
      </w:tr>
    </w:tbl>
    <w:p>
      <w:pPr>
        <w:spacing w:after="0" w:line="332" w:lineRule="exact"/>
        <w:rPr>
          <w:sz w:val="20"/>
          <w:szCs w:val="20"/>
          <w:color w:val="auto"/>
        </w:rPr>
      </w:pPr>
    </w:p>
    <w:p>
      <w:pPr>
        <w:ind w:left="582"/>
        <w:spacing w:after="0"/>
        <w:rPr>
          <w:sz w:val="20"/>
          <w:szCs w:val="20"/>
          <w:color w:val="auto"/>
        </w:rPr>
      </w:pPr>
      <w:r>
        <w:rPr>
          <w:rFonts w:ascii="Arial" w:cs="Arial" w:eastAsia="Arial" w:hAnsi="Arial"/>
          <w:sz w:val="16"/>
          <w:szCs w:val="16"/>
          <w:b w:val="1"/>
          <w:bCs w:val="1"/>
          <w:i w:val="1"/>
          <w:iCs w:val="1"/>
          <w:color w:val="auto"/>
        </w:rPr>
        <w:t>Investments</w:t>
      </w:r>
    </w:p>
    <w:p>
      <w:pPr>
        <w:spacing w:after="0" w:line="172" w:lineRule="exact"/>
        <w:rPr>
          <w:sz w:val="20"/>
          <w:szCs w:val="20"/>
          <w:color w:val="auto"/>
        </w:rPr>
      </w:pPr>
    </w:p>
    <w:p>
      <w:pPr>
        <w:ind w:left="2" w:right="40" w:firstLine="589"/>
        <w:spacing w:after="0" w:line="263" w:lineRule="auto"/>
        <w:rPr>
          <w:sz w:val="20"/>
          <w:szCs w:val="20"/>
          <w:color w:val="auto"/>
        </w:rPr>
      </w:pPr>
      <w:r>
        <w:rPr>
          <w:rFonts w:ascii="Arial" w:cs="Arial" w:eastAsia="Arial" w:hAnsi="Arial"/>
          <w:sz w:val="16"/>
          <w:szCs w:val="16"/>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realized capital gains and losses on investments are recognized when investments are sold, or an other-than-temporary impairment is recognized.</w:t>
      </w:r>
    </w:p>
    <w:p>
      <w:pPr>
        <w:spacing w:after="0" w:line="145" w:lineRule="exact"/>
        <w:rPr>
          <w:sz w:val="20"/>
          <w:szCs w:val="20"/>
          <w:color w:val="auto"/>
        </w:rPr>
      </w:pPr>
    </w:p>
    <w:p>
      <w:pPr>
        <w:ind w:left="2" w:firstLine="589"/>
        <w:spacing w:after="0" w:line="301" w:lineRule="auto"/>
        <w:rPr>
          <w:sz w:val="20"/>
          <w:szCs w:val="20"/>
          <w:color w:val="auto"/>
        </w:rPr>
      </w:pPr>
      <w:r>
        <w:rPr>
          <w:rFonts w:ascii="Arial" w:cs="Arial" w:eastAsia="Arial" w:hAnsi="Arial"/>
          <w:sz w:val="14"/>
          <w:szCs w:val="14"/>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w:t>
      </w:r>
    </w:p>
    <w:p>
      <w:pPr>
        <w:ind w:left="2" w:right="60" w:hanging="2"/>
        <w:spacing w:after="0" w:line="276" w:lineRule="auto"/>
        <w:tabs>
          <w:tab w:leader="none" w:pos="233" w:val="left"/>
        </w:tabs>
        <w:numPr>
          <w:ilvl w:val="0"/>
          <w:numId w:val="34"/>
        </w:numPr>
        <w:rPr>
          <w:rFonts w:ascii="Arial" w:cs="Arial" w:eastAsia="Arial" w:hAnsi="Arial"/>
          <w:sz w:val="15"/>
          <w:szCs w:val="15"/>
          <w:color w:val="auto"/>
        </w:rPr>
      </w:pPr>
      <w:r>
        <w:rPr>
          <w:rFonts w:ascii="Arial" w:cs="Arial" w:eastAsia="Arial" w:hAnsi="Arial"/>
          <w:sz w:val="15"/>
          <w:szCs w:val="15"/>
          <w:color w:val="auto"/>
        </w:rPr>
        <w:t>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25" w:lineRule="exact"/>
        <w:rPr>
          <w:sz w:val="20"/>
          <w:szCs w:val="20"/>
          <w:color w:val="auto"/>
        </w:rPr>
      </w:pPr>
    </w:p>
    <w:p>
      <w:pPr>
        <w:jc w:val="both"/>
        <w:ind w:left="2" w:right="340" w:firstLine="589"/>
        <w:spacing w:after="0" w:line="297" w:lineRule="auto"/>
        <w:rPr>
          <w:sz w:val="20"/>
          <w:szCs w:val="20"/>
          <w:color w:val="auto"/>
        </w:rPr>
      </w:pPr>
      <w:r>
        <w:rPr>
          <w:rFonts w:ascii="Arial" w:cs="Arial" w:eastAsia="Arial" w:hAnsi="Arial"/>
          <w:sz w:val="15"/>
          <w:szCs w:val="15"/>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38"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932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02"/>
          </w:cols>
          <w:pgMar w:left="238" w:top="219" w:right="259" w:bottom="1440" w:gutter="0" w:footer="0" w:header="0"/>
        </w:sectPr>
      </w:pPr>
    </w:p>
    <w:bookmarkStart w:id="47" w:name="page48"/>
    <w:bookmarkEnd w:id="47"/>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ind w:right="160" w:firstLine="589"/>
        <w:spacing w:after="0" w:line="271" w:lineRule="auto"/>
        <w:rPr>
          <w:sz w:val="20"/>
          <w:szCs w:val="20"/>
          <w:color w:val="auto"/>
        </w:rPr>
      </w:pPr>
      <w:r>
        <w:rPr>
          <w:rFonts w:ascii="Arial" w:cs="Arial" w:eastAsia="Arial" w:hAnsi="Arial"/>
          <w:sz w:val="16"/>
          <w:szCs w:val="16"/>
          <w:color w:val="auto"/>
        </w:rPr>
        <w:t>For the nine months ended September 30, 2018, NI Holdings’ investment portfolio experienced a decrease in net unrealized gains of $4,376. The fixed income portion of the portfolio experienced significant decreases in unrealized gains and significant increases in unrealized losses, which are directly attributed to an increase in the interest rate environment during the nine months ended September 30,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3560" w:type="dxa"/>
            <w:vAlign w:val="bottom"/>
            <w:gridSpan w:val="4"/>
          </w:tcPr>
          <w:p>
            <w:pPr>
              <w:ind w:left="1980"/>
              <w:spacing w:after="0"/>
              <w:rPr>
                <w:sz w:val="20"/>
                <w:szCs w:val="20"/>
                <w:color w:val="auto"/>
              </w:rPr>
            </w:pPr>
            <w:r>
              <w:rPr>
                <w:rFonts w:ascii="Arial" w:cs="Arial" w:eastAsia="Arial" w:hAnsi="Arial"/>
                <w:sz w:val="16"/>
                <w:szCs w:val="16"/>
                <w:b w:val="1"/>
                <w:bCs w:val="1"/>
                <w:color w:val="auto"/>
              </w:rPr>
              <w:t>September 30, 2018</w:t>
            </w: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Change</w:t>
            </w:r>
          </w:p>
        </w:tc>
      </w:tr>
      <w:tr>
        <w:trPr>
          <w:trHeight w:val="18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income securities:</w:t>
            </w:r>
          </w:p>
        </w:tc>
        <w:tc>
          <w:tcPr>
            <w:tcW w:w="1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4980" w:type="dxa"/>
            <w:vAlign w:val="bottom"/>
          </w:tcPr>
          <w:p>
            <w:pPr>
              <w:ind w:left="120"/>
              <w:spacing w:after="0"/>
              <w:rPr>
                <w:sz w:val="20"/>
                <w:szCs w:val="20"/>
                <w:color w:val="auto"/>
              </w:rPr>
            </w:pPr>
            <w:r>
              <w:rPr>
                <w:rFonts w:ascii="Arial" w:cs="Arial" w:eastAsia="Arial" w:hAnsi="Arial"/>
                <w:sz w:val="16"/>
                <w:szCs w:val="16"/>
                <w:color w:val="auto"/>
              </w:rPr>
              <w:t>Gross unrealized gains</w:t>
            </w:r>
          </w:p>
        </w:tc>
        <w:tc>
          <w:tcPr>
            <w:tcW w:w="2460" w:type="dxa"/>
            <w:vAlign w:val="bottom"/>
            <w:gridSpan w:val="2"/>
          </w:tcPr>
          <w:p>
            <w:pPr>
              <w:ind w:left="19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616</w:t>
            </w: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2,738</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(2,122)</w:t>
            </w:r>
          </w:p>
        </w:tc>
      </w:tr>
      <w:tr>
        <w:trPr>
          <w:trHeight w:val="209"/>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unrealized losses</w:t>
            </w:r>
          </w:p>
        </w:tc>
        <w:tc>
          <w:tcPr>
            <w:tcW w:w="1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(4,505)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(3,547)</w:t>
            </w:r>
          </w:p>
        </w:tc>
      </w:tr>
      <w:tr>
        <w:trPr>
          <w:trHeight w:val="189"/>
        </w:trPr>
        <w:tc>
          <w:tcPr>
            <w:tcW w:w="4980" w:type="dxa"/>
            <w:vAlign w:val="bottom"/>
          </w:tcPr>
          <w:p>
            <w:pPr>
              <w:ind w:left="240"/>
              <w:spacing w:after="0"/>
              <w:rPr>
                <w:sz w:val="20"/>
                <w:szCs w:val="20"/>
                <w:color w:val="auto"/>
              </w:rPr>
            </w:pPr>
            <w:r>
              <w:rPr>
                <w:rFonts w:ascii="Arial" w:cs="Arial" w:eastAsia="Arial" w:hAnsi="Arial"/>
                <w:sz w:val="16"/>
                <w:szCs w:val="16"/>
                <w:color w:val="auto"/>
              </w:rPr>
              <w:t>Net fixed income unrealized gains (losses)</w:t>
            </w:r>
          </w:p>
        </w:tc>
        <w:tc>
          <w:tcPr>
            <w:tcW w:w="19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(3,889)</w:t>
            </w: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16"/>
                <w:szCs w:val="16"/>
                <w:color w:val="auto"/>
              </w:rPr>
            </w:pPr>
          </w:p>
        </w:tc>
      </w:tr>
      <w:tr>
        <w:trPr>
          <w:trHeight w:val="196"/>
        </w:trPr>
        <w:tc>
          <w:tcPr>
            <w:tcW w:w="49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color w:val="auto"/>
              </w:rPr>
              <w:t>Equity securities:</w:t>
            </w:r>
          </w:p>
        </w:tc>
        <w:tc>
          <w:tcPr>
            <w:tcW w:w="1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Gross unrealized gains</w:t>
            </w:r>
          </w:p>
        </w:tc>
        <w:tc>
          <w:tcPr>
            <w:tcW w:w="1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20,682</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19,186</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1,496</w:t>
            </w:r>
          </w:p>
        </w:tc>
      </w:tr>
      <w:tr>
        <w:trPr>
          <w:trHeight w:val="208"/>
        </w:trPr>
        <w:tc>
          <w:tcPr>
            <w:tcW w:w="4980" w:type="dxa"/>
            <w:vAlign w:val="bottom"/>
          </w:tcPr>
          <w:p>
            <w:pPr>
              <w:ind w:left="120"/>
              <w:spacing w:after="0"/>
              <w:rPr>
                <w:sz w:val="20"/>
                <w:szCs w:val="20"/>
                <w:color w:val="auto"/>
              </w:rPr>
            </w:pPr>
            <w:r>
              <w:rPr>
                <w:rFonts w:ascii="Arial" w:cs="Arial" w:eastAsia="Arial" w:hAnsi="Arial"/>
                <w:sz w:val="16"/>
                <w:szCs w:val="16"/>
                <w:color w:val="auto"/>
              </w:rPr>
              <w:t>Gross unrealized losses</w:t>
            </w: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(856)</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(653)</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(203)</w:t>
            </w:r>
          </w:p>
        </w:tc>
      </w:tr>
      <w:tr>
        <w:trPr>
          <w:trHeight w:val="189"/>
        </w:trPr>
        <w:tc>
          <w:tcPr>
            <w:tcW w:w="4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equity unrealized gains</w:t>
            </w:r>
          </w:p>
        </w:tc>
        <w:tc>
          <w:tcPr>
            <w:tcW w:w="1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19,826</w:t>
            </w: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18,533</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Borders>
              <w:top w:val="single" w:sz="8" w:color="CCEEFF"/>
            </w:tcBorders>
            <w:shd w:val="clear" w:color="auto" w:fill="CCEEFF"/>
          </w:tcPr>
          <w:p>
            <w:pPr>
              <w:spacing w:after="0"/>
              <w:rPr>
                <w:sz w:val="16"/>
                <w:szCs w:val="16"/>
                <w:color w:val="auto"/>
              </w:rPr>
            </w:pPr>
          </w:p>
        </w:tc>
      </w:tr>
      <w:tr>
        <w:trPr>
          <w:trHeight w:val="176"/>
        </w:trPr>
        <w:tc>
          <w:tcPr>
            <w:tcW w:w="49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0"/>
        </w:trPr>
        <w:tc>
          <w:tcPr>
            <w:tcW w:w="4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unrealized gains</w:t>
            </w:r>
          </w:p>
        </w:tc>
        <w:tc>
          <w:tcPr>
            <w:tcW w:w="2460" w:type="dxa"/>
            <w:vAlign w:val="bottom"/>
            <w:gridSpan w:val="2"/>
            <w:shd w:val="clear" w:color="auto" w:fill="CCEEFF"/>
          </w:tcPr>
          <w:p>
            <w:pPr>
              <w:ind w:left="19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15,937</w:t>
            </w: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20,313</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(4,376)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55" w:lineRule="exact"/>
        <w:rPr>
          <w:sz w:val="20"/>
          <w:szCs w:val="20"/>
          <w:color w:val="auto"/>
        </w:rPr>
      </w:pPr>
    </w:p>
    <w:p>
      <w:pPr>
        <w:jc w:val="both"/>
        <w:ind w:right="160" w:firstLine="589"/>
        <w:spacing w:after="0" w:line="271" w:lineRule="auto"/>
        <w:rPr>
          <w:sz w:val="20"/>
          <w:szCs w:val="20"/>
          <w:color w:val="auto"/>
        </w:rPr>
      </w:pPr>
      <w:r>
        <w:rPr>
          <w:rFonts w:ascii="Arial" w:cs="Arial" w:eastAsia="Arial" w:hAnsi="Arial"/>
          <w:sz w:val="16"/>
          <w:szCs w:val="16"/>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25" w:lineRule="exact"/>
        <w:rPr>
          <w:sz w:val="20"/>
          <w:szCs w:val="20"/>
          <w:color w:val="auto"/>
        </w:rPr>
      </w:pPr>
    </w:p>
    <w:p>
      <w:pPr>
        <w:ind w:right="260" w:firstLine="589"/>
        <w:spacing w:after="0" w:line="286" w:lineRule="auto"/>
        <w:rPr>
          <w:sz w:val="20"/>
          <w:szCs w:val="20"/>
          <w:color w:val="auto"/>
        </w:rPr>
      </w:pPr>
      <w:r>
        <w:rPr>
          <w:rFonts w:ascii="Arial" w:cs="Arial" w:eastAsia="Arial" w:hAnsi="Arial"/>
          <w:sz w:val="16"/>
          <w:szCs w:val="16"/>
          <w:color w:val="auto"/>
        </w:rPr>
        <w:t>For the three and nine months ended September 30, 2018, NI Holdings recognized $382 of other-than-temporary impairments of its investment securities. For the year ended December 31, 2017, NI Holdings recognized $330 of other-than-temporary impairments of its investment securities.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 more information on the Company’s investments, see Note 6 to the Unaudited Consolidated Financial Statements, included elsewhere in this Report.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72"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6"/>
          <w:szCs w:val="16"/>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33"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6"/>
          <w:szCs w:val="16"/>
          <w:i w:val="1"/>
          <w:iCs w:val="1"/>
          <w:color w:val="auto"/>
        </w:rPr>
        <w:t>Level I</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Unadjusted quoted prices in active markets that are accessible at the measurement date for identical, unrestricted assets or liabilities.</w:t>
      </w:r>
    </w:p>
    <w:p>
      <w:pPr>
        <w:spacing w:after="0" w:line="172" w:lineRule="exact"/>
        <w:rPr>
          <w:sz w:val="20"/>
          <w:szCs w:val="20"/>
          <w:color w:val="auto"/>
        </w:rPr>
      </w:pPr>
    </w:p>
    <w:p>
      <w:pPr>
        <w:ind w:left="1760" w:hanging="1177"/>
        <w:spacing w:after="0" w:line="315" w:lineRule="auto"/>
        <w:tabs>
          <w:tab w:leader="none" w:pos="1740" w:val="left"/>
        </w:tabs>
        <w:rPr>
          <w:sz w:val="20"/>
          <w:szCs w:val="20"/>
          <w:color w:val="auto"/>
        </w:rPr>
      </w:pPr>
      <w:r>
        <w:rPr>
          <w:rFonts w:ascii="Arial" w:cs="Arial" w:eastAsia="Arial" w:hAnsi="Arial"/>
          <w:sz w:val="16"/>
          <w:szCs w:val="16"/>
          <w:i w:val="1"/>
          <w:iCs w:val="1"/>
          <w:color w:val="auto"/>
        </w:rPr>
        <w:t>Level II</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99" w:lineRule="exact"/>
        <w:rPr>
          <w:sz w:val="20"/>
          <w:szCs w:val="20"/>
          <w:color w:val="auto"/>
        </w:rPr>
      </w:pPr>
    </w:p>
    <w:p>
      <w:pPr>
        <w:ind w:left="1760" w:hanging="1177"/>
        <w:spacing w:after="0" w:line="286" w:lineRule="auto"/>
        <w:tabs>
          <w:tab w:leader="none" w:pos="1740" w:val="left"/>
        </w:tabs>
        <w:rPr>
          <w:sz w:val="20"/>
          <w:szCs w:val="20"/>
          <w:color w:val="auto"/>
        </w:rPr>
      </w:pPr>
      <w:r>
        <w:rPr>
          <w:rFonts w:ascii="Arial" w:cs="Arial" w:eastAsia="Arial" w:hAnsi="Arial"/>
          <w:sz w:val="16"/>
          <w:szCs w:val="16"/>
          <w:i w:val="1"/>
          <w:iCs w:val="1"/>
          <w:color w:val="auto"/>
        </w:rPr>
        <w:t>Level III</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Prices or valuation techniques that require inputs that are both significant to the fair value measurement and unobservable (i.e., supported with little or no market activity).</w:t>
      </w:r>
    </w:p>
    <w:p>
      <w:pPr>
        <w:spacing w:after="0" w:line="113" w:lineRule="exact"/>
        <w:rPr>
          <w:sz w:val="20"/>
          <w:szCs w:val="20"/>
          <w:color w:val="auto"/>
        </w:rPr>
      </w:pPr>
    </w:p>
    <w:p>
      <w:pPr>
        <w:ind w:firstLine="589"/>
        <w:spacing w:after="0" w:line="278" w:lineRule="auto"/>
        <w:rPr>
          <w:sz w:val="20"/>
          <w:szCs w:val="20"/>
          <w:color w:val="auto"/>
        </w:rPr>
      </w:pPr>
      <w:r>
        <w:rPr>
          <w:rFonts w:ascii="Arial" w:cs="Arial" w:eastAsia="Arial" w:hAnsi="Arial"/>
          <w:sz w:val="15"/>
          <w:szCs w:val="15"/>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8" w:name="page49"/>
    <w:bookmarkEnd w:id="4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firstLine="589"/>
        <w:spacing w:after="0" w:line="259" w:lineRule="auto"/>
        <w:rPr>
          <w:sz w:val="20"/>
          <w:szCs w:val="20"/>
          <w:color w:val="auto"/>
        </w:rPr>
      </w:pPr>
      <w:r>
        <w:rPr>
          <w:rFonts w:ascii="Arial" w:cs="Arial" w:eastAsia="Arial" w:hAnsi="Arial"/>
          <w:sz w:val="16"/>
          <w:szCs w:val="16"/>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39" w:lineRule="exact"/>
        <w:rPr>
          <w:sz w:val="20"/>
          <w:szCs w:val="20"/>
          <w:color w:val="auto"/>
        </w:rPr>
      </w:pPr>
    </w:p>
    <w:p>
      <w:pPr>
        <w:ind w:right="20" w:firstLine="589"/>
        <w:spacing w:after="0" w:line="306" w:lineRule="auto"/>
        <w:rPr>
          <w:sz w:val="20"/>
          <w:szCs w:val="20"/>
          <w:color w:val="auto"/>
        </w:rPr>
      </w:pPr>
      <w:r>
        <w:rPr>
          <w:rFonts w:ascii="Arial" w:cs="Arial" w:eastAsia="Arial" w:hAnsi="Arial"/>
          <w:sz w:val="14"/>
          <w:szCs w:val="14"/>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18" w:lineRule="exact"/>
        <w:rPr>
          <w:sz w:val="20"/>
          <w:szCs w:val="20"/>
          <w:color w:val="auto"/>
        </w:rPr>
      </w:pPr>
    </w:p>
    <w:p>
      <w:pPr>
        <w:ind w:right="540" w:firstLine="589"/>
        <w:spacing w:after="0" w:line="286" w:lineRule="auto"/>
        <w:rPr>
          <w:sz w:val="20"/>
          <w:szCs w:val="20"/>
          <w:color w:val="auto"/>
        </w:rPr>
      </w:pPr>
      <w:r>
        <w:rPr>
          <w:rFonts w:ascii="Arial" w:cs="Arial" w:eastAsia="Arial" w:hAnsi="Arial"/>
          <w:sz w:val="16"/>
          <w:szCs w:val="16"/>
          <w:color w:val="auto"/>
        </w:rPr>
        <w:t>The fair value estimates of NI Holdings’ investments provided by the independent pricing service at each period-end were utilized, among other resources, in reaching a conclusion as to the fair value of its investments.</w:t>
      </w:r>
    </w:p>
    <w:p>
      <w:pPr>
        <w:spacing w:after="0" w:line="113" w:lineRule="exact"/>
        <w:rPr>
          <w:sz w:val="20"/>
          <w:szCs w:val="20"/>
          <w:color w:val="auto"/>
        </w:rPr>
      </w:pPr>
    </w:p>
    <w:p>
      <w:pPr>
        <w:ind w:right="20" w:firstLine="589"/>
        <w:spacing w:after="0" w:line="261" w:lineRule="auto"/>
        <w:rPr>
          <w:sz w:val="20"/>
          <w:szCs w:val="20"/>
          <w:color w:val="auto"/>
        </w:rPr>
      </w:pPr>
      <w:r>
        <w:rPr>
          <w:rFonts w:ascii="Arial" w:cs="Arial" w:eastAsia="Arial" w:hAnsi="Arial"/>
          <w:sz w:val="16"/>
          <w:szCs w:val="16"/>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nine months ended September 30, 2018 or the year ended December 31, 2017. The classification within the fair value hierarchy is then confirmed based on the final conclusions from the pricing review.</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For more information on the Company’s fair value measurements, see Note 7 to the Unaudited Consolidated Financial Statements, included elsewhere in this Report.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Deferred Policy Acquisition Costs</w:t>
      </w:r>
    </w:p>
    <w:p>
      <w:pPr>
        <w:spacing w:after="0" w:line="172" w:lineRule="exact"/>
        <w:rPr>
          <w:sz w:val="20"/>
          <w:szCs w:val="20"/>
          <w:color w:val="auto"/>
        </w:rPr>
      </w:pPr>
    </w:p>
    <w:p>
      <w:pPr>
        <w:ind w:right="140" w:firstLine="589"/>
        <w:spacing w:after="0" w:line="322" w:lineRule="auto"/>
        <w:rPr>
          <w:sz w:val="20"/>
          <w:szCs w:val="20"/>
          <w:color w:val="auto"/>
        </w:rPr>
      </w:pPr>
      <w:r>
        <w:rPr>
          <w:rFonts w:ascii="Arial" w:cs="Arial" w:eastAsia="Arial" w:hAnsi="Arial"/>
          <w:sz w:val="15"/>
          <w:szCs w:val="15"/>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w:t>
      </w:r>
    </w:p>
    <w:p>
      <w:pPr>
        <w:spacing w:after="0" w:line="8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6"/>
          <w:szCs w:val="16"/>
          <w:color w:val="auto"/>
        </w:rPr>
        <w:t>No deferred policy acquisition costs (“DAC”) were recorded in the acquisition for Direct Auto in accordance with purchase accounting guidance. Rather, a separate intangible asset representing the value of business acquired was valued at $5,134 and established at the closing date. This VOBA intangible asset will be amortized into expense as the acquired unearned premiums are reported into income, in the same way as DAC. Policy acquisition costs relating to new business written by Direct Auto will be deferred following the closing date. The release of the VOBA asset and the establishment of new DAC will generally offset each other over the twelve months following the acquisition of Direct Auto.</w:t>
      </w:r>
    </w:p>
    <w:p>
      <w:pPr>
        <w:spacing w:after="0" w:line="145" w:lineRule="exact"/>
        <w:rPr>
          <w:sz w:val="20"/>
          <w:szCs w:val="20"/>
          <w:color w:val="auto"/>
        </w:rPr>
      </w:pPr>
    </w:p>
    <w:p>
      <w:pPr>
        <w:ind w:right="160" w:firstLine="589"/>
        <w:spacing w:after="0" w:line="286" w:lineRule="auto"/>
        <w:rPr>
          <w:sz w:val="20"/>
          <w:szCs w:val="20"/>
          <w:color w:val="auto"/>
        </w:rPr>
      </w:pPr>
      <w:r>
        <w:rPr>
          <w:rFonts w:ascii="Arial" w:cs="Arial" w:eastAsia="Arial" w:hAnsi="Arial"/>
          <w:sz w:val="16"/>
          <w:szCs w:val="16"/>
          <w:color w:val="auto"/>
        </w:rPr>
        <w:t>At September 30, 2018 and December 31, 2017, deferred policy acquisition costs, the VOBA intangible asset, and the related liability for unearned premiums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w w:val="97"/>
              </w:rPr>
              <w:t>September 30, 2018</w:t>
            </w:r>
          </w:p>
        </w:tc>
        <w:tc>
          <w:tcPr>
            <w:tcW w:w="1520" w:type="dxa"/>
            <w:vAlign w:val="bottom"/>
            <w:gridSpan w:val="4"/>
          </w:tcPr>
          <w:p>
            <w:pPr>
              <w:ind w:left="100"/>
              <w:spacing w:after="0"/>
              <w:rPr>
                <w:sz w:val="20"/>
                <w:szCs w:val="20"/>
                <w:color w:val="auto"/>
              </w:rPr>
            </w:pPr>
            <w:r>
              <w:rPr>
                <w:rFonts w:ascii="Arial" w:cs="Arial" w:eastAsia="Arial" w:hAnsi="Arial"/>
                <w:sz w:val="16"/>
                <w:szCs w:val="16"/>
                <w:b w:val="1"/>
                <w:bCs w:val="1"/>
                <w:color w:val="auto"/>
                <w:w w:val="97"/>
              </w:rPr>
              <w:t>December 31, 2017</w:t>
            </w:r>
          </w:p>
        </w:tc>
      </w:tr>
      <w:tr>
        <w:trPr>
          <w:trHeight w:val="18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policy acquisition costs</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8,859</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8420" w:type="dxa"/>
            <w:vAlign w:val="bottom"/>
          </w:tcPr>
          <w:p>
            <w:pPr>
              <w:spacing w:after="0"/>
              <w:rPr>
                <w:sz w:val="20"/>
                <w:szCs w:val="20"/>
                <w:color w:val="auto"/>
              </w:rPr>
            </w:pPr>
            <w:r>
              <w:rPr>
                <w:rFonts w:ascii="Arial" w:cs="Arial" w:eastAsia="Arial" w:hAnsi="Arial"/>
                <w:sz w:val="16"/>
                <w:szCs w:val="16"/>
                <w:color w:val="auto"/>
              </w:rPr>
              <w:t>Value of business acquired intangible asset</w:t>
            </w:r>
          </w:p>
        </w:tc>
        <w:tc>
          <w:tcPr>
            <w:tcW w:w="5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4,046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unearned premiums</w:t>
            </w:r>
          </w:p>
        </w:tc>
        <w:tc>
          <w:tcPr>
            <w:tcW w:w="5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98,308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63,262</w:t>
            </w:r>
          </w:p>
        </w:tc>
      </w:tr>
    </w:tbl>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49" w:name="page50"/>
    <w:bookmarkEnd w:id="49"/>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jc w:val="both"/>
        <w:ind w:right="100" w:firstLine="589"/>
        <w:spacing w:after="0" w:line="289" w:lineRule="auto"/>
        <w:rPr>
          <w:sz w:val="20"/>
          <w:szCs w:val="20"/>
          <w:color w:val="auto"/>
        </w:rPr>
      </w:pPr>
      <w:r>
        <w:rPr>
          <w:rFonts w:ascii="Arial" w:cs="Arial" w:eastAsia="Arial" w:hAnsi="Arial"/>
          <w:sz w:val="15"/>
          <w:szCs w:val="15"/>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Income Taxes</w:t>
      </w:r>
    </w:p>
    <w:p>
      <w:pPr>
        <w:spacing w:after="0" w:line="172" w:lineRule="exact"/>
        <w:rPr>
          <w:sz w:val="20"/>
          <w:szCs w:val="20"/>
          <w:color w:val="auto"/>
        </w:rPr>
      </w:pPr>
    </w:p>
    <w:p>
      <w:pPr>
        <w:ind w:right="140" w:firstLine="589"/>
        <w:spacing w:after="0" w:line="266" w:lineRule="auto"/>
        <w:rPr>
          <w:sz w:val="20"/>
          <w:szCs w:val="20"/>
          <w:color w:val="auto"/>
        </w:rPr>
      </w:pPr>
      <w:r>
        <w:rPr>
          <w:rFonts w:ascii="Arial" w:cs="Arial" w:eastAsia="Arial" w:hAnsi="Arial"/>
          <w:sz w:val="16"/>
          <w:szCs w:val="16"/>
          <w:color w:val="auto"/>
        </w:rPr>
        <w:t>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The effect of a change in tax rates is recognized in the period of the enactment date. The following tax amounts reflect the new corporate tax rate enacted on December 22, 2017.</w:t>
      </w:r>
    </w:p>
    <w:p>
      <w:pPr>
        <w:spacing w:after="0" w:line="141" w:lineRule="exact"/>
        <w:rPr>
          <w:sz w:val="20"/>
          <w:szCs w:val="20"/>
          <w:color w:val="auto"/>
        </w:rPr>
      </w:pPr>
    </w:p>
    <w:p>
      <w:pPr>
        <w:ind w:right="140" w:firstLine="589"/>
        <w:spacing w:after="0" w:line="327" w:lineRule="auto"/>
        <w:rPr>
          <w:sz w:val="20"/>
          <w:szCs w:val="20"/>
          <w:color w:val="auto"/>
        </w:rPr>
      </w:pPr>
      <w:r>
        <w:rPr>
          <w:rFonts w:ascii="Arial" w:cs="Arial" w:eastAsia="Arial" w:hAnsi="Arial"/>
          <w:sz w:val="14"/>
          <w:szCs w:val="14"/>
          <w:color w:val="auto"/>
        </w:rPr>
        <w:t>NI Holdings had gross deferred income tax assets of $6,256 at September 30, 2018 and $4,279 at December 31, 2017,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$628 was maintained at September 30, 2018 and December 31, 2017.</w:t>
      </w:r>
    </w:p>
    <w:p>
      <w:pPr>
        <w:spacing w:after="0" w:line="90" w:lineRule="exact"/>
        <w:rPr>
          <w:sz w:val="20"/>
          <w:szCs w:val="20"/>
          <w:color w:val="auto"/>
        </w:rPr>
      </w:pPr>
    </w:p>
    <w:p>
      <w:pPr>
        <w:ind w:right="360" w:firstLine="589"/>
        <w:spacing w:after="0" w:line="286" w:lineRule="auto"/>
        <w:rPr>
          <w:sz w:val="20"/>
          <w:szCs w:val="20"/>
          <w:color w:val="auto"/>
        </w:rPr>
      </w:pPr>
      <w:r>
        <w:rPr>
          <w:rFonts w:ascii="Arial" w:cs="Arial" w:eastAsia="Arial" w:hAnsi="Arial"/>
          <w:sz w:val="16"/>
          <w:szCs w:val="16"/>
          <w:color w:val="auto"/>
        </w:rPr>
        <w:t>NI Holdings had gross deferred income tax liabilities of $7,975 at September 30, 2018 and $6,190 at December 31, 2017, arising primarily from deferred policy acquisition costs, intangible assets, and net unrealized capital gains on investments.</w:t>
      </w:r>
    </w:p>
    <w:p>
      <w:pPr>
        <w:spacing w:after="0" w:line="113"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1" w:lineRule="exact"/>
        <w:rPr>
          <w:sz w:val="20"/>
          <w:szCs w:val="20"/>
          <w:color w:val="auto"/>
        </w:rPr>
      </w:pPr>
    </w:p>
    <w:p>
      <w:pPr>
        <w:ind w:right="220" w:firstLine="589"/>
        <w:spacing w:after="0" w:line="286" w:lineRule="auto"/>
        <w:rPr>
          <w:sz w:val="20"/>
          <w:szCs w:val="20"/>
          <w:color w:val="auto"/>
        </w:rPr>
      </w:pPr>
      <w:r>
        <w:rPr>
          <w:rFonts w:ascii="Arial" w:cs="Arial" w:eastAsia="Arial" w:hAnsi="Arial"/>
          <w:sz w:val="16"/>
          <w:szCs w:val="16"/>
          <w:color w:val="auto"/>
        </w:rPr>
        <w:t>As of September 30, 2018, NI Holdings had no material unrecognized tax benefits or accrued interest and penalties. Federal tax years 2013 through 2017 are open for examination.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0" w:name="page51"/>
    <w:bookmarkEnd w:id="50"/>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3" w:lineRule="exact"/>
        <w:rPr>
          <w:sz w:val="20"/>
          <w:szCs w:val="20"/>
          <w:color w:val="auto"/>
        </w:rPr>
      </w:pPr>
    </w:p>
    <w:p>
      <w:pPr>
        <w:ind w:right="180" w:firstLine="589"/>
        <w:spacing w:after="0" w:line="327" w:lineRule="auto"/>
        <w:rPr>
          <w:sz w:val="20"/>
          <w:szCs w:val="20"/>
          <w:color w:val="auto"/>
        </w:rPr>
      </w:pPr>
      <w:r>
        <w:rPr>
          <w:rFonts w:ascii="Arial" w:cs="Arial" w:eastAsia="Arial" w:hAnsi="Arial"/>
          <w:sz w:val="14"/>
          <w:szCs w:val="14"/>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90" w:lineRule="exact"/>
        <w:rPr>
          <w:sz w:val="20"/>
          <w:szCs w:val="20"/>
          <w:color w:val="auto"/>
        </w:rPr>
      </w:pPr>
    </w:p>
    <w:p>
      <w:pPr>
        <w:ind w:right="80" w:firstLine="589"/>
        <w:spacing w:after="0" w:line="282" w:lineRule="auto"/>
        <w:rPr>
          <w:sz w:val="20"/>
          <w:szCs w:val="20"/>
          <w:color w:val="auto"/>
        </w:rPr>
      </w:pPr>
      <w:r>
        <w:rPr>
          <w:rFonts w:ascii="Arial" w:cs="Arial" w:eastAsia="Arial" w:hAnsi="Arial"/>
          <w:sz w:val="15"/>
          <w:szCs w:val="15"/>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in a “firming” phase in response to higher frequency and severity of weather-related events in our markets as well as the rest of the world.</w:t>
      </w:r>
    </w:p>
    <w:p>
      <w:pPr>
        <w:spacing w:after="0" w:line="133" w:lineRule="exact"/>
        <w:rPr>
          <w:sz w:val="20"/>
          <w:szCs w:val="20"/>
          <w:color w:val="auto"/>
        </w:rPr>
      </w:pPr>
    </w:p>
    <w:p>
      <w:pPr>
        <w:ind w:right="60" w:firstLine="589"/>
        <w:spacing w:after="0" w:line="266" w:lineRule="auto"/>
        <w:rPr>
          <w:sz w:val="20"/>
          <w:szCs w:val="20"/>
          <w:color w:val="auto"/>
        </w:rPr>
      </w:pPr>
      <w:r>
        <w:rPr>
          <w:rFonts w:ascii="Arial" w:cs="Arial" w:eastAsia="Arial" w:hAnsi="Arial"/>
          <w:sz w:val="16"/>
          <w:szCs w:val="16"/>
          <w:color w:val="auto"/>
        </w:rPr>
        <w:t>Premiums in the multi-peril crop insurance business are primarily influenced by the number of acres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Premiums in the crop hail insurance business are also generally written in second quarter, but earned over a shorter period of risk than multi-peril crop insurance.</w:t>
      </w:r>
    </w:p>
    <w:p>
      <w:pPr>
        <w:spacing w:after="0" w:line="183" w:lineRule="exact"/>
        <w:rPr>
          <w:sz w:val="20"/>
          <w:szCs w:val="20"/>
          <w:color w:val="auto"/>
        </w:rPr>
      </w:pPr>
    </w:p>
    <w:p>
      <w:pPr>
        <w:jc w:val="both"/>
        <w:ind w:right="260" w:firstLine="589"/>
        <w:spacing w:after="0" w:line="271" w:lineRule="auto"/>
        <w:rPr>
          <w:sz w:val="20"/>
          <w:szCs w:val="20"/>
          <w:color w:val="auto"/>
        </w:rPr>
      </w:pPr>
      <w:r>
        <w:rPr>
          <w:rFonts w:ascii="Arial" w:cs="Arial" w:eastAsia="Arial" w:hAnsi="Arial"/>
          <w:sz w:val="16"/>
          <w:szCs w:val="16"/>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137" w:lineRule="exact"/>
        <w:rPr>
          <w:sz w:val="20"/>
          <w:szCs w:val="20"/>
          <w:color w:val="auto"/>
        </w:rPr>
      </w:pPr>
    </w:p>
    <w:p>
      <w:pPr>
        <w:ind w:right="220" w:firstLine="589"/>
        <w:spacing w:after="0" w:line="286" w:lineRule="auto"/>
        <w:rPr>
          <w:sz w:val="20"/>
          <w:szCs w:val="20"/>
          <w:color w:val="auto"/>
        </w:rPr>
      </w:pPr>
      <w:r>
        <w:rPr>
          <w:rFonts w:ascii="Arial" w:cs="Arial" w:eastAsia="Arial" w:hAnsi="Arial"/>
          <w:sz w:val="16"/>
          <w:szCs w:val="16"/>
          <w:color w:val="auto"/>
        </w:rPr>
        <w:t>For more information on the Company’s results of operations by segment, see Note 21 to the Unaudited Consolidated Financial Statements, included elsewhere in this Report.</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September 30, 2018 and 2017</w:t>
      </w:r>
    </w:p>
    <w:p>
      <w:pPr>
        <w:spacing w:after="0" w:line="172" w:lineRule="exact"/>
        <w:rPr>
          <w:sz w:val="20"/>
          <w:szCs w:val="20"/>
          <w:color w:val="auto"/>
        </w:rPr>
      </w:pPr>
    </w:p>
    <w:p>
      <w:pPr>
        <w:ind w:right="300" w:firstLine="589"/>
        <w:spacing w:after="0" w:line="286" w:lineRule="auto"/>
        <w:rPr>
          <w:sz w:val="20"/>
          <w:szCs w:val="20"/>
          <w:color w:val="auto"/>
        </w:rPr>
      </w:pPr>
      <w:r>
        <w:rPr>
          <w:rFonts w:ascii="Arial" w:cs="Arial" w:eastAsia="Arial" w:hAnsi="Arial"/>
          <w:sz w:val="16"/>
          <w:szCs w:val="16"/>
          <w:color w:val="auto"/>
        </w:rPr>
        <w:t>The consolidated net income for NI Holdings was $9,877 for the three months ended September 30, 2018 compared to a net loss of $2,693 a year ago. The major components of NI Holdings’ operating revenues and net income for the two periods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3840" w:type="dxa"/>
            <w:vAlign w:val="bottom"/>
            <w:gridSpan w:val="9"/>
          </w:tcPr>
          <w:p>
            <w:pPr>
              <w:ind w:left="1240"/>
              <w:spacing w:after="0"/>
              <w:rPr>
                <w:sz w:val="20"/>
                <w:szCs w:val="20"/>
                <w:color w:val="auto"/>
              </w:rPr>
            </w:pPr>
            <w:r>
              <w:rPr>
                <w:rFonts w:ascii="Arial" w:cs="Arial" w:eastAsia="Arial" w:hAnsi="Arial"/>
                <w:sz w:val="16"/>
                <w:szCs w:val="16"/>
                <w:b w:val="1"/>
                <w:bCs w:val="1"/>
                <w:color w:val="auto"/>
                <w:w w:val="94"/>
              </w:rPr>
              <w:t>Three Months Ended September 30,</w:t>
            </w:r>
          </w:p>
        </w:tc>
      </w:tr>
      <w:tr>
        <w:trPr>
          <w:trHeight w:val="201"/>
        </w:trPr>
        <w:tc>
          <w:tcPr>
            <w:tcW w:w="75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Net premiums earned</w:t>
            </w:r>
          </w:p>
        </w:tc>
        <w:tc>
          <w:tcPr>
            <w:tcW w:w="148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54,136</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52,525</w:t>
            </w:r>
          </w:p>
        </w:tc>
        <w:tc>
          <w:tcPr>
            <w:tcW w:w="80" w:type="dxa"/>
            <w:vAlign w:val="bottom"/>
          </w:tcPr>
          <w:p>
            <w:pPr>
              <w:spacing w:after="0"/>
              <w:rPr>
                <w:sz w:val="17"/>
                <w:szCs w:val="17"/>
                <w:color w:val="auto"/>
              </w:rPr>
            </w:pPr>
          </w:p>
        </w:tc>
      </w:tr>
      <w:tr>
        <w:trPr>
          <w:trHeight w:val="196"/>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 and other income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shd w:val="clear" w:color="auto" w:fill="CCEEFF"/>
          </w:tcPr>
          <w:p>
            <w:pPr>
              <w:spacing w:after="0"/>
              <w:rPr>
                <w:sz w:val="17"/>
                <w:szCs w:val="17"/>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1,404</w:t>
            </w:r>
          </w:p>
        </w:tc>
        <w:tc>
          <w:tcPr>
            <w:tcW w:w="80" w:type="dxa"/>
            <w:vAlign w:val="bottom"/>
          </w:tcPr>
          <w:p>
            <w:pPr>
              <w:spacing w:after="0"/>
              <w:rPr>
                <w:sz w:val="17"/>
                <w:szCs w:val="17"/>
                <w:color w:val="auto"/>
              </w:rPr>
            </w:pPr>
          </w:p>
        </w:tc>
      </w:tr>
      <w:tr>
        <w:trPr>
          <w:trHeight w:val="20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realized capital gain on investments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80" w:type="dxa"/>
            <w:vAlign w:val="bottom"/>
            <w:shd w:val="clear" w:color="auto" w:fill="CCEEFF"/>
          </w:tcPr>
          <w:p>
            <w:pPr>
              <w:spacing w:after="0"/>
              <w:rPr>
                <w:sz w:val="18"/>
                <w:szCs w:val="18"/>
                <w:color w:val="auto"/>
              </w:rPr>
            </w:pPr>
          </w:p>
        </w:tc>
      </w:tr>
      <w:tr>
        <w:trPr>
          <w:trHeight w:val="189"/>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revenues</w:t>
            </w:r>
          </w:p>
        </w:tc>
        <w:tc>
          <w:tcPr>
            <w:tcW w:w="1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64,100</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56,566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9"/>
        </w:trPr>
        <w:tc>
          <w:tcPr>
            <w:tcW w:w="75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6"/>
                <w:szCs w:val="16"/>
                <w:color w:val="auto"/>
              </w:rPr>
              <w:t>Components of net income: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premiums earned</w:t>
            </w: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54,136</w:t>
            </w: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52,525</w:t>
            </w:r>
          </w:p>
        </w:tc>
        <w:tc>
          <w:tcPr>
            <w:tcW w:w="80" w:type="dxa"/>
            <w:vAlign w:val="bottom"/>
            <w:shd w:val="clear" w:color="auto" w:fill="CCEEFF"/>
          </w:tcPr>
          <w:p>
            <w:pPr>
              <w:spacing w:after="0"/>
              <w:rPr>
                <w:sz w:val="17"/>
                <w:szCs w:val="17"/>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Losses and loss adjustment expenses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37,456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49,599</w:t>
            </w:r>
          </w:p>
        </w:tc>
        <w:tc>
          <w:tcPr>
            <w:tcW w:w="80" w:type="dxa"/>
            <w:vAlign w:val="bottom"/>
          </w:tcPr>
          <w:p>
            <w:pPr>
              <w:spacing w:after="0"/>
              <w:rPr>
                <w:sz w:val="17"/>
                <w:szCs w:val="17"/>
                <w:color w:val="auto"/>
              </w:rPr>
            </w:pPr>
          </w:p>
        </w:tc>
      </w:tr>
      <w:tr>
        <w:trPr>
          <w:trHeight w:val="20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deferred policy acquisition costs and other underwriting and general expenses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14,738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10,092</w:t>
            </w:r>
          </w:p>
        </w:tc>
        <w:tc>
          <w:tcPr>
            <w:tcW w:w="80" w:type="dxa"/>
            <w:vAlign w:val="bottom"/>
            <w:shd w:val="clear" w:color="auto" w:fill="CCEEFF"/>
          </w:tcPr>
          <w:p>
            <w:pPr>
              <w:spacing w:after="0"/>
              <w:rPr>
                <w:sz w:val="18"/>
                <w:szCs w:val="18"/>
                <w:color w:val="auto"/>
              </w:rPr>
            </w:pPr>
          </w:p>
        </w:tc>
      </w:tr>
      <w:tr>
        <w:trPr>
          <w:trHeight w:val="189"/>
        </w:trPr>
        <w:tc>
          <w:tcPr>
            <w:tcW w:w="7580" w:type="dxa"/>
            <w:vAlign w:val="bottom"/>
          </w:tcPr>
          <w:p>
            <w:pPr>
              <w:ind w:left="360"/>
              <w:spacing w:after="0"/>
              <w:rPr>
                <w:sz w:val="20"/>
                <w:szCs w:val="20"/>
                <w:color w:val="auto"/>
              </w:rPr>
            </w:pPr>
            <w:r>
              <w:rPr>
                <w:rFonts w:ascii="Arial" w:cs="Arial" w:eastAsia="Arial" w:hAnsi="Arial"/>
                <w:sz w:val="16"/>
                <w:szCs w:val="16"/>
                <w:color w:val="auto"/>
              </w:rPr>
              <w:t>Underwriting income (loss)</w:t>
            </w:r>
          </w:p>
        </w:tc>
        <w:tc>
          <w:tcPr>
            <w:tcW w:w="1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1,942</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(7,166)</w:t>
            </w:r>
          </w:p>
        </w:tc>
        <w:tc>
          <w:tcPr>
            <w:tcW w:w="100" w:type="dxa"/>
            <w:vAlign w:val="bottom"/>
            <w:gridSpan w:val="2"/>
          </w:tcPr>
          <w:p>
            <w:pPr>
              <w:spacing w:after="0"/>
              <w:rPr>
                <w:sz w:val="16"/>
                <w:szCs w:val="16"/>
                <w:color w:val="auto"/>
              </w:rPr>
            </w:pPr>
          </w:p>
        </w:tc>
      </w:tr>
      <w:tr>
        <w:trPr>
          <w:trHeight w:val="196"/>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 and other income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shd w:val="clear" w:color="auto" w:fill="CCEEFF"/>
          </w:tcPr>
          <w:p>
            <w:pPr>
              <w:spacing w:after="0"/>
              <w:rPr>
                <w:sz w:val="17"/>
                <w:szCs w:val="17"/>
                <w:color w:val="auto"/>
              </w:rPr>
            </w:pPr>
          </w:p>
        </w:tc>
      </w:tr>
      <w:tr>
        <w:trPr>
          <w:trHeight w:val="196"/>
        </w:trPr>
        <w:tc>
          <w:tcPr>
            <w:tcW w:w="758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1,404</w:t>
            </w:r>
          </w:p>
        </w:tc>
        <w:tc>
          <w:tcPr>
            <w:tcW w:w="80" w:type="dxa"/>
            <w:vAlign w:val="bottom"/>
          </w:tcPr>
          <w:p>
            <w:pPr>
              <w:spacing w:after="0"/>
              <w:rPr>
                <w:sz w:val="17"/>
                <w:szCs w:val="17"/>
                <w:color w:val="auto"/>
              </w:rPr>
            </w:pPr>
          </w:p>
        </w:tc>
      </w:tr>
      <w:tr>
        <w:trPr>
          <w:trHeight w:val="20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realized capital gain on investments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3,160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80" w:type="dxa"/>
            <w:vAlign w:val="bottom"/>
            <w:shd w:val="clear" w:color="auto" w:fill="CCEEFF"/>
          </w:tcPr>
          <w:p>
            <w:pPr>
              <w:spacing w:after="0"/>
              <w:rPr>
                <w:sz w:val="18"/>
                <w:szCs w:val="18"/>
                <w:color w:val="auto"/>
              </w:rPr>
            </w:pPr>
          </w:p>
        </w:tc>
      </w:tr>
      <w:tr>
        <w:trPr>
          <w:trHeight w:val="189"/>
        </w:trPr>
        <w:tc>
          <w:tcPr>
            <w:tcW w:w="7580" w:type="dxa"/>
            <w:vAlign w:val="bottom"/>
          </w:tcPr>
          <w:p>
            <w:pPr>
              <w:ind w:left="360"/>
              <w:spacing w:after="0"/>
              <w:rPr>
                <w:sz w:val="20"/>
                <w:szCs w:val="20"/>
                <w:color w:val="auto"/>
              </w:rPr>
            </w:pPr>
            <w:r>
              <w:rPr>
                <w:rFonts w:ascii="Arial" w:cs="Arial" w:eastAsia="Arial" w:hAnsi="Arial"/>
                <w:sz w:val="16"/>
                <w:szCs w:val="16"/>
                <w:color w:val="auto"/>
              </w:rPr>
              <w:t>Income (loss) before income taxes</w:t>
            </w:r>
          </w:p>
        </w:tc>
        <w:tc>
          <w:tcPr>
            <w:tcW w:w="1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11,906</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100" w:type="dxa"/>
            <w:vAlign w:val="bottom"/>
            <w:gridSpan w:val="2"/>
          </w:tcPr>
          <w:p>
            <w:pPr>
              <w:spacing w:after="0"/>
              <w:rPr>
                <w:sz w:val="16"/>
                <w:szCs w:val="16"/>
                <w:color w:val="auto"/>
              </w:rPr>
            </w:pPr>
          </w:p>
        </w:tc>
      </w:tr>
      <w:tr>
        <w:trPr>
          <w:trHeight w:val="209"/>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(benefit)</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(432)</w:t>
            </w:r>
          </w:p>
        </w:tc>
      </w:tr>
      <w:tr>
        <w:trPr>
          <w:trHeight w:val="200"/>
        </w:trPr>
        <w:tc>
          <w:tcPr>
            <w:tcW w:w="758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1240" w:type="dxa"/>
            <w:vAlign w:val="bottom"/>
          </w:tcPr>
          <w:p>
            <w:pPr>
              <w:spacing w:after="0"/>
              <w:rPr>
                <w:sz w:val="17"/>
                <w:szCs w:val="17"/>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1" w:name="page52"/>
    <w:bookmarkEnd w:id="51"/>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Premiums Earned</w:t>
      </w:r>
    </w:p>
    <w:p>
      <w:pPr>
        <w:spacing w:after="0" w:line="209" w:lineRule="exact"/>
        <w:rPr>
          <w:sz w:val="20"/>
          <w:szCs w:val="20"/>
          <w:color w:val="auto"/>
        </w:rPr>
      </w:pPr>
    </w:p>
    <w:p>
      <w:pPr>
        <w:ind w:right="400" w:firstLine="589"/>
        <w:spacing w:after="0" w:line="286" w:lineRule="auto"/>
        <w:rPr>
          <w:sz w:val="20"/>
          <w:szCs w:val="20"/>
          <w:color w:val="auto"/>
        </w:rPr>
      </w:pPr>
      <w:r>
        <w:rPr>
          <w:rFonts w:ascii="Arial" w:cs="Arial" w:eastAsia="Arial" w:hAnsi="Arial"/>
          <w:sz w:val="16"/>
          <w:szCs w:val="16"/>
          <w:color w:val="auto"/>
        </w:rPr>
        <w:t>NI Holdings’ net premiums earned for the three months ended September 30, 2018 increased 3.1% to $54,136 compared to $52,525 for the three months ended September 30,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4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r>
      <w:tr>
        <w:trPr>
          <w:trHeight w:val="201"/>
        </w:trPr>
        <w:tc>
          <w:tcPr>
            <w:tcW w:w="534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3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Private passenger auto</w:t>
            </w:r>
          </w:p>
        </w:tc>
        <w:tc>
          <w:tcPr>
            <w:tcW w:w="40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15,892</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14,275</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3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7,052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2,663</w:t>
            </w: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Home and farm</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16,237</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14,909</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3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11,960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17,756</w:t>
            </w:r>
          </w:p>
        </w:tc>
      </w:tr>
      <w:tr>
        <w:trPr>
          <w:trHeight w:val="208"/>
        </w:trPr>
        <w:tc>
          <w:tcPr>
            <w:tcW w:w="5340" w:type="dxa"/>
            <w:vAlign w:val="bottom"/>
          </w:tcPr>
          <w:p>
            <w:pPr>
              <w:ind w:left="180"/>
              <w:spacing w:after="0"/>
              <w:rPr>
                <w:sz w:val="20"/>
                <w:szCs w:val="20"/>
                <w:color w:val="auto"/>
              </w:rPr>
            </w:pPr>
            <w:r>
              <w:rPr>
                <w:rFonts w:ascii="Arial" w:cs="Arial" w:eastAsia="Arial" w:hAnsi="Arial"/>
                <w:sz w:val="16"/>
                <w:szCs w:val="16"/>
                <w:color w:val="auto"/>
              </w:rPr>
              <w:t>All other</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2,995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2,922</w:t>
            </w:r>
          </w:p>
        </w:tc>
      </w:tr>
      <w:tr>
        <w:trPr>
          <w:trHeight w:val="201"/>
        </w:trPr>
        <w:tc>
          <w:tcPr>
            <w:tcW w:w="5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premiums earned</w:t>
            </w:r>
          </w:p>
        </w:tc>
        <w:tc>
          <w:tcPr>
            <w:tcW w:w="32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54,136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2"/>
              </w:rPr>
              <w:t>Three Months Ended September 30,</w:t>
            </w:r>
          </w:p>
        </w:tc>
      </w:tr>
      <w:tr>
        <w:trPr>
          <w:trHeight w:val="201"/>
        </w:trPr>
        <w:tc>
          <w:tcPr>
            <w:tcW w:w="534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3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Direct premium</w:t>
            </w:r>
          </w:p>
        </w:tc>
        <w:tc>
          <w:tcPr>
            <w:tcW w:w="3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63,737</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57,979</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Assumed premium</w:t>
            </w:r>
          </w:p>
        </w:tc>
        <w:tc>
          <w:tcPr>
            <w:tcW w:w="3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1,084</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1,190</w:t>
            </w:r>
          </w:p>
        </w:tc>
      </w:tr>
      <w:tr>
        <w:trPr>
          <w:trHeight w:val="208"/>
        </w:trPr>
        <w:tc>
          <w:tcPr>
            <w:tcW w:w="5340" w:type="dxa"/>
            <w:vAlign w:val="bottom"/>
          </w:tcPr>
          <w:p>
            <w:pPr>
              <w:ind w:left="180"/>
              <w:spacing w:after="0"/>
              <w:rPr>
                <w:sz w:val="20"/>
                <w:szCs w:val="20"/>
                <w:color w:val="auto"/>
              </w:rPr>
            </w:pPr>
            <w:r>
              <w:rPr>
                <w:rFonts w:ascii="Arial" w:cs="Arial" w:eastAsia="Arial" w:hAnsi="Arial"/>
                <w:sz w:val="16"/>
                <w:szCs w:val="16"/>
                <w:color w:val="auto"/>
              </w:rPr>
              <w:t>Ceded premium</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(10,685)</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(6,644)</w:t>
            </w:r>
          </w:p>
        </w:tc>
      </w:tr>
      <w:tr>
        <w:trPr>
          <w:trHeight w:val="201"/>
        </w:trPr>
        <w:tc>
          <w:tcPr>
            <w:tcW w:w="5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premiums earned</w:t>
            </w:r>
          </w:p>
        </w:tc>
        <w:tc>
          <w:tcPr>
            <w:tcW w:w="3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54,136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right="40" w:firstLine="589"/>
        <w:spacing w:after="0" w:line="263" w:lineRule="auto"/>
        <w:rPr>
          <w:sz w:val="20"/>
          <w:szCs w:val="20"/>
          <w:color w:val="auto"/>
        </w:rPr>
      </w:pPr>
      <w:r>
        <w:rPr>
          <w:rFonts w:ascii="Arial" w:cs="Arial" w:eastAsia="Arial" w:hAnsi="Arial"/>
          <w:sz w:val="16"/>
          <w:szCs w:val="16"/>
          <w:color w:val="auto"/>
        </w:rPr>
        <w:t>Direct premiums earned for the third quarter of 2018 increased $5,758, or 9.9%, to $63,737 from $57,979 for the third quarter of 2017. Assumed premiums earned decreased slightly. Ceded premiums earned were $4,041 more in the third quarter of 2018 compared to 2017, due to the improved loss experience of our multi-peril crop business, which resulted in increased ceding of 2018 premiums back to the Federal Crop Insurance Corporation (“FCIC”) under the gain-sharing provision of the federal crop insurance program. The addition of the Direct Auto non-standard auto business contributed $3,591 in direct premiums earned during the three months ended September 30, 2018.</w:t>
      </w:r>
    </w:p>
    <w:p>
      <w:pPr>
        <w:spacing w:after="0" w:line="145"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Our personal lines of business (private passenger auto, home and farm) continued to grow outside of North Dakota. Our non-standard auto business grew year-over-year due to rate increases in Nevada and the acquisition of Direct Auto.</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Losses and LAE</w:t>
      </w:r>
    </w:p>
    <w:p>
      <w:pPr>
        <w:spacing w:after="0" w:line="172" w:lineRule="exact"/>
        <w:rPr>
          <w:sz w:val="20"/>
          <w:szCs w:val="20"/>
          <w:color w:val="auto"/>
        </w:rPr>
      </w:pPr>
    </w:p>
    <w:p>
      <w:pPr>
        <w:ind w:right="400" w:firstLine="589"/>
        <w:spacing w:after="0" w:line="286" w:lineRule="auto"/>
        <w:rPr>
          <w:sz w:val="20"/>
          <w:szCs w:val="20"/>
          <w:color w:val="auto"/>
        </w:rPr>
      </w:pPr>
      <w:r>
        <w:rPr>
          <w:rFonts w:ascii="Arial" w:cs="Arial" w:eastAsia="Arial" w:hAnsi="Arial"/>
          <w:sz w:val="16"/>
          <w:szCs w:val="16"/>
          <w:color w:val="auto"/>
        </w:rPr>
        <w:t>NI Holdings’ net losses and LAE for the three months ended September 30, 2018 decreased 24.5% to $37,456 compared to $49,599 for the three months ended September 30, 2017. The Company’s loss and LAE ratio decreased to 69.2% for 2018, compared to 94.4% for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2840" w:type="dxa"/>
            <w:vAlign w:val="bottom"/>
            <w:gridSpan w:val="4"/>
          </w:tcPr>
          <w:p>
            <w:pPr>
              <w:ind w:left="100"/>
              <w:spacing w:after="0"/>
              <w:rPr>
                <w:sz w:val="20"/>
                <w:szCs w:val="20"/>
                <w:color w:val="auto"/>
              </w:rPr>
            </w:pPr>
            <w:r>
              <w:rPr>
                <w:rFonts w:ascii="Arial" w:cs="Arial" w:eastAsia="Arial" w:hAnsi="Arial"/>
                <w:sz w:val="16"/>
                <w:szCs w:val="16"/>
                <w:b w:val="1"/>
                <w:bCs w:val="1"/>
                <w:color w:val="auto"/>
                <w:w w:val="99"/>
              </w:rPr>
              <w:t>Three Months Ended September 30,</w:t>
            </w:r>
          </w:p>
        </w:tc>
      </w:tr>
      <w:tr>
        <w:trPr>
          <w:trHeight w:val="201"/>
        </w:trPr>
        <w:tc>
          <w:tcPr>
            <w:tcW w:w="858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Loss and LAE ratio:</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8580" w:type="dxa"/>
            <w:vAlign w:val="bottom"/>
          </w:tcPr>
          <w:p>
            <w:pPr>
              <w:ind w:left="180"/>
              <w:spacing w:after="0"/>
              <w:rPr>
                <w:sz w:val="20"/>
                <w:szCs w:val="20"/>
                <w:color w:val="auto"/>
              </w:rPr>
            </w:pPr>
            <w:r>
              <w:rPr>
                <w:rFonts w:ascii="Arial" w:cs="Arial" w:eastAsia="Arial" w:hAnsi="Arial"/>
                <w:sz w:val="16"/>
                <w:szCs w:val="16"/>
                <w:color w:val="auto"/>
              </w:rPr>
              <w:t>Private passenger auto</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74.9%</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73.4%</w:t>
            </w:r>
          </w:p>
        </w:tc>
      </w:tr>
      <w:tr>
        <w:trPr>
          <w:trHeight w:val="196"/>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58.7%</w:t>
            </w:r>
          </w:p>
        </w:tc>
      </w:tr>
      <w:tr>
        <w:trPr>
          <w:trHeight w:val="196"/>
        </w:trPr>
        <w:tc>
          <w:tcPr>
            <w:tcW w:w="8580" w:type="dxa"/>
            <w:vAlign w:val="bottom"/>
          </w:tcPr>
          <w:p>
            <w:pPr>
              <w:ind w:left="180"/>
              <w:spacing w:after="0"/>
              <w:rPr>
                <w:sz w:val="20"/>
                <w:szCs w:val="20"/>
                <w:color w:val="auto"/>
              </w:rPr>
            </w:pPr>
            <w:r>
              <w:rPr>
                <w:rFonts w:ascii="Arial" w:cs="Arial" w:eastAsia="Arial" w:hAnsi="Arial"/>
                <w:sz w:val="16"/>
                <w:szCs w:val="16"/>
                <w:color w:val="auto"/>
              </w:rPr>
              <w:t>Home and farm</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100.8%</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101.1%</w:t>
            </w:r>
          </w:p>
        </w:tc>
      </w:tr>
      <w:tr>
        <w:trPr>
          <w:trHeight w:val="196"/>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102.6%</w:t>
            </w:r>
          </w:p>
        </w:tc>
      </w:tr>
      <w:tr>
        <w:trPr>
          <w:trHeight w:val="208"/>
        </w:trPr>
        <w:tc>
          <w:tcPr>
            <w:tcW w:w="8580" w:type="dxa"/>
            <w:vAlign w:val="bottom"/>
          </w:tcPr>
          <w:p>
            <w:pPr>
              <w:ind w:left="180"/>
              <w:spacing w:after="0"/>
              <w:rPr>
                <w:sz w:val="20"/>
                <w:szCs w:val="20"/>
                <w:color w:val="auto"/>
              </w:rPr>
            </w:pPr>
            <w:r>
              <w:rPr>
                <w:rFonts w:ascii="Arial" w:cs="Arial" w:eastAsia="Arial" w:hAnsi="Arial"/>
                <w:sz w:val="16"/>
                <w:szCs w:val="16"/>
                <w:color w:val="auto"/>
              </w:rPr>
              <w:t>All other</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42.7%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146.5%</w:t>
            </w:r>
          </w:p>
        </w:tc>
      </w:tr>
      <w:tr>
        <w:trPr>
          <w:trHeight w:val="201"/>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loss and LAE ratio</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right="60" w:firstLine="589"/>
        <w:spacing w:after="0" w:line="271" w:lineRule="auto"/>
        <w:rPr>
          <w:sz w:val="20"/>
          <w:szCs w:val="20"/>
          <w:color w:val="auto"/>
        </w:rPr>
      </w:pPr>
      <w:r>
        <w:rPr>
          <w:rFonts w:ascii="Arial" w:cs="Arial" w:eastAsia="Arial" w:hAnsi="Arial"/>
          <w:sz w:val="16"/>
          <w:szCs w:val="16"/>
          <w:color w:val="auto"/>
        </w:rPr>
        <w:t>The Company’s overall loss and LAE experience improved considerably year-over-year, due primarily to favorable experience in the crop business. Conditions have been favorable during the 2018 growing season, although early snows and cold temperatures may have an adverse impact through the harvest. A year ago, early season drought conditions in western North Dakota resulted in higher loss ratio expectations as of the third quarter.</w:t>
      </w:r>
    </w:p>
    <w:p>
      <w:pPr>
        <w:spacing w:after="0" w:line="125" w:lineRule="exact"/>
        <w:rPr>
          <w:sz w:val="20"/>
          <w:szCs w:val="20"/>
          <w:color w:val="auto"/>
        </w:rPr>
      </w:pPr>
    </w:p>
    <w:p>
      <w:pPr>
        <w:ind w:right="240" w:firstLine="589"/>
        <w:spacing w:after="0" w:line="271" w:lineRule="auto"/>
        <w:rPr>
          <w:sz w:val="20"/>
          <w:szCs w:val="20"/>
          <w:color w:val="auto"/>
        </w:rPr>
      </w:pPr>
      <w:r>
        <w:rPr>
          <w:rFonts w:ascii="Arial" w:cs="Arial" w:eastAsia="Arial" w:hAnsi="Arial"/>
          <w:sz w:val="16"/>
          <w:szCs w:val="16"/>
          <w:color w:val="auto"/>
        </w:rPr>
        <w:t>Net losses for private passenger auto, as well as home and farm, were typical for third quarter and fairly level from a year ago. Net losses for non-standard auto increased slightly to normal levels after a favorable third quarter in 2017. Net losses for our commercial and assumed reinsurance business decreased to normal levels after unfavorable results a year ago.</w:t>
      </w:r>
    </w:p>
    <w:p>
      <w:pPr>
        <w:spacing w:after="0" w:line="125" w:lineRule="exact"/>
        <w:rPr>
          <w:sz w:val="20"/>
          <w:szCs w:val="20"/>
          <w:color w:val="auto"/>
        </w:rPr>
      </w:pPr>
    </w:p>
    <w:p>
      <w:pPr>
        <w:ind w:right="240" w:firstLine="589"/>
        <w:spacing w:after="0" w:line="266" w:lineRule="auto"/>
        <w:rPr>
          <w:sz w:val="20"/>
          <w:szCs w:val="20"/>
          <w:color w:val="auto"/>
        </w:rPr>
      </w:pPr>
      <w:r>
        <w:rPr>
          <w:rFonts w:ascii="Arial" w:cs="Arial" w:eastAsia="Arial" w:hAnsi="Arial"/>
          <w:sz w:val="16"/>
          <w:szCs w:val="16"/>
          <w:color w:val="auto"/>
        </w:rPr>
        <w:t>NI Holdings realized favorable development on prior accident years of $2,583 in the third quarter of 2018, compared to $1,683 of favorable development on prior accident years realized in the third quarter of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ectPr>
          <w:pgSz w:w="11900" w:h="16838" w:orient="portrait"/>
          <w:cols w:equalWidth="0" w:num="1">
            <w:col w:w="11420"/>
          </w:cols>
          <w:pgMar w:left="240" w:top="218" w:right="239" w:bottom="1440" w:gutter="0" w:footer="0" w:header="0"/>
        </w:sectPr>
      </w:pP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25932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type w:val="continuous"/>
        </w:sectPr>
      </w:pPr>
    </w:p>
    <w:bookmarkStart w:id="52" w:name="page53"/>
    <w:bookmarkEnd w:id="52"/>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Amortization of Deferred Policy Acquisition Costs and Other Underwriting and General Expenses</w:t>
      </w:r>
    </w:p>
    <w:p>
      <w:pPr>
        <w:spacing w:after="0" w:line="172" w:lineRule="exact"/>
        <w:rPr>
          <w:sz w:val="20"/>
          <w:szCs w:val="20"/>
          <w:color w:val="auto"/>
        </w:rPr>
      </w:pPr>
    </w:p>
    <w:p>
      <w:pPr>
        <w:ind w:right="140" w:firstLine="589"/>
        <w:spacing w:after="0" w:line="289" w:lineRule="auto"/>
        <w:rPr>
          <w:sz w:val="20"/>
          <w:szCs w:val="20"/>
          <w:color w:val="auto"/>
        </w:rPr>
      </w:pPr>
      <w:r>
        <w:rPr>
          <w:rFonts w:ascii="Arial" w:cs="Arial" w:eastAsia="Arial" w:hAnsi="Arial"/>
          <w:sz w:val="15"/>
          <w:szCs w:val="15"/>
          <w:color w:val="auto"/>
        </w:rPr>
        <w:t>Total underwriting and general expenses, including amortization of deferred policy acquisition costs, increased 46.0% to $14,738 in third quarter 2018 compared to $10,092 in 2017. Underlying expenses were $6,622 higher in the three months ended September 30, 2018 compared to a year ago across various expense categories. Policy acquisition costs have increased due to higher written premiums. Employee costs have increased, due primarily to stock compensation costs. Consulting expenses have increased relating to technology and public company services. The new Direct Auto subsidiary contributed $2,518 of underlying expenses to the current quarter.</w:t>
      </w:r>
    </w:p>
    <w:p>
      <w:pPr>
        <w:spacing w:after="0" w:line="126" w:lineRule="exact"/>
        <w:rPr>
          <w:sz w:val="20"/>
          <w:szCs w:val="20"/>
          <w:color w:val="auto"/>
        </w:rPr>
      </w:pPr>
    </w:p>
    <w:p>
      <w:pPr>
        <w:ind w:right="100" w:firstLine="589"/>
        <w:spacing w:after="0" w:line="266" w:lineRule="auto"/>
        <w:rPr>
          <w:sz w:val="20"/>
          <w:szCs w:val="20"/>
          <w:color w:val="auto"/>
        </w:rPr>
      </w:pPr>
      <w:r>
        <w:rPr>
          <w:rFonts w:ascii="Arial" w:cs="Arial" w:eastAsia="Arial" w:hAnsi="Arial"/>
          <w:sz w:val="16"/>
          <w:szCs w:val="16"/>
          <w:color w:val="auto"/>
        </w:rPr>
        <w:t>Expense deferrals were $3,135 higher in third quarter 2018 compared to third quarter 2017 due to the increase in direct premiums written in 2018, whereas amortization of those costs was $1,159 higher in 2018 due also to the increase in direct premiums earned in 2018. The expense ratio of 27.2% for the three months ended September 30, 2018 was 8.0 percentage points higher than the expense ratio in the third quarter of 2017 due primarily to the increase in expenses and due partly to the higher ceding of crop premiums.</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Underwriting Gain (Loss)</w:t>
      </w:r>
    </w:p>
    <w:p>
      <w:pPr>
        <w:spacing w:after="0" w:line="172"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40" w:type="dxa"/>
            <w:vAlign w:val="bottom"/>
            <w:gridSpan w:val="6"/>
          </w:tcPr>
          <w:p>
            <w:pPr>
              <w:jc w:val="right"/>
              <w:ind w:right="118"/>
              <w:spacing w:after="0"/>
              <w:rPr>
                <w:sz w:val="20"/>
                <w:szCs w:val="20"/>
                <w:color w:val="auto"/>
              </w:rPr>
            </w:pPr>
            <w:r>
              <w:rPr>
                <w:rFonts w:ascii="Arial" w:cs="Arial" w:eastAsia="Arial" w:hAnsi="Arial"/>
                <w:sz w:val="16"/>
                <w:szCs w:val="16"/>
                <w:b w:val="1"/>
                <w:bCs w:val="1"/>
                <w:color w:val="auto"/>
                <w:w w:val="96"/>
              </w:rPr>
              <w:t>Three Months Ended September 30,</w:t>
            </w:r>
          </w:p>
        </w:tc>
      </w:tr>
      <w:tr>
        <w:trPr>
          <w:trHeight w:val="201"/>
        </w:trPr>
        <w:tc>
          <w:tcPr>
            <w:tcW w:w="544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Underwriting gain (loss):</w:t>
            </w:r>
          </w:p>
        </w:tc>
        <w:tc>
          <w:tcPr>
            <w:tcW w:w="3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Private passenger auto</w:t>
            </w:r>
          </w:p>
        </w:tc>
        <w:tc>
          <w:tcPr>
            <w:tcW w:w="39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(247)</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1,579</w:t>
            </w:r>
          </w:p>
        </w:tc>
      </w:tr>
      <w:tr>
        <w:trPr>
          <w:trHeight w:val="196"/>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3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361</w:t>
            </w:r>
          </w:p>
        </w:tc>
      </w:tr>
      <w:tr>
        <w:trPr>
          <w:trHeight w:val="196"/>
        </w:trPr>
        <w:tc>
          <w:tcPr>
            <w:tcW w:w="5440" w:type="dxa"/>
            <w:vAlign w:val="bottom"/>
          </w:tcPr>
          <w:p>
            <w:pPr>
              <w:ind w:left="180"/>
              <w:spacing w:after="0"/>
              <w:rPr>
                <w:sz w:val="20"/>
                <w:szCs w:val="20"/>
                <w:color w:val="auto"/>
              </w:rPr>
            </w:pPr>
            <w:r>
              <w:rPr>
                <w:rFonts w:ascii="Arial" w:cs="Arial" w:eastAsia="Arial" w:hAnsi="Arial"/>
                <w:sz w:val="16"/>
                <w:szCs w:val="16"/>
                <w:color w:val="auto"/>
              </w:rPr>
              <w:t>Home and farm</w:t>
            </w:r>
          </w:p>
        </w:tc>
        <w:tc>
          <w:tcPr>
            <w:tcW w:w="3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(4,811)</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(4,015)</w:t>
            </w:r>
          </w:p>
        </w:tc>
      </w:tr>
      <w:tr>
        <w:trPr>
          <w:trHeight w:val="196"/>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3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5,750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(3,239)</w:t>
            </w:r>
          </w:p>
        </w:tc>
      </w:tr>
      <w:tr>
        <w:trPr>
          <w:trHeight w:val="208"/>
        </w:trPr>
        <w:tc>
          <w:tcPr>
            <w:tcW w:w="5440" w:type="dxa"/>
            <w:vAlign w:val="bottom"/>
          </w:tcPr>
          <w:p>
            <w:pPr>
              <w:ind w:left="180"/>
              <w:spacing w:after="0"/>
              <w:rPr>
                <w:sz w:val="20"/>
                <w:szCs w:val="20"/>
                <w:color w:val="auto"/>
              </w:rPr>
            </w:pPr>
            <w:r>
              <w:rPr>
                <w:rFonts w:ascii="Arial" w:cs="Arial" w:eastAsia="Arial" w:hAnsi="Arial"/>
                <w:sz w:val="16"/>
                <w:szCs w:val="16"/>
                <w:color w:val="auto"/>
              </w:rPr>
              <w:t>All other</w:t>
            </w:r>
          </w:p>
        </w:tc>
        <w:tc>
          <w:tcPr>
            <w:tcW w:w="3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933</w:t>
            </w: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(1,852)</w:t>
            </w:r>
          </w:p>
        </w:tc>
      </w:tr>
      <w:tr>
        <w:trPr>
          <w:trHeight w:val="201"/>
        </w:trPr>
        <w:tc>
          <w:tcPr>
            <w:tcW w:w="5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underwriting gain (loss)</w:t>
            </w:r>
          </w:p>
        </w:tc>
        <w:tc>
          <w:tcPr>
            <w:tcW w:w="3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firstLine="589"/>
        <w:spacing w:after="0" w:line="262" w:lineRule="auto"/>
        <w:rPr>
          <w:sz w:val="20"/>
          <w:szCs w:val="20"/>
          <w:color w:val="auto"/>
        </w:rPr>
      </w:pPr>
      <w:r>
        <w:rPr>
          <w:rFonts w:ascii="Arial" w:cs="Arial" w:eastAsia="Arial" w:hAnsi="Arial"/>
          <w:sz w:val="16"/>
          <w:szCs w:val="16"/>
          <w:color w:val="auto"/>
        </w:rPr>
        <w:t>The underwriting results of the Company for the third quarter improved year-over-year, reflecting substantial loss experience improvement in the crop business and our all other segment. Private passenger auto had higher loss experience in the third quarter 2018 compared to 2017, while non-standard auto results were slightly lower. The underwriting loss on home and farm business increased due to higher loss experience, as a result of a wind storm during the last week of June 2018 that developed unfavorably during the third quarter as losses were reported. The losses were primarily farm-related. Our crop insurance business was significantly better net of reinsurance impacts without the severe drought conditions that impacted 2017. Our all other segment reported an underwriting gain in 2018 after an unfavorable third quarter 2017, as loss experience returned to normal levels in 2018.</w:t>
      </w:r>
    </w:p>
    <w:p>
      <w:pPr>
        <w:spacing w:after="0" w:line="132" w:lineRule="exact"/>
        <w:rPr>
          <w:sz w:val="20"/>
          <w:szCs w:val="20"/>
          <w:color w:val="auto"/>
        </w:rPr>
      </w:pPr>
    </w:p>
    <w:p>
      <w:pPr>
        <w:ind w:right="300" w:firstLine="589"/>
        <w:spacing w:after="0" w:line="322" w:lineRule="auto"/>
        <w:rPr>
          <w:sz w:val="20"/>
          <w:szCs w:val="20"/>
          <w:color w:val="auto"/>
        </w:rPr>
      </w:pPr>
      <w:r>
        <w:rPr>
          <w:rFonts w:ascii="Arial" w:cs="Arial" w:eastAsia="Arial" w:hAnsi="Arial"/>
          <w:sz w:val="15"/>
          <w:szCs w:val="15"/>
          <w:color w:val="auto"/>
        </w:rPr>
        <w:t>Fee income attributable to the non-standard auto segment is a key component in measuring its profitability. Fee income on this business increased to $343 for the three months ended September 30, 2018 from $276 for the three months ended September 30, 2017, due the growth in Primero’s non-standard auto business.</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53" w:name="page54"/>
    <w:bookmarkEnd w:id="5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Fee and Other Income</w:t>
      </w:r>
    </w:p>
    <w:p>
      <w:pPr>
        <w:spacing w:after="0" w:line="172" w:lineRule="exact"/>
        <w:rPr>
          <w:sz w:val="20"/>
          <w:szCs w:val="20"/>
          <w:color w:val="auto"/>
        </w:rPr>
      </w:pPr>
    </w:p>
    <w:p>
      <w:pPr>
        <w:jc w:val="both"/>
        <w:ind w:right="60" w:firstLine="589"/>
        <w:spacing w:after="0" w:line="271" w:lineRule="auto"/>
        <w:rPr>
          <w:sz w:val="20"/>
          <w:szCs w:val="20"/>
          <w:color w:val="auto"/>
        </w:rPr>
      </w:pPr>
      <w:r>
        <w:rPr>
          <w:rFonts w:ascii="Arial" w:cs="Arial" w:eastAsia="Arial" w:hAnsi="Arial"/>
          <w:sz w:val="16"/>
          <w:szCs w:val="16"/>
          <w:color w:val="auto"/>
        </w:rPr>
        <w:t>NI Holdings had fee and other income of $5,175 for the three months ended September 30, 2018, compared to $752 for the three months ended September 30, 2017. The majority of fee income is typically attributable to fees charged in Primero’s non-standard auto business. However, in the third quarter of 2018, the Company recognized a pre-tax gain of $4,578 as part of other income due to the bargain purchase of Direct Auto.</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Investment Income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 sets forth our average cash and invested assets, net investment income, and return on average cash and invested assets for the reported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r>
      <w:tr>
        <w:trPr>
          <w:trHeight w:val="201"/>
        </w:trPr>
        <w:tc>
          <w:tcPr>
            <w:tcW w:w="588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20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cash and invested assets</w:t>
            </w:r>
          </w:p>
        </w:tc>
        <w:tc>
          <w:tcPr>
            <w:tcW w:w="2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342,523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294,864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8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Gross investment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2,166</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1,877</w:t>
            </w:r>
          </w:p>
        </w:tc>
      </w:tr>
      <w:tr>
        <w:trPr>
          <w:trHeight w:val="208"/>
        </w:trPr>
        <w:tc>
          <w:tcPr>
            <w:tcW w:w="5880" w:type="dxa"/>
            <w:vAlign w:val="bottom"/>
          </w:tcPr>
          <w:p>
            <w:pPr>
              <w:spacing w:after="0"/>
              <w:rPr>
                <w:sz w:val="20"/>
                <w:szCs w:val="20"/>
                <w:color w:val="auto"/>
              </w:rPr>
            </w:pPr>
            <w:r>
              <w:rPr>
                <w:rFonts w:ascii="Arial" w:cs="Arial" w:eastAsia="Arial" w:hAnsi="Arial"/>
                <w:sz w:val="16"/>
                <w:szCs w:val="16"/>
                <w:color w:val="auto"/>
              </w:rPr>
              <w:t>Investment expenses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537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473</w:t>
            </w:r>
          </w:p>
        </w:tc>
      </w:tr>
      <w:tr>
        <w:trPr>
          <w:trHeight w:val="201"/>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27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8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Gross return on average cash and invested assets</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2.55%</w:t>
            </w:r>
          </w:p>
        </w:tc>
      </w:tr>
      <w:tr>
        <w:trPr>
          <w:trHeight w:val="208"/>
        </w:trPr>
        <w:tc>
          <w:tcPr>
            <w:tcW w:w="5880" w:type="dxa"/>
            <w:vAlign w:val="bottom"/>
          </w:tcPr>
          <w:p>
            <w:pPr>
              <w:spacing w:after="0"/>
              <w:rPr>
                <w:sz w:val="20"/>
                <w:szCs w:val="20"/>
                <w:color w:val="auto"/>
              </w:rPr>
            </w:pPr>
            <w:r>
              <w:rPr>
                <w:rFonts w:ascii="Arial" w:cs="Arial" w:eastAsia="Arial" w:hAnsi="Arial"/>
                <w:sz w:val="16"/>
                <w:szCs w:val="16"/>
                <w:color w:val="auto"/>
              </w:rPr>
              <w:t>Net return on average cash and invested assets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1.90%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1.90%</w:t>
            </w:r>
          </w:p>
        </w:tc>
      </w:tr>
    </w:tbl>
    <w:p>
      <w:pPr>
        <w:spacing w:after="0" w:line="344" w:lineRule="exact"/>
        <w:rPr>
          <w:sz w:val="20"/>
          <w:szCs w:val="20"/>
          <w:color w:val="auto"/>
        </w:rPr>
      </w:pPr>
    </w:p>
    <w:p>
      <w:pPr>
        <w:ind w:right="140" w:firstLine="589"/>
        <w:spacing w:after="0" w:line="266" w:lineRule="auto"/>
        <w:rPr>
          <w:sz w:val="20"/>
          <w:szCs w:val="20"/>
          <w:color w:val="auto"/>
        </w:rPr>
      </w:pPr>
      <w:r>
        <w:rPr>
          <w:rFonts w:ascii="Arial" w:cs="Arial" w:eastAsia="Arial" w:hAnsi="Arial"/>
          <w:sz w:val="16"/>
          <w:szCs w:val="16"/>
          <w:color w:val="auto"/>
        </w:rPr>
        <w:t>Investment income, net of investment expense, increased $225 for the three months ended September 30, 2018 compared to a year ago. This increase is attributable to the increase in invested assets. Cash and invested assets also increased a net $53,533 in September 2018 from the acquisition of Direct Auto. The majority of Direct Auto cash and invested assets was in short term cash and cash equivalents at the closing date. The weighted average gross yield on invested assets dropped slightly to 2.53% in 2018 from 2.55% in 2017.</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Realized Capital Gain on Investments</w:t>
      </w:r>
    </w:p>
    <w:p>
      <w:pPr>
        <w:spacing w:after="0" w:line="172" w:lineRule="exact"/>
        <w:rPr>
          <w:sz w:val="20"/>
          <w:szCs w:val="20"/>
          <w:color w:val="auto"/>
        </w:rPr>
      </w:pPr>
    </w:p>
    <w:p>
      <w:pPr>
        <w:ind w:right="440" w:firstLine="589"/>
        <w:spacing w:after="0" w:line="286" w:lineRule="auto"/>
        <w:rPr>
          <w:sz w:val="20"/>
          <w:szCs w:val="20"/>
          <w:color w:val="auto"/>
        </w:rPr>
      </w:pPr>
      <w:r>
        <w:rPr>
          <w:rFonts w:ascii="Arial" w:cs="Arial" w:eastAsia="Arial" w:hAnsi="Arial"/>
          <w:sz w:val="16"/>
          <w:szCs w:val="16"/>
          <w:color w:val="auto"/>
        </w:rPr>
        <w:t>NI Holdings had realized capital gains on investment of $3,160 for the three months ended September 30, 2018, compared to $1,885 a year ago. The Company recorded $382 and $124 of other-than-temporary impairments in the three months ended September 30, 2018 and 2017, respectively.</w:t>
      </w:r>
    </w:p>
    <w:p>
      <w:pPr>
        <w:spacing w:after="0" w:line="126"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The Company’s fixed income securities and equity securities are classified as available for sale because it will, from time to time, make sales of securities that are not impaired, consistent with our investment goals and policies. At September 30, 2018, the Company had net unrealized losses on fixed income securities of $3,889 and net unrealized gains on equity securities of $19,826. At December 31, 2017, the Company had net unrealized gains on fixed income securities of $1,780 and net unrealized gains on equity securities of $18,533. The decrease in the fair value of our fixed income securities is attributable to a general rise in the interest rate environment during the first nine months of 2018.</w:t>
      </w:r>
    </w:p>
    <w:p>
      <w:pPr>
        <w:spacing w:after="0" w:line="133" w:lineRule="exact"/>
        <w:rPr>
          <w:sz w:val="20"/>
          <w:szCs w:val="20"/>
          <w:color w:val="auto"/>
        </w:rPr>
      </w:pPr>
    </w:p>
    <w:p>
      <w:pPr>
        <w:ind w:right="80" w:firstLine="589"/>
        <w:spacing w:after="0" w:line="271"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the Company will not recover the entire amortized cost basis.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Income before Income Taxes</w:t>
      </w:r>
    </w:p>
    <w:p>
      <w:pPr>
        <w:spacing w:after="0" w:line="184"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For the three months ended September 30, 2018, NI Holdings had pre-tax income of $11,906 compared to a pre-tax loss of $3,125 for the three months ended September 30, 2017. The increase in pre-tax income was largely attributable to favorable loss experience in our crop business and the gain realized on the bargain purchase of Direct Auto.</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Income Taxes</w:t>
      </w:r>
    </w:p>
    <w:p>
      <w:pPr>
        <w:spacing w:after="0" w:line="172" w:lineRule="exact"/>
        <w:rPr>
          <w:sz w:val="20"/>
          <w:szCs w:val="20"/>
          <w:color w:val="auto"/>
        </w:rPr>
      </w:pPr>
    </w:p>
    <w:p>
      <w:pPr>
        <w:ind w:right="200" w:firstLine="589"/>
        <w:spacing w:after="0" w:line="266" w:lineRule="auto"/>
        <w:rPr>
          <w:sz w:val="20"/>
          <w:szCs w:val="20"/>
          <w:color w:val="auto"/>
        </w:rPr>
      </w:pPr>
      <w:r>
        <w:rPr>
          <w:rFonts w:ascii="Arial" w:cs="Arial" w:eastAsia="Arial" w:hAnsi="Arial"/>
          <w:sz w:val="16"/>
          <w:szCs w:val="16"/>
          <w:color w:val="auto"/>
        </w:rPr>
        <w:t>NI Holdings recorded income tax expense of $2,029 for the three months ended September 30, 2018, compared to income tax benefit of $432 for the three months ended September 30, 2017. Our effective tax rate for the third quarter of 2018 was 17.0% compared to an effective tax rate of 13.8% for the third quarter of 2017. Third quarter 2017 included $568 of additional income tax expense (reducing the benefit) related to the handling of expenses associated with the Company’s mutual to stock conversion and initial public offering.</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54" w:name="page55"/>
    <w:bookmarkEnd w:id="5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firstLine="589"/>
        <w:spacing w:after="0" w:line="309" w:lineRule="auto"/>
        <w:rPr>
          <w:sz w:val="20"/>
          <w:szCs w:val="20"/>
          <w:color w:val="auto"/>
        </w:rPr>
      </w:pPr>
      <w:r>
        <w:rPr>
          <w:rFonts w:ascii="Arial" w:cs="Arial" w:eastAsia="Arial" w:hAnsi="Arial"/>
          <w:sz w:val="14"/>
          <w:szCs w:val="14"/>
          <w:color w:val="auto"/>
        </w:rPr>
        <w:t>Due to recent changes in federal tax laws, the corporate income tax rate decreased from a maximum of 35% in 2017 to a flat 21% for tax years 2018 and beyond. 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remained at $628 as of September 30, 2018, the same amount as December 31, 2017.</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Income</w:t>
      </w:r>
    </w:p>
    <w:p>
      <w:pPr>
        <w:spacing w:after="0" w:line="184"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For the three months ended September 30, 2018, NI Holdings had net income before non-controlling interest of $9,877 compared to a net loss before non-controlling interest of $2,693 for 2017. This increase in net income was primarily attributable to the favorable loss experience in our crop business and the gain realized on the bargain purchase of Direct Auto.</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Return on Average Equity</w:t>
      </w:r>
    </w:p>
    <w:p>
      <w:pPr>
        <w:spacing w:after="0" w:line="172" w:lineRule="exact"/>
        <w:rPr>
          <w:sz w:val="20"/>
          <w:szCs w:val="20"/>
          <w:color w:val="auto"/>
        </w:rPr>
      </w:pPr>
    </w:p>
    <w:p>
      <w:pPr>
        <w:ind w:right="440" w:firstLine="589"/>
        <w:spacing w:after="0" w:line="271" w:lineRule="auto"/>
        <w:rPr>
          <w:sz w:val="20"/>
          <w:szCs w:val="20"/>
          <w:color w:val="auto"/>
        </w:rPr>
      </w:pPr>
      <w:r>
        <w:rPr>
          <w:rFonts w:ascii="Arial" w:cs="Arial" w:eastAsia="Arial" w:hAnsi="Arial"/>
          <w:sz w:val="16"/>
          <w:szCs w:val="16"/>
          <w:color w:val="auto"/>
        </w:rPr>
        <w:t>For the three months ended September 30, 2018, NI Holdings had annualized return on average equity, after non-controlling interest, of 15.1% compared to annualized return on average equity, after non-controlling interest, of -4.6% for the three months ended September 30, 2017. Average equity is calculated as the average between beginning and ending equity excluding non-controlling interest for the period.</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5" w:name="page56"/>
    <w:bookmarkEnd w:id="55"/>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Nine Months ended September 30, 2018 and 2017</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consolidated net income for NI Holdings was $16,285 for the nine months ended September 30, 2018 compared to $2,173 a year ago. The major components of</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NI Holdings’ operating revenues and net income for the two periods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40" w:type="dxa"/>
            <w:vAlign w:val="bottom"/>
          </w:tcPr>
          <w:p>
            <w:pPr>
              <w:spacing w:after="0"/>
              <w:rPr>
                <w:sz w:val="18"/>
                <w:szCs w:val="18"/>
                <w:color w:val="auto"/>
              </w:rPr>
            </w:pPr>
          </w:p>
        </w:tc>
        <w:tc>
          <w:tcPr>
            <w:tcW w:w="2480" w:type="dxa"/>
            <w:vAlign w:val="bottom"/>
            <w:gridSpan w:val="7"/>
          </w:tcPr>
          <w:p>
            <w:pPr>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89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r>
      <w:tr>
        <w:trPr>
          <w:trHeight w:val="188"/>
        </w:trPr>
        <w:tc>
          <w:tcPr>
            <w:tcW w:w="8940" w:type="dxa"/>
            <w:vAlign w:val="bottom"/>
          </w:tcPr>
          <w:p>
            <w:pPr>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8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premiums earned</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140,925</w:t>
            </w:r>
          </w:p>
        </w:tc>
        <w:tc>
          <w:tcPr>
            <w:tcW w:w="34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130,987</w:t>
            </w:r>
          </w:p>
        </w:tc>
      </w:tr>
      <w:tr>
        <w:trPr>
          <w:trHeight w:val="196"/>
        </w:trPr>
        <w:tc>
          <w:tcPr>
            <w:tcW w:w="8940" w:type="dxa"/>
            <w:vAlign w:val="bottom"/>
          </w:tcPr>
          <w:p>
            <w:pPr>
              <w:ind w:left="180"/>
              <w:spacing w:after="0"/>
              <w:rPr>
                <w:sz w:val="20"/>
                <w:szCs w:val="20"/>
                <w:color w:val="auto"/>
              </w:rPr>
            </w:pPr>
            <w:r>
              <w:rPr>
                <w:rFonts w:ascii="Arial" w:cs="Arial" w:eastAsia="Arial" w:hAnsi="Arial"/>
                <w:sz w:val="16"/>
                <w:szCs w:val="16"/>
                <w:color w:val="auto"/>
              </w:rPr>
              <w:t>Fee and other income</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1,420</w:t>
            </w:r>
          </w:p>
        </w:tc>
      </w:tr>
      <w:tr>
        <w:trPr>
          <w:trHeight w:val="196"/>
        </w:trPr>
        <w:tc>
          <w:tcPr>
            <w:tcW w:w="8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3,706</w:t>
            </w:r>
          </w:p>
        </w:tc>
      </w:tr>
      <w:tr>
        <w:trPr>
          <w:trHeight w:val="208"/>
        </w:trPr>
        <w:tc>
          <w:tcPr>
            <w:tcW w:w="8940" w:type="dxa"/>
            <w:vAlign w:val="bottom"/>
          </w:tcPr>
          <w:p>
            <w:pPr>
              <w:ind w:left="180"/>
              <w:spacing w:after="0"/>
              <w:rPr>
                <w:sz w:val="20"/>
                <w:szCs w:val="20"/>
                <w:color w:val="auto"/>
              </w:rPr>
            </w:pPr>
            <w:r>
              <w:rPr>
                <w:rFonts w:ascii="Arial" w:cs="Arial" w:eastAsia="Arial" w:hAnsi="Arial"/>
                <w:sz w:val="16"/>
                <w:szCs w:val="16"/>
                <w:color w:val="auto"/>
              </w:rPr>
              <w:t>Net realized capital gain on investments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2,840</w:t>
            </w:r>
          </w:p>
        </w:tc>
      </w:tr>
      <w:tr>
        <w:trPr>
          <w:trHeight w:val="189"/>
        </w:trPr>
        <w:tc>
          <w:tcPr>
            <w:tcW w:w="8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155,347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138,953</w:t>
            </w:r>
          </w:p>
        </w:tc>
        <w:tc>
          <w:tcPr>
            <w:tcW w:w="100" w:type="dxa"/>
            <w:vAlign w:val="bottom"/>
            <w:tcBorders>
              <w:top w:val="single" w:sz="8" w:color="CCEEFF"/>
            </w:tcBorders>
            <w:shd w:val="clear" w:color="auto" w:fill="CCEEFF"/>
          </w:tcPr>
          <w:p>
            <w:pPr>
              <w:spacing w:after="0"/>
              <w:rPr>
                <w:sz w:val="16"/>
                <w:szCs w:val="16"/>
                <w:color w:val="auto"/>
              </w:rPr>
            </w:pPr>
          </w:p>
        </w:tc>
      </w:tr>
      <w:tr>
        <w:trPr>
          <w:trHeight w:val="189"/>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8940" w:type="dxa"/>
            <w:vAlign w:val="bottom"/>
            <w:shd w:val="clear" w:color="auto" w:fill="CCEEFF"/>
          </w:tcPr>
          <w:p>
            <w:pPr>
              <w:spacing w:after="0"/>
              <w:rPr>
                <w:sz w:val="20"/>
                <w:szCs w:val="20"/>
                <w:color w:val="auto"/>
              </w:rPr>
            </w:pPr>
            <w:r>
              <w:rPr>
                <w:rFonts w:ascii="Arial" w:cs="Arial" w:eastAsia="Arial" w:hAnsi="Arial"/>
                <w:sz w:val="16"/>
                <w:szCs w:val="16"/>
                <w:color w:val="auto"/>
              </w:rPr>
              <w:t>Components of net income:</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8940" w:type="dxa"/>
            <w:vAlign w:val="bottom"/>
          </w:tcPr>
          <w:p>
            <w:pPr>
              <w:ind w:left="180"/>
              <w:spacing w:after="0"/>
              <w:rPr>
                <w:sz w:val="20"/>
                <w:szCs w:val="20"/>
                <w:color w:val="auto"/>
              </w:rPr>
            </w:pPr>
            <w:r>
              <w:rPr>
                <w:rFonts w:ascii="Arial" w:cs="Arial" w:eastAsia="Arial" w:hAnsi="Arial"/>
                <w:sz w:val="16"/>
                <w:szCs w:val="16"/>
                <w:color w:val="auto"/>
              </w:rPr>
              <w:t>Net premiums earned</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140,925</w:t>
            </w:r>
          </w:p>
        </w:tc>
        <w:tc>
          <w:tcPr>
            <w:tcW w:w="34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130,987</w:t>
            </w:r>
          </w:p>
        </w:tc>
      </w:tr>
      <w:tr>
        <w:trPr>
          <w:trHeight w:val="196"/>
        </w:trPr>
        <w:tc>
          <w:tcPr>
            <w:tcW w:w="8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 and loss adjustment expenses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97,026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103,550</w:t>
            </w:r>
          </w:p>
        </w:tc>
      </w:tr>
      <w:tr>
        <w:trPr>
          <w:trHeight w:val="208"/>
        </w:trPr>
        <w:tc>
          <w:tcPr>
            <w:tcW w:w="8940" w:type="dxa"/>
            <w:vAlign w:val="bottom"/>
          </w:tcPr>
          <w:p>
            <w:pPr>
              <w:ind w:left="180"/>
              <w:spacing w:after="0"/>
              <w:rPr>
                <w:sz w:val="20"/>
                <w:szCs w:val="20"/>
                <w:color w:val="auto"/>
              </w:rPr>
            </w:pPr>
            <w:r>
              <w:rPr>
                <w:rFonts w:ascii="Arial" w:cs="Arial" w:eastAsia="Arial" w:hAnsi="Arial"/>
                <w:sz w:val="16"/>
                <w:szCs w:val="16"/>
                <w:color w:val="auto"/>
              </w:rPr>
              <w:t>Amortization of deferred policy acquisition costs and other underwriting and general expenses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38,417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31,536</w:t>
            </w:r>
          </w:p>
        </w:tc>
      </w:tr>
      <w:tr>
        <w:trPr>
          <w:trHeight w:val="189"/>
        </w:trPr>
        <w:tc>
          <w:tcPr>
            <w:tcW w:w="8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income (loss)</w:t>
            </w: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tcBorders>
              <w:top w:val="single" w:sz="8" w:color="CCEEFF"/>
            </w:tcBorders>
            <w:shd w:val="clear" w:color="auto" w:fill="CCEEFF"/>
          </w:tcPr>
          <w:p>
            <w:pPr>
              <w:spacing w:after="0"/>
              <w:rPr>
                <w:sz w:val="16"/>
                <w:szCs w:val="16"/>
                <w:color w:val="auto"/>
              </w:rPr>
            </w:pPr>
          </w:p>
        </w:tc>
      </w:tr>
      <w:tr>
        <w:trPr>
          <w:trHeight w:val="196"/>
        </w:trPr>
        <w:tc>
          <w:tcPr>
            <w:tcW w:w="8940" w:type="dxa"/>
            <w:vAlign w:val="bottom"/>
          </w:tcPr>
          <w:p>
            <w:pPr>
              <w:ind w:left="180"/>
              <w:spacing w:after="0"/>
              <w:rPr>
                <w:sz w:val="20"/>
                <w:szCs w:val="20"/>
                <w:color w:val="auto"/>
              </w:rPr>
            </w:pPr>
            <w:r>
              <w:rPr>
                <w:rFonts w:ascii="Arial" w:cs="Arial" w:eastAsia="Arial" w:hAnsi="Arial"/>
                <w:sz w:val="16"/>
                <w:szCs w:val="16"/>
                <w:color w:val="auto"/>
              </w:rPr>
              <w:t>Fee and other income</w:t>
            </w: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1,420</w:t>
            </w:r>
          </w:p>
        </w:tc>
      </w:tr>
      <w:tr>
        <w:trPr>
          <w:trHeight w:val="196"/>
        </w:trPr>
        <w:tc>
          <w:tcPr>
            <w:tcW w:w="8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3,706</w:t>
            </w:r>
          </w:p>
        </w:tc>
      </w:tr>
      <w:tr>
        <w:trPr>
          <w:trHeight w:val="208"/>
        </w:trPr>
        <w:tc>
          <w:tcPr>
            <w:tcW w:w="8940" w:type="dxa"/>
            <w:vAlign w:val="bottom"/>
          </w:tcPr>
          <w:p>
            <w:pPr>
              <w:ind w:left="180"/>
              <w:spacing w:after="0"/>
              <w:rPr>
                <w:sz w:val="20"/>
                <w:szCs w:val="20"/>
                <w:color w:val="auto"/>
              </w:rPr>
            </w:pPr>
            <w:r>
              <w:rPr>
                <w:rFonts w:ascii="Arial" w:cs="Arial" w:eastAsia="Arial" w:hAnsi="Arial"/>
                <w:sz w:val="16"/>
                <w:szCs w:val="16"/>
                <w:color w:val="auto"/>
              </w:rPr>
              <w:t>Net realized capital gain on investments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2,840</w:t>
            </w:r>
          </w:p>
        </w:tc>
      </w:tr>
      <w:tr>
        <w:trPr>
          <w:trHeight w:val="189"/>
        </w:trPr>
        <w:tc>
          <w:tcPr>
            <w:tcW w:w="8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8"/>
        </w:trPr>
        <w:tc>
          <w:tcPr>
            <w:tcW w:w="89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3,619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1,694</w:t>
            </w:r>
          </w:p>
        </w:tc>
      </w:tr>
      <w:tr>
        <w:trPr>
          <w:trHeight w:val="201"/>
        </w:trPr>
        <w:tc>
          <w:tcPr>
            <w:tcW w:w="8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Premiums Earned</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NI Holdings’ net premiums earned for the nine months ended September 30, 2018 increased 7.6% to $140,925 compared to $130,987 a year ago.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r>
      <w:tr>
        <w:trPr>
          <w:trHeight w:val="201"/>
        </w:trPr>
        <w:tc>
          <w:tcPr>
            <w:tcW w:w="534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3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Private passenger auto</w:t>
            </w:r>
          </w:p>
        </w:tc>
        <w:tc>
          <w:tcPr>
            <w:tcW w:w="3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46,027</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40,439</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13,519</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7,784</w:t>
            </w: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Home and farm</w:t>
            </w: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46,976</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42,618</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25,502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31,670</w:t>
            </w:r>
          </w:p>
        </w:tc>
      </w:tr>
      <w:tr>
        <w:trPr>
          <w:trHeight w:val="208"/>
        </w:trPr>
        <w:tc>
          <w:tcPr>
            <w:tcW w:w="5340" w:type="dxa"/>
            <w:vAlign w:val="bottom"/>
          </w:tcPr>
          <w:p>
            <w:pPr>
              <w:ind w:left="180"/>
              <w:spacing w:after="0"/>
              <w:rPr>
                <w:sz w:val="20"/>
                <w:szCs w:val="20"/>
                <w:color w:val="auto"/>
              </w:rPr>
            </w:pPr>
            <w:r>
              <w:rPr>
                <w:rFonts w:ascii="Arial" w:cs="Arial" w:eastAsia="Arial" w:hAnsi="Arial"/>
                <w:sz w:val="16"/>
                <w:szCs w:val="16"/>
                <w:color w:val="auto"/>
              </w:rPr>
              <w:t>All other</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8,901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8,476</w:t>
            </w:r>
          </w:p>
        </w:tc>
      </w:tr>
      <w:tr>
        <w:trPr>
          <w:trHeight w:val="201"/>
        </w:trPr>
        <w:tc>
          <w:tcPr>
            <w:tcW w:w="5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premiums earned</w:t>
            </w:r>
          </w:p>
        </w:tc>
        <w:tc>
          <w:tcPr>
            <w:tcW w:w="3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01"/>
        </w:trPr>
        <w:tc>
          <w:tcPr>
            <w:tcW w:w="534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Net premiums earned:</w:t>
            </w:r>
          </w:p>
        </w:tc>
        <w:tc>
          <w:tcPr>
            <w:tcW w:w="3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340" w:type="dxa"/>
            <w:vAlign w:val="bottom"/>
          </w:tcPr>
          <w:p>
            <w:pPr>
              <w:ind w:left="180"/>
              <w:spacing w:after="0"/>
              <w:rPr>
                <w:sz w:val="20"/>
                <w:szCs w:val="20"/>
                <w:color w:val="auto"/>
              </w:rPr>
            </w:pPr>
            <w:r>
              <w:rPr>
                <w:rFonts w:ascii="Arial" w:cs="Arial" w:eastAsia="Arial" w:hAnsi="Arial"/>
                <w:sz w:val="16"/>
                <w:szCs w:val="16"/>
                <w:color w:val="auto"/>
              </w:rPr>
              <w:t>Direct premium</w:t>
            </w:r>
          </w:p>
        </w:tc>
        <w:tc>
          <w:tcPr>
            <w:tcW w:w="3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154,916</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140,659</w:t>
            </w:r>
          </w:p>
        </w:tc>
      </w:tr>
      <w:tr>
        <w:trPr>
          <w:trHeight w:val="196"/>
        </w:trPr>
        <w:tc>
          <w:tcPr>
            <w:tcW w:w="5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Assumed premium</w:t>
            </w:r>
          </w:p>
        </w:tc>
        <w:tc>
          <w:tcPr>
            <w:tcW w:w="3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5,572</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5,729</w:t>
            </w:r>
          </w:p>
        </w:tc>
      </w:tr>
      <w:tr>
        <w:trPr>
          <w:trHeight w:val="208"/>
        </w:trPr>
        <w:tc>
          <w:tcPr>
            <w:tcW w:w="5340" w:type="dxa"/>
            <w:vAlign w:val="bottom"/>
          </w:tcPr>
          <w:p>
            <w:pPr>
              <w:ind w:left="180"/>
              <w:spacing w:after="0"/>
              <w:rPr>
                <w:sz w:val="20"/>
                <w:szCs w:val="20"/>
                <w:color w:val="auto"/>
              </w:rPr>
            </w:pPr>
            <w:r>
              <w:rPr>
                <w:rFonts w:ascii="Arial" w:cs="Arial" w:eastAsia="Arial" w:hAnsi="Arial"/>
                <w:sz w:val="16"/>
                <w:szCs w:val="16"/>
                <w:color w:val="auto"/>
              </w:rPr>
              <w:t>Ceded premium</w:t>
            </w: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(19,563)</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(15,401)</w:t>
            </w:r>
          </w:p>
        </w:tc>
      </w:tr>
      <w:tr>
        <w:trPr>
          <w:trHeight w:val="201"/>
        </w:trPr>
        <w:tc>
          <w:tcPr>
            <w:tcW w:w="5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net premiums earned</w:t>
            </w:r>
          </w:p>
        </w:tc>
        <w:tc>
          <w:tcPr>
            <w:tcW w:w="3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130,987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right="140" w:firstLine="589"/>
        <w:spacing w:after="0" w:line="266" w:lineRule="auto"/>
        <w:rPr>
          <w:sz w:val="20"/>
          <w:szCs w:val="20"/>
          <w:color w:val="auto"/>
        </w:rPr>
      </w:pPr>
      <w:r>
        <w:rPr>
          <w:rFonts w:ascii="Arial" w:cs="Arial" w:eastAsia="Arial" w:hAnsi="Arial"/>
          <w:sz w:val="16"/>
          <w:szCs w:val="16"/>
          <w:color w:val="auto"/>
        </w:rPr>
        <w:t>Direct premiums earned for the nine months ended September 30, 2018 increased $14,257, or 10.1%, to $154,916 from $140,659 a year ago. Assumed premiums earned decreased slightly. Ceded premiums earned were $4,162 more in 2018 compared to 2017 due to increased ceding of 2018 crop insurance premiums back to the FCIC under the gain-sharing provision of the federal crop insurance program. The addition of the Direct Auto non-standard auto business contributed $3,591 to the net year-over-year increase of $9,938.</w:t>
      </w:r>
    </w:p>
    <w:p>
      <w:pPr>
        <w:spacing w:after="0" w:line="129"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Our personal lines of business (private passenger auto, home and farm) continued to grow outside of North Dakota. Our non-standard auto business also grew year-over-year due to rate increases in Nevada and the addition of Direct Auto. Our crop business decreased slightly on a direct basis in 2018 compared to last year due to a combination of reduced acreage insured and lower commodity prices. On a net basis, crop premiums also decreased from increased ceding of premiums due to gain-sharing of favorable loss experience.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6" w:name="page57"/>
    <w:bookmarkEnd w:id="56"/>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9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Losses and LAE</w:t>
      </w:r>
    </w:p>
    <w:p>
      <w:pPr>
        <w:spacing w:after="0" w:line="172" w:lineRule="exact"/>
        <w:rPr>
          <w:sz w:val="20"/>
          <w:szCs w:val="20"/>
          <w:color w:val="auto"/>
        </w:rPr>
      </w:pPr>
    </w:p>
    <w:p>
      <w:pPr>
        <w:ind w:right="500" w:firstLine="589"/>
        <w:spacing w:after="0" w:line="286" w:lineRule="auto"/>
        <w:rPr>
          <w:sz w:val="20"/>
          <w:szCs w:val="20"/>
          <w:color w:val="auto"/>
        </w:rPr>
      </w:pPr>
      <w:r>
        <w:rPr>
          <w:rFonts w:ascii="Arial" w:cs="Arial" w:eastAsia="Arial" w:hAnsi="Arial"/>
          <w:sz w:val="16"/>
          <w:szCs w:val="16"/>
          <w:color w:val="auto"/>
        </w:rPr>
        <w:t>NI Holdings’ net losses and LAE for the nine months ended September 30, 2018 decreased 6.3% to $97,026 compared to $103,550 for the nine months ended September 30, 2017. The Company’s loss and LAE ratio decreased to 68.8% for 2018, compared to 79.1% for 2017.</w:t>
      </w:r>
    </w:p>
    <w:p>
      <w:pPr>
        <w:spacing w:after="0" w:line="134"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Loss and LAE ratio:</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9400" w:type="dxa"/>
            <w:vAlign w:val="bottom"/>
            <w:gridSpan w:val="2"/>
          </w:tcPr>
          <w:p>
            <w:pPr>
              <w:ind w:left="180"/>
              <w:spacing w:after="0"/>
              <w:rPr>
                <w:sz w:val="20"/>
                <w:szCs w:val="20"/>
                <w:color w:val="auto"/>
              </w:rPr>
            </w:pPr>
            <w:r>
              <w:rPr>
                <w:rFonts w:ascii="Arial" w:cs="Arial" w:eastAsia="Arial" w:hAnsi="Arial"/>
                <w:sz w:val="16"/>
                <w:szCs w:val="16"/>
                <w:color w:val="auto"/>
              </w:rPr>
              <w:t>Private passenger auto</w:t>
            </w:r>
          </w:p>
        </w:tc>
        <w:tc>
          <w:tcPr>
            <w:tcW w:w="660" w:type="dxa"/>
            <w:vAlign w:val="bottom"/>
            <w:gridSpan w:val="2"/>
          </w:tcPr>
          <w:p>
            <w:pPr>
              <w:ind w:left="20"/>
              <w:spacing w:after="0"/>
              <w:rPr>
                <w:sz w:val="20"/>
                <w:szCs w:val="20"/>
                <w:color w:val="auto"/>
              </w:rPr>
            </w:pPr>
            <w:r>
              <w:rPr>
                <w:rFonts w:ascii="Arial" w:cs="Arial" w:eastAsia="Arial" w:hAnsi="Arial"/>
                <w:sz w:val="16"/>
                <w:szCs w:val="16"/>
                <w:color w:val="auto"/>
              </w:rPr>
              <w:t>72.1%</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69.7%</w:t>
            </w:r>
          </w:p>
        </w:tc>
      </w:tr>
      <w:tr>
        <w:trPr>
          <w:trHeight w:val="196"/>
        </w:trPr>
        <w:tc>
          <w:tcPr>
            <w:tcW w:w="9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69.0%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w:t>
            </w:r>
          </w:p>
        </w:tc>
      </w:tr>
      <w:tr>
        <w:trPr>
          <w:trHeight w:val="196"/>
        </w:trPr>
        <w:tc>
          <w:tcPr>
            <w:tcW w:w="9400" w:type="dxa"/>
            <w:vAlign w:val="bottom"/>
            <w:gridSpan w:val="2"/>
          </w:tcPr>
          <w:p>
            <w:pPr>
              <w:ind w:left="180"/>
              <w:spacing w:after="0"/>
              <w:rPr>
                <w:sz w:val="20"/>
                <w:szCs w:val="20"/>
                <w:color w:val="auto"/>
              </w:rPr>
            </w:pPr>
            <w:r>
              <w:rPr>
                <w:rFonts w:ascii="Arial" w:cs="Arial" w:eastAsia="Arial" w:hAnsi="Arial"/>
                <w:sz w:val="16"/>
                <w:szCs w:val="16"/>
                <w:color w:val="auto"/>
              </w:rPr>
              <w:t>Home and farm</w:t>
            </w:r>
          </w:p>
        </w:tc>
        <w:tc>
          <w:tcPr>
            <w:tcW w:w="660" w:type="dxa"/>
            <w:vAlign w:val="bottom"/>
            <w:gridSpan w:val="2"/>
          </w:tcPr>
          <w:p>
            <w:pPr>
              <w:ind w:left="20"/>
              <w:spacing w:after="0"/>
              <w:rPr>
                <w:sz w:val="20"/>
                <w:szCs w:val="20"/>
                <w:color w:val="auto"/>
              </w:rPr>
            </w:pPr>
            <w:r>
              <w:rPr>
                <w:rFonts w:ascii="Arial" w:cs="Arial" w:eastAsia="Arial" w:hAnsi="Arial"/>
                <w:sz w:val="16"/>
                <w:szCs w:val="16"/>
                <w:color w:val="auto"/>
              </w:rPr>
              <w:t>81.4%</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79.9%</w:t>
            </w:r>
          </w:p>
        </w:tc>
      </w:tr>
      <w:tr>
        <w:trPr>
          <w:trHeight w:val="196"/>
        </w:trPr>
        <w:tc>
          <w:tcPr>
            <w:tcW w:w="9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93.8%</w:t>
            </w:r>
          </w:p>
        </w:tc>
      </w:tr>
      <w:tr>
        <w:trPr>
          <w:trHeight w:val="208"/>
        </w:trPr>
        <w:tc>
          <w:tcPr>
            <w:tcW w:w="9400" w:type="dxa"/>
            <w:vAlign w:val="bottom"/>
            <w:gridSpan w:val="2"/>
          </w:tcPr>
          <w:p>
            <w:pPr>
              <w:ind w:left="180"/>
              <w:spacing w:after="0"/>
              <w:rPr>
                <w:sz w:val="20"/>
                <w:szCs w:val="20"/>
                <w:color w:val="auto"/>
              </w:rPr>
            </w:pPr>
            <w:r>
              <w:rPr>
                <w:rFonts w:ascii="Arial" w:cs="Arial" w:eastAsia="Arial" w:hAnsi="Arial"/>
                <w:sz w:val="16"/>
                <w:szCs w:val="16"/>
                <w:color w:val="auto"/>
              </w:rPr>
              <w:t>All other</w:t>
            </w:r>
          </w:p>
        </w:tc>
        <w:tc>
          <w:tcPr>
            <w:tcW w:w="660" w:type="dxa"/>
            <w:vAlign w:val="bottom"/>
            <w:gridSpan w:val="2"/>
          </w:tcPr>
          <w:p>
            <w:pPr>
              <w:ind w:left="20"/>
              <w:spacing w:after="0"/>
              <w:rPr>
                <w:sz w:val="20"/>
                <w:szCs w:val="20"/>
                <w:color w:val="auto"/>
              </w:rPr>
            </w:pPr>
            <w:r>
              <w:rPr>
                <w:rFonts w:ascii="Arial" w:cs="Arial" w:eastAsia="Arial" w:hAnsi="Arial"/>
                <w:sz w:val="16"/>
                <w:szCs w:val="16"/>
                <w:color w:val="auto"/>
              </w:rPr>
              <w:t>38.7%</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62.5%</w:t>
            </w:r>
          </w:p>
        </w:tc>
      </w:tr>
      <w:tr>
        <w:trPr>
          <w:trHeight w:val="201"/>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loss and LAE ratio</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8"/>
              </w:rPr>
              <w:t>68.8%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jc w:val="both"/>
        <w:ind w:right="40" w:firstLine="589"/>
        <w:spacing w:after="0" w:line="297" w:lineRule="auto"/>
        <w:rPr>
          <w:sz w:val="20"/>
          <w:szCs w:val="20"/>
          <w:color w:val="auto"/>
        </w:rPr>
      </w:pPr>
      <w:r>
        <w:rPr>
          <w:rFonts w:ascii="Arial" w:cs="Arial" w:eastAsia="Arial" w:hAnsi="Arial"/>
          <w:sz w:val="15"/>
          <w:szCs w:val="15"/>
          <w:color w:val="auto"/>
        </w:rPr>
        <w:t>The Company’s overall loss and LAE experience significantly improved year-over-year. Private passenger auto as well as home and farm both experienced modestly higher loss and LAE ratios, while experience on the non-standard auto business improved from last year. The assumed reinsurance portion of the all other segment experience was favorable due to a relatively quiet catastrophe period in 2018, compared to a high level of hurricanes and wildfires in 2017.</w:t>
      </w:r>
    </w:p>
    <w:p>
      <w:pPr>
        <w:spacing w:after="0" w:line="108" w:lineRule="exact"/>
        <w:rPr>
          <w:sz w:val="20"/>
          <w:szCs w:val="20"/>
          <w:color w:val="auto"/>
        </w:rPr>
      </w:pPr>
    </w:p>
    <w:p>
      <w:pPr>
        <w:jc w:val="both"/>
        <w:ind w:right="420" w:firstLine="589"/>
        <w:spacing w:after="0" w:line="271" w:lineRule="auto"/>
        <w:rPr>
          <w:sz w:val="20"/>
          <w:szCs w:val="20"/>
          <w:color w:val="auto"/>
        </w:rPr>
      </w:pPr>
      <w:r>
        <w:rPr>
          <w:rFonts w:ascii="Arial" w:cs="Arial" w:eastAsia="Arial" w:hAnsi="Arial"/>
          <w:sz w:val="16"/>
          <w:szCs w:val="16"/>
          <w:color w:val="auto"/>
        </w:rPr>
        <w:t>The crop business loss experience improved considerably year-over-year. Conditions have been very favorable during the 2018 growing season, although early snows and cold temperatures may have an adverse impact through the harvest. A year ago, early season drought conditions in western North Dakota were the reason for higher loss ratio expectations as of third quarter.</w:t>
      </w:r>
    </w:p>
    <w:p>
      <w:pPr>
        <w:spacing w:after="0" w:line="125" w:lineRule="exact"/>
        <w:rPr>
          <w:sz w:val="20"/>
          <w:szCs w:val="20"/>
          <w:color w:val="auto"/>
        </w:rPr>
      </w:pPr>
    </w:p>
    <w:p>
      <w:pPr>
        <w:ind w:right="80" w:firstLine="589"/>
        <w:spacing w:after="0" w:line="266" w:lineRule="auto"/>
        <w:rPr>
          <w:sz w:val="20"/>
          <w:szCs w:val="20"/>
          <w:color w:val="auto"/>
        </w:rPr>
      </w:pPr>
      <w:r>
        <w:rPr>
          <w:rFonts w:ascii="Arial" w:cs="Arial" w:eastAsia="Arial" w:hAnsi="Arial"/>
          <w:sz w:val="16"/>
          <w:szCs w:val="16"/>
          <w:color w:val="auto"/>
        </w:rPr>
        <w:t>NI Holdings realized favorable development on prior accident years of $3,165 in the nine months ended September 30, 2018, compared to $6,649 of favorable development on prior accident years realized in the first nine months of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Amortization of Deferred Policy Acquisition Costs and Other Underwriting and General Expenses</w:t>
      </w:r>
    </w:p>
    <w:p>
      <w:pPr>
        <w:spacing w:after="0" w:line="172" w:lineRule="exact"/>
        <w:rPr>
          <w:sz w:val="20"/>
          <w:szCs w:val="20"/>
          <w:color w:val="auto"/>
        </w:rPr>
      </w:pPr>
    </w:p>
    <w:p>
      <w:pPr>
        <w:ind w:right="240" w:firstLine="589"/>
        <w:spacing w:after="0" w:line="289" w:lineRule="auto"/>
        <w:rPr>
          <w:sz w:val="20"/>
          <w:szCs w:val="20"/>
          <w:color w:val="auto"/>
        </w:rPr>
      </w:pPr>
      <w:r>
        <w:rPr>
          <w:rFonts w:ascii="Arial" w:cs="Arial" w:eastAsia="Arial" w:hAnsi="Arial"/>
          <w:sz w:val="15"/>
          <w:szCs w:val="15"/>
          <w:color w:val="auto"/>
        </w:rPr>
        <w:t>Total underwriting and general expenses, including amortization of deferred policy acquisition costs, increased $6,881 in 2018, or 21.8%, compared to 2017. Underlying expenses were $7,004 higher in the nine months ended September 30, 2018 compared to a year ago across various expense categories. Policy acquisition costs have increased due to higher written premiums. Employee costs have increased, due primarily to stock compensation costs. Consulting expenses have increased relating to technology and public company services. The new Direct Auto subsidiary contributed $2,518 of underlying expenses to the current period.</w:t>
      </w:r>
    </w:p>
    <w:p>
      <w:pPr>
        <w:spacing w:after="0" w:line="114" w:lineRule="exact"/>
        <w:rPr>
          <w:sz w:val="20"/>
          <w:szCs w:val="20"/>
          <w:color w:val="auto"/>
        </w:rPr>
      </w:pPr>
    </w:p>
    <w:p>
      <w:pPr>
        <w:ind w:right="80" w:firstLine="589"/>
        <w:spacing w:after="0" w:line="266" w:lineRule="auto"/>
        <w:rPr>
          <w:sz w:val="20"/>
          <w:szCs w:val="20"/>
          <w:color w:val="auto"/>
        </w:rPr>
      </w:pPr>
      <w:r>
        <w:rPr>
          <w:rFonts w:ascii="Arial" w:cs="Arial" w:eastAsia="Arial" w:hAnsi="Arial"/>
          <w:sz w:val="16"/>
          <w:szCs w:val="16"/>
          <w:color w:val="auto"/>
        </w:rPr>
        <w:t>Expense deferrals were $5,629 higher in 2018 than 2017 due to the increase in direct premiums written in 2018, whereas amortization of those costs was $5,506 higher in 2018 due also to the increase in direct premiums earned in 2018. The expense ratio of 27.3% for the nine months ended September 30, 2018 was 3.2 percentage points higher than a year ago, due to the higher policy acquisition costs, higher consulting services and share-based compensation, and the increased ceding of crop insurance premiums.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Underwriting Gain (Loss)</w:t>
      </w:r>
    </w:p>
    <w:p>
      <w:pPr>
        <w:spacing w:after="0" w:line="172" w:lineRule="exact"/>
        <w:rPr>
          <w:sz w:val="20"/>
          <w:szCs w:val="20"/>
          <w:color w:val="auto"/>
        </w:rPr>
      </w:pPr>
    </w:p>
    <w:p>
      <w:pPr>
        <w:ind w:right="200" w:firstLine="589"/>
        <w:spacing w:after="0" w:line="286" w:lineRule="auto"/>
        <w:rPr>
          <w:sz w:val="20"/>
          <w:szCs w:val="20"/>
          <w:color w:val="auto"/>
        </w:rPr>
      </w:pPr>
      <w:r>
        <w:rPr>
          <w:rFonts w:ascii="Arial" w:cs="Arial" w:eastAsia="Arial" w:hAnsi="Arial"/>
          <w:sz w:val="16"/>
          <w:szCs w:val="16"/>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40" w:type="dxa"/>
            <w:vAlign w:val="bottom"/>
            <w:gridSpan w:val="6"/>
          </w:tcPr>
          <w:p>
            <w:pPr>
              <w:jc w:val="right"/>
              <w:ind w:right="158"/>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01"/>
        </w:trPr>
        <w:tc>
          <w:tcPr>
            <w:tcW w:w="524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18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Underwriting gain (loss):</w:t>
            </w:r>
          </w:p>
        </w:tc>
        <w:tc>
          <w:tcPr>
            <w:tcW w:w="3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Private passenger auto</w:t>
            </w:r>
          </w:p>
        </w:tc>
        <w:tc>
          <w:tcPr>
            <w:tcW w:w="41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(531)</w:t>
            </w:r>
          </w:p>
        </w:tc>
        <w:tc>
          <w:tcPr>
            <w:tcW w:w="280" w:type="dxa"/>
            <w:vAlign w:val="bottom"/>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(105)</w:t>
            </w: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Non-standard auto</w:t>
            </w:r>
          </w:p>
        </w:tc>
        <w:tc>
          <w:tcPr>
            <w:tcW w:w="3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196"/>
        </w:trPr>
        <w:tc>
          <w:tcPr>
            <w:tcW w:w="5240" w:type="dxa"/>
            <w:vAlign w:val="bottom"/>
          </w:tcPr>
          <w:p>
            <w:pPr>
              <w:ind w:left="180"/>
              <w:spacing w:after="0"/>
              <w:rPr>
                <w:sz w:val="20"/>
                <w:szCs w:val="20"/>
                <w:color w:val="auto"/>
              </w:rPr>
            </w:pPr>
            <w:r>
              <w:rPr>
                <w:rFonts w:ascii="Arial" w:cs="Arial" w:eastAsia="Arial" w:hAnsi="Arial"/>
                <w:sz w:val="16"/>
                <w:szCs w:val="16"/>
                <w:color w:val="auto"/>
              </w:rPr>
              <w:t>Home and farm</w:t>
            </w:r>
          </w:p>
        </w:tc>
        <w:tc>
          <w:tcPr>
            <w:tcW w:w="3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(6,013)</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(5,086)</w:t>
            </w:r>
          </w:p>
        </w:tc>
      </w:tr>
      <w:tr>
        <w:trPr>
          <w:trHeight w:val="196"/>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Crop</w:t>
            </w:r>
          </w:p>
        </w:tc>
        <w:tc>
          <w:tcPr>
            <w:tcW w:w="3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9,319</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573</w:t>
            </w:r>
          </w:p>
        </w:tc>
      </w:tr>
      <w:tr>
        <w:trPr>
          <w:trHeight w:val="208"/>
        </w:trPr>
        <w:tc>
          <w:tcPr>
            <w:tcW w:w="5240" w:type="dxa"/>
            <w:vAlign w:val="bottom"/>
          </w:tcPr>
          <w:p>
            <w:pPr>
              <w:ind w:left="180"/>
              <w:spacing w:after="0"/>
              <w:rPr>
                <w:sz w:val="20"/>
                <w:szCs w:val="20"/>
                <w:color w:val="auto"/>
              </w:rPr>
            </w:pPr>
            <w:r>
              <w:rPr>
                <w:rFonts w:ascii="Arial" w:cs="Arial" w:eastAsia="Arial" w:hAnsi="Arial"/>
                <w:sz w:val="16"/>
                <w:szCs w:val="16"/>
                <w:color w:val="auto"/>
              </w:rPr>
              <w:t>All other</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2,785</w:t>
            </w:r>
          </w:p>
        </w:tc>
        <w:tc>
          <w:tcPr>
            <w:tcW w:w="280" w:type="dxa"/>
            <w:vAlign w:val="bottom"/>
          </w:tcPr>
          <w:p>
            <w:pPr>
              <w:spacing w:after="0"/>
              <w:rPr>
                <w:sz w:val="18"/>
                <w:szCs w:val="18"/>
                <w:color w:val="auto"/>
              </w:rPr>
            </w:pPr>
          </w:p>
        </w:tc>
        <w:tc>
          <w:tcPr>
            <w:tcW w:w="1080" w:type="dxa"/>
            <w:vAlign w:val="bottom"/>
            <w:gridSpan w:val="2"/>
          </w:tcPr>
          <w:p>
            <w:pPr>
              <w:jc w:val="right"/>
              <w:ind w:right="18"/>
              <w:spacing w:after="0"/>
              <w:rPr>
                <w:sz w:val="20"/>
                <w:szCs w:val="20"/>
                <w:color w:val="auto"/>
              </w:rPr>
            </w:pPr>
            <w:r>
              <w:rPr>
                <w:rFonts w:ascii="Arial" w:cs="Arial" w:eastAsia="Arial" w:hAnsi="Arial"/>
                <w:sz w:val="16"/>
                <w:szCs w:val="16"/>
                <w:color w:val="auto"/>
              </w:rPr>
              <w:t>1,250</w:t>
            </w:r>
          </w:p>
        </w:tc>
      </w:tr>
      <w:tr>
        <w:trPr>
          <w:trHeight w:val="201"/>
        </w:trPr>
        <w:tc>
          <w:tcPr>
            <w:tcW w:w="52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underwriting gain</w:t>
            </w:r>
          </w:p>
        </w:tc>
        <w:tc>
          <w:tcPr>
            <w:tcW w:w="33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right="360" w:firstLine="589"/>
        <w:spacing w:after="0" w:line="286" w:lineRule="auto"/>
        <w:rPr>
          <w:sz w:val="20"/>
          <w:szCs w:val="20"/>
          <w:color w:val="auto"/>
        </w:rPr>
      </w:pPr>
      <w:r>
        <w:rPr>
          <w:rFonts w:ascii="Arial" w:cs="Arial" w:eastAsia="Arial" w:hAnsi="Arial"/>
          <w:sz w:val="16"/>
          <w:szCs w:val="16"/>
          <w:color w:val="auto"/>
        </w:rPr>
        <w:t>The underwriting results for our non-standard auto and all other business segments improved significantly year-over-year, partially offset by lower underwriting results in private passenger auto and home and farm businesses.</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57" w:name="page58"/>
    <w:bookmarkEnd w:id="57"/>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color w:val="auto"/>
        </w:rPr>
        <w:t>Rate increases and other underwriting actions on our non-standard auto business reduced the underwriting loss considerably from a year ago. Fee income attributable to this segment is a key component in measuring its profitability. Fee income on this business was $994 and $802 for the nine months ended September 30, 2018 and 2017, respectively.</w:t>
      </w:r>
    </w:p>
    <w:p>
      <w:pPr>
        <w:spacing w:after="0" w:line="125" w:lineRule="exact"/>
        <w:rPr>
          <w:sz w:val="20"/>
          <w:szCs w:val="20"/>
          <w:color w:val="auto"/>
        </w:rPr>
      </w:pPr>
    </w:p>
    <w:p>
      <w:pPr>
        <w:jc w:val="both"/>
        <w:ind w:right="20" w:firstLine="589"/>
        <w:spacing w:after="0" w:line="271" w:lineRule="auto"/>
        <w:rPr>
          <w:sz w:val="20"/>
          <w:szCs w:val="20"/>
          <w:color w:val="auto"/>
        </w:rPr>
      </w:pPr>
      <w:r>
        <w:rPr>
          <w:rFonts w:ascii="Arial" w:cs="Arial" w:eastAsia="Arial" w:hAnsi="Arial"/>
          <w:sz w:val="16"/>
          <w:szCs w:val="16"/>
          <w:color w:val="auto"/>
        </w:rPr>
        <w:t>The underwriting results on our crop insurance business are significantly improved compared to a year ago. In 2017, a higher anticipated loss ratio was caused by the early season drought conditions in western North Dakota. In 2018, favorable growing conditions have reduced our loss ratio expectations considerably, resulting in increased gain-sharing of profits back to the FCIC.</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Fee and Other Income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NI Holdings had fee and other income of $6,022 for the nine months ended September 30, 2018, compared to $1,420 for the nine months ended September 30, 2017.</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The majority of fee income is typically attributable to the fees charged in Primero’s non-standard auto business, and increased year-over-year due to growth of the business.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However, in the third quarter of 2018, the Company recognized a pre-tax gain of $4,578 as part of other income due to the bargain purchase of Direct Auto.</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Investment Income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 sets forth our average cash and invested assets, net investment income, and return on average cash and invested assets for the reported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r>
      <w:tr>
        <w:trPr>
          <w:trHeight w:val="201"/>
        </w:trPr>
        <w:tc>
          <w:tcPr>
            <w:tcW w:w="588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7"/>
                <w:szCs w:val="17"/>
                <w:color w:val="auto"/>
              </w:rPr>
            </w:pPr>
          </w:p>
        </w:tc>
      </w:tr>
      <w:tr>
        <w:trPr>
          <w:trHeight w:val="20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cash and invested assets</w:t>
            </w:r>
          </w:p>
        </w:tc>
        <w:tc>
          <w:tcPr>
            <w:tcW w:w="2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328,166</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8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Gross investment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6,155</w:t>
            </w: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5,168</w:t>
            </w:r>
          </w:p>
        </w:tc>
      </w:tr>
      <w:tr>
        <w:trPr>
          <w:trHeight w:val="208"/>
        </w:trPr>
        <w:tc>
          <w:tcPr>
            <w:tcW w:w="5880" w:type="dxa"/>
            <w:vAlign w:val="bottom"/>
          </w:tcPr>
          <w:p>
            <w:pPr>
              <w:spacing w:after="0"/>
              <w:rPr>
                <w:sz w:val="20"/>
                <w:szCs w:val="20"/>
                <w:color w:val="auto"/>
              </w:rPr>
            </w:pPr>
            <w:r>
              <w:rPr>
                <w:rFonts w:ascii="Arial" w:cs="Arial" w:eastAsia="Arial" w:hAnsi="Arial"/>
                <w:sz w:val="16"/>
                <w:szCs w:val="16"/>
                <w:color w:val="auto"/>
              </w:rPr>
              <w:t>Investment expenses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1,634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1,462</w:t>
            </w:r>
          </w:p>
        </w:tc>
      </w:tr>
      <w:tr>
        <w:trPr>
          <w:trHeight w:val="201"/>
        </w:trPr>
        <w:tc>
          <w:tcPr>
            <w:tcW w:w="5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investment income</w:t>
            </w:r>
          </w:p>
        </w:tc>
        <w:tc>
          <w:tcPr>
            <w:tcW w:w="27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8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Gross return on average cash and invested assets</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w:t>
            </w:r>
          </w:p>
        </w:tc>
      </w:tr>
      <w:tr>
        <w:trPr>
          <w:trHeight w:val="208"/>
        </w:trPr>
        <w:tc>
          <w:tcPr>
            <w:tcW w:w="5880" w:type="dxa"/>
            <w:vAlign w:val="bottom"/>
          </w:tcPr>
          <w:p>
            <w:pPr>
              <w:spacing w:after="0"/>
              <w:rPr>
                <w:sz w:val="20"/>
                <w:szCs w:val="20"/>
                <w:color w:val="auto"/>
              </w:rPr>
            </w:pPr>
            <w:r>
              <w:rPr>
                <w:rFonts w:ascii="Arial" w:cs="Arial" w:eastAsia="Arial" w:hAnsi="Arial"/>
                <w:sz w:val="16"/>
                <w:szCs w:val="16"/>
                <w:color w:val="auto"/>
              </w:rPr>
              <w:t>Net return on average cash and invested assets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1.84%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1.79%</w:t>
            </w:r>
          </w:p>
        </w:tc>
      </w:tr>
    </w:tbl>
    <w:p>
      <w:pPr>
        <w:spacing w:after="0" w:line="332" w:lineRule="exact"/>
        <w:rPr>
          <w:sz w:val="20"/>
          <w:szCs w:val="20"/>
          <w:color w:val="auto"/>
        </w:rPr>
      </w:pPr>
    </w:p>
    <w:p>
      <w:pPr>
        <w:ind w:right="120" w:firstLine="589"/>
        <w:spacing w:after="0" w:line="289" w:lineRule="auto"/>
        <w:rPr>
          <w:sz w:val="20"/>
          <w:szCs w:val="20"/>
          <w:color w:val="auto"/>
        </w:rPr>
      </w:pPr>
      <w:r>
        <w:rPr>
          <w:rFonts w:ascii="Arial" w:cs="Arial" w:eastAsia="Arial" w:hAnsi="Arial"/>
          <w:sz w:val="15"/>
          <w:szCs w:val="15"/>
          <w:color w:val="auto"/>
        </w:rPr>
        <w:t>Investment income, net of investment expense, increased $815 for the nine months ended September 30, 2018 compared to 2017. This increase is attributable to an increase in invested assets caused by the receipt of the proceeds of over $90 million from the Company’s initial public offering in March 2017. Cash and invested assets also increased a net $53,533 in September 2018 from the acquisition of Direct Auto. The majority of Direct Auto cash and invested assets was in short term cash and cash equivalents at the closing date. The weighted average gross yield on invested assets was steady at 2.50% in 2018 compared to 2017.</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Realized Capital Gain on Investments</w:t>
      </w:r>
    </w:p>
    <w:p>
      <w:pPr>
        <w:spacing w:after="0" w:line="172" w:lineRule="exact"/>
        <w:rPr>
          <w:sz w:val="20"/>
          <w:szCs w:val="20"/>
          <w:color w:val="auto"/>
        </w:rPr>
      </w:pPr>
    </w:p>
    <w:p>
      <w:pPr>
        <w:jc w:val="both"/>
        <w:ind w:right="420" w:firstLine="589"/>
        <w:spacing w:after="0" w:line="362" w:lineRule="auto"/>
        <w:rPr>
          <w:sz w:val="20"/>
          <w:szCs w:val="20"/>
          <w:color w:val="auto"/>
        </w:rPr>
      </w:pPr>
      <w:r>
        <w:rPr>
          <w:rFonts w:ascii="Arial" w:cs="Arial" w:eastAsia="Arial" w:hAnsi="Arial"/>
          <w:sz w:val="14"/>
          <w:szCs w:val="14"/>
          <w:color w:val="auto"/>
        </w:rPr>
        <w:t>NI Holdings had realized capital gains on investment of $3,879 for the nine months ended September 30, 2018, compared to $2,840 for the nine months ended September 30, 2017. The Company recorded $382 and $330 of other-than-temporary impairments in the nine months ended September 30, 2018 and 2017, respectively.</w:t>
      </w:r>
    </w:p>
    <w:p>
      <w:pPr>
        <w:spacing w:after="0" w:line="66" w:lineRule="exact"/>
        <w:rPr>
          <w:sz w:val="20"/>
          <w:szCs w:val="20"/>
          <w:color w:val="auto"/>
        </w:rPr>
      </w:pPr>
    </w:p>
    <w:p>
      <w:pPr>
        <w:ind w:firstLine="589"/>
        <w:spacing w:after="0" w:line="263" w:lineRule="auto"/>
        <w:rPr>
          <w:sz w:val="20"/>
          <w:szCs w:val="20"/>
          <w:color w:val="auto"/>
        </w:rPr>
      </w:pPr>
      <w:r>
        <w:rPr>
          <w:rFonts w:ascii="Arial" w:cs="Arial" w:eastAsia="Arial" w:hAnsi="Arial"/>
          <w:sz w:val="16"/>
          <w:szCs w:val="16"/>
          <w:color w:val="auto"/>
        </w:rPr>
        <w:t>The Company’s fixed income securities and equity securities are classified as available for sale because it will, from time to time, make sales of securities that are not impaired, consistent with our investment goals and policies. At September 30, 2018, the Company had net unrealized losses on fixed income securities of $3,889 and net unrealized gains on equity securities of $19,826. At December 31, 2017, the Company had net unrealized gains on fixed income securities of $1,780 and net unrealized gains on equity securities of $18,533. The decrease in the fair value of our fixed income securities is attributable to a general rise in the interest rate environment during the first nine months of 2018.</w:t>
      </w:r>
    </w:p>
    <w:p>
      <w:pPr>
        <w:spacing w:after="0" w:line="145" w:lineRule="exact"/>
        <w:rPr>
          <w:sz w:val="20"/>
          <w:szCs w:val="20"/>
          <w:color w:val="auto"/>
        </w:rPr>
      </w:pPr>
    </w:p>
    <w:p>
      <w:pPr>
        <w:ind w:right="80" w:firstLine="589"/>
        <w:spacing w:after="0" w:line="271" w:lineRule="auto"/>
        <w:rPr>
          <w:sz w:val="20"/>
          <w:szCs w:val="20"/>
          <w:color w:val="auto"/>
        </w:rPr>
      </w:pPr>
      <w:r>
        <w:rPr>
          <w:rFonts w:ascii="Arial" w:cs="Arial" w:eastAsia="Arial" w:hAnsi="Arial"/>
          <w:sz w:val="16"/>
          <w:szCs w:val="16"/>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the Company will not recover the entire amortized cost basis.</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Income before Income Taxes</w:t>
      </w:r>
    </w:p>
    <w:p>
      <w:pPr>
        <w:spacing w:after="0" w:line="172"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For the nine months ended September 30, 2018, NI Holdings had pre-tax income of $19,904 compared to pre-tax income of $3,867 for the nine months ended September 30, 2017. The increase in pre-tax income was largely attributable to favorable loss experience in our crop business and the gain realized on the bargain purchase of Direct Auto.</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8" w:name="page59"/>
    <w:bookmarkEnd w:id="58"/>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Income Taxes</w:t>
      </w:r>
    </w:p>
    <w:p>
      <w:pPr>
        <w:spacing w:after="0" w:line="172" w:lineRule="exact"/>
        <w:rPr>
          <w:sz w:val="20"/>
          <w:szCs w:val="20"/>
          <w:color w:val="auto"/>
        </w:rPr>
      </w:pPr>
    </w:p>
    <w:p>
      <w:pPr>
        <w:jc w:val="both"/>
        <w:ind w:right="80" w:firstLine="589"/>
        <w:spacing w:after="0" w:line="266" w:lineRule="auto"/>
        <w:rPr>
          <w:sz w:val="20"/>
          <w:szCs w:val="20"/>
          <w:color w:val="auto"/>
        </w:rPr>
      </w:pPr>
      <w:r>
        <w:rPr>
          <w:rFonts w:ascii="Arial" w:cs="Arial" w:eastAsia="Arial" w:hAnsi="Arial"/>
          <w:sz w:val="16"/>
          <w:szCs w:val="16"/>
          <w:color w:val="auto"/>
        </w:rPr>
        <w:t>NI Holdings recorded income tax expense of $3,619 for the nine months ended September 30, 2018, compared to $1,694 of income tax expense for the nine months ended September 30, 2017. Our effective tax rate for the first nine months of 2018 was 18.2% compared to an effective tax rate of 43.8% for the same period of 2017. Third quarter 2017 included $568 of additional income tax expense related to the handling of expenses associated with the Company’s mutual to stock conversion and initial public offering.</w:t>
      </w:r>
    </w:p>
    <w:p>
      <w:pPr>
        <w:spacing w:after="0" w:line="141" w:lineRule="exact"/>
        <w:rPr>
          <w:sz w:val="20"/>
          <w:szCs w:val="20"/>
          <w:color w:val="auto"/>
        </w:rPr>
      </w:pPr>
    </w:p>
    <w:p>
      <w:pPr>
        <w:ind w:firstLine="589"/>
        <w:spacing w:after="0" w:line="309" w:lineRule="auto"/>
        <w:rPr>
          <w:sz w:val="20"/>
          <w:szCs w:val="20"/>
          <w:color w:val="auto"/>
        </w:rPr>
      </w:pPr>
      <w:r>
        <w:rPr>
          <w:rFonts w:ascii="Arial" w:cs="Arial" w:eastAsia="Arial" w:hAnsi="Arial"/>
          <w:sz w:val="14"/>
          <w:szCs w:val="14"/>
          <w:color w:val="auto"/>
        </w:rPr>
        <w:t>Due to recent changes in federal tax laws, the corporate income tax rate decreased from a maximum of 35% in 2017 to a flat 21% for tax years 2018 and beyond. 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remained at $628 as of September 30, 2018, the same amount as December 31, 2017.</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Net Income</w:t>
      </w:r>
    </w:p>
    <w:p>
      <w:pPr>
        <w:spacing w:after="0" w:line="172" w:lineRule="exact"/>
        <w:rPr>
          <w:sz w:val="20"/>
          <w:szCs w:val="20"/>
          <w:color w:val="auto"/>
        </w:rPr>
      </w:pPr>
    </w:p>
    <w:p>
      <w:pPr>
        <w:ind w:right="240" w:firstLine="589"/>
        <w:spacing w:after="0" w:line="271" w:lineRule="auto"/>
        <w:rPr>
          <w:sz w:val="20"/>
          <w:szCs w:val="20"/>
          <w:color w:val="auto"/>
        </w:rPr>
      </w:pPr>
      <w:r>
        <w:rPr>
          <w:rFonts w:ascii="Arial" w:cs="Arial" w:eastAsia="Arial" w:hAnsi="Arial"/>
          <w:sz w:val="16"/>
          <w:szCs w:val="16"/>
          <w:color w:val="auto"/>
        </w:rPr>
        <w:t>For the nine months ended September 30, 2018, NI Holdings had net income before non-controlling interest of $16,285 compared to net income before non-controlling interest of $2,173 for 2017. This increase in net income was primarily attributable to favorable loss experience in our crop business and the gain realized on the bargain purchase of Direct Auto.</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Return on Average Equity</w:t>
      </w:r>
    </w:p>
    <w:p>
      <w:pPr>
        <w:spacing w:after="0" w:line="17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6"/>
          <w:szCs w:val="16"/>
          <w:color w:val="auto"/>
        </w:rPr>
        <w:t>For the nine months ended September 30, 2018, NI Holdings had annualized return on average equity, after non-controlling interest, of 8.3% compared to annualized return on average equity, after non-controlling interest, of 1.4% for the nine months ended September 30, 2017. Average equity is calculated as the average between beginning and ending equity excluding non-controlling interest for the period.</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59" w:name="page60"/>
    <w:bookmarkEnd w:id="59"/>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20"/>
                <w:szCs w:val="20"/>
                <w:color w:val="auto"/>
              </w:rPr>
            </w:pPr>
            <w:r>
              <w:rPr>
                <w:rFonts w:ascii="Arial" w:cs="Arial" w:eastAsia="Arial" w:hAnsi="Arial"/>
                <w:sz w:val="16"/>
                <w:szCs w:val="16"/>
                <w:b w:val="1"/>
                <w:bCs w:val="1"/>
                <w:color w:val="auto"/>
              </w:rPr>
              <w:t>Financial Position</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6"/>
        </w:trPr>
        <w:tc>
          <w:tcPr>
            <w:tcW w:w="6880" w:type="dxa"/>
            <w:vAlign w:val="bottom"/>
          </w:tcPr>
          <w:p>
            <w:pPr>
              <w:ind w:left="580"/>
              <w:spacing w:after="0"/>
              <w:rPr>
                <w:sz w:val="20"/>
                <w:szCs w:val="20"/>
                <w:color w:val="auto"/>
              </w:rPr>
            </w:pPr>
            <w:r>
              <w:rPr>
                <w:rFonts w:ascii="Arial" w:cs="Arial" w:eastAsia="Arial" w:hAnsi="Arial"/>
                <w:sz w:val="16"/>
                <w:szCs w:val="16"/>
                <w:color w:val="auto"/>
              </w:rPr>
              <w:t>The major components of NI Holdings’ financial position are as follows:</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6880" w:type="dxa"/>
            <w:vAlign w:val="bottom"/>
          </w:tcPr>
          <w:p>
            <w:pPr>
              <w:spacing w:after="0"/>
              <w:rPr>
                <w:sz w:val="24"/>
                <w:szCs w:val="24"/>
                <w:color w:val="auto"/>
              </w:rPr>
            </w:pPr>
          </w:p>
        </w:tc>
        <w:tc>
          <w:tcPr>
            <w:tcW w:w="3120" w:type="dxa"/>
            <w:vAlign w:val="bottom"/>
            <w:gridSpan w:val="4"/>
          </w:tcPr>
          <w:p>
            <w:pPr>
              <w:ind w:left="1540"/>
              <w:spacing w:after="0"/>
              <w:rPr>
                <w:sz w:val="20"/>
                <w:szCs w:val="20"/>
                <w:color w:val="auto"/>
              </w:rPr>
            </w:pPr>
            <w:r>
              <w:rPr>
                <w:rFonts w:ascii="Arial" w:cs="Arial" w:eastAsia="Arial" w:hAnsi="Arial"/>
                <w:sz w:val="16"/>
                <w:szCs w:val="16"/>
                <w:b w:val="1"/>
                <w:bCs w:val="1"/>
                <w:color w:val="auto"/>
              </w:rPr>
              <w:t>September 30, 2018</w:t>
            </w:r>
          </w:p>
        </w:tc>
        <w:tc>
          <w:tcPr>
            <w:tcW w:w="1420" w:type="dxa"/>
            <w:vAlign w:val="bottom"/>
            <w:gridSpan w:val="4"/>
          </w:tcPr>
          <w:p>
            <w:pPr>
              <w:spacing w:after="0"/>
              <w:rPr>
                <w:sz w:val="20"/>
                <w:szCs w:val="20"/>
                <w:color w:val="auto"/>
              </w:rPr>
            </w:pPr>
            <w:r>
              <w:rPr>
                <w:rFonts w:ascii="Arial" w:cs="Arial" w:eastAsia="Arial" w:hAnsi="Arial"/>
                <w:sz w:val="16"/>
                <w:szCs w:val="16"/>
                <w:b w:val="1"/>
                <w:bCs w:val="1"/>
                <w:color w:val="auto"/>
                <w:w w:val="97"/>
              </w:rPr>
              <w:t>December 31, 2017</w:t>
            </w:r>
          </w:p>
        </w:tc>
      </w:tr>
      <w:tr>
        <w:trPr>
          <w:trHeight w:val="189"/>
        </w:trPr>
        <w:tc>
          <w:tcPr>
            <w:tcW w:w="6880" w:type="dxa"/>
            <w:vAlign w:val="bottom"/>
          </w:tcPr>
          <w:p>
            <w:pPr>
              <w:spacing w:after="0"/>
              <w:rPr>
                <w:sz w:val="20"/>
                <w:szCs w:val="20"/>
                <w:color w:val="auto"/>
              </w:rPr>
            </w:pPr>
            <w:r>
              <w:rPr>
                <w:rFonts w:ascii="Arial" w:cs="Arial" w:eastAsia="Arial" w:hAnsi="Arial"/>
                <w:sz w:val="16"/>
                <w:szCs w:val="16"/>
                <w:color w:val="auto"/>
              </w:rPr>
              <w:t>Assets</w:t>
            </w:r>
          </w:p>
        </w:tc>
        <w:tc>
          <w:tcPr>
            <w:tcW w:w="15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investments</w:t>
            </w:r>
          </w:p>
        </w:tc>
        <w:tc>
          <w:tcPr>
            <w:tcW w:w="1980" w:type="dxa"/>
            <w:vAlign w:val="bottom"/>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360,745</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313,885</w:t>
            </w:r>
          </w:p>
        </w:tc>
        <w:tc>
          <w:tcPr>
            <w:tcW w:w="80" w:type="dxa"/>
            <w:vAlign w:val="bottom"/>
            <w:shd w:val="clear" w:color="auto" w:fill="CCEEFF"/>
          </w:tcPr>
          <w:p>
            <w:pPr>
              <w:spacing w:after="0"/>
              <w:rPr>
                <w:sz w:val="18"/>
                <w:szCs w:val="18"/>
                <w:color w:val="auto"/>
              </w:rPr>
            </w:pPr>
          </w:p>
        </w:tc>
      </w:tr>
      <w:tr>
        <w:trPr>
          <w:trHeight w:val="208"/>
        </w:trPr>
        <w:tc>
          <w:tcPr>
            <w:tcW w:w="6880" w:type="dxa"/>
            <w:vAlign w:val="bottom"/>
          </w:tcPr>
          <w:p>
            <w:pPr>
              <w:ind w:left="180"/>
              <w:spacing w:after="0"/>
              <w:rPr>
                <w:sz w:val="20"/>
                <w:szCs w:val="20"/>
                <w:color w:val="auto"/>
              </w:rPr>
            </w:pPr>
            <w:r>
              <w:rPr>
                <w:rFonts w:ascii="Arial" w:cs="Arial" w:eastAsia="Arial" w:hAnsi="Arial"/>
                <w:sz w:val="16"/>
                <w:szCs w:val="16"/>
                <w:color w:val="auto"/>
              </w:rPr>
              <w:t>Premiums and agents’ balances receivable</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62,745</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25,632</w:t>
            </w:r>
          </w:p>
        </w:tc>
        <w:tc>
          <w:tcPr>
            <w:tcW w:w="80" w:type="dxa"/>
            <w:vAlign w:val="bottom"/>
          </w:tcPr>
          <w:p>
            <w:pPr>
              <w:spacing w:after="0"/>
              <w:rPr>
                <w:sz w:val="18"/>
                <w:szCs w:val="18"/>
                <w:color w:val="auto"/>
              </w:rPr>
            </w:pPr>
          </w:p>
        </w:tc>
      </w:tr>
      <w:tr>
        <w:trPr>
          <w:trHeight w:val="209"/>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policy acquisition costs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11,793</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8,859</w:t>
            </w:r>
          </w:p>
        </w:tc>
        <w:tc>
          <w:tcPr>
            <w:tcW w:w="80" w:type="dxa"/>
            <w:vAlign w:val="bottom"/>
            <w:shd w:val="clear" w:color="auto" w:fill="CCEEFF"/>
          </w:tcPr>
          <w:p>
            <w:pPr>
              <w:spacing w:after="0"/>
              <w:rPr>
                <w:sz w:val="18"/>
                <w:szCs w:val="18"/>
                <w:color w:val="auto"/>
              </w:rPr>
            </w:pPr>
          </w:p>
        </w:tc>
      </w:tr>
      <w:tr>
        <w:trPr>
          <w:trHeight w:val="208"/>
        </w:trPr>
        <w:tc>
          <w:tcPr>
            <w:tcW w:w="68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55,599</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28,612</w:t>
            </w:r>
          </w:p>
        </w:tc>
        <w:tc>
          <w:tcPr>
            <w:tcW w:w="80" w:type="dxa"/>
            <w:vAlign w:val="bottom"/>
          </w:tcPr>
          <w:p>
            <w:pPr>
              <w:spacing w:after="0"/>
              <w:rPr>
                <w:sz w:val="18"/>
                <w:szCs w:val="18"/>
                <w:color w:val="auto"/>
              </w:rPr>
            </w:pPr>
          </w:p>
        </w:tc>
      </w:tr>
      <w:tr>
        <w:trPr>
          <w:trHeight w:val="201"/>
        </w:trPr>
        <w:tc>
          <w:tcPr>
            <w:tcW w:w="6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490,882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376,988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6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6880" w:type="dxa"/>
            <w:vAlign w:val="bottom"/>
          </w:tcPr>
          <w:p>
            <w:pPr>
              <w:ind w:left="180"/>
              <w:spacing w:after="0"/>
              <w:rPr>
                <w:sz w:val="20"/>
                <w:szCs w:val="20"/>
                <w:color w:val="auto"/>
              </w:rPr>
            </w:pPr>
            <w:r>
              <w:rPr>
                <w:rFonts w:ascii="Arial" w:cs="Arial" w:eastAsia="Arial" w:hAnsi="Arial"/>
                <w:sz w:val="16"/>
                <w:szCs w:val="16"/>
                <w:color w:val="auto"/>
              </w:rPr>
              <w:t>Unpaid losses and loss adjustment expenses</w:t>
            </w:r>
          </w:p>
        </w:tc>
        <w:tc>
          <w:tcPr>
            <w:tcW w:w="1980" w:type="dxa"/>
            <w:vAlign w:val="bottom"/>
            <w:gridSpan w:val="2"/>
          </w:tcPr>
          <w:p>
            <w:pPr>
              <w:jc w:val="right"/>
              <w:ind w:right="283"/>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105,653</w:t>
            </w: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45,890</w:t>
            </w:r>
          </w:p>
        </w:tc>
        <w:tc>
          <w:tcPr>
            <w:tcW w:w="80" w:type="dxa"/>
            <w:vAlign w:val="bottom"/>
          </w:tcPr>
          <w:p>
            <w:pPr>
              <w:spacing w:after="0"/>
              <w:rPr>
                <w:sz w:val="18"/>
                <w:szCs w:val="18"/>
                <w:color w:val="auto"/>
              </w:rPr>
            </w:pPr>
          </w:p>
        </w:tc>
      </w:tr>
      <w:tr>
        <w:trPr>
          <w:trHeight w:val="209"/>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premiums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98,308</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63,262</w:t>
            </w:r>
          </w:p>
        </w:tc>
        <w:tc>
          <w:tcPr>
            <w:tcW w:w="80" w:type="dxa"/>
            <w:vAlign w:val="bottom"/>
            <w:shd w:val="clear" w:color="auto" w:fill="CCEEFF"/>
          </w:tcPr>
          <w:p>
            <w:pPr>
              <w:spacing w:after="0"/>
              <w:rPr>
                <w:sz w:val="18"/>
                <w:szCs w:val="18"/>
                <w:color w:val="auto"/>
              </w:rPr>
            </w:pPr>
          </w:p>
        </w:tc>
      </w:tr>
      <w:tr>
        <w:trPr>
          <w:trHeight w:val="208"/>
        </w:trPr>
        <w:tc>
          <w:tcPr>
            <w:tcW w:w="688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17,529</w:t>
            </w:r>
          </w:p>
        </w:tc>
        <w:tc>
          <w:tcPr>
            <w:tcW w:w="4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12,263</w:t>
            </w:r>
          </w:p>
        </w:tc>
        <w:tc>
          <w:tcPr>
            <w:tcW w:w="80" w:type="dxa"/>
            <w:vAlign w:val="bottom"/>
          </w:tcPr>
          <w:p>
            <w:pPr>
              <w:spacing w:after="0"/>
              <w:rPr>
                <w:sz w:val="18"/>
                <w:szCs w:val="18"/>
                <w:color w:val="auto"/>
              </w:rPr>
            </w:pPr>
          </w:p>
        </w:tc>
      </w:tr>
      <w:tr>
        <w:trPr>
          <w:trHeight w:val="201"/>
        </w:trPr>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221,490</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121,415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6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269,392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255,573</w:t>
            </w:r>
          </w:p>
        </w:tc>
        <w:tc>
          <w:tcPr>
            <w:tcW w:w="80" w:type="dxa"/>
            <w:vAlign w:val="bottom"/>
            <w:shd w:val="clear" w:color="auto" w:fill="CCEEFF"/>
          </w:tcPr>
          <w:p>
            <w:pPr>
              <w:spacing w:after="0"/>
              <w:rPr>
                <w:sz w:val="18"/>
                <w:szCs w:val="18"/>
                <w:color w:val="auto"/>
              </w:rPr>
            </w:pPr>
          </w:p>
        </w:tc>
      </w:tr>
      <w:tr>
        <w:trPr>
          <w:trHeight w:val="200"/>
        </w:trPr>
        <w:tc>
          <w:tcPr>
            <w:tcW w:w="6880" w:type="dxa"/>
            <w:vAlign w:val="bottom"/>
          </w:tcPr>
          <w:p>
            <w:pPr>
              <w:ind w:left="360"/>
              <w:spacing w:after="0"/>
              <w:rPr>
                <w:sz w:val="20"/>
                <w:szCs w:val="20"/>
                <w:color w:val="auto"/>
              </w:rPr>
            </w:pPr>
            <w:r>
              <w:rPr>
                <w:rFonts w:ascii="Arial" w:cs="Arial" w:eastAsia="Arial" w:hAnsi="Arial"/>
                <w:sz w:val="16"/>
                <w:szCs w:val="16"/>
                <w:color w:val="auto"/>
              </w:rPr>
              <w:t>Total liabilities and equity</w:t>
            </w:r>
          </w:p>
        </w:tc>
        <w:tc>
          <w:tcPr>
            <w:tcW w:w="15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490,882</w:t>
            </w:r>
          </w:p>
        </w:tc>
        <w:tc>
          <w:tcPr>
            <w:tcW w:w="2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376,988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7" w:lineRule="exact"/>
        <w:rPr>
          <w:sz w:val="20"/>
          <w:szCs w:val="20"/>
          <w:color w:val="auto"/>
        </w:rPr>
      </w:pPr>
    </w:p>
    <w:p>
      <w:pPr>
        <w:ind w:right="220" w:firstLine="589"/>
        <w:spacing w:after="0" w:line="266" w:lineRule="auto"/>
        <w:rPr>
          <w:sz w:val="20"/>
          <w:szCs w:val="20"/>
          <w:color w:val="auto"/>
        </w:rPr>
      </w:pPr>
      <w:r>
        <w:rPr>
          <w:rFonts w:ascii="Arial" w:cs="Arial" w:eastAsia="Arial" w:hAnsi="Arial"/>
          <w:sz w:val="16"/>
          <w:szCs w:val="16"/>
          <w:color w:val="auto"/>
        </w:rPr>
        <w:t>At September 30, 2018, NI Holdings had total assets of $490,882, an increase of $113,894, or 30.2%, from December 31, 2017. The acquisition of Direct Auto on August 31, 2018 added $70,533 in cash and investments, $5,849 of premium-related receivables, and $5,502 of intangible assets. Consideration paid for Direct Auto was $17,000. Receivables from policyholders increased due to recognition of crop insurance sales in second quarter. Deferred policy acquisition costs also increased due to the recognition of sales commissions on crop insurance policies during the second quarter.</w:t>
      </w:r>
    </w:p>
    <w:p>
      <w:pPr>
        <w:spacing w:after="0" w:line="129" w:lineRule="exact"/>
        <w:rPr>
          <w:sz w:val="20"/>
          <w:szCs w:val="20"/>
          <w:color w:val="auto"/>
        </w:rPr>
      </w:pPr>
    </w:p>
    <w:p>
      <w:pPr>
        <w:jc w:val="both"/>
        <w:ind w:right="100" w:firstLine="589"/>
        <w:spacing w:after="0" w:line="289" w:lineRule="auto"/>
        <w:rPr>
          <w:sz w:val="20"/>
          <w:szCs w:val="20"/>
          <w:color w:val="auto"/>
        </w:rPr>
      </w:pPr>
      <w:r>
        <w:rPr>
          <w:rFonts w:ascii="Arial" w:cs="Arial" w:eastAsia="Arial" w:hAnsi="Arial"/>
          <w:sz w:val="15"/>
          <w:szCs w:val="15"/>
          <w:color w:val="auto"/>
        </w:rPr>
        <w:t>At September 30, 2018, total liabilities were $221,490, an increase of $100,075, or 82.4%, from December 31, 2017. The acquisition of Direct Auto on August 31, 2018 added $40,967 of unpaid losses and LAE as well as $15,955 of unearned premiums. Third quarter unpaid losses are typically higher than fourth quarter due to weather-related experience, and also include unpaid losses on crop insurance. Unearned premiums for September 30 reflect the remaining portion of crop insurance premiums still to be earned in fourth quarter. Other liabilities increased as commissions and processing fees were accrued for crop business.</w:t>
      </w:r>
    </w:p>
    <w:p>
      <w:pPr>
        <w:spacing w:after="0" w:line="126" w:lineRule="exact"/>
        <w:rPr>
          <w:sz w:val="20"/>
          <w:szCs w:val="20"/>
          <w:color w:val="auto"/>
        </w:rPr>
      </w:pPr>
    </w:p>
    <w:p>
      <w:pPr>
        <w:ind w:right="140" w:firstLine="589"/>
        <w:spacing w:after="0" w:line="322" w:lineRule="auto"/>
        <w:rPr>
          <w:sz w:val="20"/>
          <w:szCs w:val="20"/>
          <w:color w:val="auto"/>
        </w:rPr>
      </w:pPr>
      <w:r>
        <w:rPr>
          <w:rFonts w:ascii="Arial" w:cs="Arial" w:eastAsia="Arial" w:hAnsi="Arial"/>
          <w:sz w:val="15"/>
          <w:szCs w:val="15"/>
          <w:color w:val="auto"/>
        </w:rPr>
        <w:t>Total equity increased by $13,819, or 5.4%, during the nine months ended September 30, 2018. The increase in equity primarily reflects consolidated net income of $16,285 for the nine month period, partially offset by a decrease in accumulated other comprehensive income due to lower fair values of our fixed income securities.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Stock Offering on Nodak Insurance Company and NI Holdings</w:t>
      </w:r>
    </w:p>
    <w:p>
      <w:pPr>
        <w:spacing w:after="0" w:line="176" w:lineRule="exact"/>
        <w:rPr>
          <w:sz w:val="20"/>
          <w:szCs w:val="20"/>
          <w:color w:val="auto"/>
        </w:rPr>
      </w:pPr>
    </w:p>
    <w:p>
      <w:pPr>
        <w:jc w:val="both"/>
        <w:ind w:right="180" w:firstLine="589"/>
        <w:spacing w:after="0" w:line="271" w:lineRule="auto"/>
        <w:rPr>
          <w:sz w:val="20"/>
          <w:szCs w:val="20"/>
          <w:color w:val="auto"/>
        </w:rPr>
      </w:pPr>
      <w:r>
        <w:rPr>
          <w:rFonts w:ascii="Arial" w:cs="Arial" w:eastAsia="Arial" w:hAnsi="Arial"/>
          <w:sz w:val="16"/>
          <w:szCs w:val="16"/>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common stock of NI Holdings was available for public trading on March 16, 2017.</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60" w:name="page61"/>
    <w:bookmarkEnd w:id="60"/>
    <w:p>
      <w:pPr>
        <w:ind w:left="2"/>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Liquidity and Capital Resources</w:t>
      </w:r>
    </w:p>
    <w:p>
      <w:pPr>
        <w:spacing w:after="0" w:line="176" w:lineRule="exact"/>
        <w:rPr>
          <w:sz w:val="20"/>
          <w:szCs w:val="20"/>
          <w:color w:val="auto"/>
        </w:rPr>
      </w:pPr>
    </w:p>
    <w:p>
      <w:pPr>
        <w:ind w:left="2" w:right="20" w:firstLine="589"/>
        <w:spacing w:after="0" w:line="297" w:lineRule="auto"/>
        <w:rPr>
          <w:sz w:val="20"/>
          <w:szCs w:val="20"/>
          <w:color w:val="auto"/>
        </w:rPr>
      </w:pPr>
      <w:r>
        <w:rPr>
          <w:rFonts w:ascii="Arial" w:cs="Arial" w:eastAsia="Arial" w:hAnsi="Arial"/>
          <w:sz w:val="15"/>
          <w:szCs w:val="15"/>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are available if necessary to meet the demands of claim settlements and operating expenses.</w:t>
      </w:r>
    </w:p>
    <w:p>
      <w:pPr>
        <w:spacing w:after="0" w:line="120" w:lineRule="exact"/>
        <w:rPr>
          <w:sz w:val="20"/>
          <w:szCs w:val="20"/>
          <w:color w:val="auto"/>
        </w:rPr>
      </w:pPr>
    </w:p>
    <w:p>
      <w:pPr>
        <w:ind w:left="2" w:right="400" w:firstLine="589"/>
        <w:spacing w:after="0" w:line="286" w:lineRule="auto"/>
        <w:rPr>
          <w:sz w:val="20"/>
          <w:szCs w:val="20"/>
          <w:color w:val="auto"/>
        </w:rPr>
      </w:pPr>
      <w:r>
        <w:rPr>
          <w:rFonts w:ascii="Arial" w:cs="Arial" w:eastAsia="Arial" w:hAnsi="Arial"/>
          <w:sz w:val="16"/>
          <w:szCs w:val="16"/>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ectPr>
          <w:pgSz w:w="11900" w:h="16838" w:orient="portrait"/>
          <w:cols w:equalWidth="0" w:num="1">
            <w:col w:w="11382"/>
          </w:cols>
          <w:pgMar w:left="238" w:top="218" w:right="279" w:bottom="1440" w:gutter="0" w:footer="0" w:header="0"/>
        </w:sectPr>
      </w:pPr>
    </w:p>
    <w:p>
      <w:pPr>
        <w:spacing w:after="0" w:line="113" w:lineRule="exact"/>
        <w:rPr>
          <w:sz w:val="20"/>
          <w:szCs w:val="20"/>
          <w:color w:val="auto"/>
        </w:rPr>
      </w:pPr>
    </w:p>
    <w:p>
      <w:pPr>
        <w:ind w:left="582"/>
        <w:spacing w:after="0"/>
        <w:rPr>
          <w:sz w:val="20"/>
          <w:szCs w:val="20"/>
          <w:color w:val="auto"/>
        </w:rPr>
      </w:pPr>
      <w:r>
        <w:rPr>
          <w:rFonts w:ascii="Arial" w:cs="Arial" w:eastAsia="Arial" w:hAnsi="Arial"/>
          <w:sz w:val="14"/>
          <w:szCs w:val="14"/>
          <w:color w:val="auto"/>
        </w:rPr>
        <w:t>The change in cash and cash equivalents for the nine months ended September 30, 2018 and 2017 were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132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cash provided by (used in) investing activities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ind w:left="122"/>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(4,712)</w:t>
            </w:r>
          </w:p>
        </w:tc>
        <w:tc>
          <w:tcPr>
            <w:tcW w:w="220" w:type="dxa"/>
            <w:vAlign w:val="bottom"/>
          </w:tcPr>
          <w:p>
            <w:pPr>
              <w:spacing w:after="0"/>
              <w:rPr>
                <w:sz w:val="15"/>
                <w:szCs w:val="15"/>
                <w:color w:val="auto"/>
              </w:rPr>
            </w:pPr>
          </w:p>
        </w:tc>
        <w:tc>
          <w:tcPr>
            <w:tcW w:w="280" w:type="dxa"/>
            <w:vAlign w:val="bottom"/>
          </w:tcPr>
          <w:p>
            <w:pPr>
              <w:jc w:val="right"/>
              <w:ind w:right="98"/>
              <w:spacing w:after="0" w:line="176"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76" w:lineRule="exact"/>
              <w:rPr>
                <w:sz w:val="20"/>
                <w:szCs w:val="20"/>
                <w:color w:val="auto"/>
              </w:rPr>
            </w:pPr>
            <w:r>
              <w:rPr>
                <w:rFonts w:ascii="Arial" w:cs="Arial" w:eastAsia="Arial" w:hAnsi="Arial"/>
                <w:sz w:val="16"/>
                <w:szCs w:val="16"/>
                <w:color w:val="auto"/>
              </w:rPr>
              <w:t>(7,795)</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28,778</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(90,247)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82,708</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24,066</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(15,334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2" w:space="480"/>
            <w:col w:w="2800"/>
          </w:cols>
          <w:pgMar w:left="238" w:top="218" w:right="279" w:bottom="1440" w:gutter="0" w:footer="0" w:header="0"/>
          <w:type w:val="continuous"/>
        </w:sectPr>
      </w:pPr>
    </w:p>
    <w:p>
      <w:pPr>
        <w:spacing w:after="0" w:line="155" w:lineRule="exact"/>
        <w:rPr>
          <w:sz w:val="20"/>
          <w:szCs w:val="20"/>
          <w:color w:val="auto"/>
        </w:rPr>
      </w:pPr>
    </w:p>
    <w:p>
      <w:pPr>
        <w:ind w:left="2" w:right="240" w:firstLine="589"/>
        <w:spacing w:after="0" w:line="266" w:lineRule="auto"/>
        <w:rPr>
          <w:sz w:val="20"/>
          <w:szCs w:val="20"/>
          <w:color w:val="auto"/>
        </w:rPr>
      </w:pPr>
      <w:r>
        <w:rPr>
          <w:rFonts w:ascii="Arial" w:cs="Arial" w:eastAsia="Arial" w:hAnsi="Arial"/>
          <w:sz w:val="16"/>
          <w:szCs w:val="16"/>
          <w:color w:val="auto"/>
        </w:rPr>
        <w:t>For the nine months ended September 30, 2018, net cash used in operating activities totaled $4,712 compared to $7,795 a year ago. Consolidated net income of $16,285 for the nine months ended September 30, 2018 compared to $2,173 for the same period a year ago. Excluding the amounts directly attributed to the acquisition of Direct Auto, premiums receivable and the receivable from FCIC increased considerably, partially offset by increases in unearned premiums and unpaid losses and loss adjustment expenses.</w:t>
      </w:r>
    </w:p>
    <w:p>
      <w:pPr>
        <w:spacing w:after="0" w:line="129" w:lineRule="exact"/>
        <w:rPr>
          <w:sz w:val="20"/>
          <w:szCs w:val="20"/>
          <w:color w:val="auto"/>
        </w:rPr>
      </w:pPr>
    </w:p>
    <w:p>
      <w:pPr>
        <w:ind w:left="2" w:right="40" w:firstLine="589"/>
        <w:spacing w:after="0" w:line="271" w:lineRule="auto"/>
        <w:rPr>
          <w:sz w:val="20"/>
          <w:szCs w:val="20"/>
          <w:color w:val="auto"/>
        </w:rPr>
      </w:pPr>
      <w:r>
        <w:rPr>
          <w:rFonts w:ascii="Arial" w:cs="Arial" w:eastAsia="Arial" w:hAnsi="Arial"/>
          <w:sz w:val="16"/>
          <w:szCs w:val="16"/>
          <w:color w:val="auto"/>
        </w:rPr>
        <w:t>Net cash provided by investing activities totaled $28,778 for the nine months ended September 30, 2018, compared to $90,247 net cash used in investing activities a year ago. The net cash provided in 2018 primarily relates to the acquisition of Direct Auto. The net cash used in 2017 primarily resulted from the opportunity to invest the excess cash raised from our initial public offering.</w:t>
      </w:r>
    </w:p>
    <w:p>
      <w:pPr>
        <w:spacing w:after="0" w:line="125" w:lineRule="exact"/>
        <w:rPr>
          <w:sz w:val="20"/>
          <w:szCs w:val="20"/>
          <w:color w:val="auto"/>
        </w:rPr>
      </w:pPr>
    </w:p>
    <w:p>
      <w:pPr>
        <w:ind w:left="582"/>
        <w:spacing w:after="0"/>
        <w:rPr>
          <w:sz w:val="20"/>
          <w:szCs w:val="20"/>
          <w:color w:val="auto"/>
        </w:rPr>
      </w:pPr>
      <w:r>
        <w:rPr>
          <w:rFonts w:ascii="Arial" w:cs="Arial" w:eastAsia="Arial" w:hAnsi="Arial"/>
          <w:sz w:val="15"/>
          <w:szCs w:val="15"/>
          <w:color w:val="auto"/>
        </w:rPr>
        <w:t>There was no net cash provided by or used in financing activities for the nine months ended September 30, 2018. Net cash provided by financing activities of</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color w:val="auto"/>
        </w:rPr>
        <w:t>$82,708 for the nine months ended September 30, 2017 reflect the net proceeds from our initial public offering, offset by the initial funding of our new employee stock option</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plan and the purchase of treasury stock.</w:t>
      </w:r>
    </w:p>
    <w:p>
      <w:pPr>
        <w:spacing w:after="0" w:line="173" w:lineRule="exact"/>
        <w:rPr>
          <w:sz w:val="20"/>
          <w:szCs w:val="20"/>
          <w:color w:val="auto"/>
        </w:rPr>
      </w:pPr>
    </w:p>
    <w:p>
      <w:pPr>
        <w:ind w:left="2" w:right="160" w:firstLine="589"/>
        <w:spacing w:after="0" w:line="286" w:lineRule="auto"/>
        <w:rPr>
          <w:sz w:val="20"/>
          <w:szCs w:val="20"/>
          <w:color w:val="auto"/>
        </w:rPr>
      </w:pPr>
      <w:r>
        <w:rPr>
          <w:rFonts w:ascii="Arial" w:cs="Arial" w:eastAsia="Arial" w:hAnsi="Arial"/>
          <w:sz w:val="16"/>
          <w:szCs w:val="16"/>
          <w:color w:val="auto"/>
        </w:rPr>
        <w:t>As a standalone entity, and outside of the net proceeds from the recent initial public offering, NI Holdings’ principal source of long-term liquidity will be dividend payments from Nodak Insurance and Direct Auto.</w:t>
      </w:r>
    </w:p>
    <w:p>
      <w:pPr>
        <w:spacing w:after="0" w:line="113" w:lineRule="exact"/>
        <w:rPr>
          <w:sz w:val="20"/>
          <w:szCs w:val="20"/>
          <w:color w:val="auto"/>
        </w:rPr>
      </w:pPr>
    </w:p>
    <w:p>
      <w:pPr>
        <w:ind w:left="2" w:firstLine="589"/>
        <w:spacing w:after="0" w:line="298" w:lineRule="auto"/>
        <w:rPr>
          <w:sz w:val="20"/>
          <w:szCs w:val="20"/>
          <w:color w:val="auto"/>
        </w:rPr>
      </w:pPr>
      <w:r>
        <w:rPr>
          <w:rFonts w:ascii="Arial" w:cs="Arial" w:eastAsia="Arial" w:hAnsi="Arial"/>
          <w:sz w:val="14"/>
          <w:szCs w:val="14"/>
          <w:color w:val="auto"/>
        </w:rPr>
        <w:t>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w:t>
      </w:r>
    </w:p>
    <w:p>
      <w:pPr>
        <w:ind w:left="2" w:right="100" w:hanging="2"/>
        <w:spacing w:after="0" w:line="261" w:lineRule="auto"/>
        <w:tabs>
          <w:tab w:leader="none" w:pos="2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33" w:lineRule="exact"/>
        <w:rPr>
          <w:sz w:val="20"/>
          <w:szCs w:val="20"/>
          <w:color w:val="auto"/>
        </w:rPr>
      </w:pPr>
    </w:p>
    <w:p>
      <w:pPr>
        <w:ind w:left="2" w:right="20" w:firstLine="589"/>
        <w:spacing w:after="0" w:line="282" w:lineRule="auto"/>
        <w:rPr>
          <w:sz w:val="20"/>
          <w:szCs w:val="20"/>
          <w:color w:val="auto"/>
        </w:rPr>
      </w:pPr>
      <w:r>
        <w:rPr>
          <w:rFonts w:ascii="Arial" w:cs="Arial" w:eastAsia="Arial" w:hAnsi="Arial"/>
          <w:sz w:val="15"/>
          <w:szCs w:val="15"/>
          <w:color w:val="auto"/>
        </w:rPr>
        <w:t>The amount available for payment of dividends from Nodak Insurance without the prior approval of the North Dakota Insurance Department is approximately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nine months ended September 30, 2018 or the year ended December 31, 2017.</w:t>
      </w:r>
    </w:p>
    <w:p>
      <w:pPr>
        <w:spacing w:after="0" w:line="133" w:lineRule="exact"/>
        <w:rPr>
          <w:sz w:val="20"/>
          <w:szCs w:val="20"/>
          <w:color w:val="auto"/>
        </w:rPr>
      </w:pPr>
    </w:p>
    <w:p>
      <w:pPr>
        <w:ind w:left="2" w:right="140" w:firstLine="589"/>
        <w:spacing w:after="0" w:line="263" w:lineRule="auto"/>
        <w:rPr>
          <w:sz w:val="20"/>
          <w:szCs w:val="20"/>
          <w:color w:val="auto"/>
        </w:rPr>
      </w:pPr>
      <w:r>
        <w:rPr>
          <w:rFonts w:ascii="Arial" w:cs="Arial" w:eastAsia="Arial" w:hAnsi="Arial"/>
          <w:sz w:val="16"/>
          <w:szCs w:val="16"/>
          <w:color w:val="auto"/>
        </w:rPr>
        <w:t>Direct Auto will be restricted by the insurance laws of Illinois as to the amount of dividends or other distributions it may pay to NI Holdings. Illinois law sets the maximum amount of dividends that may be paid by Direct Auto during any twelve-month period after notice to, but without prior approval of, the Illinois Department of Insurance. This amount cannot exceed the greater of (i) 10% of the Company’s surplus as regards policyholders as of the preceding December 31, or (ii) the Company’s statutory net income for the preceding calendar year (excluding realized capital gains). Dividends in excess of this amount are considered “extraordinary” and are subject to the approval of the Illinois Department of Insurance.</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5932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82"/>
          </w:cols>
          <w:pgMar w:left="238" w:top="218" w:right="279" w:bottom="1440" w:gutter="0" w:footer="0" w:header="0"/>
          <w:type w:val="continuous"/>
        </w:sectPr>
      </w:pPr>
    </w:p>
    <w:bookmarkStart w:id="61" w:name="page62"/>
    <w:bookmarkEnd w:id="61"/>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ind w:firstLine="589"/>
        <w:spacing w:after="0" w:line="282" w:lineRule="auto"/>
        <w:rPr>
          <w:sz w:val="20"/>
          <w:szCs w:val="20"/>
          <w:color w:val="auto"/>
        </w:rPr>
      </w:pPr>
      <w:r>
        <w:rPr>
          <w:rFonts w:ascii="Arial" w:cs="Arial" w:eastAsia="Arial" w:hAnsi="Arial"/>
          <w:sz w:val="15"/>
          <w:szCs w:val="15"/>
          <w:color w:val="auto"/>
        </w:rPr>
        <w:t>The amount available for payment of dividends from Direct Auto to NI Holdings without the prior approval of the Illinois Department of Insurance is $1,206 based upon the policyholders’ surplus of Direct Auto at December 31, 2017. Prior to its payment of any dividend, Direct Auto will be required to provide notice of the dividend to the Illinois Department of Insurance. This notice must be provided to the Illinois Department of Insurance within five business days following declaration of any dividend and no less than 30 days prior to the payment of an extraordinary dividend or 10 days prior to the payment of an ordinary dividend. The Illinois Department of Insurance has the power to limit or prohibit dividend payments if Direct Auto is in violation of any law or regulation. These restrictions or any subsequently imposed restrictions may affect our future liquidity. No dividends were declared or paid by Direct Auto subsequent to December 31, 2017.</w:t>
      </w:r>
    </w:p>
    <w:p>
      <w:pPr>
        <w:spacing w:after="0" w:line="121" w:lineRule="exact"/>
        <w:rPr>
          <w:sz w:val="20"/>
          <w:szCs w:val="20"/>
          <w:color w:val="auto"/>
        </w:rPr>
      </w:pPr>
    </w:p>
    <w:p>
      <w:pPr>
        <w:jc w:val="both"/>
        <w:ind w:right="40" w:firstLine="589"/>
        <w:spacing w:after="0" w:line="271" w:lineRule="auto"/>
        <w:rPr>
          <w:sz w:val="20"/>
          <w:szCs w:val="20"/>
          <w:color w:val="auto"/>
        </w:rPr>
      </w:pPr>
      <w:r>
        <w:rPr>
          <w:rFonts w:ascii="Arial" w:cs="Arial" w:eastAsia="Arial" w:hAnsi="Arial"/>
          <w:sz w:val="16"/>
          <w:szCs w:val="16"/>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higher levels of expenses related to accounting and legal services that will be necessary to comply with such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8"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For a discussion of recent accounting pronouncements, see Note 5 to the Unaudited Consolidated Financial Statements, included elsewhere in this Report.</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62" w:name="page63"/>
    <w:bookmarkEnd w:id="62"/>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Quantitative and Qualitative Disclosures about Market Risk</w:t>
      </w:r>
    </w:p>
    <w:p>
      <w:pPr>
        <w:spacing w:after="0" w:line="176" w:lineRule="exact"/>
        <w:rPr>
          <w:sz w:val="20"/>
          <w:szCs w:val="20"/>
          <w:color w:val="auto"/>
        </w:rPr>
      </w:pPr>
    </w:p>
    <w:p>
      <w:pPr>
        <w:ind w:right="280" w:firstLine="589"/>
        <w:spacing w:after="0" w:line="286" w:lineRule="auto"/>
        <w:rPr>
          <w:sz w:val="20"/>
          <w:szCs w:val="20"/>
          <w:color w:val="auto"/>
        </w:rPr>
      </w:pPr>
      <w:r>
        <w:rPr>
          <w:rFonts w:ascii="Arial" w:cs="Arial" w:eastAsia="Arial" w:hAnsi="Arial"/>
          <w:sz w:val="16"/>
          <w:szCs w:val="16"/>
          <w:color w:val="auto"/>
        </w:rPr>
        <w:t>The Company’s assessment of market risk as of September 30, 2018 indicates there have been no material changes in the quantitative and qualitative disclosures from those in our Annual Report on Form 10-K for the year ended December 31, 2017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Evaluation of Disclosure Controls and Procedures</w:t>
      </w:r>
    </w:p>
    <w:p>
      <w:pPr>
        <w:spacing w:after="0" w:line="114"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The Company’s Chief Executive Officer and Chief Financial Officer have reviewed and evaluated the effectiveness of the Company’s disclosure controls and procedures (as required by Exchange Act Rules 240.13a-15(b) and 15d-14(a)) as of September 30, 2018.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Changes in Internal Controls</w:t>
      </w:r>
    </w:p>
    <w:p>
      <w:pPr>
        <w:spacing w:after="0" w:line="114" w:lineRule="exact"/>
        <w:rPr>
          <w:sz w:val="20"/>
          <w:szCs w:val="20"/>
          <w:color w:val="auto"/>
        </w:rPr>
      </w:pPr>
    </w:p>
    <w:p>
      <w:pPr>
        <w:ind w:right="360" w:firstLine="589"/>
        <w:spacing w:after="0" w:line="271" w:lineRule="auto"/>
        <w:rPr>
          <w:sz w:val="20"/>
          <w:szCs w:val="20"/>
          <w:color w:val="auto"/>
        </w:rPr>
      </w:pPr>
      <w:r>
        <w:rPr>
          <w:rFonts w:ascii="Arial" w:cs="Arial" w:eastAsia="Arial" w:hAnsi="Arial"/>
          <w:sz w:val="16"/>
          <w:szCs w:val="16"/>
          <w:color w:val="auto"/>
        </w:rPr>
        <w:t>There have not been any changes in the Company’s internal control over financial reporting (as such term is defined in Rules 13a-15(f) and 15d-15(f) under the Exchange Act) during the quarter ended September 30, 2018, to which this report relates that have materially affected, or are reasonably likely to materially affect the Company’s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380"/>
          </w:cols>
          <w:pgMar w:left="240" w:top="218" w:right="279" w:bottom="1440" w:gutter="0" w:footer="0" w:header="0"/>
        </w:sectPr>
      </w:pPr>
    </w:p>
    <w:bookmarkStart w:id="63" w:name="page64"/>
    <w:bookmarkEnd w:id="63"/>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Legal Proceedings</w:t>
      </w:r>
    </w:p>
    <w:p>
      <w:pPr>
        <w:spacing w:after="0" w:line="188"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 Risk Factors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There have been no material changes in our assessment of our risk factors from those set forth in our Annual Report on Form 10-K for the year ended December 31,</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Unregistered Sales of Equity Securities and Use of Proceeds</w:t>
      </w:r>
    </w:p>
    <w:p>
      <w:pPr>
        <w:spacing w:after="0" w:line="176" w:lineRule="exact"/>
        <w:rPr>
          <w:sz w:val="20"/>
          <w:szCs w:val="20"/>
          <w:color w:val="auto"/>
        </w:rPr>
      </w:pPr>
    </w:p>
    <w:p>
      <w:pPr>
        <w:ind w:firstLine="589"/>
        <w:spacing w:after="0" w:line="266" w:lineRule="auto"/>
        <w:rPr>
          <w:sz w:val="20"/>
          <w:szCs w:val="20"/>
          <w:color w:val="auto"/>
        </w:rPr>
      </w:pPr>
      <w:r>
        <w:rPr>
          <w:rFonts w:ascii="Arial" w:cs="Arial" w:eastAsia="Arial" w:hAnsi="Arial"/>
          <w:sz w:val="16"/>
          <w:szCs w:val="16"/>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66"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Direct Auto was acquired on August 31, 2018 with $17,000 of the net proceeds from the initial public offering. There has been no material change in the planned use of proceeds from our initial public offering as described in our final prospectus filed with the SEC on January 17, 2017.</w:t>
      </w:r>
    </w:p>
    <w:p>
      <w:pPr>
        <w:spacing w:after="0" w:line="150" w:lineRule="exact"/>
        <w:rPr>
          <w:sz w:val="20"/>
          <w:szCs w:val="20"/>
          <w:color w:val="auto"/>
        </w:rPr>
      </w:pPr>
    </w:p>
    <w:p>
      <w:pPr>
        <w:ind w:right="520" w:firstLine="589"/>
        <w:spacing w:after="0" w:line="286" w:lineRule="auto"/>
        <w:rPr>
          <w:sz w:val="20"/>
          <w:szCs w:val="20"/>
          <w:color w:val="auto"/>
        </w:rPr>
      </w:pPr>
      <w:r>
        <w:rPr>
          <w:rFonts w:ascii="Arial" w:cs="Arial" w:eastAsia="Arial" w:hAnsi="Arial"/>
          <w:sz w:val="16"/>
          <w:szCs w:val="16"/>
          <w:color w:val="auto"/>
        </w:rPr>
        <w:t>On February 28, 2018, our Board of Directors approved an authorization for the repurchase of up to approximately $10 million of the Company’s outstanding common stock. We did not purchase any shares of our common stock during the three or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Total Number of</w:t>
            </w:r>
          </w:p>
        </w:tc>
        <w:tc>
          <w:tcPr>
            <w:tcW w:w="1680" w:type="dxa"/>
            <w:vAlign w:val="bottom"/>
            <w:gridSpan w:val="3"/>
          </w:tcPr>
          <w:p>
            <w:pPr>
              <w:ind w:left="20"/>
              <w:spacing w:after="0"/>
              <w:rPr>
                <w:sz w:val="20"/>
                <w:szCs w:val="20"/>
                <w:color w:val="auto"/>
              </w:rPr>
            </w:pPr>
            <w:r>
              <w:rPr>
                <w:rFonts w:ascii="Arial" w:cs="Arial" w:eastAsia="Arial" w:hAnsi="Arial"/>
                <w:sz w:val="16"/>
                <w:szCs w:val="16"/>
                <w:color w:val="auto"/>
              </w:rPr>
              <w:t>Maximum Dollar Value</w:t>
            </w: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Shares Purchased</w:t>
            </w:r>
          </w:p>
        </w:tc>
        <w:tc>
          <w:tcPr>
            <w:tcW w:w="1680" w:type="dxa"/>
            <w:vAlign w:val="bottom"/>
            <w:gridSpan w:val="3"/>
          </w:tcPr>
          <w:p>
            <w:pPr>
              <w:ind w:left="20"/>
              <w:spacing w:after="0"/>
              <w:rPr>
                <w:sz w:val="20"/>
                <w:szCs w:val="20"/>
                <w:color w:val="auto"/>
              </w:rPr>
            </w:pPr>
            <w:r>
              <w:rPr>
                <w:rFonts w:ascii="Arial" w:cs="Arial" w:eastAsia="Arial" w:hAnsi="Arial"/>
                <w:sz w:val="16"/>
                <w:szCs w:val="16"/>
                <w:color w:val="auto"/>
                <w:w w:val="97"/>
              </w:rPr>
              <w:t>of Shares That May Yet</w:t>
            </w: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Total 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Average Price</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as Part of Publicly</w:t>
            </w:r>
          </w:p>
        </w:tc>
        <w:tc>
          <w:tcPr>
            <w:tcW w:w="1680" w:type="dxa"/>
            <w:vAlign w:val="bottom"/>
            <w:gridSpan w:val="3"/>
          </w:tcPr>
          <w:p>
            <w:pPr>
              <w:spacing w:after="0"/>
              <w:rPr>
                <w:sz w:val="20"/>
                <w:szCs w:val="20"/>
                <w:color w:val="auto"/>
              </w:rPr>
            </w:pPr>
            <w:r>
              <w:rPr>
                <w:rFonts w:ascii="Arial" w:cs="Arial" w:eastAsia="Arial" w:hAnsi="Arial"/>
                <w:sz w:val="16"/>
                <w:szCs w:val="16"/>
                <w:color w:val="auto"/>
                <w:w w:val="94"/>
              </w:rPr>
              <w:t>Be Purchased Under the</w:t>
            </w:r>
          </w:p>
        </w:tc>
      </w:tr>
      <w:tr>
        <w:trPr>
          <w:trHeight w:val="198"/>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color w:val="auto"/>
                <w:w w:val="93"/>
              </w:rPr>
              <w:t>Paid</w:t>
            </w: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Announced Plans</w:t>
            </w:r>
          </w:p>
        </w:tc>
        <w:tc>
          <w:tcPr>
            <w:tcW w:w="80" w:type="dxa"/>
            <w:vAlign w:val="bottom"/>
          </w:tcPr>
          <w:p>
            <w:pPr>
              <w:spacing w:after="0"/>
              <w:rPr>
                <w:sz w:val="17"/>
                <w:szCs w:val="17"/>
                <w:color w:val="auto"/>
              </w:rPr>
            </w:pPr>
          </w:p>
        </w:tc>
        <w:tc>
          <w:tcPr>
            <w:tcW w:w="1600" w:type="dxa"/>
            <w:vAlign w:val="bottom"/>
            <w:gridSpan w:val="2"/>
          </w:tcPr>
          <w:p>
            <w:pPr>
              <w:jc w:val="center"/>
              <w:ind w:right="200"/>
              <w:spacing w:after="0" w:line="198" w:lineRule="exact"/>
              <w:rPr>
                <w:sz w:val="20"/>
                <w:szCs w:val="20"/>
                <w:color w:val="auto"/>
              </w:rPr>
            </w:pPr>
            <w:r>
              <w:rPr>
                <w:rFonts w:ascii="Arial" w:cs="Arial" w:eastAsia="Arial" w:hAnsi="Arial"/>
                <w:sz w:val="14"/>
                <w:szCs w:val="14"/>
                <w:color w:val="auto"/>
              </w:rPr>
              <w:t xml:space="preserve">Plans or Programs </w:t>
            </w:r>
            <w:r>
              <w:rPr>
                <w:rFonts w:ascii="Arial" w:cs="Arial" w:eastAsia="Arial" w:hAnsi="Arial"/>
                <w:sz w:val="22"/>
                <w:szCs w:val="22"/>
                <w:color w:val="auto"/>
                <w:vertAlign w:val="superscript"/>
              </w:rPr>
              <w:t>(1)</w:t>
            </w:r>
          </w:p>
        </w:tc>
      </w:tr>
      <w:tr>
        <w:trPr>
          <w:trHeight w:val="244"/>
        </w:trPr>
        <w:tc>
          <w:tcPr>
            <w:tcW w:w="5340" w:type="dxa"/>
            <w:vAlign w:val="bottom"/>
            <w:gridSpan w:val="2"/>
          </w:tcPr>
          <w:p>
            <w:pPr>
              <w:ind w:left="2400"/>
              <w:spacing w:after="0"/>
              <w:rPr>
                <w:sz w:val="20"/>
                <w:szCs w:val="20"/>
                <w:color w:val="auto"/>
              </w:rPr>
            </w:pPr>
            <w:r>
              <w:rPr>
                <w:rFonts w:ascii="Arial" w:cs="Arial" w:eastAsia="Arial" w:hAnsi="Arial"/>
                <w:sz w:val="16"/>
                <w:szCs w:val="16"/>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color w:val="auto"/>
                <w:w w:val="88"/>
              </w:rPr>
              <w:t>Per Share</w:t>
            </w:r>
          </w:p>
        </w:tc>
        <w:tc>
          <w:tcPr>
            <w:tcW w:w="1480" w:type="dxa"/>
            <w:vAlign w:val="bottom"/>
            <w:gridSpan w:val="2"/>
          </w:tcPr>
          <w:p>
            <w:pPr>
              <w:jc w:val="center"/>
              <w:ind w:right="220"/>
              <w:spacing w:after="0" w:line="244" w:lineRule="exact"/>
              <w:rPr>
                <w:sz w:val="20"/>
                <w:szCs w:val="20"/>
                <w:color w:val="auto"/>
              </w:rPr>
            </w:pPr>
            <w:r>
              <w:rPr>
                <w:rFonts w:ascii="Arial" w:cs="Arial" w:eastAsia="Arial" w:hAnsi="Arial"/>
                <w:sz w:val="16"/>
                <w:szCs w:val="16"/>
                <w:color w:val="auto"/>
                <w:w w:val="89"/>
              </w:rPr>
              <w:t xml:space="preserve">or Programs </w:t>
            </w:r>
            <w:r>
              <w:rPr>
                <w:rFonts w:ascii="Arial" w:cs="Arial" w:eastAsia="Arial" w:hAnsi="Arial"/>
                <w:sz w:val="27"/>
                <w:szCs w:val="27"/>
                <w:color w:val="auto"/>
                <w:w w:val="89"/>
                <w:vertAlign w:val="superscript"/>
              </w:rPr>
              <w:t>(1)</w:t>
            </w:r>
          </w:p>
        </w:tc>
        <w:tc>
          <w:tcPr>
            <w:tcW w:w="80" w:type="dxa"/>
            <w:vAlign w:val="bottom"/>
          </w:tcPr>
          <w:p>
            <w:pPr>
              <w:spacing w:after="0"/>
              <w:rPr>
                <w:sz w:val="21"/>
                <w:szCs w:val="21"/>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(in thousands)</w:t>
            </w:r>
          </w:p>
        </w:tc>
      </w:tr>
      <w:tr>
        <w:trPr>
          <w:trHeight w:val="20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July 1, 2018 to September 30, 2018</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189"/>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Shares of Common Stock</w:t>
            </w:r>
          </w:p>
        </w:tc>
        <w:tc>
          <w:tcPr>
            <w:tcW w:w="1240" w:type="dxa"/>
            <w:vAlign w:val="bottom"/>
            <w:shd w:val="clear" w:color="auto" w:fill="CCEEFF"/>
          </w:tcPr>
          <w:p>
            <w:pPr>
              <w:ind w:left="1080"/>
              <w:spacing w:after="0"/>
              <w:rPr>
                <w:sz w:val="20"/>
                <w:szCs w:val="20"/>
                <w:color w:val="auto"/>
              </w:rPr>
            </w:pPr>
            <w:r>
              <w:rPr>
                <w:rFonts w:ascii="Arial" w:cs="Arial" w:eastAsia="Arial" w:hAnsi="Arial"/>
                <w:sz w:val="16"/>
                <w:szCs w:val="16"/>
                <w:color w:val="auto"/>
                <w:w w:val="87"/>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ind w:left="580" w:right="660" w:hanging="367"/>
        <w:spacing w:after="0" w:line="196" w:lineRule="auto"/>
        <w:tabs>
          <w:tab w:leader="none" w:pos="580" w:val="left"/>
        </w:tabs>
        <w:numPr>
          <w:ilvl w:val="0"/>
          <w:numId w:val="36"/>
        </w:numPr>
        <w:rPr>
          <w:rFonts w:ascii="Arial" w:cs="Arial" w:eastAsia="Arial" w:hAnsi="Arial"/>
          <w:sz w:val="27"/>
          <w:szCs w:val="27"/>
          <w:color w:val="auto"/>
          <w:vertAlign w:val="superscript"/>
        </w:rPr>
      </w:pPr>
      <w:r>
        <w:rPr>
          <w:rFonts w:ascii="Arial" w:cs="Arial" w:eastAsia="Arial" w:hAnsi="Arial"/>
          <w:sz w:val="16"/>
          <w:szCs w:val="16"/>
          <w:color w:val="auto"/>
        </w:rPr>
        <w:t>Shares purchased pursuant to the March 5, 2018 publicly announced share repurchase authorization of up to approximately $10.0 million of the Company’s outstanding common stock.</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64" w:name="page65"/>
    <w:bookmarkEnd w:id="64"/>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Defaults upon Senior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10920" w:type="dxa"/>
            <w:vAlign w:val="bottom"/>
            <w:gridSpan w:val="9"/>
          </w:tcPr>
          <w:p>
            <w:pPr>
              <w:ind w:left="80"/>
              <w:spacing w:after="0"/>
              <w:rPr>
                <w:sz w:val="20"/>
                <w:szCs w:val="20"/>
                <w:color w:val="auto"/>
              </w:rPr>
            </w:pPr>
            <w:r>
              <w:rPr>
                <w:rFonts w:ascii="Arial" w:cs="Arial" w:eastAsia="Arial" w:hAnsi="Arial"/>
                <w:sz w:val="16"/>
                <w:szCs w:val="16"/>
                <w:color w:val="auto"/>
              </w:rPr>
              <w:t>Not Applicable</w:t>
            </w:r>
          </w:p>
        </w:tc>
      </w:tr>
      <w:tr>
        <w:trPr>
          <w:trHeight w:val="491"/>
        </w:trPr>
        <w:tc>
          <w:tcPr>
            <w:tcW w:w="500" w:type="dxa"/>
            <w:vAlign w:val="bottom"/>
          </w:tcPr>
          <w:p>
            <w:pPr>
              <w:spacing w:after="0"/>
              <w:rPr>
                <w:sz w:val="20"/>
                <w:szCs w:val="20"/>
                <w:color w:val="auto"/>
              </w:rPr>
            </w:pPr>
            <w:r>
              <w:rPr>
                <w:rFonts w:ascii="Arial" w:cs="Arial" w:eastAsia="Arial" w:hAnsi="Arial"/>
                <w:sz w:val="16"/>
                <w:szCs w:val="16"/>
                <w:b w:val="1"/>
                <w:bCs w:val="1"/>
                <w:color w:val="auto"/>
                <w:w w:val="94"/>
              </w:rPr>
              <w:t>Item 4.</w:t>
            </w:r>
          </w:p>
        </w:tc>
        <w:tc>
          <w:tcPr>
            <w:tcW w:w="10920" w:type="dxa"/>
            <w:vAlign w:val="bottom"/>
            <w:gridSpan w:val="9"/>
          </w:tcPr>
          <w:p>
            <w:pPr>
              <w:ind w:left="20"/>
              <w:spacing w:after="0"/>
              <w:rPr>
                <w:sz w:val="20"/>
                <w:szCs w:val="20"/>
                <w:color w:val="auto"/>
              </w:rPr>
            </w:pPr>
            <w:r>
              <w:rPr>
                <w:rFonts w:ascii="Arial" w:cs="Arial" w:eastAsia="Arial" w:hAnsi="Arial"/>
                <w:sz w:val="16"/>
                <w:szCs w:val="16"/>
                <w:b w:val="1"/>
                <w:bCs w:val="1"/>
                <w:color w:val="auto"/>
              </w:rPr>
              <w:t>- Mine Safety Disclosures</w:t>
            </w:r>
          </w:p>
        </w:tc>
      </w:tr>
      <w:tr>
        <w:trPr>
          <w:trHeight w:val="368"/>
        </w:trPr>
        <w:tc>
          <w:tcPr>
            <w:tcW w:w="500" w:type="dxa"/>
            <w:vAlign w:val="bottom"/>
          </w:tcPr>
          <w:p>
            <w:pPr>
              <w:spacing w:after="0"/>
              <w:rPr>
                <w:sz w:val="24"/>
                <w:szCs w:val="24"/>
                <w:color w:val="auto"/>
              </w:rPr>
            </w:pPr>
          </w:p>
        </w:tc>
        <w:tc>
          <w:tcPr>
            <w:tcW w:w="10920" w:type="dxa"/>
            <w:vAlign w:val="bottom"/>
            <w:gridSpan w:val="9"/>
          </w:tcPr>
          <w:p>
            <w:pPr>
              <w:ind w:left="80"/>
              <w:spacing w:after="0"/>
              <w:rPr>
                <w:sz w:val="20"/>
                <w:szCs w:val="20"/>
                <w:color w:val="auto"/>
              </w:rPr>
            </w:pPr>
            <w:r>
              <w:rPr>
                <w:rFonts w:ascii="Arial" w:cs="Arial" w:eastAsia="Arial" w:hAnsi="Arial"/>
                <w:sz w:val="16"/>
                <w:szCs w:val="16"/>
                <w:color w:val="auto"/>
              </w:rPr>
              <w:t>Not Applicable</w:t>
            </w:r>
          </w:p>
        </w:tc>
      </w:tr>
      <w:tr>
        <w:trPr>
          <w:trHeight w:val="491"/>
        </w:trPr>
        <w:tc>
          <w:tcPr>
            <w:tcW w:w="500" w:type="dxa"/>
            <w:vAlign w:val="bottom"/>
          </w:tcPr>
          <w:p>
            <w:pPr>
              <w:spacing w:after="0"/>
              <w:rPr>
                <w:sz w:val="20"/>
                <w:szCs w:val="20"/>
                <w:color w:val="auto"/>
              </w:rPr>
            </w:pPr>
            <w:r>
              <w:rPr>
                <w:rFonts w:ascii="Arial" w:cs="Arial" w:eastAsia="Arial" w:hAnsi="Arial"/>
                <w:sz w:val="16"/>
                <w:szCs w:val="16"/>
                <w:b w:val="1"/>
                <w:bCs w:val="1"/>
                <w:color w:val="auto"/>
                <w:w w:val="94"/>
              </w:rPr>
              <w:t>Item 5.</w:t>
            </w:r>
          </w:p>
        </w:tc>
        <w:tc>
          <w:tcPr>
            <w:tcW w:w="10920" w:type="dxa"/>
            <w:vAlign w:val="bottom"/>
            <w:gridSpan w:val="9"/>
          </w:tcPr>
          <w:p>
            <w:pPr>
              <w:ind w:left="20"/>
              <w:spacing w:after="0"/>
              <w:rPr>
                <w:sz w:val="20"/>
                <w:szCs w:val="20"/>
                <w:color w:val="auto"/>
              </w:rPr>
            </w:pPr>
            <w:r>
              <w:rPr>
                <w:rFonts w:ascii="Arial" w:cs="Arial" w:eastAsia="Arial" w:hAnsi="Arial"/>
                <w:sz w:val="16"/>
                <w:szCs w:val="16"/>
                <w:b w:val="1"/>
                <w:bCs w:val="1"/>
                <w:color w:val="auto"/>
              </w:rPr>
              <w:t>- Other Information</w:t>
            </w:r>
          </w:p>
        </w:tc>
      </w:tr>
      <w:tr>
        <w:trPr>
          <w:trHeight w:val="356"/>
        </w:trPr>
        <w:tc>
          <w:tcPr>
            <w:tcW w:w="500" w:type="dxa"/>
            <w:vAlign w:val="bottom"/>
          </w:tcPr>
          <w:p>
            <w:pPr>
              <w:spacing w:after="0"/>
              <w:rPr>
                <w:sz w:val="24"/>
                <w:szCs w:val="24"/>
                <w:color w:val="auto"/>
              </w:rPr>
            </w:pPr>
          </w:p>
        </w:tc>
        <w:tc>
          <w:tcPr>
            <w:tcW w:w="10920" w:type="dxa"/>
            <w:vAlign w:val="bottom"/>
            <w:gridSpan w:val="9"/>
          </w:tcPr>
          <w:p>
            <w:pPr>
              <w:ind w:left="80"/>
              <w:spacing w:after="0"/>
              <w:rPr>
                <w:sz w:val="20"/>
                <w:szCs w:val="20"/>
                <w:color w:val="auto"/>
              </w:rPr>
            </w:pPr>
            <w:r>
              <w:rPr>
                <w:rFonts w:ascii="Arial" w:cs="Arial" w:eastAsia="Arial" w:hAnsi="Arial"/>
                <w:sz w:val="16"/>
                <w:szCs w:val="16"/>
                <w:color w:val="auto"/>
              </w:rPr>
              <w:t>Not Applicable</w:t>
            </w:r>
          </w:p>
        </w:tc>
      </w:tr>
      <w:tr>
        <w:trPr>
          <w:trHeight w:val="491"/>
        </w:trPr>
        <w:tc>
          <w:tcPr>
            <w:tcW w:w="500" w:type="dxa"/>
            <w:vAlign w:val="bottom"/>
          </w:tcPr>
          <w:p>
            <w:pPr>
              <w:spacing w:after="0"/>
              <w:rPr>
                <w:sz w:val="20"/>
                <w:szCs w:val="20"/>
                <w:color w:val="auto"/>
              </w:rPr>
            </w:pPr>
            <w:r>
              <w:rPr>
                <w:rFonts w:ascii="Arial" w:cs="Arial" w:eastAsia="Arial" w:hAnsi="Arial"/>
                <w:sz w:val="16"/>
                <w:szCs w:val="16"/>
                <w:b w:val="1"/>
                <w:bCs w:val="1"/>
                <w:color w:val="auto"/>
                <w:w w:val="94"/>
              </w:rPr>
              <w:t>Item 6.</w:t>
            </w: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 Exhibits</w:t>
            </w: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33"/>
        </w:trPr>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gridSpan w:val="4"/>
          </w:tcPr>
          <w:p>
            <w:pPr>
              <w:ind w:left="1560"/>
              <w:spacing w:after="0"/>
              <w:rPr>
                <w:sz w:val="20"/>
                <w:szCs w:val="20"/>
                <w:color w:val="auto"/>
              </w:rPr>
            </w:pPr>
            <w:r>
              <w:rPr>
                <w:rFonts w:ascii="Arial" w:cs="Arial" w:eastAsia="Arial" w:hAnsi="Arial"/>
                <w:sz w:val="16"/>
                <w:szCs w:val="16"/>
                <w:b w:val="1"/>
                <w:bCs w:val="1"/>
                <w:color w:val="auto"/>
              </w:rPr>
              <w:t>Description</w:t>
            </w:r>
          </w:p>
        </w:tc>
      </w:tr>
      <w:tr>
        <w:trPr>
          <w:trHeight w:val="153"/>
        </w:trPr>
        <w:tc>
          <w:tcPr>
            <w:tcW w:w="500" w:type="dxa"/>
            <w:vAlign w:val="bottom"/>
            <w:tcBorders>
              <w:top w:val="single" w:sz="8" w:color="auto"/>
            </w:tcBorders>
          </w:tcPr>
          <w:p>
            <w:pPr>
              <w:ind w:left="220"/>
              <w:spacing w:after="0" w:line="153" w:lineRule="exact"/>
              <w:rPr>
                <w:sz w:val="20"/>
                <w:szCs w:val="20"/>
                <w:color w:val="auto"/>
              </w:rPr>
            </w:pPr>
            <w:r>
              <w:rPr>
                <w:rFonts w:ascii="Arial" w:cs="Arial" w:eastAsia="Arial" w:hAnsi="Arial"/>
                <w:sz w:val="16"/>
                <w:szCs w:val="16"/>
                <w:color w:val="auto"/>
              </w:rPr>
              <w:t>2.1</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auto"/>
            </w:tcBorders>
            <w:gridSpan w:val="6"/>
          </w:tcPr>
          <w:p>
            <w:pPr>
              <w:spacing w:after="0" w:line="153" w:lineRule="exact"/>
              <w:rPr>
                <w:rFonts w:ascii="Arial" w:cs="Arial" w:eastAsia="Arial" w:hAnsi="Arial"/>
                <w:sz w:val="16"/>
                <w:szCs w:val="16"/>
                <w:color w:val="0000EE"/>
                <w:w w:val="94"/>
              </w:rPr>
            </w:pPr>
            <w:hyperlink r:id="rId111">
              <w:r>
                <w:rPr>
                  <w:rFonts w:ascii="Arial" w:cs="Arial" w:eastAsia="Arial" w:hAnsi="Arial"/>
                  <w:sz w:val="16"/>
                  <w:szCs w:val="16"/>
                  <w:color w:val="0000EE"/>
                  <w:w w:val="94"/>
                </w:rPr>
                <w:t>Stock Purchase Agreement, dated as of May 31, 2018 (incorporated by reference to Exhibit 2.1 to the Current Report on Form 8-K (File No. 001-37972)</w:t>
              </w:r>
            </w:hyperlink>
          </w:p>
        </w:tc>
      </w:tr>
      <w:tr>
        <w:trPr>
          <w:trHeight w:val="176"/>
        </w:trPr>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2"/>
          </w:tcPr>
          <w:p>
            <w:pPr>
              <w:spacing w:after="0" w:line="176"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filed with the SEC on September 5, 2018).</w:t>
              </w:r>
            </w:hyperlink>
          </w:p>
        </w:tc>
        <w:tc>
          <w:tcPr>
            <w:tcW w:w="7200" w:type="dxa"/>
            <w:vAlign w:val="bottom"/>
            <w:tcBorders>
              <w:top w:val="single" w:sz="8" w:color="0000EE"/>
            </w:tcBorders>
            <w:gridSpan w:val="2"/>
          </w:tcPr>
          <w:p>
            <w:pPr>
              <w:spacing w:after="0"/>
              <w:rPr>
                <w:sz w:val="15"/>
                <w:szCs w:val="15"/>
                <w:color w:val="auto"/>
              </w:rPr>
            </w:pPr>
          </w:p>
        </w:tc>
        <w:tc>
          <w:tcPr>
            <w:tcW w:w="220" w:type="dxa"/>
            <w:vAlign w:val="bottom"/>
            <w:gridSpan w:val="3"/>
          </w:tcPr>
          <w:p>
            <w:pPr>
              <w:spacing w:after="0"/>
              <w:rPr>
                <w:sz w:val="15"/>
                <w:szCs w:val="15"/>
                <w:color w:val="auto"/>
              </w:rPr>
            </w:pPr>
          </w:p>
        </w:tc>
      </w:tr>
      <w:tr>
        <w:trPr>
          <w:trHeight w:val="373"/>
        </w:trPr>
        <w:tc>
          <w:tcPr>
            <w:tcW w:w="1100" w:type="dxa"/>
            <w:vAlign w:val="bottom"/>
            <w:gridSpan w:val="2"/>
          </w:tcPr>
          <w:p>
            <w:pPr>
              <w:ind w:left="2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12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67">
              <w:r>
                <w:rPr>
                  <w:rFonts w:ascii="Arial" w:cs="Arial" w:eastAsia="Arial" w:hAnsi="Arial"/>
                  <w:sz w:val="16"/>
                  <w:szCs w:val="16"/>
                  <w:color w:val="0000EE"/>
                  <w:w w:val="92"/>
                </w:rPr>
                <w:t>Certification of Principal Executive Officer Pursuant to Rules 13a-14(a) and 15d-14(a) under the Securities Exchange Act of 1934, as Adopted Pursuant to</w:t>
              </w:r>
            </w:hyperlink>
          </w:p>
        </w:tc>
        <w:tc>
          <w:tcPr>
            <w:tcW w:w="80" w:type="dxa"/>
            <w:vAlign w:val="bottom"/>
          </w:tcPr>
          <w:p>
            <w:pPr>
              <w:spacing w:after="0"/>
              <w:rPr>
                <w:sz w:val="24"/>
                <w:szCs w:val="24"/>
                <w:color w:val="auto"/>
              </w:rPr>
            </w:pPr>
          </w:p>
        </w:tc>
      </w:tr>
      <w:tr>
        <w:trPr>
          <w:trHeight w:val="176"/>
        </w:trPr>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Borders>
              <w:bottom w:val="single" w:sz="8" w:color="0000EE"/>
            </w:tcBorders>
            <w:gridSpan w:val="3"/>
          </w:tcPr>
          <w:p>
            <w:pPr>
              <w:spacing w:after="0" w:line="176" w:lineRule="exact"/>
              <w:rPr>
                <w:rFonts w:ascii="Arial" w:cs="Arial" w:eastAsia="Arial" w:hAnsi="Arial"/>
                <w:sz w:val="16"/>
                <w:szCs w:val="16"/>
                <w:color w:val="0000EE"/>
                <w:w w:val="92"/>
              </w:rPr>
            </w:pPr>
            <w:hyperlink w:anchor="page67">
              <w:r>
                <w:rPr>
                  <w:rFonts w:ascii="Arial" w:cs="Arial" w:eastAsia="Arial" w:hAnsi="Arial"/>
                  <w:sz w:val="16"/>
                  <w:szCs w:val="16"/>
                  <w:color w:val="0000EE"/>
                  <w:w w:val="92"/>
                </w:rPr>
                <w:t>Section 302 of the Sarbanes-Oxley Act of 2002.</w:t>
              </w:r>
            </w:hyperlink>
          </w:p>
        </w:tc>
        <w:tc>
          <w:tcPr>
            <w:tcW w:w="7060" w:type="dxa"/>
            <w:vAlign w:val="bottom"/>
            <w:gridSpan w:val="4"/>
          </w:tcPr>
          <w:p>
            <w:pPr>
              <w:spacing w:after="0"/>
              <w:rPr>
                <w:sz w:val="15"/>
                <w:szCs w:val="15"/>
                <w:color w:val="auto"/>
              </w:rPr>
            </w:pPr>
          </w:p>
        </w:tc>
      </w:tr>
      <w:tr>
        <w:trPr>
          <w:trHeight w:val="373"/>
        </w:trPr>
        <w:tc>
          <w:tcPr>
            <w:tcW w:w="1100" w:type="dxa"/>
            <w:vAlign w:val="bottom"/>
            <w:gridSpan w:val="2"/>
          </w:tcPr>
          <w:p>
            <w:pPr>
              <w:ind w:left="2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10200" w:type="dxa"/>
            <w:vAlign w:val="bottom"/>
            <w:gridSpan w:val="7"/>
          </w:tcPr>
          <w:p>
            <w:pPr>
              <w:spacing w:after="0"/>
              <w:rPr>
                <w:rFonts w:ascii="Arial" w:cs="Arial" w:eastAsia="Arial" w:hAnsi="Arial"/>
                <w:sz w:val="16"/>
                <w:szCs w:val="16"/>
                <w:color w:val="0000EE"/>
                <w:w w:val="94"/>
              </w:rPr>
            </w:pPr>
            <w:hyperlink w:anchor="page68">
              <w:r>
                <w:rPr>
                  <w:rFonts w:ascii="Arial" w:cs="Arial" w:eastAsia="Arial" w:hAnsi="Arial"/>
                  <w:sz w:val="16"/>
                  <w:szCs w:val="16"/>
                  <w:color w:val="0000EE"/>
                  <w:w w:val="94"/>
                </w:rPr>
                <w:t>Certification of Principal Financial Officer Pursuant to Rules 13a-14(a) and 15d-14(a) under the Securities Exchange Act of 1934, as Adopted Pursuant to</w:t>
              </w:r>
            </w:hyperlink>
          </w:p>
        </w:tc>
      </w:tr>
      <w:tr>
        <w:trPr>
          <w:trHeight w:val="176"/>
        </w:trPr>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3"/>
          </w:tcPr>
          <w:p>
            <w:pPr>
              <w:spacing w:after="0" w:line="176" w:lineRule="exact"/>
              <w:rPr>
                <w:rFonts w:ascii="Arial" w:cs="Arial" w:eastAsia="Arial" w:hAnsi="Arial"/>
                <w:sz w:val="16"/>
                <w:szCs w:val="16"/>
                <w:color w:val="0000EE"/>
                <w:w w:val="92"/>
              </w:rPr>
            </w:pPr>
            <w:hyperlink w:anchor="page68">
              <w:r>
                <w:rPr>
                  <w:rFonts w:ascii="Arial" w:cs="Arial" w:eastAsia="Arial" w:hAnsi="Arial"/>
                  <w:sz w:val="16"/>
                  <w:szCs w:val="16"/>
                  <w:color w:val="0000EE"/>
                  <w:w w:val="92"/>
                </w:rPr>
                <w:t>Section 302 of the Sarbanes-Oxley Act of 2002.</w:t>
              </w:r>
            </w:hyperlink>
          </w:p>
        </w:tc>
        <w:tc>
          <w:tcPr>
            <w:tcW w:w="6920" w:type="dxa"/>
            <w:vAlign w:val="bottom"/>
            <w:tcBorders>
              <w:top w:val="single" w:sz="8" w:color="0000EE"/>
            </w:tcBorders>
            <w:gridSpan w:val="2"/>
          </w:tcPr>
          <w:p>
            <w:pPr>
              <w:spacing w:after="0"/>
              <w:rPr>
                <w:sz w:val="15"/>
                <w:szCs w:val="15"/>
                <w:color w:val="auto"/>
              </w:rPr>
            </w:pPr>
          </w:p>
        </w:tc>
        <w:tc>
          <w:tcPr>
            <w:tcW w:w="140" w:type="dxa"/>
            <w:vAlign w:val="bottom"/>
            <w:gridSpan w:val="2"/>
          </w:tcPr>
          <w:p>
            <w:pPr>
              <w:spacing w:after="0"/>
              <w:rPr>
                <w:sz w:val="15"/>
                <w:szCs w:val="15"/>
                <w:color w:val="auto"/>
              </w:rPr>
            </w:pPr>
          </w:p>
        </w:tc>
      </w:tr>
    </w:tbl>
    <w:p>
      <w:pPr>
        <w:spacing w:after="0" w:line="208" w:lineRule="exact"/>
        <w:rPr>
          <w:sz w:val="20"/>
          <w:szCs w:val="20"/>
          <w:color w:val="auto"/>
        </w:rPr>
      </w:pPr>
    </w:p>
    <w:p>
      <w:pPr>
        <w:ind w:left="1220" w:right="160" w:hanging="1001"/>
        <w:spacing w:after="0" w:line="286" w:lineRule="auto"/>
        <w:tabs>
          <w:tab w:leader="none" w:pos="1220" w:val="left"/>
        </w:tabs>
        <w:numPr>
          <w:ilvl w:val="0"/>
          <w:numId w:val="37"/>
        </w:numPr>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Certification of Principal Executive Officer and Principal Financial Officer pursuant to 18 U.S.C. Section 1350, as adopted pursuant to Section 906 of the</w:t>
        </w:r>
      </w:hyperlink>
      <w:r>
        <w:rPr>
          <w:rFonts w:ascii="Arial" w:cs="Arial" w:eastAsia="Arial" w:hAnsi="Arial"/>
          <w:sz w:val="16"/>
          <w:szCs w:val="16"/>
          <w:u w:val="single" w:color="auto"/>
          <w:color w:val="0000EE"/>
        </w:rPr>
        <w:t xml:space="preserve"> </w:t>
      </w:r>
      <w:hyperlink w:anchor="page69">
        <w:r>
          <w:rPr>
            <w:rFonts w:ascii="Arial" w:cs="Arial" w:eastAsia="Arial" w:hAnsi="Arial"/>
            <w:sz w:val="16"/>
            <w:szCs w:val="16"/>
            <w:u w:val="single" w:color="auto"/>
            <w:color w:val="0000EE"/>
          </w:rPr>
          <w:t>Sarbanes-Oxley Act of 2002.</w:t>
        </w:r>
      </w:hyperlink>
    </w:p>
    <w:p>
      <w:pPr>
        <w:spacing w:after="0" w:line="150" w:lineRule="exact"/>
        <w:rPr>
          <w:rFonts w:ascii="Arial" w:cs="Arial" w:eastAsia="Arial" w:hAnsi="Arial"/>
          <w:sz w:val="16"/>
          <w:szCs w:val="16"/>
          <w:color w:val="auto"/>
        </w:rPr>
      </w:pPr>
    </w:p>
    <w:tbl>
      <w:tblPr>
        <w:tblLayout w:type="fixed"/>
        <w:tblInd w:w="220" w:type="dxa"/>
        <w:tblCellMar>
          <w:top w:w="0" w:type="dxa"/>
          <w:left w:w="0" w:type="dxa"/>
          <w:bottom w:w="0" w:type="dxa"/>
          <w:right w:w="0" w:type="dxa"/>
        </w:tblCellMar>
      </w:tblPr>
      <w:tr>
        <w:trPr>
          <w:trHeight w:val="208"/>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4280" w:type="dxa"/>
            <w:vAlign w:val="bottom"/>
          </w:tcPr>
          <w:p>
            <w:pPr>
              <w:ind w:left="200"/>
              <w:spacing w:after="0"/>
              <w:rPr>
                <w:sz w:val="20"/>
                <w:szCs w:val="20"/>
                <w:color w:val="auto"/>
              </w:rPr>
            </w:pPr>
            <w:r>
              <w:rPr>
                <w:rFonts w:ascii="Arial" w:cs="Arial" w:eastAsia="Arial" w:hAnsi="Arial"/>
                <w:sz w:val="16"/>
                <w:szCs w:val="16"/>
                <w:color w:val="auto"/>
              </w:rPr>
              <w:t>XBRL Instance Document</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4280" w:type="dxa"/>
            <w:vAlign w:val="bottom"/>
          </w:tcPr>
          <w:p>
            <w:pPr>
              <w:ind w:left="200"/>
              <w:spacing w:after="0"/>
              <w:rPr>
                <w:sz w:val="20"/>
                <w:szCs w:val="20"/>
                <w:color w:val="auto"/>
              </w:rPr>
            </w:pPr>
            <w:r>
              <w:rPr>
                <w:rFonts w:ascii="Arial" w:cs="Arial" w:eastAsia="Arial" w:hAnsi="Arial"/>
                <w:sz w:val="16"/>
                <w:szCs w:val="16"/>
                <w:color w:val="auto"/>
              </w:rPr>
              <w:t>XBRL Taxonomy Extension Schema Linkbase Document</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4280" w:type="dxa"/>
            <w:vAlign w:val="bottom"/>
          </w:tcPr>
          <w:p>
            <w:pPr>
              <w:ind w:left="200"/>
              <w:spacing w:after="0"/>
              <w:rPr>
                <w:sz w:val="20"/>
                <w:szCs w:val="20"/>
                <w:color w:val="auto"/>
              </w:rPr>
            </w:pPr>
            <w:r>
              <w:rPr>
                <w:rFonts w:ascii="Arial" w:cs="Arial" w:eastAsia="Arial" w:hAnsi="Arial"/>
                <w:sz w:val="16"/>
                <w:szCs w:val="16"/>
                <w:color w:val="auto"/>
                <w:w w:val="95"/>
              </w:rPr>
              <w:t>XBRL Taxonomy Extension Calculation Linkbase Document</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4280" w:type="dxa"/>
            <w:vAlign w:val="bottom"/>
          </w:tcPr>
          <w:p>
            <w:pPr>
              <w:ind w:left="200"/>
              <w:spacing w:after="0"/>
              <w:rPr>
                <w:sz w:val="20"/>
                <w:szCs w:val="20"/>
                <w:color w:val="auto"/>
              </w:rPr>
            </w:pPr>
            <w:r>
              <w:rPr>
                <w:rFonts w:ascii="Arial" w:cs="Arial" w:eastAsia="Arial" w:hAnsi="Arial"/>
                <w:sz w:val="16"/>
                <w:szCs w:val="16"/>
                <w:color w:val="auto"/>
                <w:w w:val="98"/>
              </w:rPr>
              <w:t>XBRL Taxonomy Extension Definition Linkbase Document</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428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393"/>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4280" w:type="dxa"/>
            <w:vAlign w:val="bottom"/>
          </w:tcPr>
          <w:p>
            <w:pPr>
              <w:ind w:left="200"/>
              <w:spacing w:after="0"/>
              <w:rPr>
                <w:sz w:val="20"/>
                <w:szCs w:val="20"/>
                <w:color w:val="auto"/>
              </w:rPr>
            </w:pPr>
            <w:r>
              <w:rPr>
                <w:rFonts w:ascii="Arial" w:cs="Arial" w:eastAsia="Arial" w:hAnsi="Arial"/>
                <w:sz w:val="16"/>
                <w:szCs w:val="16"/>
                <w:color w:val="auto"/>
                <w:w w:val="93"/>
              </w:rPr>
              <w:t>XBRL Taxonomy Extension Presentation Linkbase Document</w:t>
            </w:r>
          </w:p>
        </w:tc>
      </w:tr>
    </w:tbl>
    <w:p>
      <w:pPr>
        <w:spacing w:after="0" w:line="374" w:lineRule="exact"/>
        <w:rPr>
          <w:rFonts w:ascii="Arial" w:cs="Arial" w:eastAsia="Arial" w:hAnsi="Arial"/>
          <w:sz w:val="16"/>
          <w:szCs w:val="16"/>
          <w:color w:val="auto"/>
        </w:rPr>
      </w:pPr>
    </w:p>
    <w:p>
      <w:pPr>
        <w:jc w:val="center"/>
        <w:ind w:right="40"/>
        <w:spacing w:after="0"/>
        <w:rPr>
          <w:sz w:val="20"/>
          <w:szCs w:val="20"/>
          <w:color w:val="auto"/>
        </w:rPr>
      </w:pPr>
      <w:r>
        <w:rPr>
          <w:rFonts w:ascii="Arial" w:cs="Arial" w:eastAsia="Arial" w:hAnsi="Arial"/>
          <w:sz w:val="20"/>
          <w:szCs w:val="20"/>
          <w:color w:val="auto"/>
        </w:rPr>
        <w:t>63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20"/>
          </w:cols>
          <w:pgMar w:left="240" w:top="218" w:right="239" w:bottom="1440" w:gutter="0" w:footer="0" w:header="0"/>
        </w:sectPr>
      </w:pPr>
    </w:p>
    <w:bookmarkStart w:id="65" w:name="page66"/>
    <w:bookmarkEnd w:id="65"/>
    <w:p>
      <w:pPr>
        <w:spacing w:after="0"/>
        <w:rPr>
          <w:rFonts w:ascii="Arial" w:cs="Arial" w:eastAsia="Arial" w:hAnsi="Arial"/>
          <w:sz w:val="20"/>
          <w:szCs w:val="20"/>
          <w:i w:val="1"/>
          <w:iCs w:val="1"/>
          <w:u w:val="single" w:color="auto"/>
          <w:color w:val="0000EE"/>
        </w:rPr>
      </w:pPr>
      <w:hyperlink w:anchor="page2">
        <w:r>
          <w:rPr>
            <w:rFonts w:ascii="Arial" w:cs="Arial" w:eastAsia="Arial" w:hAnsi="Arial"/>
            <w:sz w:val="20"/>
            <w:szCs w:val="20"/>
            <w:i w:val="1"/>
            <w:iCs w:val="1"/>
            <w:u w:val="single" w:color="auto"/>
            <w:color w:val="0000EE"/>
          </w:rPr>
          <w:t>Table of Contents</w:t>
        </w:r>
      </w:hyperlink>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SIGNATURES</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on November 13, 2018.</w:t>
      </w:r>
    </w:p>
    <w:p>
      <w:pPr>
        <w:spacing w:after="0" w:line="200" w:lineRule="exact"/>
        <w:rPr>
          <w:sz w:val="20"/>
          <w:szCs w:val="20"/>
          <w:color w:val="auto"/>
        </w:rPr>
      </w:pPr>
    </w:p>
    <w:p>
      <w:pPr>
        <w:spacing w:after="0" w:line="34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NI HOLDINGS, INC.</w:t>
      </w:r>
    </w:p>
    <w:p>
      <w:pPr>
        <w:spacing w:after="0" w:line="200" w:lineRule="exact"/>
        <w:rPr>
          <w:sz w:val="20"/>
          <w:szCs w:val="20"/>
          <w:color w:val="auto"/>
        </w:rPr>
      </w:pPr>
    </w:p>
    <w:p>
      <w:pPr>
        <w:spacing w:after="0" w:line="20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Michael J. Alexander</w:t>
      </w:r>
    </w:p>
    <w:p>
      <w:pPr>
        <w:spacing w:after="0" w:line="2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-116205</wp:posOffset>
            </wp:positionV>
            <wp:extent cx="22434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243455" cy="7620"/>
                    </a:xfrm>
                    <a:prstGeom prst="rect">
                      <a:avLst/>
                    </a:prstGeom>
                    <a:noFill/>
                  </pic:spPr>
                </pic:pic>
              </a:graphicData>
            </a:graphic>
          </wp:anchor>
        </w:drawing>
      </w:r>
    </w:p>
    <w:p>
      <w:pPr>
        <w:spacing w:after="0" w:line="4"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President and Chief Executive Officer</w:t>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6"/>
          <w:szCs w:val="16"/>
          <w:i w:val="1"/>
          <w:iCs w:val="1"/>
          <w:color w:val="auto"/>
        </w:rPr>
        <w:t>(Principal Executive Officer)</w:t>
      </w:r>
    </w:p>
    <w:p>
      <w:pPr>
        <w:spacing w:after="0" w:line="393"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Brian R. Doom</w:t>
      </w:r>
    </w:p>
    <w:p>
      <w:pPr>
        <w:spacing w:after="0" w:line="25"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-116205</wp:posOffset>
            </wp:positionV>
            <wp:extent cx="22434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243455" cy="7620"/>
                    </a:xfrm>
                    <a:prstGeom prst="rect">
                      <a:avLst/>
                    </a:prstGeom>
                    <a:noFill/>
                  </pic:spPr>
                </pic:pic>
              </a:graphicData>
            </a:graphic>
          </wp:anchor>
        </w:drawing>
      </w:r>
    </w:p>
    <w:p>
      <w:pPr>
        <w:spacing w:after="0" w:line="4"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Chief Financial Officer</w:t>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260"/>
          </w:cols>
          <w:pgMar w:left="240" w:top="219" w:right="39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31.1</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CERTIFICATION OF PERIODIC REPORT UNDER SECTION 302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I, Michael J. Alexander, certify that:</w:t>
      </w:r>
    </w:p>
    <w:p>
      <w:pPr>
        <w:spacing w:after="0" w:line="172" w:lineRule="exact"/>
        <w:rPr>
          <w:sz w:val="20"/>
          <w:szCs w:val="20"/>
          <w:color w:val="auto"/>
        </w:rPr>
      </w:pPr>
    </w:p>
    <w:p>
      <w:pPr>
        <w:ind w:left="1180" w:hanging="593"/>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NI Holdings, Inc.;</w:t>
      </w:r>
    </w:p>
    <w:p>
      <w:pPr>
        <w:spacing w:after="0" w:line="171" w:lineRule="exact"/>
        <w:rPr>
          <w:rFonts w:ascii="Arial" w:cs="Arial" w:eastAsia="Arial" w:hAnsi="Arial"/>
          <w:sz w:val="16"/>
          <w:szCs w:val="16"/>
          <w:color w:val="auto"/>
        </w:rPr>
      </w:pPr>
    </w:p>
    <w:p>
      <w:pPr>
        <w:ind w:left="1180" w:right="20" w:hanging="593"/>
        <w:spacing w:after="0" w:line="322" w:lineRule="auto"/>
        <w:tabs>
          <w:tab w:leader="none" w:pos="11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5"/>
          <w:szCs w:val="15"/>
          <w:color w:val="auto"/>
        </w:rPr>
      </w:pPr>
    </w:p>
    <w:p>
      <w:pPr>
        <w:ind w:left="1180" w:right="100" w:hanging="593"/>
        <w:spacing w:after="0" w:line="286"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6"/>
          <w:szCs w:val="16"/>
          <w:color w:val="auto"/>
        </w:rPr>
      </w:pPr>
    </w:p>
    <w:p>
      <w:pPr>
        <w:ind w:left="1180" w:right="240" w:hanging="593"/>
        <w:spacing w:after="0" w:line="271"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760" w:right="400" w:hanging="584"/>
        <w:spacing w:after="0" w:line="271"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1760" w:right="120" w:hanging="584"/>
        <w:spacing w:after="0" w:line="271"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jc w:val="both"/>
        <w:ind w:left="1760" w:right="840" w:hanging="584"/>
        <w:spacing w:after="0" w:line="362" w:lineRule="auto"/>
        <w:tabs>
          <w:tab w:leader="none" w:pos="176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4"/>
          <w:szCs w:val="14"/>
          <w:color w:val="auto"/>
        </w:rPr>
      </w:pPr>
    </w:p>
    <w:p>
      <w:pPr>
        <w:ind w:left="1760" w:right="140" w:hanging="584"/>
        <w:spacing w:after="0" w:line="271"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1180" w:right="660" w:hanging="593"/>
        <w:spacing w:after="0" w:line="322" w:lineRule="auto"/>
        <w:tabs>
          <w:tab w:leader="none" w:pos="11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5"/>
          <w:szCs w:val="15"/>
          <w:color w:val="auto"/>
        </w:rPr>
      </w:pPr>
    </w:p>
    <w:p>
      <w:pPr>
        <w:ind w:left="1760" w:right="320" w:hanging="584"/>
        <w:spacing w:after="0" w:line="286"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6"/>
          <w:szCs w:val="16"/>
          <w:color w:val="auto"/>
        </w:rPr>
      </w:pPr>
    </w:p>
    <w:p>
      <w:pPr>
        <w:ind w:left="1760" w:right="280" w:hanging="584"/>
        <w:spacing w:after="0" w:line="286" w:lineRule="auto"/>
        <w:tabs>
          <w:tab w:leader="none" w:pos="17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420" w:type="dxa"/>
        <w:tblCellMar>
          <w:top w:w="0" w:type="dxa"/>
          <w:left w:w="0" w:type="dxa"/>
          <w:bottom w:w="0" w:type="dxa"/>
          <w:right w:w="0" w:type="dxa"/>
        </w:tblCellMar>
      </w:tblPr>
      <w:tr>
        <w:trPr>
          <w:trHeight w:val="208"/>
        </w:trPr>
        <w:tc>
          <w:tcPr>
            <w:tcW w:w="3720" w:type="dxa"/>
            <w:vAlign w:val="bottom"/>
          </w:tcPr>
          <w:p>
            <w:pPr>
              <w:spacing w:after="0"/>
              <w:rPr>
                <w:sz w:val="20"/>
                <w:szCs w:val="20"/>
                <w:color w:val="auto"/>
              </w:rPr>
            </w:pPr>
            <w:r>
              <w:rPr>
                <w:rFonts w:ascii="Arial" w:cs="Arial" w:eastAsia="Arial" w:hAnsi="Arial"/>
                <w:sz w:val="16"/>
                <w:szCs w:val="16"/>
                <w:color w:val="auto"/>
              </w:rPr>
              <w:t>November 13, 2018</w:t>
            </w:r>
          </w:p>
        </w:tc>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J. Alexander</w:t>
            </w:r>
          </w:p>
        </w:tc>
      </w:tr>
      <w:tr>
        <w:trPr>
          <w:trHeight w:val="177"/>
        </w:trPr>
        <w:tc>
          <w:tcPr>
            <w:tcW w:w="3720" w:type="dxa"/>
            <w:vAlign w:val="bottom"/>
          </w:tcPr>
          <w:p>
            <w:pPr>
              <w:spacing w:after="0"/>
              <w:rPr>
                <w:sz w:val="15"/>
                <w:szCs w:val="15"/>
                <w:color w:val="auto"/>
              </w:rPr>
            </w:pPr>
          </w:p>
        </w:tc>
        <w:tc>
          <w:tcPr>
            <w:tcW w:w="2940" w:type="dxa"/>
            <w:vAlign w:val="bottom"/>
          </w:tcPr>
          <w:p>
            <w:pPr>
              <w:spacing w:after="0" w:line="177" w:lineRule="exact"/>
              <w:rPr>
                <w:sz w:val="20"/>
                <w:szCs w:val="20"/>
                <w:color w:val="auto"/>
              </w:rPr>
            </w:pPr>
            <w:r>
              <w:rPr>
                <w:rFonts w:ascii="Arial" w:cs="Arial" w:eastAsia="Arial" w:hAnsi="Arial"/>
                <w:sz w:val="16"/>
                <w:szCs w:val="16"/>
                <w:color w:val="auto"/>
              </w:rPr>
              <w:t>Michael J. Alexander</w:t>
            </w:r>
          </w:p>
        </w:tc>
      </w:tr>
      <w:tr>
        <w:trPr>
          <w:trHeight w:val="196"/>
        </w:trPr>
        <w:tc>
          <w:tcPr>
            <w:tcW w:w="37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08"/>
        </w:trPr>
        <w:tc>
          <w:tcPr>
            <w:tcW w:w="37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bl>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25932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31.2</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CERTIFICATION OF PERIODIC REPORT UNDER SECTION 302 OF THE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 OF 2002</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I, Brian R. Doom, certify that:</w:t>
      </w:r>
    </w:p>
    <w:p>
      <w:pPr>
        <w:spacing w:after="0" w:line="172" w:lineRule="exact"/>
        <w:rPr>
          <w:sz w:val="20"/>
          <w:szCs w:val="20"/>
          <w:color w:val="auto"/>
        </w:rPr>
      </w:pPr>
    </w:p>
    <w:p>
      <w:pPr>
        <w:ind w:left="1180" w:hanging="593"/>
        <w:spacing w:after="0"/>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NI Holdings, Inc.;</w:t>
      </w:r>
    </w:p>
    <w:p>
      <w:pPr>
        <w:spacing w:after="0" w:line="183" w:lineRule="exact"/>
        <w:rPr>
          <w:rFonts w:ascii="Arial" w:cs="Arial" w:eastAsia="Arial" w:hAnsi="Arial"/>
          <w:sz w:val="16"/>
          <w:szCs w:val="16"/>
          <w:color w:val="auto"/>
        </w:rPr>
      </w:pPr>
    </w:p>
    <w:p>
      <w:pPr>
        <w:ind w:left="1180" w:right="20" w:hanging="593"/>
        <w:spacing w:after="0" w:line="322" w:lineRule="auto"/>
        <w:tabs>
          <w:tab w:leader="none" w:pos="11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5"/>
          <w:szCs w:val="15"/>
          <w:color w:val="auto"/>
        </w:rPr>
      </w:pPr>
    </w:p>
    <w:p>
      <w:pPr>
        <w:ind w:left="1180" w:right="100" w:hanging="593"/>
        <w:spacing w:after="0" w:line="286"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6"/>
          <w:szCs w:val="16"/>
          <w:color w:val="auto"/>
        </w:rPr>
      </w:pPr>
    </w:p>
    <w:p>
      <w:pPr>
        <w:ind w:left="1180" w:right="240" w:hanging="593"/>
        <w:spacing w:after="0" w:line="271"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1760" w:right="400" w:hanging="584"/>
        <w:spacing w:after="0" w:line="271" w:lineRule="auto"/>
        <w:tabs>
          <w:tab w:leader="none" w:pos="1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760" w:right="120" w:hanging="584"/>
        <w:spacing w:after="0" w:line="271" w:lineRule="auto"/>
        <w:tabs>
          <w:tab w:leader="none" w:pos="1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jc w:val="both"/>
        <w:ind w:left="1760" w:right="840" w:hanging="584"/>
        <w:spacing w:after="0" w:line="362" w:lineRule="auto"/>
        <w:tabs>
          <w:tab w:leader="none" w:pos="1760"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4"/>
          <w:szCs w:val="14"/>
          <w:color w:val="auto"/>
        </w:rPr>
      </w:pPr>
    </w:p>
    <w:p>
      <w:pPr>
        <w:ind w:left="1760" w:right="140" w:hanging="584"/>
        <w:spacing w:after="0" w:line="271" w:lineRule="auto"/>
        <w:tabs>
          <w:tab w:leader="none" w:pos="1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1180" w:right="660" w:hanging="593"/>
        <w:spacing w:after="0" w:line="322" w:lineRule="auto"/>
        <w:tabs>
          <w:tab w:leader="none" w:pos="11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5"/>
          <w:szCs w:val="15"/>
          <w:color w:val="auto"/>
        </w:rPr>
      </w:pPr>
    </w:p>
    <w:p>
      <w:pPr>
        <w:ind w:left="1760" w:right="320" w:hanging="584"/>
        <w:spacing w:after="0" w:line="286" w:lineRule="auto"/>
        <w:tabs>
          <w:tab w:leader="none" w:pos="1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760" w:right="280" w:hanging="584"/>
        <w:spacing w:after="0" w:line="286" w:lineRule="auto"/>
        <w:tabs>
          <w:tab w:leader="none" w:pos="17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2280" w:type="dxa"/>
        <w:tblCellMar>
          <w:top w:w="0" w:type="dxa"/>
          <w:left w:w="0" w:type="dxa"/>
          <w:bottom w:w="0" w:type="dxa"/>
          <w:right w:w="0" w:type="dxa"/>
        </w:tblCellMar>
      </w:tblPr>
      <w:tr>
        <w:trPr>
          <w:trHeight w:val="208"/>
        </w:trPr>
        <w:tc>
          <w:tcPr>
            <w:tcW w:w="3680" w:type="dxa"/>
            <w:vAlign w:val="bottom"/>
          </w:tcPr>
          <w:p>
            <w:pPr>
              <w:spacing w:after="0"/>
              <w:rPr>
                <w:sz w:val="20"/>
                <w:szCs w:val="20"/>
                <w:color w:val="auto"/>
              </w:rPr>
            </w:pPr>
            <w:r>
              <w:rPr>
                <w:rFonts w:ascii="Arial" w:cs="Arial" w:eastAsia="Arial" w:hAnsi="Arial"/>
                <w:sz w:val="16"/>
                <w:szCs w:val="16"/>
                <w:color w:val="auto"/>
              </w:rPr>
              <w:t>November 13, 2018</w:t>
            </w:r>
          </w:p>
        </w:tc>
        <w:tc>
          <w:tcPr>
            <w:tcW w:w="3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Brian R. Doom</w:t>
            </w:r>
          </w:p>
        </w:tc>
      </w:tr>
      <w:tr>
        <w:trPr>
          <w:trHeight w:val="177"/>
        </w:trPr>
        <w:tc>
          <w:tcPr>
            <w:tcW w:w="3680" w:type="dxa"/>
            <w:vAlign w:val="bottom"/>
          </w:tcPr>
          <w:p>
            <w:pPr>
              <w:spacing w:after="0"/>
              <w:rPr>
                <w:sz w:val="15"/>
                <w:szCs w:val="15"/>
                <w:color w:val="auto"/>
              </w:rPr>
            </w:pPr>
          </w:p>
        </w:tc>
        <w:tc>
          <w:tcPr>
            <w:tcW w:w="3020" w:type="dxa"/>
            <w:vAlign w:val="bottom"/>
          </w:tcPr>
          <w:p>
            <w:pPr>
              <w:spacing w:after="0" w:line="177" w:lineRule="exact"/>
              <w:rPr>
                <w:sz w:val="20"/>
                <w:szCs w:val="20"/>
                <w:color w:val="auto"/>
              </w:rPr>
            </w:pPr>
            <w:r>
              <w:rPr>
                <w:rFonts w:ascii="Arial" w:cs="Arial" w:eastAsia="Arial" w:hAnsi="Arial"/>
                <w:sz w:val="16"/>
                <w:szCs w:val="16"/>
                <w:color w:val="auto"/>
              </w:rPr>
              <w:t>Brian R. Doom</w:t>
            </w:r>
          </w:p>
        </w:tc>
      </w:tr>
      <w:tr>
        <w:trPr>
          <w:trHeight w:val="196"/>
        </w:trPr>
        <w:tc>
          <w:tcPr>
            <w:tcW w:w="368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8"/>
        </w:trPr>
        <w:tc>
          <w:tcPr>
            <w:tcW w:w="3680" w:type="dxa"/>
            <w:vAlign w:val="bottom"/>
          </w:tcPr>
          <w:p>
            <w:pPr>
              <w:spacing w:after="0"/>
              <w:rPr>
                <w:sz w:val="18"/>
                <w:szCs w:val="18"/>
                <w:color w:val="auto"/>
              </w:rPr>
            </w:pPr>
          </w:p>
        </w:tc>
        <w:tc>
          <w:tcPr>
            <w:tcW w:w="302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w:t>
            </w:r>
            <w:r>
              <w:rPr>
                <w:rFonts w:ascii="Arial" w:cs="Arial" w:eastAsia="Arial" w:hAnsi="Arial"/>
                <w:sz w:val="16"/>
                <w:szCs w:val="16"/>
                <w:color w:val="auto"/>
              </w:rPr>
              <w:t>)</w:t>
            </w:r>
          </w:p>
        </w:tc>
      </w:tr>
    </w:tbl>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32</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CERTIFICATION PURSUANT TO</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 U.S.C. SECTION 1350,</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ADOPTED PURSUANT TO</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SECTION 906 OF THE SARBANES-OXLEY ACT OF 2002</w:t>
      </w:r>
    </w:p>
    <w:p>
      <w:pPr>
        <w:spacing w:after="0" w:line="332" w:lineRule="exact"/>
        <w:rPr>
          <w:sz w:val="20"/>
          <w:szCs w:val="20"/>
          <w:color w:val="auto"/>
        </w:rPr>
      </w:pPr>
    </w:p>
    <w:p>
      <w:pPr>
        <w:ind w:right="240"/>
        <w:spacing w:after="0" w:line="297" w:lineRule="auto"/>
        <w:rPr>
          <w:sz w:val="20"/>
          <w:szCs w:val="20"/>
          <w:color w:val="auto"/>
        </w:rPr>
      </w:pPr>
      <w:r>
        <w:rPr>
          <w:rFonts w:ascii="Arial" w:cs="Arial" w:eastAsia="Arial" w:hAnsi="Arial"/>
          <w:sz w:val="15"/>
          <w:szCs w:val="15"/>
          <w:color w:val="auto"/>
        </w:rPr>
        <w:t>In connection with the quarterly report of NI Holdings, Inc. (the “Company”) on Form 10-Q for the period ended September 30, 2018,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08" w:lineRule="exact"/>
        <w:rPr>
          <w:sz w:val="20"/>
          <w:szCs w:val="20"/>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3"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2420" w:type="dxa"/>
        <w:tblCellMar>
          <w:top w:w="0" w:type="dxa"/>
          <w:left w:w="0" w:type="dxa"/>
          <w:bottom w:w="0" w:type="dxa"/>
          <w:right w:w="0" w:type="dxa"/>
        </w:tblCellMar>
      </w:tblPr>
      <w:tr>
        <w:trPr>
          <w:trHeight w:val="208"/>
        </w:trPr>
        <w:tc>
          <w:tcPr>
            <w:tcW w:w="3720" w:type="dxa"/>
            <w:vAlign w:val="bottom"/>
          </w:tcPr>
          <w:p>
            <w:pPr>
              <w:spacing w:after="0"/>
              <w:rPr>
                <w:sz w:val="20"/>
                <w:szCs w:val="20"/>
                <w:color w:val="auto"/>
              </w:rPr>
            </w:pPr>
            <w:r>
              <w:rPr>
                <w:rFonts w:ascii="Arial" w:cs="Arial" w:eastAsia="Arial" w:hAnsi="Arial"/>
                <w:sz w:val="16"/>
                <w:szCs w:val="16"/>
                <w:color w:val="auto"/>
              </w:rPr>
              <w:t>November 13, 2018</w:t>
            </w:r>
          </w:p>
        </w:tc>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J. Alexander</w:t>
            </w:r>
          </w:p>
        </w:tc>
      </w:tr>
      <w:tr>
        <w:trPr>
          <w:trHeight w:val="177"/>
        </w:trPr>
        <w:tc>
          <w:tcPr>
            <w:tcW w:w="3720" w:type="dxa"/>
            <w:vAlign w:val="bottom"/>
          </w:tcPr>
          <w:p>
            <w:pPr>
              <w:spacing w:after="0"/>
              <w:rPr>
                <w:sz w:val="15"/>
                <w:szCs w:val="15"/>
                <w:color w:val="auto"/>
              </w:rPr>
            </w:pPr>
          </w:p>
        </w:tc>
        <w:tc>
          <w:tcPr>
            <w:tcW w:w="2940" w:type="dxa"/>
            <w:vAlign w:val="bottom"/>
          </w:tcPr>
          <w:p>
            <w:pPr>
              <w:spacing w:after="0" w:line="177" w:lineRule="exact"/>
              <w:rPr>
                <w:sz w:val="20"/>
                <w:szCs w:val="20"/>
                <w:color w:val="auto"/>
              </w:rPr>
            </w:pPr>
            <w:r>
              <w:rPr>
                <w:rFonts w:ascii="Arial" w:cs="Arial" w:eastAsia="Arial" w:hAnsi="Arial"/>
                <w:sz w:val="16"/>
                <w:szCs w:val="16"/>
                <w:color w:val="auto"/>
              </w:rPr>
              <w:t>Michael J. Alexander</w:t>
            </w:r>
          </w:p>
        </w:tc>
      </w:tr>
      <w:tr>
        <w:trPr>
          <w:trHeight w:val="196"/>
        </w:trPr>
        <w:tc>
          <w:tcPr>
            <w:tcW w:w="37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08"/>
        </w:trPr>
        <w:tc>
          <w:tcPr>
            <w:tcW w:w="372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r>
      <w:tr>
        <w:trPr>
          <w:trHeight w:val="589"/>
        </w:trPr>
        <w:tc>
          <w:tcPr>
            <w:tcW w:w="3720" w:type="dxa"/>
            <w:vAlign w:val="bottom"/>
          </w:tcPr>
          <w:p>
            <w:pPr>
              <w:spacing w:after="0"/>
              <w:rPr>
                <w:sz w:val="20"/>
                <w:szCs w:val="20"/>
                <w:color w:val="auto"/>
              </w:rPr>
            </w:pPr>
            <w:r>
              <w:rPr>
                <w:rFonts w:ascii="Arial" w:cs="Arial" w:eastAsia="Arial" w:hAnsi="Arial"/>
                <w:sz w:val="16"/>
                <w:szCs w:val="16"/>
                <w:color w:val="auto"/>
              </w:rPr>
              <w:t>November 13, 2018</w:t>
            </w:r>
          </w:p>
        </w:tc>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Brian R. Doom</w:t>
            </w:r>
          </w:p>
        </w:tc>
      </w:tr>
      <w:tr>
        <w:trPr>
          <w:trHeight w:val="177"/>
        </w:trPr>
        <w:tc>
          <w:tcPr>
            <w:tcW w:w="3720" w:type="dxa"/>
            <w:vAlign w:val="bottom"/>
          </w:tcPr>
          <w:p>
            <w:pPr>
              <w:spacing w:after="0"/>
              <w:rPr>
                <w:sz w:val="15"/>
                <w:szCs w:val="15"/>
                <w:color w:val="auto"/>
              </w:rPr>
            </w:pPr>
          </w:p>
        </w:tc>
        <w:tc>
          <w:tcPr>
            <w:tcW w:w="2940" w:type="dxa"/>
            <w:vAlign w:val="bottom"/>
          </w:tcPr>
          <w:p>
            <w:pPr>
              <w:spacing w:after="0" w:line="177" w:lineRule="exact"/>
              <w:rPr>
                <w:sz w:val="20"/>
                <w:szCs w:val="20"/>
                <w:color w:val="auto"/>
              </w:rPr>
            </w:pPr>
            <w:r>
              <w:rPr>
                <w:rFonts w:ascii="Arial" w:cs="Arial" w:eastAsia="Arial" w:hAnsi="Arial"/>
                <w:sz w:val="16"/>
                <w:szCs w:val="16"/>
                <w:color w:val="auto"/>
              </w:rPr>
              <w:t>Brian R. Doom</w:t>
            </w:r>
          </w:p>
        </w:tc>
      </w:tr>
      <w:tr>
        <w:trPr>
          <w:trHeight w:val="196"/>
        </w:trPr>
        <w:tc>
          <w:tcPr>
            <w:tcW w:w="37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8"/>
        </w:trPr>
        <w:tc>
          <w:tcPr>
            <w:tcW w:w="3720" w:type="dxa"/>
            <w:vAlign w:val="bottom"/>
          </w:tcPr>
          <w:p>
            <w:pPr>
              <w:spacing w:after="0"/>
              <w:rPr>
                <w:sz w:val="18"/>
                <w:szCs w:val="18"/>
                <w:color w:val="auto"/>
              </w:rPr>
            </w:pPr>
          </w:p>
        </w:tc>
        <w:tc>
          <w:tcPr>
            <w:tcW w:w="294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w:t>
            </w:r>
            <w:r>
              <w:rPr>
                <w:rFonts w:ascii="Arial" w:cs="Arial" w:eastAsia="Arial" w:hAnsi="Arial"/>
                <w:sz w:val="16"/>
                <w:szCs w:val="16"/>
                <w:color w:val="auto"/>
              </w:rPr>
              <w:t>)</w:t>
            </w:r>
          </w:p>
        </w:tc>
      </w:tr>
    </w:tbl>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5932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59320" cy="23495"/>
                    </a:xfrm>
                    <a:prstGeom prst="rect">
                      <a:avLst/>
                    </a:prstGeom>
                    <a:noFill/>
                  </pic:spPr>
                </pic:pic>
              </a:graphicData>
            </a:graphic>
          </wp:anchor>
        </w:drawing>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3"/>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1."/>
      <w:numFmt w:val="decimal"/>
      <w:start w:val="6"/>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1."/>
      <w:numFmt w:val="decimal"/>
      <w:start w:val="8"/>
    </w:lvl>
  </w:abstractNum>
  <w:abstractNum w:abstractNumId="15">
    <w:nsid w:val="2CA88611"/>
    <w:multiLevelType w:val="hybridMultilevel"/>
    <w:lvl w:ilvl="0">
      <w:lvlJc w:val="left"/>
      <w:lvlText w:val="%1."/>
      <w:numFmt w:val="decimal"/>
      <w:start w:val="9"/>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3"/>
    </w:lvl>
  </w:abstractNum>
  <w:abstractNum w:abstractNumId="21">
    <w:nsid w:val="7C3DBD3D"/>
    <w:multiLevelType w:val="hybridMultilevel"/>
    <w:lvl w:ilvl="0">
      <w:lvlJc w:val="left"/>
      <w:lvlText w:val="%1."/>
      <w:numFmt w:val="decimal"/>
      <w:start w:val="14"/>
    </w:lvl>
  </w:abstractNum>
  <w:abstractNum w:abstractNumId="22">
    <w:nsid w:val="737B8DDC"/>
    <w:multiLevelType w:val="hybridMultilevel"/>
    <w:lvl w:ilvl="0">
      <w:lvlJc w:val="left"/>
      <w:lvlText w:val="%1."/>
      <w:numFmt w:val="decimal"/>
      <w:start w:val="15"/>
    </w:lvl>
  </w:abstractNum>
  <w:abstractNum w:abstractNumId="23">
    <w:nsid w:val="6CEAF087"/>
    <w:multiLevelType w:val="hybridMultilevel"/>
    <w:lvl w:ilvl="0">
      <w:lvlJc w:val="left"/>
      <w:lvlText w:val="%1."/>
      <w:numFmt w:val="decimal"/>
      <w:start w:val="16"/>
    </w:lvl>
  </w:abstractNum>
  <w:abstractNum w:abstractNumId="24">
    <w:nsid w:val="22221A70"/>
    <w:multiLevelType w:val="hybridMultilevel"/>
    <w:lvl w:ilvl="0">
      <w:lvlJc w:val="left"/>
      <w:lvlText w:val="%1."/>
      <w:numFmt w:val="decimal"/>
      <w:start w:val="17"/>
    </w:lvl>
  </w:abstractNum>
  <w:abstractNum w:abstractNumId="25">
    <w:nsid w:val="4516DDE9"/>
    <w:multiLevelType w:val="hybridMultilevel"/>
    <w:lvl w:ilvl="0">
      <w:lvlJc w:val="left"/>
      <w:lvlText w:val="%1."/>
      <w:numFmt w:val="decimal"/>
      <w:start w:val="19"/>
    </w:lvl>
  </w:abstractNum>
  <w:abstractNum w:abstractNumId="26">
    <w:nsid w:val="3006C83E"/>
    <w:multiLevelType w:val="hybridMultilevel"/>
    <w:lvl w:ilvl="0">
      <w:lvlJc w:val="left"/>
      <w:lvlText w:val="%1."/>
      <w:numFmt w:val="decimal"/>
      <w:start w:val="20"/>
    </w:lvl>
  </w:abstractNum>
  <w:abstractNum w:abstractNumId="27">
    <w:nsid w:val="614FD4A1"/>
    <w:multiLevelType w:val="hybridMultilevel"/>
    <w:lvl w:ilvl="0">
      <w:lvlJc w:val="left"/>
      <w:lvlText w:val="%1."/>
      <w:numFmt w:val="decimal"/>
      <w:start w:val="2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22"/>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lowerRoman"/>
      <w:start w:val="2"/>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3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1" Type="http://schemas.openxmlformats.org/officeDocument/2006/relationships/hyperlink" Target="http://www.sec.gov/Archives/edgar/data/1681206/000117494718001128/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2019-12-28T17:53:48Z</dcterms:created>
  <dcterms:modified xsi:type="dcterms:W3CDTF">2019-12-28T17:53:48Z</dcterms:modified>
</cp:coreProperties>
</file>