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right="1940" w:firstLine="8"/>
        <w:spacing w:after="0" w:line="286" w:lineRule="auto"/>
        <w:tabs>
          <w:tab w:leader="none" w:pos="3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2018</w:t>
      </w:r>
    </w:p>
    <w:p>
      <w:pPr>
        <w:spacing w:after="0" w:line="74" w:lineRule="exact"/>
        <w:rPr>
          <w:sz w:val="24"/>
          <w:szCs w:val="24"/>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1510665</wp:posOffset>
            </wp:positionH>
            <wp:positionV relativeFrom="paragraph">
              <wp:posOffset>-19050</wp:posOffset>
            </wp:positionV>
            <wp:extent cx="1009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650" cy="8890"/>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7"/>
              </w:rPr>
              <w:t>NORTH DAKOTA</w:t>
            </w: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1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1101 First Avenue North</w:t>
            </w:r>
          </w:p>
        </w:tc>
        <w:tc>
          <w:tcPr>
            <w:tcW w:w="1560" w:type="dxa"/>
            <w:vAlign w:val="bottom"/>
          </w:tcPr>
          <w:p>
            <w:pPr>
              <w:spacing w:after="0"/>
              <w:rPr>
                <w:sz w:val="24"/>
                <w:szCs w:val="24"/>
                <w:color w:val="auto"/>
              </w:rPr>
            </w:pPr>
          </w:p>
        </w:tc>
      </w:tr>
      <w:tr>
        <w:trPr>
          <w:trHeight w:val="216"/>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Fargo, North Dakota</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38"/>
        </w:trPr>
        <w:tc>
          <w:tcPr>
            <w:tcW w:w="652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42"/>
        </w:trPr>
        <w:tc>
          <w:tcPr>
            <w:tcW w:w="652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(701) 298-4200</w:t>
            </w:r>
          </w:p>
        </w:tc>
        <w:tc>
          <w:tcPr>
            <w:tcW w:w="1560" w:type="dxa"/>
            <w:vAlign w:val="bottom"/>
          </w:tcPr>
          <w:p>
            <w:pPr>
              <w:spacing w:after="0"/>
              <w:rPr>
                <w:sz w:val="24"/>
                <w:szCs w:val="24"/>
                <w:color w:val="auto"/>
              </w:rPr>
            </w:pPr>
          </w:p>
        </w:tc>
      </w:tr>
      <w:tr>
        <w:trPr>
          <w:trHeight w:val="238"/>
        </w:trPr>
        <w:tc>
          <w:tcPr>
            <w:tcW w:w="652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560" w:type="dxa"/>
            <w:vAlign w:val="bottom"/>
          </w:tcPr>
          <w:p>
            <w:pPr>
              <w:spacing w:after="0"/>
              <w:rPr>
                <w:sz w:val="20"/>
                <w:szCs w:val="20"/>
                <w:color w:val="auto"/>
              </w:rPr>
            </w:pPr>
          </w:p>
        </w:tc>
      </w:tr>
    </w:tbl>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o</w:t>
      </w:r>
    </w:p>
    <w:p>
      <w:pPr>
        <w:spacing w:after="0" w:line="111"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79" w:right="239" w:bottom="144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661" w:lineRule="exact"/>
        <w:rPr>
          <w:sz w:val="24"/>
          <w:szCs w:val="24"/>
          <w:color w:val="auto"/>
        </w:rPr>
      </w:pPr>
    </w:p>
    <w:p>
      <w:pPr>
        <w:sectPr>
          <w:pgSz w:w="11900" w:h="16838" w:orient="portrait"/>
          <w:cols w:equalWidth="0" w:num="3">
            <w:col w:w="2840" w:space="720"/>
            <w:col w:w="1480" w:space="720"/>
            <w:col w:w="5660"/>
          </w:cols>
          <w:pgMar w:left="240" w:top="279" w:right="239" w:bottom="1440" w:gutter="0" w:footer="0" w:header="0"/>
          <w:type w:val="continuous"/>
        </w:sectPr>
      </w:pPr>
    </w:p>
    <w:p>
      <w:pPr>
        <w:spacing w:after="0" w:line="7"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6" w:lineRule="exact"/>
        <w:rPr>
          <w:sz w:val="24"/>
          <w:szCs w:val="24"/>
          <w:color w:val="auto"/>
        </w:rPr>
      </w:pPr>
    </w:p>
    <w:p>
      <w:pPr>
        <w:spacing w:after="0" w:line="207" w:lineRule="exact"/>
        <w:tabs>
          <w:tab w:leader="none" w:pos="8880" w:val="left"/>
        </w:tabs>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  o Yes</w:t>
        <w:tab/>
        <w:t xml:space="preserve">No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May 4, 2018 was 22,352,844.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7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Part I. - FINANCIAL INFORMATION</w:t>
              </w:r>
            </w:hyperlink>
          </w:p>
        </w:tc>
        <w:tc>
          <w:tcPr>
            <w:tcW w:w="6600" w:type="dxa"/>
            <w:vAlign w:val="bottom"/>
            <w:gridSpan w:val="1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60" w:type="dxa"/>
            <w:vAlign w:val="bottom"/>
          </w:tcPr>
          <w:p>
            <w:pPr>
              <w:spacing w:after="0"/>
              <w:rPr>
                <w:sz w:val="24"/>
                <w:szCs w:val="24"/>
                <w:color w:val="auto"/>
              </w:rPr>
            </w:pPr>
          </w:p>
        </w:tc>
        <w:tc>
          <w:tcPr>
            <w:tcW w:w="8900" w:type="dxa"/>
            <w:vAlign w:val="bottom"/>
            <w:gridSpan w:val="2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 Financial Statements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Unaudited Consolidated Balance Sheets</w:t>
              </w:r>
            </w:hyperlink>
          </w:p>
        </w:tc>
        <w:tc>
          <w:tcPr>
            <w:tcW w:w="548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Consolidated Statements of Operations</w:t>
              </w:r>
            </w:hyperlink>
          </w:p>
        </w:tc>
        <w:tc>
          <w:tcPr>
            <w:tcW w:w="4760" w:type="dxa"/>
            <w:vAlign w:val="bottom"/>
            <w:gridSpan w:val="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80" w:type="dxa"/>
            <w:vAlign w:val="bottom"/>
            <w:gridSpan w:val="21"/>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Statements of Comprehensive Income (Loss)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Consolidated Statement of Changes in Equity</w:t>
              </w:r>
            </w:hyperlink>
          </w:p>
        </w:tc>
        <w:tc>
          <w:tcPr>
            <w:tcW w:w="3340" w:type="dxa"/>
            <w:vAlign w:val="bottom"/>
            <w:gridSpan w:val="2"/>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Unaudited 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4300" w:type="dxa"/>
            <w:vAlign w:val="bottom"/>
            <w:gridSpan w:val="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380" w:type="dxa"/>
            <w:vAlign w:val="bottom"/>
            <w:gridSpan w:val="21"/>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Notes to Unaudited Consolidated Financial Statements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8900" w:type="dxa"/>
            <w:vAlign w:val="bottom"/>
            <w:gridSpan w:val="22"/>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 - Management’s Discussion and Analysis of Financial Condition and Results of Operations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5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Item 3. -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180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560" w:type="dxa"/>
            <w:vAlign w:val="bottom"/>
          </w:tcPr>
          <w:p>
            <w:pPr>
              <w:spacing w:after="0"/>
              <w:rPr>
                <w:sz w:val="17"/>
                <w:szCs w:val="17"/>
                <w:color w:val="auto"/>
              </w:rPr>
            </w:pPr>
          </w:p>
        </w:tc>
        <w:tc>
          <w:tcPr>
            <w:tcW w:w="8900" w:type="dxa"/>
            <w:vAlign w:val="bottom"/>
            <w:gridSpan w:val="22"/>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Item 4. - Controls and Procedures</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56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Part II. - OTHER INFORMATION</w:t>
              </w:r>
            </w:hyperlink>
          </w:p>
        </w:tc>
        <w:tc>
          <w:tcPr>
            <w:tcW w:w="6900" w:type="dxa"/>
            <w:vAlign w:val="bottom"/>
            <w:gridSpan w:val="14"/>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12"/>
        </w:trPr>
        <w:tc>
          <w:tcPr>
            <w:tcW w:w="560" w:type="dxa"/>
            <w:vAlign w:val="bottom"/>
          </w:tcPr>
          <w:p>
            <w:pPr>
              <w:spacing w:after="0"/>
              <w:rPr>
                <w:sz w:val="24"/>
                <w:szCs w:val="24"/>
                <w:color w:val="auto"/>
              </w:rPr>
            </w:pPr>
          </w:p>
        </w:tc>
        <w:tc>
          <w:tcPr>
            <w:tcW w:w="8900" w:type="dxa"/>
            <w:vAlign w:val="bottom"/>
            <w:gridSpan w:val="2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 - Legal Proceedings</w:t>
              </w:r>
            </w:hyperlink>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560" w:type="dxa"/>
            <w:vAlign w:val="bottom"/>
          </w:tcPr>
          <w:p>
            <w:pPr>
              <w:spacing w:after="0"/>
              <w:rPr>
                <w:sz w:val="17"/>
                <w:szCs w:val="17"/>
                <w:color w:val="auto"/>
              </w:rPr>
            </w:pPr>
          </w:p>
        </w:tc>
        <w:tc>
          <w:tcPr>
            <w:tcW w:w="198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Item 1A. - Risk Factors</w:t>
              </w:r>
            </w:hyperlink>
          </w:p>
        </w:tc>
        <w:tc>
          <w:tcPr>
            <w:tcW w:w="6920" w:type="dxa"/>
            <w:vAlign w:val="bottom"/>
            <w:gridSpan w:val="15"/>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Item 2. - Unregistered Sales of Equity Securities and Use of Proceeds</w:t>
              </w:r>
            </w:hyperlink>
          </w:p>
        </w:tc>
        <w:tc>
          <w:tcPr>
            <w:tcW w:w="3900" w:type="dxa"/>
            <w:vAlign w:val="bottom"/>
            <w:gridSpan w:val="3"/>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6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Item 3. - Defaults upon Senior Securities</w:t>
              </w:r>
            </w:hyperlink>
          </w:p>
        </w:tc>
        <w:tc>
          <w:tcPr>
            <w:tcW w:w="5960" w:type="dxa"/>
            <w:vAlign w:val="bottom"/>
            <w:gridSpan w:val="10"/>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560" w:type="dxa"/>
            <w:vAlign w:val="bottom"/>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Item 4. - Mine Safety Disclosures</w:t>
              </w:r>
            </w:hyperlink>
          </w:p>
        </w:tc>
        <w:tc>
          <w:tcPr>
            <w:tcW w:w="6480" w:type="dxa"/>
            <w:vAlign w:val="bottom"/>
            <w:gridSpan w:val="11"/>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560" w:type="dxa"/>
            <w:vAlign w:val="bottom"/>
          </w:tcPr>
          <w:p>
            <w:pPr>
              <w:spacing w:after="0"/>
              <w:rPr>
                <w:sz w:val="17"/>
                <w:szCs w:val="17"/>
                <w:color w:val="auto"/>
              </w:rPr>
            </w:pPr>
          </w:p>
        </w:tc>
        <w:tc>
          <w:tcPr>
            <w:tcW w:w="8900" w:type="dxa"/>
            <w:vAlign w:val="bottom"/>
            <w:gridSpan w:val="22"/>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5. - Other Information</w:t>
              </w:r>
            </w:hyperlink>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560" w:type="dxa"/>
            <w:vAlign w:val="bottom"/>
          </w:tcPr>
          <w:p>
            <w:pPr>
              <w:spacing w:after="0"/>
              <w:rPr>
                <w:sz w:val="17"/>
                <w:szCs w:val="17"/>
                <w:color w:val="auto"/>
              </w:rPr>
            </w:pPr>
          </w:p>
        </w:tc>
        <w:tc>
          <w:tcPr>
            <w:tcW w:w="19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6. - Exhibits</w:t>
              </w:r>
            </w:hyperlink>
          </w:p>
        </w:tc>
        <w:tc>
          <w:tcPr>
            <w:tcW w:w="6940" w:type="dxa"/>
            <w:vAlign w:val="bottom"/>
            <w:gridSpan w:val="16"/>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560" w:type="dxa"/>
            <w:vAlign w:val="bottom"/>
          </w:tcPr>
          <w:p>
            <w:pPr>
              <w:spacing w:after="0"/>
              <w:rPr>
                <w:sz w:val="17"/>
                <w:szCs w:val="17"/>
                <w:color w:val="auto"/>
              </w:rPr>
            </w:pPr>
          </w:p>
        </w:tc>
        <w:tc>
          <w:tcPr>
            <w:tcW w:w="124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Signatures</w:t>
              </w:r>
            </w:hyperlink>
          </w:p>
        </w:tc>
        <w:tc>
          <w:tcPr>
            <w:tcW w:w="7660" w:type="dxa"/>
            <w:vAlign w:val="bottom"/>
            <w:gridSpan w:val="18"/>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56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 w:name="page3"/>
    <w:bookmarkEnd w:id="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w:t>
      </w:r>
    </w:p>
    <w:p>
      <w:pPr>
        <w:spacing w:after="0" w:line="185" w:lineRule="exact"/>
        <w:rPr>
          <w:sz w:val="20"/>
          <w:szCs w:val="20"/>
          <w:color w:val="auto"/>
        </w:rPr>
      </w:pPr>
    </w:p>
    <w:p>
      <w:pPr>
        <w:ind w:left="660" w:right="3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and its subsidiaries and Battle Creek Mutual Insurance Company, for periods discussed after completion of the conversion, and for periods discussed prior to completion of the conversion refer to Nodak Mutual Insurance Company and all of its subsidiaries and Battle Creek Mutual Insurance Company;</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 to Nodak Mutual Group, Inc., which is the majority shareholder of NI Holdings;</w:t>
      </w:r>
    </w:p>
    <w:p>
      <w:pPr>
        <w:spacing w:after="0" w:line="18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refers to the series of transactions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Stock” refers to Nodak Insurance Company, the successor company to Nodak Mutual Insurance Company after the conversion;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Stock or Nodak Mutual interchangeably;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 and</w:t>
      </w:r>
    </w:p>
    <w:p>
      <w:pPr>
        <w:spacing w:after="0" w:line="198"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Battle Creek is not a subsidiary of Nodak Insurance, but all of its insurance policies are reinsured by Nodak Insurance through a 100% quota-share reinsurance agreement and Battle Creek is controlled by Nodak Insurance as a result of an affiliation agreement between Battle Creek and Nodak Insurance. Battle Creek is consolidated with Nodak Insurance for financial reporting purposes.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21"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goals, intentions and expectations;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prospects and business strategy; and</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benefits and results.</w:t>
      </w:r>
    </w:p>
    <w:p>
      <w:pPr>
        <w:spacing w:after="0" w:line="185" w:lineRule="exact"/>
        <w:rPr>
          <w:sz w:val="20"/>
          <w:szCs w:val="20"/>
          <w:color w:val="auto"/>
        </w:rPr>
      </w:pPr>
    </w:p>
    <w:p>
      <w:pPr>
        <w:ind w:right="200" w:firstLine="648"/>
        <w:spacing w:after="0" w:line="313" w:lineRule="auto"/>
        <w:rPr>
          <w:sz w:val="20"/>
          <w:szCs w:val="20"/>
          <w:color w:val="auto"/>
        </w:rPr>
      </w:pPr>
      <w:r>
        <w:rPr>
          <w:rFonts w:ascii="Times New Roman" w:cs="Times New Roman" w:eastAsia="Times New Roman" w:hAnsi="Times New Roman"/>
          <w:sz w:val="17"/>
          <w:szCs w:val="17"/>
          <w:color w:val="auto"/>
        </w:rPr>
        <w:t>The forward-looking statements are subject to numerous assumptions, risks and uncertainties, including, among other things, the factors discussed under the heading “Risk Factors” in this Quarterly Report and our Annual Report on Form 10-K that could affect the actual outcome of future events.</w:t>
      </w:r>
    </w:p>
    <w:p>
      <w:pPr>
        <w:spacing w:after="0" w:line="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All of these factors are difficult to predict and many are beyond our control. These important factors include those discussed under “Risk Factors” and those listed below:</w:t>
      </w:r>
    </w:p>
    <w:p>
      <w:pPr>
        <w:spacing w:after="0" w:line="13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federal crop insurance program;</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conditions in the markets in which we compete that are less favorable than expected;</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legislative, judicial, economic, demographic and regulatory events in the jurisdictions where we do business;</w:t>
      </w:r>
    </w:p>
    <w:p>
      <w:pPr>
        <w:spacing w:after="0" w:line="19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producer network;</w:t>
      </w:r>
    </w:p>
    <w:p>
      <w:pPr>
        <w:spacing w:after="0" w:line="12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3" w:name="page4"/>
    <w:bookmarkEnd w:id="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including inflation, unemployment, interest rates and other factors;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and adequacy of loss reserves and trends in loss and loss adjustment expenses;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coverage terms required by state laws with respect to minimum auto liability insurance, including higher minimum limits;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regulatory approval of, or to implement, premium rate increases;</w:t>
      </w:r>
    </w:p>
    <w:p>
      <w:pPr>
        <w:spacing w:after="0" w:line="198"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reinsurance coverage at reasonable prices or on terms that adequately protect us and to collect amounts that we believe we are entitled to under such reinsurance;</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industry trends and ratings assigned by nationally recognized rating organizations;</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fraud, operational errors, systems malfunctions, or cybersecurity incidents;</w:t>
      </w:r>
    </w:p>
    <w:p>
      <w:pPr>
        <w:spacing w:after="0" w:line="18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or arbitration results; and</w:t>
      </w:r>
    </w:p>
    <w:p>
      <w:pPr>
        <w:spacing w:after="0" w:line="184"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Because forward-looking information is subject to various risks and uncertainties, actual results may differ materially from that expressed or implied by the forward-looking information.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 w:name="page5"/>
    <w:bookmarkEnd w:id="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8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25,209</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238,480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1,954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9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8,980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376,124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43,863</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65,388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payable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income tax payable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9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23,000,000 shares; and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2018 – 22,352,844 shares, 2017 – 22,337,644 shares</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without par value, authorized 5,000,000 shares, no</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or outstanding</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93,678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158,987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net of income taxes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2018 – 431,471 shares, 2017 – 446,671 shares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equity</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376,124</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tcBorders>
              <w:bottom w:val="single" w:sz="8" w:color="auto"/>
            </w:tcBorders>
          </w:tcPr>
          <w:p>
            <w:pPr>
              <w:ind w:left="568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 w:name="page6"/>
    <w:bookmarkEnd w:id="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660" w:type="dxa"/>
            <w:vAlign w:val="bottom"/>
            <w:gridSpan w:val="5"/>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60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3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36,112</w:t>
            </w:r>
          </w:p>
        </w:tc>
        <w:tc>
          <w:tcPr>
            <w:tcW w:w="940" w:type="dxa"/>
            <w:vAlign w:val="bottom"/>
            <w:gridSpan w:val="2"/>
            <w:shd w:val="clear" w:color="auto" w:fill="CCEEFF"/>
          </w:tcPr>
          <w:p>
            <w:pPr>
              <w:jc w:val="right"/>
              <w:ind w:right="80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18,849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7,039</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expenses</w:t>
            </w:r>
          </w:p>
        </w:tc>
        <w:tc>
          <w:tcPr>
            <w:tcW w:w="2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22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tcBorders>
              <w:bottom w:val="single" w:sz="8" w:color="CCEEFF"/>
            </w:tcBorders>
          </w:tcPr>
          <w:p>
            <w:pPr>
              <w:spacing w:after="0"/>
              <w:rPr>
                <w:sz w:val="17"/>
                <w:szCs w:val="17"/>
                <w:color w:val="auto"/>
              </w:rPr>
            </w:pPr>
          </w:p>
        </w:tc>
        <w:tc>
          <w:tcPr>
            <w:tcW w:w="22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980" w:type="dxa"/>
            <w:vAlign w:val="bottom"/>
            <w:tcBorders>
              <w:bottom w:val="single" w:sz="8" w:color="auto"/>
            </w:tcBorders>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 w:name="page7"/>
    <w:bookmarkEnd w:id="6"/>
    <w:p>
      <w:pPr>
        <w:spacing w:after="0"/>
        <w:rPr>
          <w:rFonts w:ascii="Times New Roman" w:cs="Times New Roman" w:eastAsia="Times New Roman" w:hAnsi="Times New Roman"/>
          <w:sz w:val="21"/>
          <w:szCs w:val="21"/>
          <w:i w:val="1"/>
          <w:iCs w:val="1"/>
          <w:u w:val="single" w:color="auto"/>
          <w:color w:val="0000EE"/>
        </w:rPr>
      </w:pPr>
      <w:hyperlink w:anchor="page2">
        <w:r>
          <w:rPr>
            <w:rFonts w:ascii="Times New Roman" w:cs="Times New Roman" w:eastAsia="Times New Roman" w:hAnsi="Times New Roman"/>
            <w:sz w:val="21"/>
            <w:szCs w:val="21"/>
            <w:i w:val="1"/>
            <w:iCs w:val="1"/>
            <w:u w:val="single" w:color="auto"/>
            <w:color w:val="0000EE"/>
          </w:rPr>
          <w:t>Table of Contents</w:t>
        </w:r>
      </w:hyperlink>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before income taxes: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(losses)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240"/>
        <w:spacing w:after="0" w:line="261" w:lineRule="auto"/>
        <w:rPr>
          <w:sz w:val="20"/>
          <w:szCs w:val="20"/>
          <w:color w:val="auto"/>
        </w:rPr>
      </w:pPr>
      <w:r>
        <w:rPr>
          <w:rFonts w:ascii="Times New Roman" w:cs="Times New Roman" w:eastAsia="Times New Roman" w:hAnsi="Times New Roman"/>
          <w:sz w:val="18"/>
          <w:szCs w:val="18"/>
          <w:color w:val="auto"/>
        </w:rPr>
        <w:t>Reclassification adjustment for net realized capital (gain) included in 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 Non-</w:t>
            </w:r>
          </w:p>
        </w:tc>
        <w:tc>
          <w:tcPr>
            <w:tcW w:w="8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 NI</w:t>
            </w: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7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Controlling Interest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32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(3,919)</w:t>
            </w: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(4,001)</w:t>
            </w:r>
          </w:p>
        </w:tc>
      </w:tr>
      <w:tr>
        <w:trPr>
          <w:trHeight w:val="44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(469)</w:t>
            </w:r>
          </w:p>
        </w:tc>
      </w:tr>
    </w:tbl>
    <w:p>
      <w:pPr>
        <w:spacing w:after="0" w:line="20" w:lineRule="exact"/>
        <w:rPr>
          <w:sz w:val="20"/>
          <w:szCs w:val="20"/>
          <w:color w:val="auto"/>
        </w:rPr>
      </w:pPr>
    </w:p>
    <w:p>
      <w:pPr>
        <w:sectPr>
          <w:pgSz w:w="11900" w:h="16838" w:orient="portrait"/>
          <w:cols w:equalWidth="0" w:num="2">
            <w:col w:w="5640" w:space="720"/>
            <w:col w:w="506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2"/>
        </w:trPr>
        <w:tc>
          <w:tcPr>
            <w:tcW w:w="56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Other comprehensive (loss), before income taxes</w:t>
            </w:r>
          </w:p>
        </w:tc>
        <w:tc>
          <w:tcPr>
            <w:tcW w:w="7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(82)</w:t>
            </w:r>
          </w:p>
        </w:tc>
        <w:tc>
          <w:tcPr>
            <w:tcW w:w="54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(4,388)</w:t>
            </w:r>
          </w:p>
        </w:tc>
        <w:tc>
          <w:tcPr>
            <w:tcW w:w="5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(4,470)</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related to items of other comprehensive income</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19"/>
                <w:szCs w:val="19"/>
                <w:color w:val="auto"/>
              </w:rPr>
            </w:pPr>
          </w:p>
        </w:tc>
      </w:tr>
      <w:tr>
        <w:trPr>
          <w:trHeight w:val="210"/>
        </w:trPr>
        <w:tc>
          <w:tcPr>
            <w:tcW w:w="5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240" w:type="dxa"/>
            <w:vAlign w:val="bottom"/>
            <w:tcBorders>
              <w:top w:val="single" w:sz="8" w:color="CCEEFF"/>
              <w:right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tcPr>
          <w:p>
            <w:pPr>
              <w:spacing w:after="0"/>
              <w:rPr>
                <w:sz w:val="19"/>
                <w:szCs w:val="19"/>
                <w:color w:val="auto"/>
              </w:rPr>
            </w:pPr>
          </w:p>
        </w:tc>
        <w:tc>
          <w:tcPr>
            <w:tcW w:w="7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(loss) income, before income taxes: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Holding (losses) gains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right="240"/>
        <w:spacing w:after="0" w:line="255" w:lineRule="auto"/>
        <w:rPr>
          <w:sz w:val="20"/>
          <w:szCs w:val="20"/>
          <w:color w:val="auto"/>
        </w:rPr>
      </w:pPr>
      <w:r>
        <w:rPr>
          <w:rFonts w:ascii="Times New Roman" w:cs="Times New Roman" w:eastAsia="Times New Roman" w:hAnsi="Times New Roman"/>
          <w:sz w:val="18"/>
          <w:szCs w:val="18"/>
          <w:color w:val="auto"/>
        </w:rPr>
        <w:t>Reclassification adjustment for net realized capital (gain) included in net income</w:t>
      </w:r>
    </w:p>
    <w:p>
      <w:pPr>
        <w:spacing w:after="0" w:line="1" w:lineRule="exact"/>
        <w:rPr>
          <w:sz w:val="20"/>
          <w:szCs w:val="20"/>
          <w:color w:val="auto"/>
        </w:rPr>
      </w:pPr>
    </w:p>
    <w:p>
      <w:pPr>
        <w:ind w:right="640"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(loss) income, before income taxes Income tax benefit (expense) related to items of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Borders>
              <w:top w:val="single" w:sz="8" w:color="auto"/>
            </w:tcBorders>
            <w:gridSpan w:val="4"/>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 Non-</w:t>
            </w: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 to NI</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Controlling Interest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8"/>
        </w:trPr>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1" w:lineRule="exact"/>
        <w:rPr>
          <w:sz w:val="20"/>
          <w:szCs w:val="20"/>
          <w:color w:val="auto"/>
        </w:rPr>
      </w:pPr>
    </w:p>
    <w:p>
      <w:pPr>
        <w:sectPr>
          <w:pgSz w:w="11900" w:h="16838" w:orient="portrait"/>
          <w:cols w:equalWidth="0" w:num="2">
            <w:col w:w="5640" w:space="720"/>
            <w:col w:w="506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5380" w:type="dxa"/>
            <w:vAlign w:val="bottom"/>
            <w:tcBorders>
              <w:top w:val="single" w:sz="8" w:color="CCEEFF"/>
            </w:tcBorders>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9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Pr>
          <w:p>
            <w:pPr>
              <w:spacing w:after="0"/>
              <w:rPr>
                <w:sz w:val="19"/>
                <w:szCs w:val="19"/>
                <w:color w:val="auto"/>
              </w:rPr>
            </w:pPr>
          </w:p>
        </w:tc>
        <w:tc>
          <w:tcPr>
            <w:tcW w:w="7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7" w:name="page8"/>
    <w:bookmarkEnd w:id="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Income, Net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Plan 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93,496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152,865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255,573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6,122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net of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93,678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158,987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3,143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258,649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8" w:name="page9"/>
    <w:bookmarkEnd w:id="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6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6,152</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 which provided (used) cash:</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Reinsurance receivables / payables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Federal income tax recoverable / payable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Unearned premiums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sales of fixed income securities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to employee stock ownership plan</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25,209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$1,500 and $0 in income taxes during the three months ended March 31, 2018 and 2017,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9" w:name="page10"/>
    <w:bookmarkEnd w:id="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Notes to Unaudited Consolidated Financial Statements</w:t>
      </w:r>
    </w:p>
    <w:p>
      <w:pPr>
        <w:spacing w:after="0" w:line="3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7" w:lineRule="exact"/>
        <w:rPr>
          <w:sz w:val="20"/>
          <w:szCs w:val="20"/>
          <w:color w:val="auto"/>
        </w:rPr>
      </w:pPr>
    </w:p>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(the successor to Nodak Mutual Insurance Company) were issued to Nodak Mutual Group, Inc., which then contributed the shares to NI Holdings in exchange for 55% of the outstanding shares of common stock of NI Holdings. Nodak Insurance Company then became a wholly-owned stock subsidiary of NI Holdings. Prior to completion of the conversion, NI Holdings conducted no business and had no assets or liabilities. As a result of the conversion, NI Holdings became the holding company for Nodak Insurance Company and its existing subsidiaries. The newly issued shares of NI Holdings were available for public trading on March 16, 2017.</w:t>
      </w:r>
    </w:p>
    <w:p>
      <w:pPr>
        <w:spacing w:after="0" w:line="14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NI Holdings consist primarily of five entities: Nodak Insurance Company (“Nodak Insurance”, formerly Nodak Mutual Insurance Company prior to the conversion), Nodak Agency, Inc. (“Nodak Agency”), American West Insurance Company (“American West”), Primero Insurance Company (“Primero”), and an affiliated company, Battle Creek Mutual Insurance Company (“Battle Creek”).</w:t>
      </w:r>
    </w:p>
    <w:p>
      <w:pPr>
        <w:spacing w:after="0" w:line="14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Nodak Insurance is the largest domestic property and casualty insurance company in North Dakota. Nodak Insurance was incorporated on April 15, 1946 under the laws of North Dakota, and benefits from a strong marketing affiliation with the North Dakota Farm Bureau (“NDFB”). Nodak Insurance specializes in providing private passenger auto, homeowners, farmowners, commercial, crop hail, and Federal multi-peril crop insurance coverages.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Nodak Agency, a wholly-owned subsidiary of Nodak Insurance, is an inactive shell corporation.</w:t>
      </w:r>
    </w:p>
    <w:p>
      <w:pPr>
        <w:spacing w:after="0" w:line="18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American West, a wholly-owned subsidiary of Nodak Insurance,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in North Dakota, as well as crop hail and Federal multi-peril crop insurance coverages in Minnesota and South Dakota.</w:t>
      </w:r>
    </w:p>
    <w:p>
      <w:pPr>
        <w:spacing w:after="0" w:line="1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21"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Battle Creek is controlled by Nodak Insurance via a surplus note and 100% quota-share agreement. The terms of the surplus note and quota-share agreement allow Nodak Insurance to appoint two-thirds of the Battle Creek Board of Directors. Battle Creek is a property and casualty insurance company writing personal auto, homeowners, and farm coverages solely in the state of Nebraska.</w:t>
      </w:r>
    </w:p>
    <w:p>
      <w:pPr>
        <w:spacing w:after="0" w:line="13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7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which we have prepared in accordance with accounting principles generally accepted in the United States of America (“GAAP”), include our accounts and those of our wholly-owned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76" w:lineRule="exact"/>
        <w:rPr>
          <w:sz w:val="20"/>
          <w:szCs w:val="20"/>
          <w:color w:val="auto"/>
        </w:rPr>
      </w:pPr>
    </w:p>
    <w:p>
      <w:pPr>
        <w:ind w:left="660" w:right="7380" w:hanging="652"/>
        <w:spacing w:after="0" w:line="503"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u w:val="single" w:color="auto"/>
          <w:color w:val="auto"/>
        </w:rPr>
        <w:t>Use of Estimates:</w:t>
      </w:r>
    </w:p>
    <w:p>
      <w:pPr>
        <w:spacing w:after="0" w:line="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In preparing our consolidated financial statements, management makes estimates and assumptions that affect the reported amounts of assets and liabilities at the date of the balance sheet and revenues and expenses for the periods then ended. Actual results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0" w:name="page11"/>
    <w:bookmarkEnd w:id="1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differ significantly from those estimates.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valuation of investments, determination of other-than-temporary impairments, valuation allowances for deferred income tax assets, 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Variable-Interest Entities: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assess our investments in other entities at inception to determine if any meet the qualifications of a VIE. We consider an investment in another company to be a VIE if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89"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control Battle Creek via a 100% quota-share reinsurance agreement between Nodak Insurance and Battle Creek, as well as the ability to control a majority of the Board of Directors of Battle Creek. Through the effects of the 100% quota-share agreement with Battle Creek, we are considered the primary beneficiary of Battle Creek’s operating results excluding investment income, bad debt expense, and income taxes. Therefore, we consolidate the financial statements of Battle Creek, and Battle Creek’s policyholders’ interest in Battle Creek is reflected as a non-controlling interest in equity in our consolidated balance sheet.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certain investments in highly liquid debt instruments with original maturities of three months or less. Cost approximates fair value for these short-term investments.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Investments:</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have categorized our investment portfolio as “available-for-sale” and have reported the portfolio at fair value, with unrealized gains and losses, net of income taxes,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net income. Net investment income includes interest and dividend income together with amortization of purchase premiums and discounts, and is net of investment management and custody fees.</w:t>
      </w:r>
    </w:p>
    <w:p>
      <w:pPr>
        <w:spacing w:after="0" w:line="188"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For fixed income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1" w:name="page12"/>
    <w:bookmarkEnd w:id="1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as losses in the consolidated statement of operations, but is recognized in other comprehensive income.</w:t>
      </w:r>
    </w:p>
    <w:p>
      <w:pPr>
        <w:spacing w:after="0" w:line="225"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 based on the lowest level of significant input to its valuation.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I – Quoted price in active markets for identical assets and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76" w:lineRule="exact"/>
        <w:rPr>
          <w:sz w:val="20"/>
          <w:szCs w:val="20"/>
          <w:color w:val="auto"/>
        </w:rPr>
      </w:pPr>
    </w:p>
    <w:p>
      <w:pPr>
        <w:ind w:left="660" w:right="40"/>
        <w:spacing w:after="0" w:line="261" w:lineRule="auto"/>
        <w:rPr>
          <w:sz w:val="20"/>
          <w:szCs w:val="20"/>
          <w:color w:val="auto"/>
        </w:rPr>
      </w:pPr>
      <w:r>
        <w:rPr>
          <w:rFonts w:ascii="Times New Roman" w:cs="Times New Roman" w:eastAsia="Times New Roman" w:hAnsi="Times New Roman"/>
          <w:sz w:val="18"/>
          <w:szCs w:val="18"/>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Other Financial Instruments: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other financial instruments, aside from investments, are cash and cash equivalents, premiums and agents’ balances receivable, and accrued expenses and accounts payable. The carrying amounts for cash and cash equivalents, premiums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$1,954 at March 31, 2018 and $1,972 at December 31, 2017.</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Certain amounts in the 2017 consolidated financial statements have been reclassified to conform to the 2018 presentation. This includes a change in the Company’s reportable segments that was made in the fourth quarter of the year ended December 31, 2017. The prior segments were non-standard auto, crop, and other property and casualty. The new segments used throughout this filing are private passenger auto, non-standard auto, home and farm, crop, and all other.</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record premiums written at policy inception and recognize them as revenue on a pro rata basis over the policy term or, in the case of crop insurance, over the period of risk.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Policy Acquisition Costs: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2" w:name="page13"/>
    <w:bookmarkEnd w:id="1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report property and equipment at cost less accumulated depreciation. Depreciation is computed using the straight-line method based upon the estimated useful lives of the assets.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Losses and Loss Adjustment Expenses: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Liabilities for unpaid losses and loss adjustment expenses are estimates at a given point in time of the amounts we expect to pay with respect to policyholder claims based on facts and circumstances then known. At the time of establishing our estimates, we recognize that our ultimate liability for losses and loss adjustment expenses will exceed or be less than such estimates. We base our estimates of liabilities for unpaid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the liability. We reflect any adjustments to our liabilities for unpaid losses and loss adjustment expenses in our operating results in the period in which we determine the need for a change in the estimates.</w:t>
      </w:r>
    </w:p>
    <w:p>
      <w:pPr>
        <w:spacing w:after="0" w:line="18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maintain liabilities for unpaid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losses and loss adjustment expenses on the basis of historical information by line of insurance. We account for inflation in the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With the exception of Battle Creek, which files a stand-alone federal income tax return, we currently file a consolidated federal income tax return. For the year ended December 31, 2016, the consolidated federal income tax return included Nodak Mutual Insurance Company and its owned subsidiaries. For the year ended December 31, 2017 and thereafter, the consolidated federal income tax return included and will include thereafter NI Holdings, Inc. and its owned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reports tax-related interest and penalties, if any, as part of income tax expense in the year such amounts are determinable.</w:t>
      </w:r>
    </w:p>
    <w:p>
      <w:pPr>
        <w:spacing w:after="0" w:line="225"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account for deferred income taxes using the asset and liability method. The objective of the asset and liability method is to establish deferred income tax assets and liabilities for the temporary differences between the financial reporting basis and the income tax basis of our assets and liabilities at enacted tax rates expected to be in effect when we realize or settle such amounts.</w:t>
      </w:r>
    </w:p>
    <w:p>
      <w:pPr>
        <w:spacing w:after="0" w:line="176"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Accounting guidance requires that companies re-measure existing deferred income tax assets (including loss carryforwards) and liabilities when a change in tax rate occurs, and record an offset for the net amount of the change as a component of income tax expense from continuing operations in the period of enactment. The guidance also requires any change to a previously recorded valuation allowance as a result of re-measuring existing temporary differences and loss carryforwards to be reflected as a component of income tax expense from continuing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elected to reclassify any tax effects stranded in accumulated other comprehensive income as a result of a</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3" w:name="page14"/>
    <w:bookmarkEnd w:id="1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income tax rates to retained earnings.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primary investment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Property and liability insurance coverages are marketed through captive agents in North Dakota and through independent insurance agencies located throughout all operating areas. All business is billed directly to policyholders.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Reinsurance:</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limits the maximum net loss that can arise from large risks or risks in concentrated areas of exposure by 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Reinsurance contracts do not relieve the Company from its obligations to policyholders. In the event that all or any of the reinsuring companies might be unable to meet their obligations under existing reinsurance agreements, the Company would be liable for such defaulted amounts.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Other Intangible Assets: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months ended March 31, 2018 and 2017.</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Goodwill arising from the acquisition of Primero in 2014 represents the excess of the purchase price over the fair value of the net assets acquired, and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is not deductible for income tax purposes.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4" w:name="page15"/>
    <w:bookmarkEnd w:id="1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an emerging growth company, we have elected to use the extended transition period for complying with any new or revised financial accounting standards pursuant to Section 13(a) of the Exchange Act. The following discussion includes effective dates for both public business entities and emerging growth companies, as well as whether specific guidance may be adopted early.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July 1, 2017, the Company early adopted amended guidance from the Financial Accounting Standards Board (the “FASB”) on goodwill impairment testing. Under the amended guidance, the optional qualitative assessment (Step 0) and the first step of the quantitative assessment (Step 1) remain unchanged. Step 2 is eliminated. As a result, for annual impairment testing or in the event a test is required prior to the annual test, the Company will use Step 0 to determine if an impairment might exist and Step 1 to determine the amount of goodwill impairment. An impairment loss will be recognized for the amount by which the reporting unit’s carrying amount exceeds its fair value, not to exceed the carrying amount of goodwill in the reporting unit. This guidance is effective for annual and interim reporting periods beginning after December 15, 2019 for public business entities. For private companies and emerging growth companies, this guidance is also effective for annual and interim reporting periods beginning after December 15, 2021. Early adoption is permitted for all entities beginning in 2017. The Company early adopted this guidance on a prospective basis as a change in accounting principle, therefore at the date of adoption there was no impact to the Company’s financial position or results of operations.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March 2016, the FASB issued amended guidance to simplify several aspects of the accounting for share-based payment transactions, including the income tax consequences, classification of awards as either equity or liabilities, and classification on the Consolidated Statement of Cash Flows. All excess income tax benefits and income tax deficiencies should be recognized as income tax expense or benefit in the Consolidated Statement of Operations, instead of affecting additional paid-in-capital on the Consolidated Balance Sheet. These discrete income tax items should be classified along with other income tax cash flows as an operating activity on the Consolidated Statement of Cash Flows. In addition, cash paid by an employer when directly withholding shares for tax-withholding purposes should be classified as a financing activity. This guidance is effective for annual periods beginning after December 15, 2016 for public business entities. For private companies and emerging growth companies, this guidance is effective for annual periods beginning after December 15, 2017, and interim periods within annual periods beginning after December 15, 2018. Early adoption is permitted for all entities in any period. An entity that elects early adoption must adopt all amendments in the same period. Amendments requiring recognition of excess income tax benefits and income tax deficiencies in the Consolidated Statement of Operations should be applied prospectively. The Company early adopted this guidance on a prospective basis for the year ended December 31, 2017. At the date of adoption, there was a minimal impact to the computation of diluted earnings per share, but no impact to the Company’s financial position or results of operations.</w:t>
      </w:r>
    </w:p>
    <w:p>
      <w:pPr>
        <w:spacing w:after="0" w:line="19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February 2018, the FASB issued new guidance to provide companies the option to reclassify income tax effects that are stranded in accumulated other comprehensive income as a result of income tax reform to retained earnings. This guidance is effective for all entities for fiscal years beginning after December 15, 2018, and interim periods within those fiscal years. Early adoption is permitted for reporting periods for which financial statements have not yet been issued or made available for issuance. In the period of adoption, an entity would be able to choose whether to apply the amendments retrospectively or in the period of adoption. The Company elected to early adopt this guidance on a prospective basis, resulting in a $2,717 reclassification of stranded income tax effects from accumulated other comprehensive income to retained earnings within the Equity section of the Consolidated Balance Sheet as of December 31, 2017. There was no impact to the Company’s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 Yet Adopted</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May 2014, the FASB issued guidance that establishes the manner in which an entity recognizes the amount of revenue to which it expects to be entitled for the transfer of promised goods or services to customers. While the guidance will replace most existing GAAP revenue recognition guidance, the scope of the guidance excludes insurance contracts. The Company has reviewed its sources of revenues, and has determined that no material revenues are derived from non-insurance contracts and thus subject to the new revenue recognition guidance. This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We currently believe that this guidance will have no impact on our financial position, results of operations, or cash flows.</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January 2016, the FASB issued amended guidance that generally requires entities to measure equity securities at fair value and recognize changes in fair value in their results of operations. The amended guidance also simplifies the impairment assessment of</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15" w:name="page16"/>
    <w:bookmarkEnd w:id="1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equity securities without readily determinable fair values by requiring entities to perform a qualitative assessment to identify impairment. The FASB issued other disclosure and presentation improvements related to financial instruments within the guidance.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non-public entities as of the fiscal year beginning after December 15, 2017, including interim periods within those fiscal years. We are evaluating the requirements of this amended measurement and classification of financial instruments guidance and the potential impact on our financial position, results of operations, and cash flows.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new guidance that requires lessees to recognize leases, including operating leases, on the lessee’s Balance Sheet, unless a lease is considered a short-term lease. The new guidance also requires entities to make new judgments to identify leases. The new guidance, which replaces the current lease guidance, is effective for annual and interim reporting periods beginning after December 15, 2018 for public business entities. For private companies and emerging growth companies, this guidance is effective for annual reporting periods beginning after December 15, 2019 and interim periods within fiscal years beginning after December 15, 2020. Early adoption is permitted for all entities. We do not expect the adoption of this new guidance to have a significant impact on our financial position, results of operations, or cash flows.</w:t>
      </w:r>
    </w:p>
    <w:p>
      <w:pPr>
        <w:spacing w:after="0" w:line="18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is effective for fiscal years, and interim periods within those fiscal years, beginning after December 15, 2019 for public business entities which are SEC filers. For private companies and emerging growth companies, this guidance is effective for annual reporting periods beginning after December 15, 2020 and interim periods within fiscal years beginning after December 15, 2021. Early adoption is permitted for all entities as of the fiscal years beginning after December 15, 2018, including interim periods within those fiscal years. We are evaluating the impact this new guidance will have on our financial position, results of operations, and cash flows.</w:t>
      </w:r>
    </w:p>
    <w:p>
      <w:pPr>
        <w:spacing w:after="0" w:line="19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August and November 2016, the FASB issued amended guidance on the presentation and classification of various items in the Statement of Cash Flows. The amendments address specific cash flow issues, including debt prepayments and contingent consideration payments made after a business combination. The amended guidance also requires the Statement of Cash Flows to explain the change during the period in the total of cash, cash equivalents, and amounts generally described as restricted cash or restricted cash equivalents. Currently, the Statement of Cash Flows only explains the change in cash and cash equivalents. The amended guidance is effective for annual and interim reporting periods beginning after December 15, 2017 for public business entities. For private companies and emerging growth companies, this guidance is effective for annual reporting periods beginning after December 15, 2018 and interim periods within fiscal years beginning after December 15, 2019. Early adoption is permitted for all entities, including adoption in an interim period. If an entity early adopts the amendments in an interim period, any adjustments should be reflected as of the beginning of the fiscal year that includes that interim period. The amendments are to be applied using a retrospective transition method to each period presented. The adoption of this amended guidance will not have an impact on our financial position or results of operations. We are evaluating the impact this amended guidance will have on our Consolidated Statement of Cash Flows.</w:t>
      </w:r>
    </w:p>
    <w:p>
      <w:pPr>
        <w:spacing w:after="0" w:line="193"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In March 2017, the FASB issued amended guidance to shorten the amortization period of premiums on certain purchased callable fixed income securities to the earliest call date. The amended guidance is effective for fiscal years beginning after December 15, 2018, including interim periods within those fiscal years. For private companies and emerging growth companies, this amended guidance is effective for fiscal years beginning after December 15, 2019, and interim periods within fiscal years beginning after December 15, 2020. Early adoption is permitted, including adoption in an interim period. If an entity early adopts the amendments in an interim period, any adjustments should be reflected as of the beginning of the fiscal year that includes that interim period. An entity should apply the amendments on a modified retrospective basis through a cumulative-effect adjustment directly to retained earnings as of the beginning of the period of adoption. We are evaluating the requirements of this guidance and the potential impact to our financial position, results of operations, and cash flows.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6" w:name="page17"/>
    <w:bookmarkEnd w:id="1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investment securities as of March 31, 2018 and December 31, 2017,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52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Cost or Amortized</w:t>
            </w:r>
          </w:p>
        </w:tc>
        <w:tc>
          <w:tcPr>
            <w:tcW w:w="120" w:type="dxa"/>
            <w:vAlign w:val="bottom"/>
          </w:tcPr>
          <w:p>
            <w:pPr>
              <w:spacing w:after="0"/>
              <w:rPr>
                <w:sz w:val="16"/>
                <w:szCs w:val="16"/>
                <w:color w:val="auto"/>
              </w:rPr>
            </w:pPr>
          </w:p>
        </w:tc>
        <w:tc>
          <w:tcPr>
            <w:tcW w:w="158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12,488</w:t>
            </w:r>
          </w:p>
        </w:tc>
        <w:tc>
          <w:tcPr>
            <w:tcW w:w="3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90,866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240,731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3,694</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4,468</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3,795</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5,254</w:t>
            </w:r>
          </w:p>
        </w:tc>
        <w:tc>
          <w:tcPr>
            <w:tcW w:w="3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19,407</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20,551</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286,568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Cost or Amortized</w:t>
            </w:r>
          </w:p>
        </w:tc>
        <w:tc>
          <w:tcPr>
            <w:tcW w:w="15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6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81,741</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88,474</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89,451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28,557</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11,228</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15,447</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3,027</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4,156</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7,090</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3,940</w:t>
            </w:r>
          </w:p>
        </w:tc>
        <w:tc>
          <w:tcPr>
            <w:tcW w:w="2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2,007</w:t>
            </w: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3,792</w:t>
            </w:r>
          </w:p>
        </w:tc>
        <w:tc>
          <w:tcPr>
            <w:tcW w:w="2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29,028</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264,006</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21,924</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7" w:name="page18"/>
    <w:bookmarkEnd w:id="1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20" w:right="120" w:firstLine="635"/>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of the securities may have the right to call or prepay certain obligations, which may or may not include call or prepayment penalties.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ind w:left="880"/>
              <w:spacing w:after="0"/>
              <w:rPr>
                <w:sz w:val="20"/>
                <w:szCs w:val="20"/>
                <w:color w:val="auto"/>
              </w:rPr>
            </w:pPr>
            <w:r>
              <w:rPr>
                <w:rFonts w:ascii="Times New Roman" w:cs="Times New Roman" w:eastAsia="Times New Roman" w:hAnsi="Times New Roman"/>
                <w:sz w:val="18"/>
                <w:szCs w:val="18"/>
                <w:b w:val="1"/>
                <w:bCs w:val="1"/>
                <w:color w:val="auto"/>
              </w:rPr>
              <w:t>March 31, 2018</w:t>
            </w:r>
          </w:p>
        </w:tc>
      </w:tr>
      <w:tr>
        <w:trPr>
          <w:trHeight w:val="223"/>
        </w:trPr>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11,261</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11,261</w:t>
            </w:r>
          </w:p>
        </w:tc>
      </w:tr>
      <w:tr>
        <w:trPr>
          <w:trHeight w:val="216"/>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89,904</w:t>
            </w: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64,340</w:t>
            </w:r>
          </w:p>
        </w:tc>
      </w:tr>
      <w:tr>
        <w:trPr>
          <w:trHeight w:val="216"/>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9,852</w:t>
            </w:r>
          </w:p>
        </w:tc>
      </w:tr>
      <w:tr>
        <w:trPr>
          <w:trHeight w:val="230"/>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63,123</w:t>
            </w:r>
          </w:p>
        </w:tc>
      </w:tr>
      <w:tr>
        <w:trPr>
          <w:trHeight w:val="223"/>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23"/>
        </w:trPr>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12,761</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12,766</w:t>
            </w:r>
          </w:p>
        </w:tc>
      </w:tr>
      <w:tr>
        <w:trPr>
          <w:trHeight w:val="216"/>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87,642</w:t>
            </w:r>
          </w:p>
        </w:tc>
      </w:tr>
      <w:tr>
        <w:trPr>
          <w:trHeight w:val="216"/>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70,680</w:t>
            </w:r>
          </w:p>
        </w:tc>
      </w:tr>
      <w:tr>
        <w:trPr>
          <w:trHeight w:val="216"/>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10,607</w:t>
            </w:r>
          </w:p>
        </w:tc>
      </w:tr>
      <w:tr>
        <w:trPr>
          <w:trHeight w:val="230"/>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55,063</w:t>
            </w:r>
          </w:p>
        </w:tc>
      </w:tr>
      <w:tr>
        <w:trPr>
          <w:trHeight w:val="223"/>
        </w:trPr>
        <w:tc>
          <w:tcPr>
            <w:tcW w:w="5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20" w:right="760" w:firstLine="635"/>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$3,422 at March 31, 2018 and $3,493 at December 31, 2017, were deposited with various state regulatory agencies as required by law. The Company has not pledged any assets to secure any obligations.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8" w:name="page19"/>
    <w:bookmarkEnd w:id="1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and equity securities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 2018</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62,866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63,452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9,701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16,645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156,874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13,790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materials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166,011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14,091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6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6,442</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40,220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13,386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99,297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114,254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cyclical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non-cyclical</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Energy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19" w:name="page20"/>
    <w:bookmarkEnd w:id="1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20" w:right="180" w:firstLine="635"/>
        <w:spacing w:after="0" w:line="282" w:lineRule="auto"/>
        <w:rPr>
          <w:sz w:val="20"/>
          <w:szCs w:val="20"/>
          <w:color w:val="auto"/>
        </w:rPr>
      </w:pPr>
      <w:r>
        <w:rPr>
          <w:rFonts w:ascii="Times New Roman" w:cs="Times New Roman" w:eastAsia="Times New Roman" w:hAnsi="Times New Roman"/>
          <w:sz w:val="18"/>
          <w:szCs w:val="18"/>
          <w:color w:val="auto"/>
        </w:rPr>
        <w:t>Investments with unrealized losses are categorized with a duration of greater than 12 months when all positions of a security have continually been in a loss position for at least 12 months.</w:t>
      </w:r>
    </w:p>
    <w:p>
      <w:pPr>
        <w:spacing w:after="0" w:line="54" w:lineRule="exact"/>
        <w:rPr>
          <w:sz w:val="20"/>
          <w:szCs w:val="20"/>
          <w:color w:val="auto"/>
        </w:rPr>
      </w:pPr>
    </w:p>
    <w:p>
      <w:pPr>
        <w:jc w:val="both"/>
        <w:ind w:left="20" w:right="60" w:firstLine="635"/>
        <w:spacing w:after="0" w:line="276" w:lineRule="auto"/>
        <w:rPr>
          <w:sz w:val="20"/>
          <w:szCs w:val="20"/>
          <w:color w:val="auto"/>
        </w:rPr>
      </w:pPr>
      <w:r>
        <w:rPr>
          <w:rFonts w:ascii="Times New Roman" w:cs="Times New Roman" w:eastAsia="Times New Roman" w:hAnsi="Times New Roman"/>
          <w:sz w:val="17"/>
          <w:szCs w:val="17"/>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spacing w:after="0" w:line="1" w:lineRule="exact"/>
        <w:rPr>
          <w:sz w:val="20"/>
          <w:szCs w:val="20"/>
          <w:color w:val="auto"/>
        </w:rPr>
      </w:pPr>
    </w:p>
    <w:p>
      <w:pPr>
        <w:ind w:left="20" w:right="80" w:firstLine="2"/>
        <w:spacing w:after="0" w:line="254" w:lineRule="auto"/>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capital loss on investment.</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no impairments in the three months ended March 31, 2018 and 2017.</w:t>
      </w:r>
    </w:p>
    <w:p>
      <w:pPr>
        <w:spacing w:after="0" w:line="117" w:lineRule="exact"/>
        <w:rPr>
          <w:sz w:val="20"/>
          <w:szCs w:val="20"/>
          <w:color w:val="auto"/>
        </w:rPr>
      </w:pPr>
    </w:p>
    <w:p>
      <w:pPr>
        <w:jc w:val="both"/>
        <w:ind w:left="20" w:right="180" w:firstLine="635"/>
        <w:spacing w:after="0" w:line="261" w:lineRule="auto"/>
        <w:rPr>
          <w:sz w:val="20"/>
          <w:szCs w:val="20"/>
          <w:color w:val="auto"/>
        </w:rPr>
      </w:pPr>
      <w:r>
        <w:rPr>
          <w:rFonts w:ascii="Times New Roman" w:cs="Times New Roman" w:eastAsia="Times New Roman" w:hAnsi="Times New Roman"/>
          <w:sz w:val="18"/>
          <w:szCs w:val="18"/>
          <w:color w:val="auto"/>
        </w:rPr>
        <w:t>As of March 31, 2018, we held 289 fixed income securities with unrealized losses. As of December 31, 2017, we held 196 fixed income securities with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for the preceding 12-month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6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56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5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2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65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investment income</w:t>
            </w: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106" w:lineRule="exact"/>
        <w:rPr>
          <w:sz w:val="20"/>
          <w:szCs w:val="20"/>
          <w:color w:val="auto"/>
        </w:rPr>
      </w:pPr>
    </w:p>
    <w:p>
      <w:pPr>
        <w:jc w:val="right"/>
        <w:ind w:right="2580"/>
        <w:spacing w:after="0"/>
        <w:rPr>
          <w:sz w:val="20"/>
          <w:szCs w:val="20"/>
          <w:color w:val="auto"/>
        </w:rPr>
      </w:pPr>
      <w:r>
        <w:rPr>
          <w:rFonts w:ascii="Times New Roman" w:cs="Times New Roman" w:eastAsia="Times New Roman" w:hAnsi="Times New Roman"/>
          <w:sz w:val="18"/>
          <w:szCs w:val="18"/>
          <w:color w:val="auto"/>
        </w:rPr>
        <w:t>Net realized capital gain on investments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realized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right="2860"/>
        <w:spacing w:after="0" w:line="250" w:lineRule="auto"/>
        <w:rPr>
          <w:sz w:val="20"/>
          <w:szCs w:val="20"/>
          <w:color w:val="auto"/>
        </w:rPr>
      </w:pPr>
      <w:r>
        <w:rPr>
          <w:rFonts w:ascii="Times New Roman" w:cs="Times New Roman" w:eastAsia="Times New Roman" w:hAnsi="Times New Roman"/>
          <w:sz w:val="18"/>
          <w:szCs w:val="18"/>
          <w:color w:val="auto"/>
        </w:rPr>
        <w:t>Gross realized losses, excluding other-than-temporary impairment losses Other-than-temporary 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Net realized capital gain on investments</w:t>
      </w:r>
    </w:p>
    <w:p>
      <w:pPr>
        <w:spacing w:after="0" w:line="200" w:lineRule="exact"/>
        <w:rPr>
          <w:sz w:val="20"/>
          <w:szCs w:val="20"/>
          <w:color w:val="auto"/>
        </w:rPr>
      </w:pPr>
    </w:p>
    <w:p>
      <w:pPr>
        <w:spacing w:after="0" w:line="30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816" w:lineRule="exact"/>
        <w:rPr>
          <w:sz w:val="20"/>
          <w:szCs w:val="20"/>
          <w:color w:val="auto"/>
        </w:rPr>
      </w:pPr>
    </w:p>
    <w:p>
      <w:pPr>
        <w:sectPr>
          <w:pgSz w:w="11900" w:h="16838" w:orient="portrait"/>
          <w:cols w:equalWidth="0" w:num="2">
            <w:col w:w="8100" w:space="720"/>
            <w:col w:w="2600"/>
          </w:cols>
          <w:pgMar w:left="240" w:top="216" w:right="239" w:bottom="1440" w:gutter="0" w:footer="0" w:header="0"/>
          <w:type w:val="continuous"/>
        </w:sectPr>
      </w:pPr>
    </w:p>
    <w:p>
      <w:pPr>
        <w:spacing w:after="0" w:line="29" w:lineRule="exact"/>
        <w:rPr>
          <w:sz w:val="20"/>
          <w:szCs w:val="20"/>
          <w:color w:val="auto"/>
        </w:rPr>
      </w:pPr>
    </w:p>
    <w:p>
      <w:pPr>
        <w:ind w:left="20" w:right="300" w:firstLine="635"/>
        <w:spacing w:after="0" w:line="266" w:lineRule="auto"/>
        <w:rPr>
          <w:sz w:val="20"/>
          <w:szCs w:val="20"/>
          <w:color w:val="auto"/>
        </w:rPr>
      </w:pPr>
      <w:r>
        <w:rPr>
          <w:rFonts w:ascii="Times New Roman" w:cs="Times New Roman" w:eastAsia="Times New Roman" w:hAnsi="Times New Roman"/>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March 31, 2018 and December 31, 2017 were fixed income securities.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58" w:lineRule="auto"/>
        <w:rPr>
          <w:sz w:val="20"/>
          <w:szCs w:val="20"/>
          <w:color w:val="auto"/>
        </w:rPr>
      </w:pPr>
      <w:r>
        <w:rPr>
          <w:rFonts w:ascii="Times New Roman" w:cs="Times New Roman" w:eastAsia="Times New Roman" w:hAnsi="Times New Roman"/>
          <w:sz w:val="18"/>
          <w:szCs w:val="18"/>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March 31, 2018 or December 31, 2017.</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0" w:name="page21"/>
    <w:bookmarkEnd w:id="2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20" w:right="440" w:firstLine="635"/>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on a recurring basis by the level within the fair value hierarchy in which fair value measurements fall: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5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12,469</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72,830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90,058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materials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 cyclical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8,920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Consumer, non-cyclical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11,430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Industrial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8,221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9,419</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25,209</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80" w:type="dxa"/>
            <w:vAlign w:val="bottom"/>
          </w:tcPr>
          <w:p>
            <w:pPr>
              <w:spacing w:after="0"/>
              <w:rPr>
                <w:sz w:val="19"/>
                <w:szCs w:val="19"/>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311,777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4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9,649</w:t>
            </w:r>
          </w:p>
        </w:tc>
        <w:tc>
          <w:tcPr>
            <w:tcW w:w="3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82,595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 materials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Communications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4,322</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Consumer, cyclical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9,339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non-cyclical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10,905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Energy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Industrial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8,250</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27,594</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311,913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75,155</w:t>
            </w:r>
          </w:p>
        </w:tc>
        <w:tc>
          <w:tcPr>
            <w:tcW w:w="2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March 31, 2018 or December 31, 2017.</w:t>
      </w:r>
    </w:p>
    <w:p>
      <w:pPr>
        <w:sectPr>
          <w:pgSz w:w="11900" w:h="16838" w:orient="portrait"/>
          <w:cols w:equalWidth="0" w:num="1">
            <w:col w:w="11420"/>
          </w:cols>
          <w:pgMar w:left="240" w:top="216" w:right="23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left="20" w:right="80" w:firstLine="635"/>
        <w:spacing w:after="0" w:line="266" w:lineRule="auto"/>
        <w:rPr>
          <w:sz w:val="20"/>
          <w:szCs w:val="20"/>
          <w:color w:val="auto"/>
        </w:rPr>
      </w:pPr>
      <w:r>
        <w:rPr>
          <w:rFonts w:ascii="Times New Roman" w:cs="Times New Roman" w:eastAsia="Times New Roman" w:hAnsi="Times New Roman"/>
          <w:sz w:val="18"/>
          <w:szCs w:val="18"/>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68" w:lineRule="exact"/>
        <w:rPr>
          <w:sz w:val="20"/>
          <w:szCs w:val="20"/>
          <w:color w:val="auto"/>
        </w:rPr>
      </w:pPr>
    </w:p>
    <w:p>
      <w:pPr>
        <w:ind w:left="20" w:right="80" w:firstLine="635"/>
        <w:spacing w:after="0" w:line="261" w:lineRule="auto"/>
        <w:rPr>
          <w:sz w:val="20"/>
          <w:szCs w:val="20"/>
          <w:color w:val="auto"/>
        </w:rPr>
      </w:pPr>
      <w:r>
        <w:rPr>
          <w:rFonts w:ascii="Times New Roman" w:cs="Times New Roman" w:eastAsia="Times New Roman" w:hAnsi="Times New Roman"/>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72" w:lineRule="exact"/>
        <w:rPr>
          <w:sz w:val="20"/>
          <w:szCs w:val="20"/>
          <w:color w:val="auto"/>
        </w:rPr>
      </w:pPr>
    </w:p>
    <w:p>
      <w:pPr>
        <w:ind w:left="20" w:right="80" w:firstLine="635"/>
        <w:spacing w:after="0" w:line="282" w:lineRule="auto"/>
        <w:rPr>
          <w:sz w:val="20"/>
          <w:szCs w:val="20"/>
          <w:color w:val="auto"/>
        </w:rPr>
      </w:pPr>
      <w:r>
        <w:rPr>
          <w:rFonts w:ascii="Times New Roman" w:cs="Times New Roman" w:eastAsia="Times New Roman" w:hAnsi="Times New Roman"/>
          <w:sz w:val="18"/>
          <w:szCs w:val="18"/>
          <w:color w:val="auto"/>
        </w:rPr>
        <w:t>As a group at March 31, 2018, the Company retained the first $10,000 of weather related losses from catastrophic events and had reinsurance under various reinsurance agreements up to $74,600 in excess of its $10,000 retained risk. These reinsurance risk limits are unchanged from 2017.</w:t>
      </w:r>
    </w:p>
    <w:p>
      <w:pPr>
        <w:spacing w:after="0" w:line="54" w:lineRule="exact"/>
        <w:rPr>
          <w:sz w:val="20"/>
          <w:szCs w:val="20"/>
          <w:color w:val="auto"/>
        </w:rPr>
      </w:pPr>
    </w:p>
    <w:p>
      <w:pPr>
        <w:ind w:left="20" w:firstLine="635"/>
        <w:spacing w:after="0" w:line="256"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ectPr>
          <w:pgSz w:w="11900" w:h="16838" w:orient="portrait"/>
          <w:cols w:equalWidth="0" w:num="1">
            <w:col w:w="11380"/>
          </w:cols>
          <w:pgMar w:left="240" w:top="216" w:right="279" w:bottom="1440" w:gutter="0" w:footer="0" w:header="0"/>
        </w:sectPr>
      </w:pP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reconciliation of direct to net premiums on both a written and an earned basis is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assumed earned premium to net earned premium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premium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assumed earned premium to net earned premium</w:t>
      </w: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Premiums Earned</w:t>
            </w: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39,274</w:t>
            </w:r>
          </w:p>
        </w:tc>
        <w:tc>
          <w:tcPr>
            <w:tcW w:w="220" w:type="dxa"/>
            <w:vAlign w:val="bottom"/>
          </w:tcPr>
          <w:p>
            <w:pPr>
              <w:spacing w:after="0"/>
              <w:rPr>
                <w:sz w:val="16"/>
                <w:szCs w:val="16"/>
                <w:color w:val="auto"/>
              </w:rPr>
            </w:pPr>
          </w:p>
        </w:tc>
        <w:tc>
          <w:tcPr>
            <w:tcW w:w="2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37,192</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23"/>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80" w:type="dxa"/>
            <w:vAlign w:val="bottom"/>
            <w:gridSpan w:val="1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tc>
      </w:tr>
      <w:tr>
        <w:trPr>
          <w:trHeight w:val="223"/>
        </w:trPr>
        <w:tc>
          <w:tcPr>
            <w:tcW w:w="20" w:type="dxa"/>
            <w:vAlign w:val="bottom"/>
          </w:tcPr>
          <w:p>
            <w:pPr>
              <w:spacing w:after="0"/>
              <w:rPr>
                <w:sz w:val="19"/>
                <w:szCs w:val="19"/>
                <w:color w:val="auto"/>
              </w:rPr>
            </w:pPr>
          </w:p>
        </w:tc>
        <w:tc>
          <w:tcPr>
            <w:tcW w:w="16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8"/>
              </w:rPr>
              <w:t>Premiums Earned</w:t>
            </w:r>
          </w:p>
        </w:tc>
        <w:tc>
          <w:tcPr>
            <w:tcW w:w="60" w:type="dxa"/>
            <w:vAlign w:val="bottom"/>
            <w:gridSpan w:val="2"/>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36,380</w:t>
            </w:r>
          </w:p>
        </w:tc>
        <w:tc>
          <w:tcPr>
            <w:tcW w:w="220" w:type="dxa"/>
            <w:vAlign w:val="bottom"/>
          </w:tcPr>
          <w:p>
            <w:pPr>
              <w:spacing w:after="0"/>
              <w:rPr>
                <w:sz w:val="16"/>
                <w:szCs w:val="16"/>
                <w:color w:val="auto"/>
              </w:rPr>
            </w:pPr>
          </w:p>
        </w:tc>
        <w:tc>
          <w:tcPr>
            <w:tcW w:w="2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34,116</w:t>
            </w:r>
          </w:p>
        </w:tc>
        <w:tc>
          <w:tcPr>
            <w:tcW w:w="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23"/>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540" w:type="dxa"/>
            <w:vAlign w:val="bottom"/>
            <w:gridSpan w:val="2"/>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18,637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19,642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(2,509)</w:t>
            </w:r>
          </w:p>
        </w:tc>
      </w:tr>
      <w:tr>
        <w:trPr>
          <w:trHeight w:val="223"/>
        </w:trPr>
        <w:tc>
          <w:tcPr>
            <w:tcW w:w="54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3100"/>
          </w:cols>
          <w:pgMar w:left="240" w:top="216" w:right="279" w:bottom="1440" w:gutter="0" w:footer="0" w:header="0"/>
          <w:type w:val="continuous"/>
        </w:sectPr>
      </w:pPr>
    </w:p>
    <w:p>
      <w:pPr>
        <w:spacing w:after="0" w:line="106" w:lineRule="exact"/>
        <w:rPr>
          <w:sz w:val="20"/>
          <w:szCs w:val="20"/>
          <w:color w:val="auto"/>
        </w:rPr>
      </w:pPr>
    </w:p>
    <w:p>
      <w:pPr>
        <w:ind w:left="20" w:right="200" w:firstLine="635"/>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March 31, 2018 or December 31, 2017, no ceded commissions would need to be returned to the reinsurers. Reinsurance contracts are typically effective from January 1 through December 31 each year.</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type w:val="continuous"/>
        </w:sectPr>
      </w:pPr>
    </w:p>
    <w:bookmarkStart w:id="22" w:name="page23"/>
    <w:bookmarkEnd w:id="2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left="3340"/>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(dollar amounts in thousands, except per share amounts)</w:t>
      </w:r>
    </w:p>
    <w:p>
      <w:pPr>
        <w:spacing w:after="0" w:line="200" w:lineRule="exact"/>
        <w:rPr>
          <w:sz w:val="20"/>
          <w:szCs w:val="20"/>
          <w:color w:val="auto"/>
        </w:rPr>
      </w:pPr>
    </w:p>
    <w:p>
      <w:pPr>
        <w:spacing w:after="0" w:line="23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Activity with regards to our deferred policy acquisition costs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 of policy acquisition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300"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Activity in the liability for unpaid losses and loss adjustment expenses is summarized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8,859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8,942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5,748</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(7,039)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w:t>
      </w:r>
    </w:p>
    <w:p>
      <w:pPr>
        <w:spacing w:after="0" w:line="36" w:lineRule="exact"/>
        <w:rPr>
          <w:sz w:val="20"/>
          <w:szCs w:val="20"/>
          <w:color w:val="auto"/>
        </w:rPr>
      </w:pPr>
    </w:p>
    <w:p>
      <w:pPr>
        <w:ind w:left="380"/>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2018</w:t>
      </w:r>
      <w:r>
        <w:rPr>
          <w:sz w:val="20"/>
          <w:szCs w:val="20"/>
          <w:color w:val="auto"/>
        </w:rPr>
        <w:tab/>
      </w:r>
      <w:r>
        <w:rPr>
          <w:rFonts w:ascii="Times New Roman" w:cs="Times New Roman" w:eastAsia="Times New Roman" w:hAnsi="Times New Roman"/>
          <w:sz w:val="18"/>
          <w:szCs w:val="18"/>
          <w:b w:val="1"/>
          <w:bCs w:val="1"/>
          <w:color w:val="auto"/>
        </w:rPr>
        <w:t>2017</w:t>
      </w:r>
    </w:p>
    <w:p>
      <w:pPr>
        <w:spacing w:after="0" w:line="31" w:lineRule="exact"/>
        <w:rPr>
          <w:sz w:val="20"/>
          <w:szCs w:val="20"/>
          <w:color w:val="auto"/>
        </w:rPr>
      </w:pPr>
    </w:p>
    <w:p>
      <w:pPr>
        <w:sectPr>
          <w:pgSz w:w="11900" w:h="16838" w:orient="portrait"/>
          <w:cols w:equalWidth="0" w:num="2">
            <w:col w:w="8100" w:space="720"/>
            <w:col w:w="2560"/>
          </w:cols>
          <w:pgMar w:left="240" w:top="216" w:right="2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45,890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w:t>
            </w:r>
          </w:p>
        </w:tc>
        <w:tc>
          <w:tcPr>
            <w:tcW w:w="60" w:type="dxa"/>
            <w:vAlign w:val="bottom"/>
          </w:tcPr>
          <w:p>
            <w:pPr>
              <w:spacing w:after="0"/>
              <w:rPr>
                <w:sz w:val="19"/>
                <w:szCs w:val="19"/>
                <w:color w:val="auto"/>
              </w:rPr>
            </w:pPr>
          </w:p>
        </w:tc>
      </w:tr>
      <w:tr>
        <w:trPr>
          <w:trHeight w:val="234"/>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w:t>
            </w:r>
          </w:p>
        </w:tc>
        <w:tc>
          <w:tcPr>
            <w:tcW w:w="60" w:type="dxa"/>
            <w:vAlign w:val="bottom"/>
          </w:tcPr>
          <w:p>
            <w:pPr>
              <w:spacing w:after="0"/>
              <w:rPr>
                <w:sz w:val="20"/>
                <w:szCs w:val="20"/>
                <w:color w:val="auto"/>
              </w:rPr>
            </w:pP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52,440</w:t>
            </w:r>
          </w:p>
        </w:tc>
        <w:tc>
          <w:tcPr>
            <w:tcW w:w="60" w:type="dxa"/>
            <w:vAlign w:val="bottom"/>
          </w:tcPr>
          <w:p>
            <w:pPr>
              <w:spacing w:after="0"/>
              <w:rPr>
                <w:sz w:val="18"/>
                <w:szCs w:val="18"/>
                <w:color w:val="auto"/>
              </w:rPr>
            </w:pPr>
          </w:p>
        </w:tc>
      </w:tr>
      <w:tr>
        <w:trPr>
          <w:trHeight w:val="623"/>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60" w:type="dxa"/>
            <w:vAlign w:val="bottom"/>
          </w:tcPr>
          <w:p>
            <w:pPr>
              <w:spacing w:after="0"/>
              <w:rPr>
                <w:sz w:val="24"/>
                <w:szCs w:val="24"/>
                <w:color w:val="auto"/>
              </w:rPr>
            </w:pPr>
          </w:p>
        </w:tc>
      </w:tr>
      <w:tr>
        <w:trPr>
          <w:trHeight w:val="248"/>
        </w:trPr>
        <w:tc>
          <w:tcPr>
            <w:tcW w:w="3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60" w:type="dxa"/>
            <w:vAlign w:val="bottom"/>
          </w:tcPr>
          <w:p>
            <w:pPr>
              <w:spacing w:after="0"/>
              <w:rPr>
                <w:sz w:val="18"/>
                <w:szCs w:val="18"/>
                <w:color w:val="auto"/>
              </w:rPr>
            </w:pPr>
          </w:p>
        </w:tc>
      </w:tr>
      <w:tr>
        <w:trPr>
          <w:trHeight w:val="637"/>
        </w:trPr>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60" w:type="dxa"/>
            <w:vAlign w:val="bottom"/>
          </w:tcPr>
          <w:p>
            <w:pPr>
              <w:spacing w:after="0"/>
              <w:rPr>
                <w:sz w:val="24"/>
                <w:szCs w:val="24"/>
                <w:color w:val="auto"/>
              </w:rPr>
            </w:pPr>
          </w:p>
        </w:tc>
      </w:tr>
      <w:tr>
        <w:trPr>
          <w:trHeight w:val="234"/>
        </w:trPr>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60" w:type="dxa"/>
            <w:vAlign w:val="bottom"/>
          </w:tcPr>
          <w:p>
            <w:pPr>
              <w:spacing w:after="0"/>
              <w:rPr>
                <w:sz w:val="20"/>
                <w:szCs w:val="20"/>
                <w:color w:val="auto"/>
              </w:rPr>
            </w:pP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-2005965</wp:posOffset>
            </wp:positionV>
            <wp:extent cx="15862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8100" w:space="720"/>
            <w:col w:w="2560"/>
          </w:cols>
          <w:pgMar w:left="240" w:top="216"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Net balance at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640"/>
        <w:spacing w:after="0"/>
        <w:tabs>
          <w:tab w:leader="none" w:pos="1980" w:val="left"/>
        </w:tabs>
        <w:rPr>
          <w:sz w:val="20"/>
          <w:szCs w:val="20"/>
          <w:color w:val="auto"/>
        </w:rPr>
      </w:pPr>
      <w:r>
        <w:rPr>
          <w:rFonts w:ascii="Times New Roman" w:cs="Times New Roman" w:eastAsia="Times New Roman" w:hAnsi="Times New Roman"/>
          <w:sz w:val="18"/>
          <w:szCs w:val="18"/>
          <w:color w:val="auto"/>
        </w:rPr>
        <w:t>43,863</w:t>
      </w:r>
      <w:r>
        <w:rPr>
          <w:sz w:val="20"/>
          <w:szCs w:val="20"/>
          <w:color w:val="auto"/>
        </w:rPr>
        <w:tab/>
      </w:r>
      <w:r>
        <w:rPr>
          <w:rFonts w:ascii="Times New Roman" w:cs="Times New Roman" w:eastAsia="Times New Roman" w:hAnsi="Times New Roman"/>
          <w:sz w:val="18"/>
          <w:szCs w:val="18"/>
          <w:color w:val="auto"/>
        </w:rPr>
        <w:t>57,496</w:t>
      </w:r>
    </w:p>
    <w:p>
      <w:pPr>
        <w:spacing w:after="0" w:line="27" w:lineRule="exact"/>
        <w:rPr>
          <w:sz w:val="20"/>
          <w:szCs w:val="20"/>
          <w:color w:val="auto"/>
        </w:rPr>
      </w:pPr>
    </w:p>
    <w:p>
      <w:pPr>
        <w:jc w:val="both"/>
        <w:ind w:left="740"/>
        <w:spacing w:after="0"/>
        <w:tabs>
          <w:tab w:leader="none" w:pos="2060" w:val="left"/>
        </w:tabs>
        <w:rPr>
          <w:sz w:val="20"/>
          <w:szCs w:val="20"/>
          <w:color w:val="auto"/>
        </w:rPr>
      </w:pPr>
      <w:r>
        <w:rPr>
          <w:rFonts w:ascii="Times New Roman" w:cs="Times New Roman" w:eastAsia="Times New Roman" w:hAnsi="Times New Roman"/>
          <w:sz w:val="18"/>
          <w:szCs w:val="18"/>
          <w:color w:val="auto"/>
        </w:rPr>
        <w:t>3,130</w:t>
      </w:r>
      <w:r>
        <w:rPr>
          <w:sz w:val="20"/>
          <w:szCs w:val="20"/>
          <w:color w:val="auto"/>
        </w:rPr>
        <w:tab/>
      </w:r>
      <w:r>
        <w:rPr>
          <w:rFonts w:ascii="Times New Roman" w:cs="Times New Roman" w:eastAsia="Times New Roman" w:hAnsi="Times New Roman"/>
          <w:sz w:val="18"/>
          <w:szCs w:val="18"/>
          <w:color w:val="auto"/>
        </w:rPr>
        <w:t>8,983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1" w:lineRule="exact"/>
        <w:rPr>
          <w:sz w:val="20"/>
          <w:szCs w:val="20"/>
          <w:color w:val="auto"/>
        </w:rPr>
      </w:pPr>
    </w:p>
    <w:p>
      <w:pPr>
        <w:spacing w:after="0"/>
        <w:tabs>
          <w:tab w:leader="none" w:pos="620" w:val="left"/>
          <w:tab w:leader="none" w:pos="1340" w:val="left"/>
          <w:tab w:leader="none" w:pos="1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40,733</w:t>
        <w:tab/>
        <w:t>$</w:t>
      </w:r>
      <w:r>
        <w:rPr>
          <w:sz w:val="20"/>
          <w:szCs w:val="20"/>
          <w:color w:val="auto"/>
        </w:rPr>
        <w:tab/>
      </w:r>
      <w:r>
        <w:rPr>
          <w:rFonts w:ascii="Times New Roman" w:cs="Times New Roman" w:eastAsia="Times New Roman" w:hAnsi="Times New Roman"/>
          <w:sz w:val="18"/>
          <w:szCs w:val="18"/>
          <w:color w:val="auto"/>
        </w:rPr>
        <w:t>48,513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8100" w:space="720"/>
            <w:col w:w="2560"/>
          </w:cols>
          <w:pgMar w:left="240" w:top="216" w:right="279" w:bottom="1440" w:gutter="0" w:footer="0" w:header="0"/>
          <w:type w:val="continuous"/>
        </w:sectPr>
      </w:pPr>
    </w:p>
    <w:p>
      <w:pPr>
        <w:ind w:left="20" w:right="180" w:firstLine="635"/>
        <w:spacing w:after="0" w:line="261" w:lineRule="auto"/>
        <w:rPr>
          <w:sz w:val="20"/>
          <w:szCs w:val="20"/>
          <w:color w:val="auto"/>
        </w:rPr>
      </w:pPr>
      <w:r>
        <w:rPr>
          <w:rFonts w:ascii="Times New Roman" w:cs="Times New Roman" w:eastAsia="Times New Roman" w:hAnsi="Times New Roman"/>
          <w:sz w:val="18"/>
          <w:szCs w:val="18"/>
          <w:color w:val="auto"/>
        </w:rPr>
        <w:t>The prior years’ provision for unpaid losses and loss adjustment expenses increased by $76 during the three months ended March 31, 2018, compared to a decrease of $2,799 for the three months ended March 31, 2017. For the year ended December 31, 2017, the prior years’ provision for unpaid losses and loss adjustment expenses decreased by $10,101. Increases and decreases are generally the result of ongoing analysis of loss development trends. As additional information becomes known regarding individual claims, original estimates are increased or decreased accordingly.</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type w:val="continuous"/>
        </w:sectPr>
      </w:pPr>
    </w:p>
    <w:bookmarkStart w:id="23" w:name="page24"/>
    <w:bookmarkEnd w:id="2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Real estate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10,740</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3,532</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Automobiles</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1,595</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Gross cost</w:t>
            </w:r>
          </w:p>
        </w:tc>
        <w:tc>
          <w:tcPr>
            <w:tcW w:w="1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(11,289)</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(11,150)</w:t>
            </w: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$139 and $124 for the three months ended March 31, 2018 and 2017, respectively.</w:t>
      </w:r>
    </w:p>
    <w:p>
      <w:pPr>
        <w:spacing w:after="0" w:line="221"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ind w:left="20" w:right="160" w:firstLine="636"/>
        <w:spacing w:after="0" w:line="261" w:lineRule="auto"/>
        <w:rPr>
          <w:sz w:val="20"/>
          <w:szCs w:val="20"/>
          <w:color w:val="auto"/>
        </w:rPr>
      </w:pPr>
      <w:r>
        <w:rPr>
          <w:rFonts w:ascii="Times New Roman" w:cs="Times New Roman" w:eastAsia="Times New Roman" w:hAnsi="Times New Roman"/>
          <w:sz w:val="18"/>
          <w:szCs w:val="18"/>
          <w:color w:val="auto"/>
        </w:rPr>
        <w:t>We were organized by the NDFB to provide insurance protection for its members. We have a royalty agreement with the NDFB that recognizes the use of their trademark and provides royalties to the NDFB based on the premiums written on Nodak Insurance’s insurance policies. Royalties paid to the NDFB were $307 and $294 during the three months ended March 31, 2018 and 2017, respectively. Royalty amounts payable of $119 and $99 were accrued as a liability to the NDFB at March 31, 2018 and December 31, 2017, respectively.</w:t>
      </w:r>
    </w:p>
    <w:p>
      <w:pPr>
        <w:spacing w:after="0" w:line="72" w:lineRule="exact"/>
        <w:rPr>
          <w:sz w:val="20"/>
          <w:szCs w:val="20"/>
          <w:color w:val="auto"/>
        </w:rPr>
      </w:pPr>
    </w:p>
    <w:p>
      <w:pPr>
        <w:ind w:left="20" w:right="80" w:firstLine="636"/>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2017 exceeded the amount of statutory capital and surplus necessary to satisfy regulatory requirements, including the RBC requirements, by a significant margin.</w:t>
      </w:r>
    </w:p>
    <w:p>
      <w:pPr>
        <w:spacing w:after="0" w:line="76" w:lineRule="exact"/>
        <w:rPr>
          <w:sz w:val="20"/>
          <w:szCs w:val="20"/>
          <w:color w:val="auto"/>
        </w:rPr>
      </w:pPr>
    </w:p>
    <w:p>
      <w:pPr>
        <w:ind w:left="20" w:right="100" w:firstLine="636"/>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after the conversion without the prior approval of the North Dakota Insurance Department is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in the three months ended March 31, 2018 or the year ended December 31, 2017.</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4" w:name="page25"/>
    <w:bookmarkEnd w:id="2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the impact of including Battle Creek in our Consolidated Balance Sheets prior to intercompany eliminations: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(overdraft)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(1)</w:t>
            </w: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20,836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4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7,730</w:t>
            </w:r>
          </w:p>
        </w:tc>
        <w:tc>
          <w:tcPr>
            <w:tcW w:w="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Unearned premiums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tc>
        <w:tc>
          <w:tcPr>
            <w:tcW w:w="2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 xml:space="preserve">Reinsurance payable </w:t>
            </w:r>
            <w:r>
              <w:rPr>
                <w:rFonts w:ascii="Times New Roman" w:cs="Times New Roman" w:eastAsia="Times New Roman" w:hAnsi="Times New Roman"/>
                <w:sz w:val="29"/>
                <w:szCs w:val="29"/>
                <w:color w:val="auto"/>
                <w:vertAlign w:val="superscript"/>
              </w:rPr>
              <w:t>(1)</w:t>
            </w:r>
          </w:p>
        </w:tc>
        <w:tc>
          <w:tcPr>
            <w:tcW w:w="2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24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30,428</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ind w:left="760" w:hanging="42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eliminated in consolidation.</w:t>
      </w:r>
    </w:p>
    <w:p>
      <w:pPr>
        <w:spacing w:after="0" w:line="200" w:lineRule="exact"/>
        <w:rPr>
          <w:sz w:val="20"/>
          <w:szCs w:val="20"/>
          <w:color w:val="auto"/>
        </w:rPr>
      </w:pPr>
    </w:p>
    <w:p>
      <w:pPr>
        <w:spacing w:after="0" w:line="223" w:lineRule="exact"/>
        <w:rPr>
          <w:sz w:val="20"/>
          <w:szCs w:val="20"/>
          <w:color w:val="auto"/>
        </w:rPr>
      </w:pPr>
    </w:p>
    <w:p>
      <w:pPr>
        <w:ind w:left="20" w:right="500" w:firstLine="635"/>
        <w:spacing w:after="0" w:line="266" w:lineRule="auto"/>
        <w:rPr>
          <w:sz w:val="20"/>
          <w:szCs w:val="20"/>
          <w:color w:val="auto"/>
        </w:rPr>
      </w:pPr>
      <w:r>
        <w:rPr>
          <w:rFonts w:ascii="Times New Roman" w:cs="Times New Roman" w:eastAsia="Times New Roman" w:hAnsi="Times New Roman"/>
          <w:sz w:val="18"/>
          <w:szCs w:val="18"/>
          <w:color w:val="auto"/>
        </w:rPr>
        <w:t>Total statutory revenues and expenses of Battle Creek after intercompany eliminations, which is limited to net investment income and certain miscellaneous other income and expenses, were $38 and $0, respectively, during the three months ended March 31, 2018, and $58 and $0, respectively, during the three months ended March 31, 2017.</w:t>
      </w:r>
    </w:p>
    <w:p>
      <w:pPr>
        <w:spacing w:after="0" w:line="17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right="40" w:firstLine="635"/>
        <w:spacing w:after="0" w:line="282" w:lineRule="auto"/>
        <w:rPr>
          <w:sz w:val="20"/>
          <w:szCs w:val="20"/>
          <w:color w:val="auto"/>
        </w:rPr>
      </w:pPr>
      <w:r>
        <w:rPr>
          <w:rFonts w:ascii="Times New Roman" w:cs="Times New Roman" w:eastAsia="Times New Roman" w:hAnsi="Times New Roman"/>
          <w:sz w:val="18"/>
          <w:szCs w:val="18"/>
          <w:color w:val="auto"/>
        </w:rPr>
        <w:t>The Company sponsors a money purchase plan that covers all eligible employees. Plan costs are funded annually as they are earned. The Company’s contribution expense for the money purchase plan totaled $197 and $156 for the three months ended March 31, 2018 and 2017, respectively.</w:t>
      </w:r>
    </w:p>
    <w:p>
      <w:pPr>
        <w:spacing w:after="0" w:line="54" w:lineRule="exact"/>
        <w:rPr>
          <w:sz w:val="20"/>
          <w:szCs w:val="20"/>
          <w:color w:val="auto"/>
        </w:rPr>
      </w:pPr>
    </w:p>
    <w:p>
      <w:pPr>
        <w:ind w:left="20" w:right="220" w:firstLine="635"/>
        <w:spacing w:after="0" w:line="266" w:lineRule="auto"/>
        <w:rPr>
          <w:sz w:val="20"/>
          <w:szCs w:val="20"/>
          <w:color w:val="auto"/>
        </w:rPr>
      </w:pPr>
      <w:r>
        <w:rPr>
          <w:rFonts w:ascii="Times New Roman" w:cs="Times New Roman" w:eastAsia="Times New Roman" w:hAnsi="Times New Roman"/>
          <w:sz w:val="18"/>
          <w:szCs w:val="18"/>
          <w:color w:val="auto"/>
        </w:rPr>
        <w:t>The Company also sponsors a 401(k) plan with an automatic contribution to all eligible employees and a matching contribution for eligible employees of 50% up to 3% of eligible compensation. The Company’s contributions expense to the 401(k) plan totaled $140 and $115 for the three months ended March 31, 2018 and 2017, respectively. All fees associated with both plans are deducted from the eligible employee accounts.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121" w:lineRule="exact"/>
        <w:rPr>
          <w:sz w:val="20"/>
          <w:szCs w:val="20"/>
          <w:color w:val="auto"/>
        </w:rPr>
      </w:pPr>
    </w:p>
    <w:p>
      <w:pPr>
        <w:ind w:left="20" w:right="140" w:firstLine="635"/>
        <w:spacing w:after="0" w:line="261" w:lineRule="auto"/>
        <w:rPr>
          <w:sz w:val="20"/>
          <w:szCs w:val="20"/>
          <w:color w:val="auto"/>
        </w:rPr>
      </w:pPr>
      <w:r>
        <w:rPr>
          <w:rFonts w:ascii="Times New Roman" w:cs="Times New Roman" w:eastAsia="Times New Roman" w:hAnsi="Times New Roman"/>
          <w:sz w:val="18"/>
          <w:szCs w:val="18"/>
          <w:color w:val="auto"/>
        </w:rPr>
        <w:t>Effective April 28, 2016, the Board of Directors authorized a non-qualified deferred compensation plan covering key executives of the Company as designated by the Board of Directors. The Company’s policy is to fund the plan in a given calendar year by amounts that exceed the maximum contribution allowed by the Employee Retirement Income Security Act (“ERISA”), beginning in 2017. Funds deposited were $144 and $105 during the three months ended March 31, 2018 and 2017, respectively.</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Ownership Plan</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has established an Employee Stock Ownership Plan (the “ESOP”). The ESOP is intended to be an employee stock ownership plan within the meaning of Internal Revenue Code Section 4975(e)(7) and will invest primarily in common stock of the Company.</w:t>
      </w:r>
    </w:p>
    <w:p>
      <w:pPr>
        <w:sectPr>
          <w:pgSz w:w="11900" w:h="16838" w:orient="portrait"/>
          <w:cols w:equalWidth="0" w:num="1">
            <w:col w:w="11420"/>
          </w:cols>
          <w:pgMar w:left="240" w:top="216" w:right="239" w:bottom="1440" w:gutter="0" w:footer="0" w:header="0"/>
        </w:sectPr>
      </w:pP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5" w:name="page26"/>
    <w:bookmarkEnd w:id="2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initial public offering in March 2017, Nodak Insurance loaned $2,400 to the ESOP’s related trust (the “ESOP Trust”). The ESOP loan will be for a period of ten years and bears interest at the long-term Applicable Federal Rate effective on the closing date of the offering (2.79% annually).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62"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initial ESOP participants are employees of Nodak Insurance. The employees of Primero will not participate in the ESOP.</w:t>
      </w:r>
    </w:p>
    <w:p>
      <w:pPr>
        <w:spacing w:after="0" w:line="1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will automatically become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will receive annual reports from the Company showing the number of shares of common stock of the Company allocated to the participant’s account and the market value of those shares. The shares are allocated to participants based on compensation as provided for in the ESOP.</w:t>
      </w:r>
    </w:p>
    <w:p>
      <w:pPr>
        <w:spacing w:after="0" w:line="14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initial public offering, the Company created a contra-equity account on the Company’s Consolidated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Consolidated Balance Sheet. The Company shall record a compensation expense related to the shares released, which compensation expense is equal to the number of shares released from the suspense account multiplied by the average market value of the Company’s stock during the period.</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recognized compensation expense of $103 and $0 for the three months ended March 31, 2018 and 2017, respectively.</w:t>
      </w:r>
    </w:p>
    <w:p>
      <w:pPr>
        <w:spacing w:after="0" w:line="18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2017, 24,315 ESOP shares were released and allocated to participants, with a remainder of 215,685 ESOP shares in suspense at both December 31, 2017 and March 31, 2018. Using the Company’s quarter-end market price of $16.70, the fair value of the unearned ESOP shares was $3,602 at March 31, 2018.</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216" w:right="299" w:bottom="1440" w:gutter="0" w:footer="0" w:header="0"/>
        </w:sectPr>
      </w:pPr>
    </w:p>
    <w:bookmarkStart w:id="26" w:name="page27"/>
    <w:bookmarkEnd w:id="2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right="420" w:firstLine="635"/>
        <w:spacing w:after="0" w:line="282" w:lineRule="auto"/>
        <w:rPr>
          <w:sz w:val="20"/>
          <w:szCs w:val="20"/>
          <w:color w:val="auto"/>
        </w:rPr>
      </w:pPr>
      <w:r>
        <w:rPr>
          <w:rFonts w:ascii="Times New Roman" w:cs="Times New Roman" w:eastAsia="Times New Roman" w:hAnsi="Times New Roman"/>
          <w:sz w:val="18"/>
          <w:szCs w:val="18"/>
          <w:color w:val="auto"/>
        </w:rPr>
        <w:t>Nodak Insurance has a $3,000 line of credit with Wells Fargo Bank, N.A., of which there were no outstanding amounts as of March 31, 2018 or December 31, 2017. This line of credit is scheduled to expire on November 30, 2018.</w:t>
      </w:r>
    </w:p>
    <w:p>
      <w:pPr>
        <w:spacing w:after="0" w:line="158"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right="100" w:firstLine="635"/>
        <w:spacing w:after="0" w:line="282" w:lineRule="auto"/>
        <w:rPr>
          <w:sz w:val="20"/>
          <w:szCs w:val="20"/>
          <w:color w:val="auto"/>
        </w:rPr>
      </w:pPr>
      <w:r>
        <w:rPr>
          <w:rFonts w:ascii="Times New Roman" w:cs="Times New Roman" w:eastAsia="Times New Roman" w:hAnsi="Times New Roman"/>
          <w:sz w:val="18"/>
          <w:szCs w:val="18"/>
          <w:color w:val="auto"/>
        </w:rPr>
        <w:t>At March 31, 2018 and December 31, 2017, we had no unrecognized tax benefits, no accrued interest and penalties, and no significant uncertain tax positions. No interest and penalties were recognized during the three months ended March 31, 2018 or 2017.</w:t>
      </w:r>
    </w:p>
    <w:p>
      <w:pPr>
        <w:spacing w:after="0" w:line="54" w:lineRule="exact"/>
        <w:rPr>
          <w:sz w:val="20"/>
          <w:szCs w:val="20"/>
          <w:color w:val="auto"/>
        </w:rPr>
      </w:pPr>
    </w:p>
    <w:p>
      <w:pPr>
        <w:jc w:val="both"/>
        <w:ind w:left="20" w:right="300" w:firstLine="636"/>
        <w:spacing w:after="0" w:line="266" w:lineRule="auto"/>
        <w:rPr>
          <w:sz w:val="20"/>
          <w:szCs w:val="20"/>
          <w:color w:val="auto"/>
        </w:rPr>
      </w:pPr>
      <w:r>
        <w:rPr>
          <w:rFonts w:ascii="Times New Roman" w:cs="Times New Roman" w:eastAsia="Times New Roman" w:hAnsi="Times New Roman"/>
          <w:sz w:val="18"/>
          <w:szCs w:val="18"/>
          <w:color w:val="auto"/>
        </w:rPr>
        <w:t>At March 31, 2018 and December 31, 2017, the Company, other than Battle Creek, had no income tax related carryovers for net operating losses, alternative minimum tax credits, or capital losses. Battle Creek, which files its income tax returns on a stand-alone basis, had $4,951 of net operating loss carryover at December 31, 2017. The net operating loss carryforward expires beginning in 2021 through 2030.</w:t>
      </w:r>
    </w:p>
    <w:p>
      <w:pPr>
        <w:spacing w:after="0" w:line="172"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29" w:lineRule="exact"/>
        <w:rPr>
          <w:sz w:val="20"/>
          <w:szCs w:val="20"/>
          <w:color w:val="auto"/>
        </w:rPr>
      </w:pPr>
    </w:p>
    <w:p>
      <w:pPr>
        <w:ind w:left="20" w:right="260" w:firstLine="635"/>
        <w:spacing w:after="0" w:line="282" w:lineRule="auto"/>
        <w:rPr>
          <w:sz w:val="20"/>
          <w:szCs w:val="20"/>
          <w:color w:val="auto"/>
        </w:rPr>
      </w:pPr>
      <w:r>
        <w:rPr>
          <w:rFonts w:ascii="Times New Roman" w:cs="Times New Roman" w:eastAsia="Times New Roman" w:hAnsi="Times New Roman"/>
          <w:sz w:val="18"/>
          <w:szCs w:val="18"/>
          <w:color w:val="auto"/>
        </w:rPr>
        <w:t>We leased facilities, equipment, and software under non-cancellable operating leases expiring at various times through November 2017. Expenses related to these leases were $0 and $80 for the three months ended March 31, 2018 and 2017, respectively.</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2018, we have no minimum future commitments under non-cancellable leases.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sub-lease portions of our home office building under non-cancellable operating leases.</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20" w:right="320" w:firstLine="635"/>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54" w:lineRule="exact"/>
        <w:rPr>
          <w:sz w:val="20"/>
          <w:szCs w:val="20"/>
          <w:color w:val="auto"/>
        </w:rPr>
      </w:pPr>
    </w:p>
    <w:p>
      <w:pPr>
        <w:ind w:left="20" w:right="220" w:firstLine="636"/>
        <w:spacing w:after="0" w:line="282" w:lineRule="auto"/>
        <w:rPr>
          <w:sz w:val="20"/>
          <w:szCs w:val="20"/>
          <w:color w:val="auto"/>
        </w:rPr>
      </w:pPr>
      <w:r>
        <w:rPr>
          <w:rFonts w:ascii="Times New Roman" w:cs="Times New Roman" w:eastAsia="Times New Roman" w:hAnsi="Times New Roman"/>
          <w:sz w:val="18"/>
          <w:szCs w:val="18"/>
          <w:color w:val="auto"/>
        </w:rPr>
        <w:t>The Company does not have any unrecorded or potential contingent liabilities or material commitments requiring the use of assets as of March 31, 2018 or December 31, 2017.</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are as follows: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30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440" w:type="dxa"/>
            <w:vAlign w:val="bottom"/>
            <w:tcBorders>
              <w:bottom w:val="single" w:sz="8" w:color="CCEEFF"/>
            </w:tcBorders>
          </w:tcPr>
          <w:p>
            <w:pPr>
              <w:spacing w:after="0"/>
              <w:rPr>
                <w:sz w:val="19"/>
                <w:szCs w:val="19"/>
                <w:color w:val="auto"/>
              </w:rPr>
            </w:pPr>
          </w:p>
        </w:tc>
        <w:tc>
          <w:tcPr>
            <w:tcW w:w="7680" w:type="dxa"/>
            <w:vAlign w:val="bottom"/>
            <w:tcBorders>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22,337,644</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Initial public offering</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23,000,000</w:t>
            </w:r>
          </w:p>
        </w:tc>
      </w:tr>
      <w:tr>
        <w:trPr>
          <w:trHeight w:val="216"/>
        </w:trPr>
        <w:tc>
          <w:tcPr>
            <w:tcW w:w="8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repurchased related to employee stock ownership plan</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(240,000)</w:t>
            </w:r>
          </w:p>
        </w:tc>
      </w:tr>
      <w:tr>
        <w:trPr>
          <w:trHeight w:val="230"/>
        </w:trPr>
        <w:tc>
          <w:tcPr>
            <w:tcW w:w="8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treasury shares related to restricted stock unit awards</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15,200</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Shares were not available prior to the Company’s initial public offering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23, 2017, our Board of Directors approved an authorization for the repurchase of up to $8 million of the Company’s outstanding common stock. We completed the repurchase of 446,671 shares of our common stock for $8,037 during the three months ended June 30, 2017, and reflected the cost of this treasury stock as a reduction of equity within our Consolidated Balance Sheet as of December 31, 2017.</w:t>
      </w:r>
    </w:p>
    <w:p>
      <w:pPr>
        <w:spacing w:after="0" w:line="13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February 28, 2018, our Board of Directors approved an authorization for the repurchase of up to approximately $10 million of the Company’s outstanding common stock. No shares of our common stock have been repurchased under this authorization.</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7" w:name="page28"/>
    <w:bookmarkEnd w:id="2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At its 2017 Annual Shareholders’ Meeting, the NI Holdings, Inc. 2017 Stock and Incentive Plan (the “Plan”) was approved by shareholders. The purpose of the Plan is to promote the interests of the Company and its shareholders by aiding the Company in attracting and retaining employees, officers, consultants, advisors, and non-employee directors capable of assuring the future success of the Company, to offer such persons incentives to put forth maximum efforts for the success of the Company’s business, to compensate such persons through various stock and cash-based arrangements, and to provide them with opportunities for stock ownership in the Company, thereby aligning the interests of such persons with the Company’s shareholders.</w:t>
      </w:r>
    </w:p>
    <w:p>
      <w:pPr>
        <w:spacing w:after="0" w:line="15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4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total aggregate number of shares of common stock that awards may be issued under all awards made under the Plan shall not exceed 500,000 shares of common stock, subject to adjustments as provided in the Plan. No eligible participant may be granted more than 100,000 shares from any stock options, stock appreciation rights, or performance awards denominated in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$100 in any calendar year.</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December 1, 2017, the Compensation Committee awarded RSUs to non-employee directors and select executives. RSUs are promises to issue actual shares of common stock at the end of a vesting period. The RSUs granted to executives under the Plan were based on salary and generally vest 20% per year over a five-year period, while RSUs granted to non-employee directors vest in May 2018. Dividend equivalents on RSUs are accrued during the vesting period and paid in cash at the end of the vesting period, but are subject to forfeiture until the underlying shares become vested. Participants do not have voting rights with respect to RSUs. On March 1, 2018, the first tranche of executive RSUs vested.</w:t>
      </w:r>
    </w:p>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On March 1, 2018, the Compensation Committee awarded additional RSUs to select executives with the same terms as the previous awards.</w:t>
      </w:r>
    </w:p>
    <w:p>
      <w:pPr>
        <w:spacing w:after="0" w:line="18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over the vesting period of the awards. Estimated forfeitures are included in the determination of compensation costs. No forfeitures are currently estimated.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outstanding RSUs for the three months ended March 31, 2018, is presented below:</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at March 31, 2018</w:t>
      </w:r>
    </w:p>
    <w:p>
      <w:pPr>
        <w:spacing w:after="0" w:line="200" w:lineRule="exact"/>
        <w:rPr>
          <w:sz w:val="20"/>
          <w:szCs w:val="20"/>
          <w:color w:val="auto"/>
        </w:rPr>
      </w:pPr>
    </w:p>
    <w:p>
      <w:pPr>
        <w:spacing w:after="0" w:line="263" w:lineRule="exact"/>
        <w:rPr>
          <w:sz w:val="20"/>
          <w:szCs w:val="20"/>
          <w:color w:val="auto"/>
        </w:rPr>
      </w:pPr>
    </w:p>
    <w:p>
      <w:pPr>
        <w:jc w:val="right"/>
        <w:ind w:right="2760"/>
        <w:spacing w:after="0"/>
        <w:rPr>
          <w:sz w:val="20"/>
          <w:szCs w:val="20"/>
          <w:color w:val="auto"/>
        </w:rPr>
      </w:pPr>
      <w:r>
        <w:rPr>
          <w:rFonts w:ascii="Times New Roman" w:cs="Times New Roman" w:eastAsia="Times New Roman" w:hAnsi="Times New Roman"/>
          <w:sz w:val="18"/>
          <w:szCs w:val="18"/>
          <w:color w:val="auto"/>
        </w:rPr>
        <w:t>The following table shows a summary of RSU activity: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16"/>
        </w:trPr>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52"/>
        </w:trPr>
        <w:tc>
          <w:tcPr>
            <w:tcW w:w="16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1"/>
        </w:trPr>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65,500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17.31</w:t>
            </w:r>
          </w:p>
        </w:tc>
        <w:tc>
          <w:tcPr>
            <w:tcW w:w="20" w:type="dxa"/>
            <w:vAlign w:val="bottom"/>
          </w:tcPr>
          <w:p>
            <w:pPr>
              <w:spacing w:after="0"/>
              <w:rPr>
                <w:sz w:val="16"/>
                <w:szCs w:val="16"/>
                <w:color w:val="auto"/>
              </w:rPr>
            </w:pPr>
          </w:p>
        </w:tc>
      </w:tr>
      <w:tr>
        <w:trPr>
          <w:trHeight w:val="216"/>
        </w:trPr>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r>
      <w:tr>
        <w:trPr>
          <w:trHeight w:val="248"/>
        </w:trPr>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(19,200)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r>
      <w:tr>
        <w:trPr>
          <w:trHeight w:val="223"/>
        </w:trPr>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78,800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16.97</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p>
      <w:pPr>
        <w:sectPr>
          <w:pgSz w:w="11900" w:h="16838" w:orient="portrait"/>
          <w:cols w:equalWidth="0" w:num="2">
            <w:col w:w="7400" w:space="720"/>
            <w:col w:w="3300"/>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8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Note: Share-based compensation was not available prior to the Company’s initial public offering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28" w:name="page29"/>
    <w:bookmarkEnd w:id="2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March 31, 2018, there was $1,108 of unrecognized compensation cost related to outstanding RSUs. That cost is expected to be recognized over a weighted-average period of 1.27 years.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0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On March 1, 2018, the Compensation Committee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4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based on the grant date fair value over the performance period of the awards. Estimated forfeitures are included in the determination of compensation costs. No forfeitures are currently estimated. The current cost estimate assumes that the cumulative growth target will be achieved.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A summary of the Company’s outstanding PSUs for the three months ended March 31, 2018, is presented below:</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52"/>
        </w:trPr>
        <w:tc>
          <w:tcPr>
            <w:tcW w:w="8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December 31, 2017</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Grants (at target)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March 31, 2018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PSU activity:</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81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Note: Share-based compensation was not available prior to the Company’s initial public offering in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1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PSU grants above represent initial target awards and do not reflect potential increases or decreases resulting from financial performance objectives to be determined at the end of the performance period. The actual number of shares to be issued at the end of the performance period will range from 0% to 150% of the initial target awards.</w:t>
      </w:r>
    </w:p>
    <w:p>
      <w:pPr>
        <w:spacing w:after="0" w:line="14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 March 31, 2018, there was $768 of unrecognized compensation cost related to outstanding PSUs. That cost is expected to be recognized over a weighted-average period of 1.50 years.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29" w:name="page30"/>
    <w:bookmarkEnd w:id="2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right="60" w:firstLine="636"/>
        <w:spacing w:after="0" w:line="258" w:lineRule="auto"/>
        <w:rPr>
          <w:sz w:val="20"/>
          <w:szCs w:val="20"/>
          <w:color w:val="auto"/>
        </w:rPr>
      </w:pPr>
      <w:r>
        <w:rPr>
          <w:rFonts w:ascii="Times New Roman" w:cs="Times New Roman" w:eastAsia="Times New Roman" w:hAnsi="Times New Roman"/>
          <w:sz w:val="18"/>
          <w:szCs w:val="18"/>
          <w:color w:val="auto"/>
        </w:rPr>
        <w:t>As described in Note 1, the conversion of the mutual company to a stock company resulted in the issuance of NI Holdings common shares on March 13, 2017. Earnings per share are computed by dividing net income available to common shareholders for the period by the weighted average number of common shares outstanding for the same period. The weighted average number of common shares outstanding was 22,361,757 for the three months ended March 31, 2018, and 22,760,000 for the three months ended March 31, 2017. For the period prior to the date of the conversion, we assumed that the net common shares issued in the initial public offering of 22,760,000 shares were outstanding since January 1, 2017.</w:t>
      </w:r>
    </w:p>
    <w:p>
      <w:pPr>
        <w:spacing w:after="0" w:line="76" w:lineRule="exact"/>
        <w:rPr>
          <w:sz w:val="20"/>
          <w:szCs w:val="20"/>
          <w:color w:val="auto"/>
        </w:rPr>
      </w:pPr>
    </w:p>
    <w:p>
      <w:pPr>
        <w:ind w:right="160" w:firstLine="636"/>
        <w:spacing w:after="0" w:line="282" w:lineRule="auto"/>
        <w:rPr>
          <w:sz w:val="20"/>
          <w:szCs w:val="20"/>
          <w:color w:val="auto"/>
        </w:rPr>
      </w:pPr>
      <w:r>
        <w:rPr>
          <w:rFonts w:ascii="Times New Roman" w:cs="Times New Roman" w:eastAsia="Times New Roman" w:hAnsi="Times New Roman"/>
          <w:sz w:val="18"/>
          <w:szCs w:val="18"/>
          <w:color w:val="auto"/>
        </w:rPr>
        <w:t>Unearned ESOP shares are not considered outstanding until they are released and allocated to plan participants. Unearned RSU and PSU shares are not considered outstanding until they are earned by award participants.</w:t>
      </w:r>
    </w:p>
    <w:p>
      <w:pPr>
        <w:spacing w:after="0" w:line="5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we used in the basic and diluted per share computations for our common stock:</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3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6,122</w:t>
            </w:r>
          </w:p>
        </w:tc>
        <w:tc>
          <w:tcPr>
            <w:tcW w:w="4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22,361,757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8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vMerge w:val="continue"/>
          </w:tcPr>
          <w:p>
            <w:pPr>
              <w:spacing w:after="0"/>
              <w:rPr>
                <w:sz w:val="20"/>
                <w:szCs w:val="20"/>
                <w:color w:val="auto"/>
              </w:rPr>
            </w:pPr>
          </w:p>
        </w:tc>
        <w:tc>
          <w:tcPr>
            <w:tcW w:w="30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Numerator:</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NI Holdings, Inc.</w:t>
            </w:r>
          </w:p>
        </w:tc>
        <w:tc>
          <w:tcPr>
            <w:tcW w:w="3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6,122</w:t>
            </w: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22,361,757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Restricted stock units and performance share units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Number of shares used in per share computations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22,374,056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20" w:type="dxa"/>
            <w:vAlign w:val="bottom"/>
            <w:vMerge w:val="continue"/>
          </w:tcPr>
          <w:p>
            <w:pPr>
              <w:spacing w:after="0"/>
              <w:rPr>
                <w:sz w:val="17"/>
                <w:szCs w:val="17"/>
                <w:color w:val="auto"/>
              </w:rPr>
            </w:pPr>
          </w:p>
        </w:tc>
        <w:tc>
          <w:tcPr>
            <w:tcW w:w="30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08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30" w:name="page31"/>
    <w:bookmarkEnd w:id="3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four primary reportable operating segments, which consist of private passenger auto insurance, non-standard auto insurance, home and farm insurance, and crop insurance. A fifth segment captures all other insurance coverages we sell, including commercial coverages and our assumed reinsurance lines of business. We operate only in the United States, and no single customer or agent provides 10 percent or more of our revenues. The following tables provide available information of these segments for the three months ended March 31, 2018 and 2017. Prior years have been restated to reflect the change in segments. For presentation in these tables, “LAE” refers to loss adjustment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Passenger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Farm</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LAE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5,416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LAE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LAE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losses and LAE</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Underwriting gain (loss)</w:t>
            </w:r>
          </w:p>
        </w:tc>
        <w:tc>
          <w:tcPr>
            <w:tcW w:w="8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1,369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343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1,449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343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11" w:lineRule="exact"/>
        <w:rPr>
          <w:sz w:val="20"/>
          <w:szCs w:val="20"/>
          <w:color w:val="auto"/>
        </w:rPr>
      </w:pPr>
    </w:p>
    <w:p>
      <w:pPr>
        <w:ind w:left="587" w:hanging="587"/>
        <w:spacing w:after="0"/>
        <w:tabs>
          <w:tab w:leader="none" w:pos="5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6,122</w:t>
      </w:r>
    </w:p>
    <w:p>
      <w:pPr>
        <w:spacing w:after="0" w:line="27" w:lineRule="exact"/>
        <w:rPr>
          <w:sz w:val="20"/>
          <w:szCs w:val="20"/>
          <w:color w:val="auto"/>
        </w:rPr>
      </w:pPr>
    </w:p>
    <w:p>
      <w:pPr>
        <w:sectPr>
          <w:pgSz w:w="11900" w:h="16838" w:orient="portrait"/>
          <w:cols w:equalWidth="0" w:num="2">
            <w:col w:w="9593" w:space="720"/>
            <w:col w:w="1107"/>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and LAE ratio</w:t>
            </w: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311.9%</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483.2%</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795.0%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68.4%</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2018: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Premiums receivable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1,281</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4,634</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34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713</w:t>
            </w:r>
          </w:p>
        </w:tc>
        <w:tc>
          <w:tcPr>
            <w:tcW w:w="380" w:type="dxa"/>
            <w:vAlign w:val="bottom"/>
          </w:tcPr>
          <w:p>
            <w:pPr>
              <w:spacing w:after="0"/>
              <w:rPr>
                <w:sz w:val="18"/>
                <w:szCs w:val="18"/>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19</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9,735</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losses and LAE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5,339</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10,124</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10,416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25,380</w:t>
            </w: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w:t>
            </w: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33,528</w:t>
            </w:r>
          </w:p>
        </w:tc>
        <w:tc>
          <w:tcPr>
            <w:tcW w:w="38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4,499</w:t>
            </w: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65,388</w:t>
            </w: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type w:val="continuous"/>
        </w:sectPr>
      </w:pPr>
    </w:p>
    <w:bookmarkStart w:id="31" w:name="page32"/>
    <w:bookmarkEnd w:id="3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9"/>
          </w:tcPr>
          <w:p>
            <w:pPr>
              <w:ind w:left="1000"/>
              <w:spacing w:after="0"/>
              <w:rPr>
                <w:sz w:val="20"/>
                <w:szCs w:val="20"/>
                <w:color w:val="auto"/>
              </w:rPr>
            </w:pPr>
            <w:r>
              <w:rPr>
                <w:rFonts w:ascii="Times New Roman" w:cs="Times New Roman" w:eastAsia="Times New Roman" w:hAnsi="Times New Roman"/>
                <w:sz w:val="18"/>
                <w:szCs w:val="18"/>
                <w:b w:val="1"/>
                <w:bCs w:val="1"/>
                <w:color w:val="auto"/>
              </w:rPr>
              <w:t>Three Months Ended March 31, 2017</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LAE</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LAE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LAE</w:t>
            </w:r>
          </w:p>
        </w:tc>
        <w:tc>
          <w:tcPr>
            <w:tcW w:w="1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losses and LAE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Underwriting gain (loss)</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capital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999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616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2,282</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7200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1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00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2" w:lineRule="exact"/>
        <w:rPr>
          <w:sz w:val="20"/>
          <w:szCs w:val="20"/>
          <w:color w:val="auto"/>
        </w:rPr>
      </w:pPr>
    </w:p>
    <w:p>
      <w:pPr>
        <w:ind w:left="723" w:hanging="723"/>
        <w:spacing w:after="0"/>
        <w:tabs>
          <w:tab w:leader="none" w:pos="72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4,689</w:t>
      </w:r>
    </w:p>
    <w:p>
      <w:pPr>
        <w:spacing w:after="0" w:line="27" w:lineRule="exact"/>
        <w:rPr>
          <w:sz w:val="20"/>
          <w:szCs w:val="20"/>
          <w:color w:val="auto"/>
        </w:rPr>
      </w:pPr>
    </w:p>
    <w:p>
      <w:pPr>
        <w:sectPr>
          <w:pgSz w:w="11900" w:h="16838" w:orient="portrait"/>
          <w:cols w:equalWidth="0" w:num="2">
            <w:col w:w="9457" w:space="720"/>
            <w:col w:w="1243"/>
          </w:cols>
          <w:pgMar w:left="240" w:top="216"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and LAE ratio</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79.0%</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46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52.7%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112.3%</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46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130.1%</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March 31, 2017: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Premiums receivable</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14,212</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7,208</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5,582</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4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4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5,163</w:t>
            </w:r>
          </w:p>
        </w:tc>
        <w:tc>
          <w:tcPr>
            <w:tcW w:w="460" w:type="dxa"/>
            <w:vAlign w:val="bottom"/>
          </w:tcPr>
          <w:p>
            <w:pPr>
              <w:spacing w:after="0"/>
              <w:rPr>
                <w:sz w:val="18"/>
                <w:szCs w:val="18"/>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170</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13,009</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Unpaid losses and LAE</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26,118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6,245</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14,680</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1,696</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57,496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premiums</w:t>
            </w:r>
          </w:p>
        </w:tc>
        <w:tc>
          <w:tcPr>
            <w:tcW w:w="4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23,354</w:t>
            </w:r>
          </w:p>
        </w:tc>
        <w:tc>
          <w:tcPr>
            <w:tcW w:w="4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1,572</w:t>
            </w:r>
          </w:p>
        </w:tc>
        <w:tc>
          <w:tcPr>
            <w:tcW w:w="4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30,585</w:t>
            </w:r>
          </w:p>
        </w:tc>
        <w:tc>
          <w:tcPr>
            <w:tcW w:w="46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59,734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above tables. The remaining fee and other income amounts are not allocated to any segment.</w:t>
      </w:r>
    </w:p>
    <w:p>
      <w:pPr>
        <w:spacing w:after="0" w:line="13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Consolidated Statement of Operations or Consolidated Balance Sheet line items to our operating segments. Those line items include investment income, net realized capital gain on investments, other income excluding non-standard auto insurance fees, and income taxes for the Consolidated Statement of Operations. For the Consolidated Balance Sheet, those items include cash and investments, property and equipment, other assets, accrued expenses, federal income taxes recoverable or payable, and equity.</w:t>
      </w:r>
    </w:p>
    <w:p>
      <w:pPr>
        <w:sectPr>
          <w:pgSz w:w="11900" w:h="16838" w:orient="portrait"/>
          <w:cols w:equalWidth="0" w:num="1">
            <w:col w:w="11420"/>
          </w:cols>
          <w:pgMar w:left="240" w:top="216" w:right="239" w:bottom="1440" w:gutter="0" w:footer="0" w:header="0"/>
          <w:type w:val="continuous"/>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32" w:name="page33"/>
    <w:bookmarkEnd w:id="3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We have evaluated subsequent events through May 4, 2018, the date these consolidated financial statements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480"/>
          </w:cols>
          <w:pgMar w:left="240" w:top="216" w:right="1179" w:bottom="1440" w:gutter="0" w:footer="0" w:header="0"/>
        </w:sectPr>
      </w:pPr>
    </w:p>
    <w:bookmarkStart w:id="33" w:name="page34"/>
    <w:bookmarkEnd w:id="3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8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You should also review “Risk Factors” included in the Company’s Annual Report on Form 10-K for a discussion of important factors that could cause actual results to differ materially from the results described, or implied by, the forward-looking statements contained herein.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dollar amounts are in thousands.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8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and Minnesota, and Nebraska, respectively. Primero offers limited nonstandard auto insurance coverage in Arizona, Nevada, North Dakota, and South Dakota. Nodak Insurance and Battle Creek are rated an “A” by A.M. Best, which is the third highest out of a possible 15 ratings. American West is rated an “A-”, and Primero is unrated.</w:t>
      </w:r>
    </w:p>
    <w:p>
      <w:pPr>
        <w:spacing w:after="0" w:line="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American West is a wholly-owned subsidiary of Nodak Insurance, and Primero is an indirect wholly-owned subsidiary of Nodak Insurance. Battle Creek is managed by Nodak Insurance, and Nodak Insurance reinsures 100% of the risk on all insurance policies issued by Battle Creek. NI Holdings’ financial statements set forth herein include the consolidated financial results of NI Holdings and Nodak Insurance, including Nodak Insurance’s subsidiaries American West and Primero, and its affiliate Battle Creek.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sectPr>
      </w:pPr>
    </w:p>
    <w:bookmarkStart w:id="34" w:name="page35"/>
    <w:bookmarkEnd w:id="3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chart of the corporate structure follows: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3542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54203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CHART</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Nodak Mutual Group, Inc.</w:t>
      </w:r>
    </w:p>
    <w:p>
      <w:pPr>
        <w:spacing w:after="0" w:line="239"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color w:val="auto"/>
        </w:rPr>
        <w:t>≥ 55%</w:t>
      </w:r>
    </w:p>
    <w:p>
      <w:pPr>
        <w:spacing w:after="0" w:line="27"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color w:val="auto"/>
        </w:rPr>
        <w:t>ownership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34"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color w:val="auto"/>
        </w:rPr>
        <w:t>ownership</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Nodak Insurance Company</w:t>
      </w:r>
    </w:p>
    <w:p>
      <w:pPr>
        <w:spacing w:after="0" w:line="23" w:lineRule="exact"/>
        <w:rPr>
          <w:sz w:val="20"/>
          <w:szCs w:val="20"/>
          <w:color w:val="auto"/>
        </w:rPr>
      </w:pPr>
    </w:p>
    <w:tbl>
      <w:tblPr>
        <w:tblLayout w:type="fixed"/>
        <w:tblInd w:w="270" w:type="dxa"/>
        <w:tblCellMar>
          <w:top w:w="0" w:type="dxa"/>
          <w:left w:w="0" w:type="dxa"/>
          <w:bottom w:w="0" w:type="dxa"/>
          <w:right w:w="0" w:type="dxa"/>
        </w:tblCellMar>
      </w:tblPr>
      <w:tr>
        <w:trPr>
          <w:trHeight w:val="426"/>
        </w:trPr>
        <w:tc>
          <w:tcPr>
            <w:tcW w:w="12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right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260" w:type="dxa"/>
            <w:vAlign w:val="bottom"/>
            <w:tcBorders>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100%</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Borders>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100%</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ownership</w:t>
            </w:r>
          </w:p>
        </w:tc>
        <w:tc>
          <w:tcPr>
            <w:tcW w:w="1360" w:type="dxa"/>
            <w:vAlign w:val="bottom"/>
            <w:gridSpan w:val="2"/>
          </w:tcPr>
          <w:p>
            <w:pPr>
              <w:spacing w:after="0"/>
              <w:rPr>
                <w:sz w:val="20"/>
                <w:szCs w:val="20"/>
                <w:color w:val="auto"/>
              </w:rPr>
            </w:pPr>
          </w:p>
        </w:tc>
        <w:tc>
          <w:tcPr>
            <w:tcW w:w="202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ownership</w:t>
            </w:r>
          </w:p>
        </w:tc>
        <w:tc>
          <w:tcPr>
            <w:tcW w:w="1380" w:type="dxa"/>
            <w:vAlign w:val="bottom"/>
            <w:gridSpan w:val="2"/>
          </w:tcPr>
          <w:p>
            <w:pPr>
              <w:spacing w:after="0"/>
              <w:rPr>
                <w:sz w:val="20"/>
                <w:szCs w:val="20"/>
                <w:color w:val="auto"/>
              </w:rPr>
            </w:pPr>
          </w:p>
        </w:tc>
        <w:tc>
          <w:tcPr>
            <w:tcW w:w="11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Affiliation</w:t>
            </w:r>
          </w:p>
        </w:tc>
        <w:tc>
          <w:tcPr>
            <w:tcW w:w="1380" w:type="dxa"/>
            <w:vAlign w:val="bottom"/>
            <w:gridSpan w:val="2"/>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60" w:type="dxa"/>
            <w:vAlign w:val="bottom"/>
            <w:tcBorders>
              <w:top w:val="single" w:sz="8" w:color="auto"/>
              <w:left w:val="single" w:sz="8" w:color="auto"/>
              <w:right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Nodak Agency, Inc.</w:t>
            </w:r>
          </w:p>
        </w:tc>
        <w:tc>
          <w:tcPr>
            <w:tcW w:w="260" w:type="dxa"/>
            <w:vAlign w:val="bottom"/>
            <w:tcBorders>
              <w:right w:val="single" w:sz="8" w:color="auto"/>
            </w:tcBorders>
          </w:tcPr>
          <w:p>
            <w:pPr>
              <w:spacing w:after="0"/>
              <w:rPr>
                <w:sz w:val="16"/>
                <w:szCs w:val="16"/>
                <w:color w:val="auto"/>
              </w:rPr>
            </w:pPr>
          </w:p>
        </w:tc>
        <w:tc>
          <w:tcPr>
            <w:tcW w:w="3140" w:type="dxa"/>
            <w:vAlign w:val="bottom"/>
            <w:tcBorders>
              <w:top w:val="single" w:sz="8" w:color="auto"/>
              <w:right w:val="single" w:sz="8" w:color="auto"/>
            </w:tcBorders>
            <w:gridSpan w:val="2"/>
          </w:tcPr>
          <w:p>
            <w:pPr>
              <w:ind w:left="640"/>
              <w:spacing w:after="0" w:line="191" w:lineRule="exact"/>
              <w:rPr>
                <w:sz w:val="20"/>
                <w:szCs w:val="20"/>
                <w:color w:val="auto"/>
              </w:rPr>
            </w:pPr>
            <w:r>
              <w:rPr>
                <w:rFonts w:ascii="Times New Roman" w:cs="Times New Roman" w:eastAsia="Times New Roman" w:hAnsi="Times New Roman"/>
                <w:sz w:val="18"/>
                <w:szCs w:val="18"/>
                <w:color w:val="auto"/>
              </w:rPr>
              <w:t>American West Insurance</w:t>
            </w:r>
          </w:p>
        </w:tc>
        <w:tc>
          <w:tcPr>
            <w:tcW w:w="260" w:type="dxa"/>
            <w:vAlign w:val="bottom"/>
            <w:tcBorders>
              <w:right w:val="single" w:sz="8" w:color="auto"/>
            </w:tcBorders>
          </w:tcPr>
          <w:p>
            <w:pPr>
              <w:spacing w:after="0"/>
              <w:rPr>
                <w:sz w:val="16"/>
                <w:szCs w:val="16"/>
                <w:color w:val="auto"/>
              </w:rPr>
            </w:pPr>
          </w:p>
        </w:tc>
        <w:tc>
          <w:tcPr>
            <w:tcW w:w="2260" w:type="dxa"/>
            <w:vAlign w:val="bottom"/>
            <w:tcBorders>
              <w:top w:val="single" w:sz="8" w:color="auto"/>
              <w:right w:val="single" w:sz="8" w:color="auto"/>
            </w:tcBorders>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Battle Creek Mutual</w:t>
            </w:r>
          </w:p>
        </w:tc>
        <w:tc>
          <w:tcPr>
            <w:tcW w:w="260" w:type="dxa"/>
            <w:vAlign w:val="bottom"/>
            <w:tcBorders>
              <w:right w:val="single" w:sz="8" w:color="auto"/>
            </w:tcBorders>
          </w:tcPr>
          <w:p>
            <w:pPr>
              <w:spacing w:after="0"/>
              <w:rPr>
                <w:sz w:val="16"/>
                <w:szCs w:val="16"/>
                <w:color w:val="auto"/>
              </w:rPr>
            </w:pPr>
          </w:p>
        </w:tc>
        <w:tc>
          <w:tcPr>
            <w:tcW w:w="236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Tri-State, Ltd</w:t>
            </w:r>
          </w:p>
        </w:tc>
        <w:tc>
          <w:tcPr>
            <w:tcW w:w="0" w:type="dxa"/>
            <w:vAlign w:val="bottom"/>
          </w:tcPr>
          <w:p>
            <w:pPr>
              <w:spacing w:after="0"/>
              <w:rPr>
                <w:sz w:val="1"/>
                <w:szCs w:val="1"/>
                <w:color w:val="auto"/>
              </w:rPr>
            </w:pPr>
          </w:p>
        </w:tc>
      </w:tr>
      <w:tr>
        <w:trPr>
          <w:trHeight w:val="126"/>
        </w:trPr>
        <w:tc>
          <w:tcPr>
            <w:tcW w:w="2360" w:type="dxa"/>
            <w:vAlign w:val="bottom"/>
            <w:tcBorders>
              <w:left w:val="single" w:sz="8" w:color="auto"/>
              <w:right w:val="single" w:sz="8" w:color="auto"/>
            </w:tcBorders>
            <w:gridSpan w:val="2"/>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140" w:type="dxa"/>
            <w:vAlign w:val="bottom"/>
            <w:tcBorders>
              <w:right w:val="single" w:sz="8" w:color="auto"/>
            </w:tcBorders>
            <w:gridSpan w:val="2"/>
            <w:vMerge w:val="restart"/>
          </w:tcPr>
          <w:p>
            <w:pPr>
              <w:ind w:left="1200"/>
              <w:spacing w:after="0"/>
              <w:rPr>
                <w:sz w:val="20"/>
                <w:szCs w:val="20"/>
                <w:color w:val="auto"/>
              </w:rPr>
            </w:pPr>
            <w:r>
              <w:rPr>
                <w:rFonts w:ascii="Times New Roman" w:cs="Times New Roman" w:eastAsia="Times New Roman" w:hAnsi="Times New Roman"/>
                <w:sz w:val="18"/>
                <w:szCs w:val="18"/>
                <w:color w:val="auto"/>
              </w:rPr>
              <w:t>Company</w:t>
            </w:r>
          </w:p>
        </w:tc>
        <w:tc>
          <w:tcPr>
            <w:tcW w:w="2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Insurance Company</w:t>
            </w:r>
          </w:p>
        </w:tc>
        <w:tc>
          <w:tcPr>
            <w:tcW w:w="2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14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ownership</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Primero Insurance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selected amounts from the Company’s Unaudited Consolidated Statements of Operations and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can be found later in this section.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60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written</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36,112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non-controlling interest</w:t>
            </w:r>
          </w:p>
        </w:tc>
        <w:tc>
          <w:tcPr>
            <w:tcW w:w="2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w:t>
            </w:r>
          </w:p>
        </w:tc>
      </w:tr>
    </w:tbl>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376,124</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258,649</w:t>
            </w: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255,573</w:t>
            </w: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Marketplace Conditions and Trends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We believe that the market is in a “firming” phase in response to higher frequency and severity of weather-related events in our markets as well as the rest of the world.</w:t>
      </w:r>
    </w:p>
    <w:p>
      <w:pPr>
        <w:spacing w:after="0" w:line="15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w:t>
      </w:r>
    </w:p>
    <w:p>
      <w:pPr>
        <w:sectPr>
          <w:pgSz w:w="11900" w:h="16838" w:orient="portrait"/>
          <w:cols w:equalWidth="0" w:num="1">
            <w:col w:w="11420"/>
          </w:cols>
          <w:pgMar w:left="240" w:top="216" w:right="239" w:bottom="144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35" w:name="page36"/>
    <w:bookmarkEnd w:id="3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860"/>
        <w:spacing w:after="0" w:line="461" w:lineRule="auto"/>
        <w:rPr>
          <w:sz w:val="20"/>
          <w:szCs w:val="20"/>
          <w:color w:val="auto"/>
        </w:rPr>
      </w:pPr>
      <w:r>
        <w:rPr>
          <w:rFonts w:ascii="Times New Roman" w:cs="Times New Roman" w:eastAsia="Times New Roman" w:hAnsi="Times New Roman"/>
          <w:sz w:val="18"/>
          <w:szCs w:val="18"/>
          <w:color w:val="auto"/>
        </w:rPr>
        <w:t xml:space="preserve">conditioned upon participation in the federal crop insurance program, most commercial farmers obtain crop insurance on their plantings each year. </w:t>
      </w:r>
      <w:r>
        <w:rPr>
          <w:rFonts w:ascii="Times New Roman" w:cs="Times New Roman" w:eastAsia="Times New Roman" w:hAnsi="Times New Roman"/>
          <w:sz w:val="18"/>
          <w:szCs w:val="18"/>
          <w:b w:val="1"/>
          <w:bCs w:val="1"/>
          <w:color w:val="auto"/>
        </w:rPr>
        <w:t>Principal Revenue Items</w:t>
      </w:r>
    </w:p>
    <w:p>
      <w:pPr>
        <w:spacing w:after="0" w:line="2" w:lineRule="exact"/>
        <w:rPr>
          <w:sz w:val="20"/>
          <w:szCs w:val="20"/>
          <w:color w:val="auto"/>
        </w:rPr>
      </w:pPr>
    </w:p>
    <w:p>
      <w:pPr>
        <w:ind w:left="660" w:right="240"/>
        <w:spacing w:after="0" w:line="454" w:lineRule="auto"/>
        <w:rPr>
          <w:sz w:val="20"/>
          <w:szCs w:val="20"/>
          <w:color w:val="auto"/>
        </w:rPr>
      </w:pPr>
      <w:r>
        <w:rPr>
          <w:rFonts w:ascii="Times New Roman" w:cs="Times New Roman" w:eastAsia="Times New Roman" w:hAnsi="Times New Roman"/>
          <w:sz w:val="18"/>
          <w:szCs w:val="18"/>
          <w:color w:val="auto"/>
        </w:rPr>
        <w:t xml:space="preserve">The Company derives its revenue primarily from net premiums earned, net investment income, and net realized capital gain (loss) on investments. </w:t>
      </w:r>
      <w:r>
        <w:rPr>
          <w:rFonts w:ascii="Times New Roman" w:cs="Times New Roman" w:eastAsia="Times New Roman" w:hAnsi="Times New Roman"/>
          <w:sz w:val="18"/>
          <w:szCs w:val="18"/>
          <w:i w:val="1"/>
          <w:iCs w:val="1"/>
          <w:color w:val="auto"/>
        </w:rPr>
        <w:t>Gross and net premiums written</w:t>
      </w: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Gross premiums written is equal to direct premiums written and assumed premiums before the effect of ceded reinsurance. Gross premiums written are recognized upon sale of new insurance contracts or renewal of existing contracts. Net premiums written is equal to gross premiums written less premiums ceded or paid to reinsurers (ceded premiums written).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Premiums earned</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or, in the case of crop insurance, over the period of risk to the Company. At the end of each accounting period, the portion of the premiums that is not yet earned is included in unearned premiums and is realized as revenue in subsequent periods over the remaining term of the policy or period of risk. NI Holdings’ property and casualty policies typically have a term of twelve months. For example, for a policy that is written on July 1, 2018, one-half of the premiums would be earned in 2018 and the other half would be earned in 2019.</w:t>
      </w:r>
    </w:p>
    <w:p>
      <w:pPr>
        <w:spacing w:after="0" w:line="14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Due to the nature of the crop planting and harvesting cycle and the deadlines for filing and processing claims under the federal crop insurance program, insurance premiums for crop insurance are generally recognized and earned during the period of risk, which usually begins in spring and ends with harvest in the fall.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interest rate of 15% because the insurer is required to pay the farmer’s portion of the premium to the Federal Crop Insurance Corporation (“FCIC”) by November 15, regardless of whether the farmer pays the premium to the insurer. Except for claims made in the spring (primarily for prevented planting and required replanting claims), claims are required to be made by December 15. A different cycle exists for crops planted in the fall, such as winter wheat, but the vast majority of crop insurance written by NI Holdings covers crops planted in the spring.</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 and net realized capital gain (loss) on investments</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NI Holdings invests its surplus and the funds supporting its insurance liabilities (including unearned premiums and unpaid loss and loss adjustment expenses) in cash, cash equivalents, equities, and fixed income securities. Investment income includes interest and dividends earned on invested assets. Net realized capital gains and losses on investments are reported separately from net investment income. NI Holdings recognizes realized capital gains when investments are sold for an amount greater than their cost or amortized cost (in the case of fixed income securities) and recognizes realized capital losses when investments are written down as a result of an other-than-temporary impairment or sold for an amount less than their cost or amortized cost, as applicable. NI Holdings’ portfolio of investments is managed by Conning, Inc. and Disciplined Growth Investors, who have discretion to buy and sell securities in accordance with the investment policy approved by our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Expense Items</w:t>
      </w:r>
    </w:p>
    <w:p>
      <w:pPr>
        <w:spacing w:after="0" w:line="20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NI Holdings’ expenses consist primarily of losses and loss adjustment expenses (“LAE”), amortization of deferred policy acquisition costs, other underwriting and general expenses, and income taxes.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Loss Adjustment Expenses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Losses and LAE represent the largest expense item and include (1) claim payments made, (2) estimates for future claim payments and changes in those estimates from prior periods, and (3) costs associated with investigating, defending and adjusting claims, including legal fees.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Expenses incurred to underwrite risks are referred to as policy acquisition costs.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Other underwriting and general expenses consist of salaries,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6" w:name="page37"/>
    <w:bookmarkEnd w:id="3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professional fees,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its assets and liabilities. A valuation allowance is provided when it is more likely than not that some portion of the deferred income tax asset will not be realized. At both March 31, 2018 and December 31, 2017, the Company had recorded valuation allowances with respect to its deferred income tax assets of $628. The effect of a change in tax rates is recognized in the period of the enactment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NI Holdings evaluates its insurance operations by monitoring certain key measures of growth and profitability. In addition to reviewing its financial performance based on results determined in accordance with accounting principles generally accepted in the United States of America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gain, return on average equity, and risk based capital.</w:t>
      </w:r>
    </w:p>
    <w:p>
      <w:pPr>
        <w:spacing w:after="0" w:line="15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gain (loss), net income (loss), and return on average equity.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and LAE ratio</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expense ratio is the ratio (expressed as a percentage) of amortization of deferred policy acquisition costs and other underwriting and general expenses (attributable to insurance operations) to premiums earned, and measures our operational efficiency in producing, underwriting, and administering the Company’s insurance business.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Combined ratio</w:t>
      </w:r>
    </w:p>
    <w:p>
      <w:pPr>
        <w:spacing w:after="0" w:line="20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combined ratio is the ratio (expressed as a percentage) of the sum of losses and LAE incurred and expenses to premiums earned,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written to statutory surplus ratio</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net premiums written to statutory surplus ratio represents the ratio of net premiums written to statutory surplus. This ratio is designed to measure the ability of the Company to absorb above-average losses and the Company’s financial strength. In general, a low premium to surplus ratio is considered a sign of financial strength because the Company is theoretically using its capacity to write more policies. Statutory surplus is determined using accounting principles prescribed or permitted by the insurance subsidiaries’ state of domicile and differs from GAAP equity.</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gain (loss)</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insurance operations. It is derived by subtracting losses and LAE, amortization of deferred policy acquisition costs, and other underwriting and general expenses from net premiums earned. Each of these items is presented as a caption in NI Holdings’ Consolidated Statements of Operations.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7" w:name="page38"/>
    <w:bookmarkEnd w:id="3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 (loss) and return on average equity</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NI Holdings uses net income (loss) to measure its profit and uses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 adjustments to reflect changes in these estimates and assumptions from time to time. The Company believes the following policies are the most sensitive to estimates and judgments.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Unpaid Losses and Loss Adjustment Expenses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How reserves are established</w:t>
      </w:r>
    </w:p>
    <w:p>
      <w:pPr>
        <w:spacing w:after="0" w:line="18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With respect to its traditional property and casualty insurance products, the Company maintains reserves for the payment of claims (indemnity losses) and expenses related to adjusting those claims (LAE). The Company’s liability for unpaid losses and LAE consists of (1) case reserves, which are reserves for claims that have been reported to it, and (2) reserves for claims that have been incurred but have not yet been reported and for the future development of case reserves (“IBNR”).</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4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4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losses and LAE includes significant estimates for IBNR.</w:t>
      </w:r>
    </w:p>
    <w:p>
      <w:pPr>
        <w:spacing w:after="0" w:line="14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multi-peril crop insurance losses on a quarterly basis based upon historical loss patterns, current crop conditions, current weather patterns, and input from crop loss adjusters. These estimates have proven to be reasonably accurate indicators of the Company’s anticipated losses for this line of business.</w:t>
      </w:r>
    </w:p>
    <w:p>
      <w:pPr>
        <w:spacing w:after="0" w:line="13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NI Holdings utilizes an independent actuary to assist with the estimation of its liability for unpaid losses and LAE. This actuary prepares estimates by first deriving an actuarially based estimate of the ultimate cost of total losses and LAE incurred as of the financial statement date based on established actuarial methods described below. The Company then reduces the estimated ultimate loss and LAE by loss and LAE payments and case reserves carried as of the financial statement date. The actuarially determined estimate is based upon indications from one of the following actuarial methodologies or uses a weighted average of these results. The specific method used to estimate the ultimate losses would vary depending on the judgment of the actuary as to what is the most appropriate method for the property and casualty business. The Company’s management reviews these estimates and supplements the actuarial analysis with information not fully incorporated into the actuarially based estimate, such as changes in the external business environment and internal company processes. NI Holdings may adjust the actuarial estimates based on this supplemental information in order to arrive at the amount recorded in the Consolidated Financial Statements.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accrues its ultimate liability for unpaid losses and LAE by using the following actuarial methodologies: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8" w:name="page39"/>
    <w:bookmarkEnd w:id="3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Bornhuetter-Ferguson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Bornhuetter-Ferguson Method is a blended method that explicitly takes into account both actual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to date and expected future loss emergence. This method is applied on both a paid loss basis and an incurred loss basis. This method uses selected loss development patterns to calculate the expected percentage of losses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losses described above. This provides an estimate of future paid (or reported) losses that is then added to actual paid (or incurred) loss data to produce the estimated ultimate loss.</w:t>
      </w:r>
    </w:p>
    <w:p>
      <w:pPr>
        <w:spacing w:after="0" w:line="14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Paid and Case Incurred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 Paid and Case Incurred Loss Development Method utilizes ratios of cumulative paid or case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or LAE 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50"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Ratio of Paid ALAE to Paid Loss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This method utilizes the ratio of paid allocated loss adjustment expense (“ALAE”) to paid losses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similar to the Paid and Case Incurred Method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4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estimates of unpaid losses and LAE in a regular ongoing process as historical loss experience develops and additional claims are reported and settled. NI Holdings considers all significant facts and circumstances known at the time the liabilities for unpaid losses and LAE are established.</w:t>
      </w:r>
    </w:p>
    <w:p>
      <w:pPr>
        <w:spacing w:after="0" w:line="14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There is an inherent amount of uncertainty in the establishment of liabilities for unpaid losses and LAE.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57" w:lineRule="exact"/>
        <w:rPr>
          <w:sz w:val="20"/>
          <w:szCs w:val="20"/>
          <w:color w:val="auto"/>
        </w:rPr>
      </w:pPr>
    </w:p>
    <w:p>
      <w:pPr>
        <w:ind w:left="660" w:right="540"/>
        <w:spacing w:after="0" w:line="454" w:lineRule="auto"/>
        <w:rPr>
          <w:sz w:val="20"/>
          <w:szCs w:val="20"/>
          <w:color w:val="auto"/>
        </w:rPr>
      </w:pPr>
      <w:r>
        <w:rPr>
          <w:rFonts w:ascii="Times New Roman" w:cs="Times New Roman" w:eastAsia="Times New Roman" w:hAnsi="Times New Roman"/>
          <w:sz w:val="18"/>
          <w:szCs w:val="18"/>
          <w:color w:val="auto"/>
        </w:rPr>
        <w:t xml:space="preserve">Other factors that have or can have an impact on the Company’s case and IBNR reserves include but are not limited to those described below. </w:t>
      </w:r>
      <w:r>
        <w:rPr>
          <w:rFonts w:ascii="Times New Roman" w:cs="Times New Roman" w:eastAsia="Times New Roman" w:hAnsi="Times New Roman"/>
          <w:sz w:val="18"/>
          <w:szCs w:val="18"/>
          <w:u w:val="single" w:color="auto"/>
          <w:color w:val="auto"/>
        </w:rPr>
        <w:t>Changes in liability law and public attitudes regarding damage awards</w:t>
      </w: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losses paid by the Company, causing the Company to experience adverse development and higher loss payments in future years.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 in claims handling and/or setting case reserves</w:t>
      </w:r>
    </w:p>
    <w:p>
      <w:pPr>
        <w:spacing w:after="0" w:line="18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Changes in Company personnel and/or the approach to how claims are reported, adjusted, and reserved may affect the reserves established by the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a company with an acceptable “range” to use in establishing its best estimate for IBNR reserves.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Economic inflation</w:t>
      </w:r>
    </w:p>
    <w:p>
      <w:pPr>
        <w:spacing w:after="0" w:line="198"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18"/>
          <w:szCs w:val="18"/>
          <w:color w:val="auto"/>
        </w:rPr>
        <w:t>A sudden and extreme increase in the economic inflation rate could have a significant impact on the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39" w:name="page40"/>
    <w:bookmarkEnd w:id="3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Should the economic inflation rate increase significantly, it is likely that the Company may not anticipate the need to adjust the IBNR reserves accordingly, which could lead to the Company being deficient in its IBNR reserves.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Increases or decreases in claim severity for reasons other than inflation</w:t>
      </w:r>
    </w:p>
    <w:p>
      <w:pPr>
        <w:spacing w:after="0" w:line="19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Factors exist that can drive the cost to settle claims for reasons other than standard inflation. For example, demand surge caused by a very large catastrophe (as in the case of Hurricane Katrina) has an impact on not only the availability and cost of building materials such as roofing and other materials, but also on the availability and cost of labor. Other factors such as increased vehicle traffic in an area not designed to handle the increased congestion and increased speed limits on busy roads are examples of changes that could cause claim severity to increase beyond what the Company’s historic reserves would reflect. In addition, unexpected increases in the labor costs and healthcare costs that underlie insured risks, changes in costs of building materials, or changes in commodity prices for insured crops may cause fluctuations in the ultimate development of the case reserves.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Actual settlement experience different from historical data trends</w:t>
      </w:r>
    </w:p>
    <w:p>
      <w:pPr>
        <w:spacing w:after="0" w:line="18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the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Change in Reporting Lag</w:t>
      </w:r>
    </w:p>
    <w:p>
      <w:pPr>
        <w:spacing w:after="0" w:line="18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discussed above, NI Holdings and its actuary utilize historical patterns to provide an accurate estimate of what will take place in the future. Should we experience an unexpected delay in reporting time (claims are slower to be reported than in the past), our actuary or we may underestimate the anticipated number of future claims, which could cause the ultimate loss we may experience to be underestimated.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4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Due to the inherent uncertainty underlying loss reserve estimates, final resolution of the estimated liability for unpaid losses and LAE may be higher or lower than the related loss reserves at the reporting date. Therefore, actual paid losses, as claims are settled in the future, may be materially higher or lower in amount than current loss reserves. The Company reflects adjustments to the liability for unpaid losses and LAE in the results of operations during the period in which the estimates are changed.</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Actuarial Loss Reserves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 Holdings’ liabilities for unpaid losses and LAE are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 reserves</w:t>
            </w:r>
          </w:p>
        </w:tc>
        <w:tc>
          <w:tcPr>
            <w:tcW w:w="3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IBNR reserves</w:t>
            </w: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12,386</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3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3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3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96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1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40" w:name="page41"/>
    <w:bookmarkEnd w:id="4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case and IBNR reserves for unpaid losses and LAE by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March 31, 2018</w:t>
            </w:r>
          </w:p>
        </w:tc>
        <w:tc>
          <w:tcPr>
            <w:tcW w:w="2180" w:type="dxa"/>
            <w:vAlign w:val="bottom"/>
          </w:tcPr>
          <w:p>
            <w:pPr>
              <w:spacing w:after="0"/>
              <w:rPr>
                <w:sz w:val="20"/>
                <w:szCs w:val="20"/>
                <w:color w:val="auto"/>
              </w:rPr>
            </w:pPr>
          </w:p>
        </w:tc>
        <w:tc>
          <w:tcPr>
            <w:tcW w:w="13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40" w:type="dxa"/>
            <w:vAlign w:val="bottom"/>
          </w:tcPr>
          <w:p>
            <w:pPr>
              <w:spacing w:after="0"/>
              <w:rPr>
                <w:sz w:val="20"/>
                <w:szCs w:val="20"/>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20" w:type="dxa"/>
            <w:vAlign w:val="bottom"/>
          </w:tcPr>
          <w:p>
            <w:pPr>
              <w:spacing w:after="0"/>
              <w:rPr>
                <w:sz w:val="20"/>
                <w:szCs w:val="20"/>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Reserves</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Non-standard auto</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2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6,978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2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26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29,021</w:t>
            </w:r>
          </w:p>
        </w:tc>
        <w:tc>
          <w:tcPr>
            <w:tcW w:w="5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11,712</w:t>
            </w:r>
          </w:p>
        </w:tc>
        <w:tc>
          <w:tcPr>
            <w:tcW w:w="4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26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31,495</w:t>
            </w:r>
          </w:p>
        </w:tc>
        <w:tc>
          <w:tcPr>
            <w:tcW w:w="5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12,368</w:t>
            </w:r>
          </w:p>
        </w:tc>
        <w:tc>
          <w:tcPr>
            <w:tcW w:w="4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43,863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2017</w:t>
            </w:r>
          </w:p>
        </w:tc>
        <w:tc>
          <w:tcPr>
            <w:tcW w:w="2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92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3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Case Reserves</w:t>
            </w:r>
          </w:p>
        </w:tc>
        <w:tc>
          <w:tcPr>
            <w:tcW w:w="140" w:type="dxa"/>
            <w:vAlign w:val="bottom"/>
          </w:tcPr>
          <w:p>
            <w:pPr>
              <w:spacing w:after="0"/>
              <w:rPr>
                <w:sz w:val="24"/>
                <w:szCs w:val="24"/>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IBNR Reserves</w:t>
            </w:r>
          </w:p>
        </w:tc>
        <w:tc>
          <w:tcPr>
            <w:tcW w:w="20" w:type="dxa"/>
            <w:vAlign w:val="bottom"/>
          </w:tcPr>
          <w:p>
            <w:pPr>
              <w:spacing w:after="0"/>
              <w:rPr>
                <w:sz w:val="24"/>
                <w:szCs w:val="24"/>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Reserves</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3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passenger auto</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Non-standard auto</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and farm</w:t>
            </w:r>
          </w:p>
        </w:tc>
        <w:tc>
          <w:tcPr>
            <w:tcW w:w="2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2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unpaid losses and LAE</w:t>
            </w:r>
          </w:p>
        </w:tc>
        <w:tc>
          <w:tcPr>
            <w:tcW w:w="26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29,376</w:t>
            </w:r>
          </w:p>
        </w:tc>
        <w:tc>
          <w:tcPr>
            <w:tcW w:w="5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12,386</w:t>
            </w:r>
          </w:p>
        </w:tc>
        <w:tc>
          <w:tcPr>
            <w:tcW w:w="4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2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LAE</w:t>
            </w:r>
          </w:p>
        </w:tc>
        <w:tc>
          <w:tcPr>
            <w:tcW w:w="26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32,547</w:t>
            </w:r>
          </w:p>
        </w:tc>
        <w:tc>
          <w:tcPr>
            <w:tcW w:w="54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13,343</w:t>
            </w:r>
          </w:p>
        </w:tc>
        <w:tc>
          <w:tcPr>
            <w:tcW w:w="420" w:type="dxa"/>
            <w:vAlign w:val="bottom"/>
            <w:gridSpan w:val="2"/>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Sensitivity of Major Assumptions Underlying the Liabilities for Unpaid Losses and Loss Adjustment Expenses</w:t>
      </w:r>
    </w:p>
    <w:p>
      <w:pPr>
        <w:spacing w:after="0" w:line="187"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Total Reserves</w:t>
      </w:r>
    </w:p>
    <w:p>
      <w:pPr>
        <w:spacing w:after="0" w:line="18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2018, the impact of a 1% change in our estimate for unpaid losses and LAE, net of reinsurance recoverables, on our net income after income taxes would be approximately $322.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Inflation</w:t>
      </w:r>
    </w:p>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Inflation is not explicitly selected in the loss reserve analysis. However, historical inflation is embedded in the estimated loss development factors. The following table displays the impact on net income after income taxes resulting from various changes from the inflation factor implicitly embedded in the estimated payment pattern as of December 31, 2017, which is deemed consistent with March 31, 2018. A change in inflation may or may not fully impact loss payments in the future because some of the underlying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57"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32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Change in Inflation</w:t>
            </w: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Impact on After Tax Earnings</w:t>
            </w:r>
          </w:p>
        </w:tc>
      </w:tr>
      <w:tr>
        <w:trPr>
          <w:trHeight w:val="210"/>
        </w:trPr>
        <w:tc>
          <w:tcPr>
            <w:tcW w:w="29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40" w:type="dxa"/>
            <w:vAlign w:val="bottom"/>
            <w:tcBorders>
              <w:top w:val="single" w:sz="8" w:color="CCECFF"/>
            </w:tcBorders>
            <w:shd w:val="clear" w:color="auto" w:fill="CCECFF"/>
          </w:tcPr>
          <w:p>
            <w:pPr>
              <w:spacing w:after="0"/>
              <w:rPr>
                <w:sz w:val="18"/>
                <w:szCs w:val="18"/>
                <w:color w:val="auto"/>
              </w:rPr>
            </w:pPr>
          </w:p>
        </w:tc>
        <w:tc>
          <w:tcPr>
            <w:tcW w:w="760" w:type="dxa"/>
            <w:vAlign w:val="bottom"/>
            <w:tcBorders>
              <w:top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CFF"/>
          </w:tcPr>
          <w:p>
            <w:pPr>
              <w:jc w:val="right"/>
              <w:ind w:right="59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1%</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1"/>
              </w:rPr>
              <w:t>3%</w:t>
            </w:r>
          </w:p>
        </w:tc>
        <w:tc>
          <w:tcPr>
            <w:tcW w:w="24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1740" w:type="dxa"/>
            <w:vAlign w:val="bottom"/>
            <w:shd w:val="clear" w:color="auto" w:fill="CCECFF"/>
          </w:tcPr>
          <w:p>
            <w:pPr>
              <w:jc w:val="right"/>
              <w:ind w:right="650"/>
              <w:spacing w:after="0"/>
              <w:rPr>
                <w:sz w:val="20"/>
                <w:szCs w:val="20"/>
                <w:color w:val="auto"/>
              </w:rPr>
            </w:pPr>
            <w:r>
              <w:rPr>
                <w:rFonts w:ascii="Times New Roman" w:cs="Times New Roman" w:eastAsia="Times New Roman" w:hAnsi="Times New Roman"/>
                <w:sz w:val="18"/>
                <w:szCs w:val="18"/>
                <w:color w:val="auto"/>
              </w:rPr>
              <w:t>1,219</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5%</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2,062</w:t>
            </w:r>
          </w:p>
        </w:tc>
      </w:tr>
    </w:tbl>
    <w:p>
      <w:pPr>
        <w:spacing w:after="0" w:line="35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Case Reserves</w:t>
      </w:r>
    </w:p>
    <w:p>
      <w:pPr>
        <w:spacing w:after="0" w:line="18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to the level of case reserves as of December 31, 2017, which is deemed consistent with March 31, 2018. This variance in future IBNR emergence could occur in one year or over multiple years, depending when the change is recognized.</w:t>
      </w:r>
    </w:p>
    <w:p>
      <w:pPr>
        <w:sectPr>
          <w:pgSz w:w="11900" w:h="16838" w:orient="portrait"/>
          <w:cols w:equalWidth="0" w:num="1">
            <w:col w:w="11420"/>
          </w:cols>
          <w:pgMar w:left="240" w:top="216" w:right="239" w:bottom="1440" w:gutter="0" w:footer="0" w:header="0"/>
        </w:sectPr>
      </w:pP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1" w:name="page42"/>
    <w:bookmarkEnd w:id="4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tbl>
      <w:tblPr>
        <w:tblLayout w:type="fixed"/>
        <w:tblInd w:w="2880" w:type="dxa"/>
        <w:tblCellMar>
          <w:top w:w="0" w:type="dxa"/>
          <w:left w:w="0" w:type="dxa"/>
          <w:bottom w:w="0" w:type="dxa"/>
          <w:right w:w="0" w:type="dxa"/>
        </w:tblCellMar>
      </w:tblPr>
      <w:tr>
        <w:trPr>
          <w:trHeight w:val="238"/>
        </w:trPr>
        <w:tc>
          <w:tcPr>
            <w:tcW w:w="32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Change in Case Reserves</w:t>
            </w:r>
          </w:p>
        </w:tc>
        <w:tc>
          <w:tcPr>
            <w:tcW w:w="2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Impact on After Tax Earnings</w:t>
            </w:r>
          </w:p>
        </w:tc>
      </w:tr>
      <w:tr>
        <w:trPr>
          <w:trHeight w:val="210"/>
        </w:trPr>
        <w:tc>
          <w:tcPr>
            <w:tcW w:w="29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top w:val="single" w:sz="8" w:color="CCECFF"/>
            </w:tcBorders>
            <w:shd w:val="clear" w:color="auto" w:fill="CCECFF"/>
          </w:tcPr>
          <w:p>
            <w:pPr>
              <w:spacing w:after="0"/>
              <w:rPr>
                <w:sz w:val="18"/>
                <w:szCs w:val="18"/>
                <w:color w:val="auto"/>
              </w:rPr>
            </w:pPr>
          </w:p>
        </w:tc>
        <w:tc>
          <w:tcPr>
            <w:tcW w:w="720" w:type="dxa"/>
            <w:vAlign w:val="bottom"/>
            <w:tcBorders>
              <w:top w:val="single" w:sz="8" w:color="auto"/>
            </w:tcBorders>
            <w:shd w:val="clear" w:color="auto" w:fill="CCEC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CFF"/>
          </w:tcPr>
          <w:p>
            <w:pPr>
              <w:jc w:val="right"/>
              <w:ind w:right="590"/>
              <w:spacing w:after="0"/>
              <w:rPr>
                <w:sz w:val="20"/>
                <w:szCs w:val="20"/>
                <w:color w:val="auto"/>
              </w:rPr>
            </w:pPr>
            <w:r>
              <w:rPr>
                <w:rFonts w:ascii="Times New Roman" w:cs="Times New Roman" w:eastAsia="Times New Roman" w:hAnsi="Times New Roman"/>
                <w:sz w:val="18"/>
                <w:szCs w:val="18"/>
                <w:color w:val="auto"/>
              </w:rPr>
              <w:t>(2,575)</w:t>
            </w: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780" w:type="dxa"/>
            <w:vAlign w:val="bottom"/>
            <w:shd w:val="clear" w:color="auto" w:fill="CCECFF"/>
          </w:tcPr>
          <w:p>
            <w:pPr>
              <w:jc w:val="right"/>
              <w:ind w:right="59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29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40" w:type="dxa"/>
            <w:vAlign w:val="bottom"/>
            <w:shd w:val="clear" w:color="auto" w:fill="CCECFF"/>
          </w:tcPr>
          <w:p>
            <w:pPr>
              <w:spacing w:after="0"/>
              <w:rPr>
                <w:sz w:val="18"/>
                <w:szCs w:val="18"/>
                <w:color w:val="auto"/>
              </w:rPr>
            </w:pPr>
          </w:p>
        </w:tc>
        <w:tc>
          <w:tcPr>
            <w:tcW w:w="720" w:type="dxa"/>
            <w:vAlign w:val="bottom"/>
            <w:shd w:val="clear" w:color="auto" w:fill="CCECFF"/>
          </w:tcPr>
          <w:p>
            <w:pPr>
              <w:spacing w:after="0"/>
              <w:rPr>
                <w:sz w:val="18"/>
                <w:szCs w:val="18"/>
                <w:color w:val="auto"/>
              </w:rPr>
            </w:pPr>
          </w:p>
        </w:tc>
        <w:tc>
          <w:tcPr>
            <w:tcW w:w="1780" w:type="dxa"/>
            <w:vAlign w:val="bottom"/>
            <w:shd w:val="clear" w:color="auto" w:fill="CCECFF"/>
          </w:tcPr>
          <w:p>
            <w:pPr>
              <w:jc w:val="right"/>
              <w:ind w:right="650"/>
              <w:spacing w:after="0"/>
              <w:rPr>
                <w:sz w:val="20"/>
                <w:szCs w:val="20"/>
                <w:color w:val="auto"/>
              </w:rPr>
            </w:pPr>
            <w:r>
              <w:rPr>
                <w:rFonts w:ascii="Times New Roman" w:cs="Times New Roman" w:eastAsia="Times New Roman" w:hAnsi="Times New Roman"/>
                <w:sz w:val="18"/>
                <w:szCs w:val="18"/>
                <w:color w:val="auto"/>
              </w:rPr>
              <w:t>1,287</w:t>
            </w:r>
          </w:p>
        </w:tc>
      </w:tr>
      <w:tr>
        <w:trPr>
          <w:trHeight w:val="234"/>
        </w:trPr>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2,575</w:t>
            </w:r>
          </w:p>
        </w:tc>
      </w:tr>
    </w:tbl>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0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realized capital gains and losses on investments are recognized when investments are sold, or an other-than-temporary impairment is recognized.</w:t>
      </w:r>
    </w:p>
    <w:p>
      <w:pPr>
        <w:spacing w:after="0" w:line="14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NI Holdings evaluates securities for other-than-temporary impairment (“OTTI”) at least on a quarterly basis. NI Holdings assesses whether OTTI is present when the fair value of a security is less than its amortized cost. OTTI is considered to have occurred with respect to fixed income securities if (1) an entity intends to sell the security, (2) it is more likely than not an entity will be required to sell the security before recovery of its amortized cost basis, or (3) the present value of the expected cash flows is not sufficient to recover the entire amortized cost basis. When assessing whether the cost or amortized cost basis of the security will be recovered, the Company compares the present value of the expected cash flows likely to be collected, based on an evaluation of all available information relevant to the collectability of the security, to the cost or amortized cost basis of the security. The shortfall of the present value of the cash flows expected to be collected in relation to the cost of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cost or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income taxes. If NI Holdings determines that it intends to sell the security, or that it is more likely than not that it will be required to sell the security prior to recovering its cost or amortized cost basis less any current-period credit losses, the full amount of the other-than-temporary impairment will be recognized in earnings.</w:t>
      </w:r>
    </w:p>
    <w:p>
      <w:pPr>
        <w:spacing w:after="0" w:line="15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Fair values of interest rate sensitive instruments may be affected by increases and decreases in prevailing interest rates that generally translate, respectively, into decreases and increases in fair values of fixed income securities.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5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NI Holdings’ investment portfolio experienced a decrease in net unrealized gains of $4,470. The fixed income portion of the portfolio experienced a modest decrease in unrealized gains and a larger decrease in unrealized losses.</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investments and participates in this evaluation.</w:t>
      </w:r>
    </w:p>
    <w:p>
      <w:pPr>
        <w:spacing w:after="0" w:line="13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NI Holdings did not recognize any other-than-temporary impairments of its investment securities. For the year ended December 31, 2017, NI Holdings recognized $330 of other-than-temporary impairments of its investment securities.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on the Company’s investments, see Note 5 to the Unaudited Consolidated Financial Statements,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16" w:right="339" w:bottom="1440" w:gutter="0" w:footer="0" w:header="0"/>
        </w:sectPr>
      </w:pPr>
    </w:p>
    <w:bookmarkStart w:id="42" w:name="page43"/>
    <w:bookmarkEnd w:id="4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55" w:lineRule="exact"/>
        <w:rPr>
          <w:sz w:val="20"/>
          <w:szCs w:val="20"/>
          <w:color w:val="auto"/>
        </w:rPr>
      </w:pPr>
    </w:p>
    <w:p>
      <w:pPr>
        <w:ind w:left="1960" w:right="680" w:hanging="1296"/>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21" w:lineRule="exact"/>
        <w:rPr>
          <w:sz w:val="20"/>
          <w:szCs w:val="20"/>
          <w:color w:val="auto"/>
        </w:rPr>
      </w:pPr>
    </w:p>
    <w:p>
      <w:pPr>
        <w:ind w:left="1960" w:right="20" w:hanging="1296"/>
        <w:spacing w:after="0" w:line="258"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143" w:lineRule="exact"/>
        <w:rPr>
          <w:sz w:val="20"/>
          <w:szCs w:val="20"/>
          <w:color w:val="auto"/>
        </w:rPr>
      </w:pPr>
    </w:p>
    <w:p>
      <w:pPr>
        <w:ind w:left="1960" w:right="320" w:hanging="1296"/>
        <w:spacing w:after="0" w:line="28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III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2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and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52"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NI Holdings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pricing service did not use broker quotes in determining fair values of the Company’s investments.</w:t>
      </w:r>
    </w:p>
    <w:p>
      <w:pPr>
        <w:spacing w:after="0" w:line="14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NI Holdings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NI Holdings would use that estimate. In instances where NI Holdings would be able to obtain fair value estimates from more than one broker-dealer, the Company would review the range of estimates and select the most appropriate value based on the facts and circumstances. Should neither the independent pricing service nor a broker-dealer provide a fair value estimate, NI Holdings would develop a fair value estimate based on cash flow analyses and other valuation techniques that utilize certain unobservable inputs. Accordingly, NI Holdings classifies such a security as a Level III investment.</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fair value estimates of NI Holdings’ investments provided by the independent pricing service at each period-end were utilized, among other resources, in reaching a conclusion as to the fair value of its investments.</w:t>
      </w:r>
    </w:p>
    <w:p>
      <w:pPr>
        <w:spacing w:after="0" w:line="12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16" w:right="259" w:bottom="1440" w:gutter="0" w:footer="0" w:header="0"/>
        </w:sectPr>
      </w:pPr>
    </w:p>
    <w:bookmarkStart w:id="43" w:name="page44"/>
    <w:bookmarkEnd w:id="43"/>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securities in common sectors, durations, and credit ratings. This review will also include all fixed income securities rated lower than “A” by Moody’s or Standard &amp; Poor’s.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three months ended March 31, 2018 or the year ended December 31, 2017. The classification within the fair value hierarchy is then confirmed based on the final conclusions from the pricing review.</w:t>
      </w:r>
    </w:p>
    <w:p>
      <w:pPr>
        <w:spacing w:after="0" w:line="143"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on the Company’s fair value measurements, see Note 6 to the Unaudited Consolidated Financial Statements, included elsewhere in this Report.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Certain direct policy acquisition costs consisting of commissions, premium taxes, and other direct underwriting expenses that vary with and are primarily related to the production of business are deferred and amortized over the effective period of the related insurance policies as the underlying policy premiums are earned. At March 31, 2018 and December 31, 2017, deferred policy acquisition costs and the related liability for unearned premiums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unearned premiums</w:t>
            </w:r>
          </w:p>
        </w:tc>
        <w:tc>
          <w:tcPr>
            <w:tcW w:w="4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63,262</w:t>
            </w:r>
          </w:p>
        </w:tc>
      </w:tr>
    </w:tbl>
    <w:p>
      <w:pPr>
        <w:spacing w:after="0" w:line="3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NI Holdings uses the asset and liability method of accounting for deferred income taxes. Deferred income taxes arise from the recognition of temporary differences between financial statement carrying amounts and the income tax bases of our assets and liabilities. A valuation allowance is provided when it is more likely than not that some portion of the deferred income tax asset will not be realized. The effect of a change in tax rates is recognized in the period of the enactment date. The following tax amounts reflect the new corporate tax rate enacted on December 22, 2017.</w:t>
      </w:r>
    </w:p>
    <w:p>
      <w:pPr>
        <w:spacing w:after="0" w:line="14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NI Holdings had gross deferred income tax assets of $4,426 at March 31, 2018 and $4,279 at December 31, 2017, arising primarily from unearned premiums, loss reserve discounting, and net operating loss carryforwards. A valuation allowance is required to be established for any portion of the deferred income tax asset for which the Company believes it is more likely than not that it will not be realized. A valuation allowance of $628 was maintained at March 31, 2018 and December 31, 2017.</w:t>
      </w:r>
    </w:p>
    <w:p>
      <w:pPr>
        <w:spacing w:after="0" w:line="1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NI Holdings had gross deferred income tax liabilities of $5,277 at March 31, 2018 and $6,190 at December 31, 2017, arising primarily from deferred policy acquisition costs and net unrealized capital gains on investments.</w:t>
      </w:r>
    </w:p>
    <w:p>
      <w:pPr>
        <w:spacing w:after="0" w:line="121"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2018, NI Holdings had no material unrecognized tax benefits or accrued interest and penalties. Federal tax years 2013 through 2016 are open for examination.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w:t>
      </w:r>
    </w:p>
    <w:p>
      <w:pPr>
        <w:sectPr>
          <w:pgSz w:w="11900" w:h="16838" w:orient="portrait"/>
          <w:cols w:equalWidth="0" w:num="1">
            <w:col w:w="11420"/>
          </w:cols>
          <w:pgMar w:left="240" w:top="216" w:right="239" w:bottom="1440" w:gutter="0" w:footer="0" w:header="0"/>
        </w:sectPr>
      </w:pP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4" w:name="page45"/>
    <w:bookmarkEnd w:id="44"/>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more significant than during a hard market cycle and makes it difficult to attract and retain properly priced business. During a hard market cycle, it is more likely that insurers will be able to increase their rates or profit margins. A hard market typically has a positive effect on premium growth. The markets that NI Holdings serves are diversified enough such that management must regularly monitor the Company’s performance and competitive position to schedule appropriate rate actions by line of business and geographic market. We believe that the market is in a “firming” phase in response to higher frequency and severity of weather-related events in our markets as well as the rest of the world.</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Premiums in the multi-peril crop insurance business are primarily influenced by the number of acres planted and types of crops insured because the pricing is set by the RMA rather than individual insurance carriers. The expected experience of this business for the calendar year may also significantly impact the reported net earned premiums and losses due to the risk-sharing arrangement with the federal government. Multi-peril crop insurance premiums are generally written in second quarter, and earned ratably over the period of risk, which extends into fourth quarter. Losses on this business are more heavily concentrated in the second and third quarters.</w:t>
      </w:r>
    </w:p>
    <w:p>
      <w:pPr>
        <w:spacing w:after="0" w:line="15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Premiums in the crop hail insurance business are also generally written in second quarter, but earned over a shorter period of risk than multi-peril crop insurance.</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Premiums in the personal lines of business (private passenger auto and home and farm) are generally written throughout the year and earned throughout the year. Losses on this business are also incurred throughout the year, but usually are more frequent and/or severe during periods of weather-related activity in the second and third quarters.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March 31, 2018 and 2017</w:t>
      </w:r>
    </w:p>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consolidated net income for NI Holdings was $6,152 for the three months ended March 31, 2018 compared to $4,749 a year ago. The major components of NI Holdings’ operating revenues and net income for the two periods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36,112</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36,112</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 expenses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Underwriting income</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capital gain on investments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Premiums Earned</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NI Holdings’ net premiums earned for the three months ended March 31, 2018 increased 10.1% to $36,112 compared to $32,809 for the three months ended March 31, 2017.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46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12,644</w:t>
            </w:r>
          </w:p>
        </w:tc>
      </w:tr>
      <w:tr>
        <w:trPr>
          <w:trHeight w:val="216"/>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13,638</w:t>
            </w:r>
          </w:p>
        </w:tc>
      </w:tr>
      <w:tr>
        <w:trPr>
          <w:trHeight w:val="216"/>
        </w:trPr>
        <w:tc>
          <w:tcPr>
            <w:tcW w:w="5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3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r>
      <w:tr>
        <w:trPr>
          <w:trHeight w:val="230"/>
        </w:trPr>
        <w:tc>
          <w:tcPr>
            <w:tcW w:w="5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w:t>
            </w:r>
          </w:p>
        </w:tc>
      </w:tr>
      <w:tr>
        <w:trPr>
          <w:trHeight w:val="223"/>
        </w:trPr>
        <w:tc>
          <w:tcPr>
            <w:tcW w:w="54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5" w:name="page46"/>
    <w:bookmarkEnd w:id="45"/>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personal lines of business (private passenger auto, home and farm) continued to grow outside of North Dakota. Our non-standard auto business also grew year-over-year due to rate increases in Nevada. Our crop business will begin recognizing the majority of its premiums in second quarter as the planting season starts.</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Losses and LAE</w:t>
      </w:r>
    </w:p>
    <w:p>
      <w:pPr>
        <w:spacing w:after="0" w:line="20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NI Holdings’ net losses and LAE for the three months ended March 31, 2018 increased 6.4% to $18,849 compared to $17,721 for the three months ended March 31, 2017. The Company’s loss and LAE ratio decreased to 52.2% for 2018, compared to 54.0% for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5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LAE ratio:</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8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8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30"/>
        </w:trPr>
        <w:tc>
          <w:tcPr>
            <w:tcW w:w="8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85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loss and LAE ratio</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Our overall experience improved year-over-year. Private passenger auto and the non-standard auto business both improved as a result of strategic pricing and underwriting actions, while home and farm experience was relatively consistent. Crop insurance for first quarter is not meaningful due to the minimal level of net premiums earned. The assumed reinsurance portion of the all other segment experience rose to more normal levels in first quarter 2018 compared to a minimal amount of losses in first quarter 2017.</w:t>
      </w:r>
    </w:p>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NI Holdings realized unfavorable development on prior accident years of $76 in the first quarter of 2018, compared to $2,799 of favorable development on prior accident years realized in the first three months of 2017. Net favorable development is primarily the result of prior years’ claims settling for less than originally estimated. Adjustments to our original estimates resulting from claims are not made until the period in which there is reasonable evidence that an adjustment to the reserve is appropriate.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of Deferred Policy Acquisition Costs and Other Underwriting and General Expenses</w:t>
      </w:r>
    </w:p>
    <w:p>
      <w:pPr>
        <w:spacing w:after="0" w:line="18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Total underwriting and general expenses, including amortization of deferred policy acquisition costs, increased $1,858 in the first quarter of 2018, or 18.6%, compared to 2017. Expenses were higher in the first quarter of 2018 due to increased commissions and share-based compensation. The expense ratio of 32.9% for the three months ended March 31, 2018 was 2.4 percentage points higher than the expense ratio in the first quarter of 2017.</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Underwriting Gain (Loss)</w:t>
      </w:r>
    </w:p>
    <w:p>
      <w:pPr>
        <w:spacing w:after="0" w:line="200"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a company’s insurance business. It is derived by subtracting losses and LAE, amortization of deferred policy acquisition costs, and other underwriting and general expenses from net premiums earned.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4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34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3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Private passenger auto</w:t>
            </w:r>
          </w:p>
        </w:tc>
        <w:tc>
          <w:tcPr>
            <w:tcW w:w="408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r>
      <w:tr>
        <w:trPr>
          <w:trHeight w:val="216"/>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Non-standard auto</w:t>
            </w:r>
          </w:p>
        </w:tc>
        <w:tc>
          <w:tcPr>
            <w:tcW w:w="3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Home and farm</w:t>
            </w:r>
          </w:p>
        </w:tc>
        <w:tc>
          <w:tcPr>
            <w:tcW w:w="3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r>
      <w:tr>
        <w:trPr>
          <w:trHeight w:val="216"/>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Crop</w:t>
            </w:r>
          </w:p>
        </w:tc>
        <w:tc>
          <w:tcPr>
            <w:tcW w:w="3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All other</w:t>
            </w:r>
          </w:p>
        </w:tc>
        <w:tc>
          <w:tcPr>
            <w:tcW w:w="3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1,784</w:t>
            </w:r>
          </w:p>
        </w:tc>
      </w:tr>
      <w:tr>
        <w:trPr>
          <w:trHeight w:val="223"/>
        </w:trPr>
        <w:tc>
          <w:tcPr>
            <w:tcW w:w="53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underwriting gain</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underwriting results for our private passenger auto business improved significantly year-over-year, partially offset by lower underwriting gains in home and farm business and our all other segment. Strategic rating and underwriting actions implemented across the personal lines of business throughout 2017 helped to improve the underlying profitability of those lines in the first quarter of 2018.</w:t>
      </w:r>
    </w:p>
    <w:p>
      <w:pPr>
        <w:spacing w:after="0" w:line="13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Rate increases and other underwriting actions on our non-standard auto business reduced the underwriting loss considerably from a year ago. Fee income attributable to this segment is a key component in measuring its profitability. Fee income on this business was $322 and $264 for the three months ended March 31, 2018 and 2017, respectively.</w:t>
      </w:r>
    </w:p>
    <w:p>
      <w:pPr>
        <w:sectPr>
          <w:pgSz w:w="11900" w:h="16838" w:orient="portrait"/>
          <w:cols w:equalWidth="0" w:num="1">
            <w:col w:w="11420"/>
          </w:cols>
          <w:pgMar w:left="240" w:top="216" w:right="239" w:bottom="1440" w:gutter="0" w:footer="0" w:header="0"/>
        </w:sectPr>
      </w:pP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6" w:name="page47"/>
    <w:bookmarkEnd w:id="46"/>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As mentioned earlier, there is limited activity in crop insurance during the first quarter of any year. The underwriting losses reported in the first quarters of 2017 and 2018 were primarily driven by development of the prior years’ crop season. The all other segment returned to more normal levels in the first quarter of 2018 after a favorable first quarter of 2017.</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20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NI Holdings had fee and other income of $377 for the three months ended March 31, 2018, compared to $347 for the three months ended March 31, 2017. The majority of fee income is attributable to the non-standard auto business.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8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investment income, and return on average cash and invested assets for the reported periods: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90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256,580</w:t>
            </w:r>
          </w:p>
        </w:tc>
        <w:tc>
          <w:tcPr>
            <w:tcW w:w="1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1,369</w:t>
            </w: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5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Return on average cash and invested assets</w:t>
            </w:r>
          </w:p>
        </w:tc>
        <w:tc>
          <w:tcPr>
            <w:tcW w:w="2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373"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Investment income, net of investment expense, increased $370 for the three months ended March 31, 2018 compared to 2017. This increase is attributable to an increase in invested assets caused by the receipt of the proceeds of over $90 million from the Company’s initial public offering in March 2017. The weighted average yield on invested assets rose slightly to 1.7% in 2018 from 1.6% in 2017.</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Realized Capital Gain on Investments</w:t>
      </w:r>
    </w:p>
    <w:p>
      <w:pPr>
        <w:spacing w:after="0" w:line="20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NI Holdings had realized capital gains on investment of $469 for the three months ended March 31, 2018, compared to $616 for the three months ended March 31, 2017. The Company did not record any other-than-temporary impairments in the three months ended March 31, 2018 or 2017.</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Company’s fixed income securities and equity securities are classified as available for sale because it will, from time to time, make sales of securities that are not impaired, consistent with our investment goals and policies. At March 31, 2018, the Company had net unrealized losses on fixed income securities of $2,251 and net unrealized gains on equity securities of $18,094. At December 31, 2017, the Company had net unrealized gains on fixed income securities of $1,780 and net unrealized gains on equity securities of $18,533.</w:t>
      </w:r>
    </w:p>
    <w:p>
      <w:pPr>
        <w:spacing w:after="0" w:line="140"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NI Holdings has evaluated each security in a loss position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NI Holdings had pre-tax income of $7,601 compared to pre-tax income of $7,031 for the three months ended March 31, 2017. The increase in pre-tax income was largely attributable to revenue growth in the private passenger auto and home and farm lines of business while maintaining a consistent overall combined ratio compared to a year ago.</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NI Holdings recorded income tax expense of $1,449 for the three months ended March 31, 2018, compared to $2,282 of income tax expense for the three months ended March 31, 2017. Our effective tax rate for the first quarter of 2018 was 19.1% compared to an effective tax rate of 32.5% for 2017.</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Due to recent changes in federal tax laws, the corporate income tax rate decreased from a maximum of 35% in 2017 to a flat 21% for tax years 2018 and beyond. Accounting guidance requires that companies re-measure existing deferred income tax assets (including loss carryforwards) and liabilities in the period of enactment. The guidance also requires any change to a previously recorded valuation allowance as a result of re-measuring existing temporary differences and loss carryforwards to be recognized in the period of enactment. The resulting impact on our deferred income taxes and the related valuation allowance was recognized in the fourth quarter of 2017. The valuation allowance against certain deferred income tax assets remained at $628 as of March 31, 2018 compared to December 31, 2017.</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0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NI Holdings had net income after non-controlling interest of $6,122 compared to net income after non-controlling interest of $4,689 for 2017. This increase in net income was primarily attributable to the lower corporate income tax rate as well as modest revenue growth in our personal lines of business.</w:t>
      </w:r>
    </w:p>
    <w:p>
      <w:pPr>
        <w:sectPr>
          <w:pgSz w:w="11900" w:h="16838" w:orient="portrait"/>
          <w:cols w:equalWidth="0" w:num="1">
            <w:col w:w="11420"/>
          </w:cols>
          <w:pgMar w:left="240" w:top="216" w:right="239" w:bottom="1440" w:gutter="0" w:footer="0" w:header="0"/>
        </w:sectPr>
      </w:pP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7" w:name="page48"/>
    <w:bookmarkEnd w:id="47"/>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2018, NI Holdings had annualized return on average equity, after non-controlling interest, of 9.6% compared to annualized return on average equity, after non-controlling interest, of 9.5% for the three months ended March 31, 2017. Average equity is calculated as the average between beginning and ending equity excluding non-controlling interest for the period.</w:t>
      </w:r>
    </w:p>
    <w:p>
      <w:pPr>
        <w:sectPr>
          <w:pgSz w:w="11900" w:h="16838" w:orient="portrait"/>
          <w:cols w:equalWidth="0" w:num="1">
            <w:col w:w="11420"/>
          </w:cols>
          <w:pgMar w:left="240" w:top="216" w:right="239"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18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The major components of NI Holdings’ financial position are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Premiums and agents’ balances receivable</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Deferred policy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assets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434"/>
        </w:trPr>
        <w:tc>
          <w:tcPr>
            <w:tcW w:w="4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313,731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313,885</w:t>
            </w: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28,612</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376,988</w:t>
            </w:r>
          </w:p>
        </w:tc>
      </w:tr>
    </w:tbl>
    <w:p>
      <w:pPr>
        <w:spacing w:after="0" w:line="198" w:lineRule="exact"/>
        <w:rPr>
          <w:sz w:val="20"/>
          <w:szCs w:val="20"/>
          <w:color w:val="auto"/>
        </w:rPr>
      </w:pPr>
    </w:p>
    <w:p>
      <w:pPr>
        <w:sectPr>
          <w:pgSz w:w="11900" w:h="16838" w:orient="portrait"/>
          <w:cols w:equalWidth="0" w:num="2">
            <w:col w:w="7860" w:space="720"/>
            <w:col w:w="2840"/>
          </w:cols>
          <w:pgMar w:left="240" w:top="21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Unpaid losses and loss adjustment expenses</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43,863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45,890</w:t>
            </w:r>
          </w:p>
        </w:tc>
      </w:tr>
      <w:tr>
        <w:trPr>
          <w:trHeight w:val="230"/>
        </w:trPr>
        <w:tc>
          <w:tcPr>
            <w:tcW w:w="4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63,262</w:t>
            </w:r>
          </w:p>
        </w:tc>
      </w:tr>
      <w:tr>
        <w:trPr>
          <w:trHeight w:val="234"/>
        </w:trPr>
        <w:tc>
          <w:tcPr>
            <w:tcW w:w="4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r>
      <w:tr>
        <w:trPr>
          <w:trHeight w:val="228"/>
        </w:trPr>
        <w:tc>
          <w:tcPr>
            <w:tcW w:w="4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121,415</w:t>
            </w:r>
          </w:p>
        </w:tc>
      </w:tr>
    </w:tbl>
    <w:p>
      <w:pPr>
        <w:spacing w:after="0" w:line="200" w:lineRule="exact"/>
        <w:rPr>
          <w:sz w:val="20"/>
          <w:szCs w:val="20"/>
          <w:color w:val="auto"/>
        </w:rPr>
      </w:pPr>
    </w:p>
    <w:p>
      <w:pPr>
        <w:sectPr>
          <w:pgSz w:w="11900" w:h="16838" w:orient="portrait"/>
          <w:cols w:equalWidth="0" w:num="2">
            <w:col w:w="7860" w:space="720"/>
            <w:col w:w="2840"/>
          </w:cols>
          <w:pgMar w:left="240" w:top="216" w:right="2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258,649</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255,573</w:t>
            </w:r>
          </w:p>
        </w:tc>
        <w:tc>
          <w:tcPr>
            <w:tcW w:w="80" w:type="dxa"/>
            <w:vAlign w:val="bottom"/>
            <w:shd w:val="clear" w:color="auto" w:fill="CCEEFF"/>
          </w:tcPr>
          <w:p>
            <w:pPr>
              <w:spacing w:after="0"/>
              <w:rPr>
                <w:sz w:val="19"/>
                <w:szCs w:val="19"/>
                <w:color w:val="auto"/>
              </w:rPr>
            </w:pPr>
          </w:p>
        </w:tc>
      </w:tr>
      <w:tr>
        <w:trPr>
          <w:trHeight w:val="223"/>
        </w:trPr>
        <w:tc>
          <w:tcPr>
            <w:tcW w:w="8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376,124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2018, NI Holdings had total assets of $376,124, a slight decrease from December 31, 2017. Receivables from policyholders increased due to the growth of our personal lines of business, and were offset by a decrease in reinsurance recoverables on losses.</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 March 31, 2018, total liabilities were $117,475, a decrease of $3,940, or 3.3%. A slight decrease in unpaid losses and loss adjustment expenses was offset by a slight increase in unearned premiums. Other liabilities declined as year-end payables were settled during first quarter 2018.</w:t>
      </w:r>
    </w:p>
    <w:p>
      <w:pPr>
        <w:spacing w:after="0" w:line="12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Total equity increased by $3,076, or 1.2%, during the three months ended March 31, 2018. The increase in equity primarily reflects net income of $6,152 for the three months ended March 31, 2018, partially offset by a decrease in accumulated other comprehensive income due to lower fair values of our fixed income securities.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Stock Offering on Nodak Insurance Company and NI Holdings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 The common stock of NI Holdings was available for public trading on March 16, 2017.</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initial public offering, which are available if necessary to meet the demands of claim settlements and operating expenses.</w:t>
      </w:r>
    </w:p>
    <w:p>
      <w:pPr>
        <w:spacing w:after="0" w:line="153"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7"/>
          <w:szCs w:val="17"/>
          <w:color w:val="auto"/>
        </w:rPr>
        <w:t>The Company’s philosophy is to provide sufficient cash flows from operations to meet its obligations in order to minimize the forced sales of investments. The Company maintains a portion of its investment portfolio in relatively short-term and highly liquid assets to ensure the availability of funds.</w:t>
      </w:r>
    </w:p>
    <w:p>
      <w:pPr>
        <w:sectPr>
          <w:pgSz w:w="11900" w:h="16838" w:orient="portrait"/>
          <w:cols w:equalWidth="0" w:num="1">
            <w:col w:w="11420"/>
          </w:cols>
          <w:pgMar w:left="240" w:top="216" w:right="2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48" w:name="page49"/>
    <w:bookmarkEnd w:id="48"/>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cash and cash equivalents for the three months ended March 31, 2018 and 2017 were as follows:</w:t>
      </w:r>
    </w:p>
    <w:p>
      <w:pPr>
        <w:sectPr>
          <w:pgSz w:w="11900" w:h="16838" w:orient="portrait"/>
          <w:cols w:equalWidth="0" w:num="1">
            <w:col w:w="11380"/>
          </w:cols>
          <w:pgMar w:left="240" w:top="21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4,339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9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6,164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(8,925)</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90,745</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87,984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860" w:space="720"/>
            <w:col w:w="2800"/>
          </w:cols>
          <w:pgMar w:left="240" w:top="216" w:right="279" w:bottom="1440" w:gutter="0" w:footer="0" w:header="0"/>
          <w:type w:val="continuous"/>
        </w:sect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net cash provided by operating activities totaled $4,439 compared to $6,164 for the three months ended March 31, 2017. Net income of $6,152 for the three months ended March 31, 2018 was partially offset by a decrease in accrued expenses.</w:t>
      </w:r>
    </w:p>
    <w:p>
      <w:pPr>
        <w:spacing w:after="0" w:line="13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$6,724 for the three months ended March 31, 2018, compared to $8,925 in the three months ended March 31, 2017, both reflecting the opportunity to invest excess cash in longer term investments.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net cash provided by financing activities for the three months ended March 31, 2018. Net cash provided by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$90,745 for the three months ended March 31, 2017 reflect the net proceeds from our initial public offering, offset by the initial funding of our new employee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plan.</w:t>
      </w:r>
    </w:p>
    <w:p>
      <w:pPr>
        <w:spacing w:after="0" w:line="16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a standalone entity, and 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without the prior approval of the North Dakota Insurance Department is approximately $15,654 based upon the policyholders’ surplus of Nodak Insurance at December 31, 2017.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in the three months ended March 31, 2018.</w:t>
      </w:r>
    </w:p>
    <w:p>
      <w:pPr>
        <w:spacing w:after="0" w:line="14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higher levels of expenses related to accounting and legal services that will be necessary to comply with such requirements.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recent accounting pronouncements, see Note 4 to the Unaudited Consolidated Financial Statements,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type w:val="continuous"/>
        </w:sectPr>
      </w:pPr>
    </w:p>
    <w:bookmarkStart w:id="49" w:name="page50"/>
    <w:bookmarkEnd w:id="49"/>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March 31, 2018 indicates there have been no material changes in the quantitative and qualitative disclosures from those in our Annual Report on Form 10-K for the year ended December 31, 2017 filed with the SEC.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2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Exchange Act Rules 240.13a-15(b) and 15d-14(a)) as of March 31, 2018.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quarter ended March 31, 2018, to which this report relates that have materially affected, or are reasonably likely to materially affect the Company’s internal control over financial reporting.</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0" w:name="page51"/>
    <w:bookmarkEnd w:id="50"/>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our Annual Report on Form 10-K for the year ended December 31,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final prospectus filed with the SEC on January 17, 2017.</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On February 28, 2018, our Board of Directors approved an authorization for the repurchase of up to approximately $10 million of the Company’s outstanding common stock. We did not purchase any shares of our common stock during the three months ended March 31, 2018.</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Maximum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That May Yet Be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100" w:type="dxa"/>
            <w:vAlign w:val="bottom"/>
          </w:tcPr>
          <w:p>
            <w:pPr>
              <w:spacing w:after="0"/>
              <w:rPr>
                <w:sz w:val="19"/>
                <w:szCs w:val="19"/>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of</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Average Price</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the Plans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Paid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color w:val="auto"/>
              </w:rPr>
              <w:t xml:space="preserve">Programs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Period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Per Share</w:t>
            </w:r>
          </w:p>
        </w:tc>
        <w:tc>
          <w:tcPr>
            <w:tcW w:w="1620" w:type="dxa"/>
            <w:vAlign w:val="bottom"/>
            <w:gridSpan w:val="2"/>
          </w:tcPr>
          <w:p>
            <w:pPr>
              <w:jc w:val="center"/>
              <w:ind w:right="100"/>
              <w:spacing w:after="0" w:line="269" w:lineRule="exact"/>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30"/>
                <w:szCs w:val="30"/>
                <w:color w:val="auto"/>
                <w:w w:val="94"/>
                <w:vertAlign w:val="superscript"/>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2018 to March 31, 2018</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w:t>
            </w:r>
          </w:p>
        </w:tc>
        <w:tc>
          <w:tcPr>
            <w:tcW w:w="12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right="4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pursuant to the March 5, 2018 publicly announced share repurchase authorization of up to approximately $10.0 million of the Company’s outstanding common stock.</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51" w:name="page52"/>
    <w:bookmarkEnd w:id="51"/>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8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March 1, 2018, the Board of Directors awarded a targeted total of 48,600 Performance Share Unit grants to certain executive officers of the Company, pursuant to grant agreements, the form of which is attached as Exhibit 10.14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38"/>
        </w:trPr>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40" w:type="dxa"/>
            <w:vAlign w:val="bottom"/>
            <w:gridSpan w:val="5"/>
          </w:tcPr>
          <w:p>
            <w:pPr>
              <w:ind w:left="45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tcPr>
          <w:p>
            <w:pPr>
              <w:ind w:left="260"/>
              <w:spacing w:after="0" w:line="170" w:lineRule="exact"/>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4"/>
                <w:szCs w:val="14"/>
                <w:color w:val="auto"/>
              </w:rPr>
            </w:pPr>
          </w:p>
        </w:tc>
        <w:tc>
          <w:tcPr>
            <w:tcW w:w="10040" w:type="dxa"/>
            <w:vAlign w:val="bottom"/>
            <w:tcBorders>
              <w:top w:val="single" w:sz="8" w:color="auto"/>
            </w:tcBorders>
            <w:gridSpan w:val="5"/>
          </w:tcPr>
          <w:p>
            <w:pPr>
              <w:spacing w:after="0" w:line="170" w:lineRule="exact"/>
              <w:rPr>
                <w:sz w:val="20"/>
                <w:szCs w:val="20"/>
                <w:color w:val="auto"/>
              </w:rPr>
            </w:pPr>
            <w:r>
              <w:rPr>
                <w:rFonts w:ascii="Times New Roman" w:cs="Times New Roman" w:eastAsia="Times New Roman" w:hAnsi="Times New Roman"/>
                <w:sz w:val="18"/>
                <w:szCs w:val="18"/>
                <w:color w:val="0000EE"/>
              </w:rPr>
              <w:t>NI Holdings, Inc. Growth in Book Value Per Share Performance Share Unit Agreement</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0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4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41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4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80" w:right="340" w:hanging="1129"/>
        <w:spacing w:after="0" w:line="282"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101.INS</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101.SCH</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101.CAL</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101.DEF</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101.LAB</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32"/>
        </w:trPr>
        <w:tc>
          <w:tcPr>
            <w:tcW w:w="1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101.PRE</w:t>
            </w:r>
          </w:p>
        </w:tc>
        <w:tc>
          <w:tcPr>
            <w:tcW w:w="10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669"/>
        </w:trPr>
        <w:tc>
          <w:tcPr>
            <w:tcW w:w="116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50</w:t>
            </w:r>
          </w:p>
        </w:tc>
      </w:tr>
    </w:tbl>
    <w:p>
      <w:pPr>
        <w:sectPr>
          <w:pgSz w:w="11900" w:h="16838" w:orient="portrait"/>
          <w:cols w:equalWidth="0" w:num="1">
            <w:col w:w="11420"/>
          </w:cols>
          <w:pgMar w:left="240" w:top="216" w:right="239" w:bottom="1440" w:gutter="0" w:footer="0" w:header="0"/>
        </w:sectPr>
      </w:pPr>
    </w:p>
    <w:bookmarkStart w:id="52" w:name="page53"/>
    <w:bookmarkEnd w:id="52"/>
    <w:p>
      <w:pPr>
        <w:spacing w:after="0"/>
        <w:rPr>
          <w:rFonts w:ascii="Times New Roman" w:cs="Times New Roman" w:eastAsia="Times New Roman" w:hAnsi="Times New Roman"/>
          <w:sz w:val="22"/>
          <w:szCs w:val="22"/>
          <w:i w:val="1"/>
          <w:iCs w:val="1"/>
          <w:u w:val="single" w:color="auto"/>
          <w:color w:val="0000EE"/>
        </w:rPr>
      </w:pPr>
      <w:hyperlink w:anchor="page2">
        <w:r>
          <w:rPr>
            <w:rFonts w:ascii="Times New Roman" w:cs="Times New Roman" w:eastAsia="Times New Roman" w:hAnsi="Times New Roman"/>
            <w:sz w:val="22"/>
            <w:szCs w:val="22"/>
            <w:i w:val="1"/>
            <w:iCs w:val="1"/>
            <w:u w:val="single" w:color="auto"/>
            <w:color w:val="0000EE"/>
          </w:rPr>
          <w:t>Table of Contents</w:t>
        </w:r>
      </w:hyperlink>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4, 2018.</w:t>
      </w:r>
    </w:p>
    <w:p>
      <w:pPr>
        <w:spacing w:after="0" w:line="200" w:lineRule="exact"/>
        <w:rPr>
          <w:sz w:val="20"/>
          <w:szCs w:val="20"/>
          <w:color w:val="auto"/>
        </w:rPr>
      </w:pPr>
    </w:p>
    <w:p>
      <w:pPr>
        <w:spacing w:after="0" w:line="3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R. Doom</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1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Growth in Book Value Per Share Performance Share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1260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Name of Participant:</w:t>
      </w:r>
    </w:p>
    <w:p>
      <w:pPr>
        <w:spacing w:after="0" w:line="347"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Target No. of Performance Share Units Covered:</w:t>
            </w:r>
          </w:p>
        </w:tc>
        <w:tc>
          <w:tcPr>
            <w:tcW w:w="3200" w:type="dxa"/>
            <w:vAlign w:val="bottom"/>
          </w:tcPr>
          <w:p>
            <w:pPr>
              <w:ind w:left="2160"/>
              <w:spacing w:after="0"/>
              <w:rPr>
                <w:sz w:val="20"/>
                <w:szCs w:val="20"/>
                <w:color w:val="auto"/>
              </w:rPr>
            </w:pPr>
            <w:r>
              <w:rPr>
                <w:rFonts w:ascii="Times New Roman" w:cs="Times New Roman" w:eastAsia="Times New Roman" w:hAnsi="Times New Roman"/>
                <w:sz w:val="18"/>
                <w:szCs w:val="18"/>
                <w:color w:val="auto"/>
                <w:w w:val="98"/>
              </w:rPr>
              <w:t>Date of Grant:</w:t>
            </w:r>
          </w:p>
        </w:tc>
      </w:tr>
    </w:tbl>
    <w:p>
      <w:pPr>
        <w:spacing w:after="0" w:line="3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Maximum No. of Performance Share Units 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PERFORMANCE SHARE UNIT AGREEMENT (this “Agreement”) governs the Stock Unit Award granted by NI HOLDINGS, INC., a North Dakota corporation (the “Company”) to the above-named individual (the “Participant”), in accordance with and subject to the provisions of the Company’s 2017 Stock and Incentive Plan (the “Plan”). A copy of the Plan has been made available to the Participant. Unless the context indicates otherwise, capitalized terms that are not defined in this Agreement shall have the meaning set forth in the Plan.</w:t>
      </w:r>
    </w:p>
    <w:p>
      <w:pPr>
        <w:spacing w:after="0" w:line="176" w:lineRule="exact"/>
        <w:rPr>
          <w:sz w:val="20"/>
          <w:szCs w:val="20"/>
          <w:color w:val="auto"/>
        </w:rPr>
      </w:pPr>
    </w:p>
    <w:p>
      <w:pPr>
        <w:ind w:left="1100" w:hanging="444"/>
        <w:spacing w:after="0"/>
        <w:tabs>
          <w:tab w:leader="none" w:pos="11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Performance Share Units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60" w:firstLine="1305"/>
        <w:spacing w:after="0" w:line="261" w:lineRule="auto"/>
        <w:tabs>
          <w:tab w:leader="none" w:pos="18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Plan, and effective as of the Date of Grant specified above, the Company has granted to the Participant the number of Performance Share Units specified at the beginning of this Agreement (collectively, the “Performance Share Units,” and each a “Performance Share Unit.”). Each Performance Share Unit represents the right to receive a share of Common Stock (a “Share”) and dividend equivalent amounts corresponding to the Share, subject to the terms and conditions of this Agreement and the Plan.</w:t>
      </w:r>
    </w:p>
    <w:p>
      <w:pPr>
        <w:spacing w:after="0" w:line="180" w:lineRule="exact"/>
        <w:rPr>
          <w:rFonts w:ascii="Times New Roman" w:cs="Times New Roman" w:eastAsia="Times New Roman" w:hAnsi="Times New Roman"/>
          <w:sz w:val="18"/>
          <w:szCs w:val="18"/>
          <w:color w:val="auto"/>
        </w:rPr>
      </w:pPr>
    </w:p>
    <w:p>
      <w:pPr>
        <w:ind w:right="20" w:firstLine="1305"/>
        <w:spacing w:after="0" w:line="261" w:lineRule="auto"/>
        <w:tabs>
          <w:tab w:leader="none" w:pos="18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Share Units granted to the Participant shall be credited to an account in the Participant’s name. This account shall be a record of bookkeeping entries only and shall be utilized solely as a device for the measurement and determination of the number of Shares to be issued to or in respect of the Participant pursuant to this Agreement. Performance Share Units may not be transferred by the Participant without the Committee’s prior written consent other than by will or the laws of descent and distribution.</w:t>
      </w:r>
    </w:p>
    <w:p>
      <w:pPr>
        <w:spacing w:after="0" w:line="176"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Earned and Vested Performance Share Units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5"/>
        <w:spacing w:after="0" w:line="261" w:lineRule="auto"/>
        <w:tabs>
          <w:tab w:leader="none" w:pos="18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paragraphs 2(b) through 2(e) below, if the Participant remains in the continuous employ of the Company or an Affiliate from the Date of Grant until the last day of the Measurement Period, the Participant shall earn the number of Performance Share Units determined by taking the percentage earned in the table shown in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and multiplying the percentage times the target number of Performance Share Units specified at the beginning of this Agreement. The number of Performance Share Units that will</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be earned pursuant to this Section 2 will be determined by reference to the Company Growth in Book Value per Share for the Measurement Period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0" w:firstLine="1305"/>
        <w:spacing w:after="0" w:line="258" w:lineRule="auto"/>
        <w:tabs>
          <w:tab w:leader="none" w:pos="18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end of the Measurement Period, but in all events no later than ______ (the “Determination Date”), the Committee shall certify the number of Performance Share Units (if any) that are earned and vested pursuant to the terms and conditions hereof, and the Company shall cause the Shares issuable in connection with the vesting of any such Performance Share Units to be issued in accordance with Section 3;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Measurement Period ends on account of the Participant’s death or a Change in Control, the Committee’s determination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shall not be necessary.</w:t>
      </w:r>
    </w:p>
    <w:p>
      <w:pPr>
        <w:spacing w:after="0" w:line="183" w:lineRule="exact"/>
        <w:rPr>
          <w:rFonts w:ascii="Times New Roman" w:cs="Times New Roman" w:eastAsia="Times New Roman" w:hAnsi="Times New Roman"/>
          <w:sz w:val="18"/>
          <w:szCs w:val="18"/>
          <w:color w:val="auto"/>
        </w:rPr>
      </w:pPr>
    </w:p>
    <w:p>
      <w:pPr>
        <w:ind w:right="320" w:firstLine="1305"/>
        <w:spacing w:after="0" w:line="282" w:lineRule="auto"/>
        <w:tabs>
          <w:tab w:leader="none" w:pos="18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dies while employed with the Company or an Affiliate prior to the last day of the Measurement Period, then the target number of Performance Share Units shall vest and become immediately payable.</w:t>
      </w:r>
    </w:p>
    <w:p>
      <w:pPr>
        <w:spacing w:after="0" w:line="161" w:lineRule="exact"/>
        <w:rPr>
          <w:rFonts w:ascii="Times New Roman" w:cs="Times New Roman" w:eastAsia="Times New Roman" w:hAnsi="Times New Roman"/>
          <w:sz w:val="18"/>
          <w:szCs w:val="18"/>
          <w:color w:val="auto"/>
        </w:rPr>
      </w:pPr>
    </w:p>
    <w:p>
      <w:pPr>
        <w:ind w:right="20" w:firstLine="1305"/>
        <w:spacing w:after="0" w:line="254" w:lineRule="auto"/>
        <w:tabs>
          <w:tab w:leader="none" w:pos="18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Participant remains in the continuous employ of the Company or an Affiliate from the Date of Grant until the date of a Qualifying Termination that occurs before the last day of the Measurement Period, then (i) the Performance Share Units will remain outstanding until the last day of the Measurement Period, (ii) the number of earned Performance Share Units shall be determined in accordance with Section 2(a) (except, if the Measurement Period ends due to a Change in Control, the target number of Performance Share Units shall be earned) and (iii) the Participant will have a fully vested and non-forfeitable interest in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the earned Performance Share Units as of the last day of the Measurement Period.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number of earned Performance Share Units that vest shall be determined by multiplying the total number of earned Performance Share Units by a fraction, the numerator of which is the number of full and partial calendar months of the Participant’s employment with the Company or an Affiliate from the first day of the Measurement Period to the date of a Qualifying Termination and the denominator of which is the number of full calendar months in the Measurement Period. A partial month of service shall count as a full month.</w:t>
      </w:r>
    </w:p>
    <w:p>
      <w:pPr>
        <w:spacing w:after="0" w:line="189" w:lineRule="exact"/>
        <w:rPr>
          <w:rFonts w:ascii="Times New Roman" w:cs="Times New Roman" w:eastAsia="Times New Roman" w:hAnsi="Times New Roman"/>
          <w:sz w:val="18"/>
          <w:szCs w:val="18"/>
          <w:color w:val="auto"/>
        </w:rPr>
      </w:pPr>
    </w:p>
    <w:p>
      <w:pPr>
        <w:ind w:firstLine="1305"/>
        <w:spacing w:after="0" w:line="254" w:lineRule="auto"/>
        <w:tabs>
          <w:tab w:leader="none" w:pos="18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remains in the continuous employ of the Company or an Affiliate from the Date of Grant until a Change in Control that occurs before the last day of the Measurement Period, then the target number of Performance Share Units shall be earned and converted into time-based Restricted Stock Units. If the Participant’s Restricted Stock Units are assumed (or substituted or replaced with an award of equivalent value), then the converted Restricted Stock Units shall become fully vested if the Participant remains in the continuous employ of the Company or an Affiliate until ______ or dies while employed or terminates on account of Disability or Involuntary Termination Due to Position Elimination or Reorganization. If the Participant resigns at or after Retirement Age, the Restricted Stock units shall continue to vest and become payable as of ______. In addition, if the Participant is involuntarily terminated without Cause or resigns for Good Reason within twenty four (24) months following the Change in Control but prior to ______, any Restricted Stock Units (or replacement award) that remains unvested will vest in full and become non-forfeitable as of the date of such termination. Notwithstanding the foregoing, if the Participant’s Restricted Stock Units are neither assumed nor substituted or replaced with similar rights (or cash equivalent value thereof), then any unvested Restricted Stock Units will vest in full and become non-forfeitable upon the Change in Control.</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5" w:name="page56"/>
    <w:bookmarkEnd w:id="55"/>
    <w:p>
      <w:pPr>
        <w:ind w:left="1740" w:hanging="495"/>
        <w:spacing w:after="0"/>
        <w:tabs>
          <w:tab w:leader="none" w:pos="17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Share Units that do not vest pursuant to this Agreement shall be forfeited without consideration therefor.</w:t>
      </w:r>
    </w:p>
    <w:p>
      <w:pPr>
        <w:spacing w:after="0" w:line="221" w:lineRule="exact"/>
        <w:rPr>
          <w:rFonts w:ascii="Times New Roman" w:cs="Times New Roman" w:eastAsia="Times New Roman" w:hAnsi="Times New Roman"/>
          <w:sz w:val="18"/>
          <w:szCs w:val="18"/>
          <w:color w:val="auto"/>
        </w:rPr>
      </w:pPr>
    </w:p>
    <w:p>
      <w:pPr>
        <w:ind w:left="1040" w:hanging="444"/>
        <w:spacing w:after="0"/>
        <w:tabs>
          <w:tab w:leader="none" w:pos="10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and Settlement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60" w:right="20" w:firstLine="1305"/>
        <w:spacing w:after="0" w:line="255" w:lineRule="auto"/>
        <w:tabs>
          <w:tab w:leader="none" w:pos="17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any Performance Share Units vest in accordance with Section 2, the Company shall cause to be issued to the Participant, or to the Participant’s designated beneficiary or estate in the event of the Participant’s death, one Share in payment and settlement of each vested Performance Share Unit, subject to applicable required tax withholding. The Committee shall cause the Shares issuable in connection with the vesting of any such Performance Share Units to be issued as of the Determination Date (except, in cases where there is no determination, Shares shall be issued within sixty (60) days of vesting), and the Participant shall have no power to affect the timing of such issuance. Such issuance shall be evidenced by a stock certificate or appropriate entry on the books of the Company or a duly authorized transfer agent of the Company and shall be in complete settlement and satisfaction of such vested Performance Share Units.</w:t>
      </w:r>
    </w:p>
    <w:p>
      <w:pPr>
        <w:spacing w:after="0" w:line="189" w:lineRule="exact"/>
        <w:rPr>
          <w:rFonts w:ascii="Times New Roman" w:cs="Times New Roman" w:eastAsia="Times New Roman" w:hAnsi="Times New Roman"/>
          <w:sz w:val="18"/>
          <w:szCs w:val="18"/>
          <w:color w:val="auto"/>
        </w:rPr>
      </w:pPr>
    </w:p>
    <w:p>
      <w:pPr>
        <w:ind w:left="-60" w:firstLine="1305"/>
        <w:spacing w:after="0" w:line="266" w:lineRule="auto"/>
        <w:tabs>
          <w:tab w:leader="none" w:pos="176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Participant has attained or will attain Retirement Age prior to the last day of the Measurement Period under this Agreement, such Units shall be treated as “deferred compensation” subject to section 409A of the Internal Revenue Code (the “Code”). In such case, the following special provisions shall apply to the payment of the underlying Shares:</w:t>
      </w:r>
    </w:p>
    <w:p>
      <w:pPr>
        <w:spacing w:after="0" w:line="176" w:lineRule="exact"/>
        <w:rPr>
          <w:rFonts w:ascii="Times New Roman" w:cs="Times New Roman" w:eastAsia="Times New Roman" w:hAnsi="Times New Roman"/>
          <w:sz w:val="18"/>
          <w:szCs w:val="18"/>
          <w:color w:val="auto"/>
        </w:rPr>
      </w:pPr>
    </w:p>
    <w:p>
      <w:pPr>
        <w:ind w:left="-60" w:right="80" w:firstLine="1953"/>
        <w:spacing w:after="0" w:line="266" w:lineRule="auto"/>
        <w:tabs>
          <w:tab w:leader="none" w:pos="237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Performance Share Units vest and become payable on account of a Change in Control, the Performance Share Units shall not become payable (even though non-forfeitable) unless the Change in Control constitutes a “change in control event” as defined in Treasury Regulations promulgated under section 409A of the Code; and</w:t>
      </w:r>
    </w:p>
    <w:p>
      <w:pPr>
        <w:spacing w:after="0" w:line="176" w:lineRule="exact"/>
        <w:rPr>
          <w:rFonts w:ascii="Times New Roman" w:cs="Times New Roman" w:eastAsia="Times New Roman" w:hAnsi="Times New Roman"/>
          <w:sz w:val="18"/>
          <w:szCs w:val="18"/>
          <w:color w:val="auto"/>
        </w:rPr>
      </w:pPr>
    </w:p>
    <w:p>
      <w:pPr>
        <w:jc w:val="both"/>
        <w:ind w:left="-60" w:firstLine="1953"/>
        <w:spacing w:after="0" w:line="256" w:lineRule="auto"/>
        <w:tabs>
          <w:tab w:leader="none" w:pos="24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Performance Share Units vest and become payable on account of the Participant’s (A) Involuntary Termination Due to Position Elimination or Reorganization or (B) involuntary termination without Cause or resignation for Good Reason on or after a Change in Control, the Performance Share Units shall not become payable (even though non-forfeitable) unless the termination constitutes a “separation from service” as defined in Treasury Regulations promulgated under section 409A of the Code. In addition, if the Participant is a Specified Employee, payment on account of separation from service hereunder shall be made as of the date that is six months following the Participant’s separation from service (or, if earlier, upon the Participant’s death).</w:t>
      </w:r>
    </w:p>
    <w:p>
      <w:pPr>
        <w:spacing w:after="0" w:line="187" w:lineRule="exact"/>
        <w:rPr>
          <w:rFonts w:ascii="Times New Roman" w:cs="Times New Roman" w:eastAsia="Times New Roman" w:hAnsi="Times New Roman"/>
          <w:sz w:val="18"/>
          <w:szCs w:val="18"/>
          <w:color w:val="auto"/>
        </w:rPr>
      </w:pPr>
    </w:p>
    <w:p>
      <w:pPr>
        <w:ind w:left="-60" w:right="120" w:firstLine="1305"/>
        <w:spacing w:after="0" w:line="258" w:lineRule="auto"/>
        <w:tabs>
          <w:tab w:leader="none" w:pos="175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may elect to satisfy any applicable required tax arising in relation to the Performance Share Units by (i) delivering cash (including check, draft, money order or wire transfer made payable to the order of the Company) or (ii) having the Company withhold a portion of the Shares otherwise to be delivered having a Fair Market Value equal to the amount of such tax liability (subject to any limitations required under applicable financial accounting standards to avoid liability accounting for the Award). In the case of clause (ii), the Company will not deliver to the Participant any fractional Shares (or equivalent cash value) remaining after reduction for taxes; rather, any remaining fractional Shares will be cancelled without payment.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2466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60"/>
          </w:cols>
          <w:pgMar w:left="300" w:top="688" w:right="339" w:bottom="1440" w:gutter="0" w:footer="0" w:header="0"/>
        </w:sectPr>
      </w:pPr>
    </w:p>
    <w:bookmarkStart w:id="56" w:name="page57"/>
    <w:bookmarkEnd w:id="56"/>
    <w:p>
      <w:pPr>
        <w:ind w:left="-20" w:firstLine="656"/>
        <w:spacing w:after="0" w:line="254" w:lineRule="auto"/>
        <w:tabs>
          <w:tab w:leader="none" w:pos="107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Rights</w:t>
      </w:r>
      <w:r>
        <w:rPr>
          <w:rFonts w:ascii="Times New Roman" w:cs="Times New Roman" w:eastAsia="Times New Roman" w:hAnsi="Times New Roman"/>
          <w:sz w:val="18"/>
          <w:szCs w:val="18"/>
          <w:color w:val="auto"/>
        </w:rPr>
        <w:t>. The Performance Share Units do not entitle the Participant to any rights of a shareholder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the Participant shall accumulate an unvested right to payment of cash dividend equivalents on the Shares underlying Performance Share Units if cash dividends are declared by the Company on the Shares on or after the Date of Grant. Such dividend equivalents will be in an amount of cash per Performance Share Unit equal to the cash dividend paid with respect to one Share, subject to applicable required tax withholding. The Participant shall be entitled solely to payment of accumulated dividend equivalents with respect to the number of Performance Share Units equal to the number of Shares that become issuable to the Participant pursuant to this Agreement. Dividend equivalents will be paid to the Participant as soon as administratively possible following the date that the Shares are issued to the Participant. The Participant shall not be entitled to dividend equivalents with respect to dividends declared prior to the Date of Grant. All dividend equivalents accumulated with respect to forfeited Performance Share Units shall also be irrevocably forfeited. As of the date of issuance of Shares underlying Performance Share Units, the Participant shall have all of the rights of a shareholder of the Company with respect to any Shares issued pursuant hereto.</w:t>
      </w:r>
    </w:p>
    <w:p>
      <w:pPr>
        <w:spacing w:after="0" w:line="186" w:lineRule="exact"/>
        <w:rPr>
          <w:rFonts w:ascii="Times New Roman" w:cs="Times New Roman" w:eastAsia="Times New Roman" w:hAnsi="Times New Roman"/>
          <w:sz w:val="18"/>
          <w:szCs w:val="18"/>
          <w:b w:val="1"/>
          <w:bCs w:val="1"/>
          <w:color w:val="auto"/>
        </w:rPr>
      </w:pPr>
    </w:p>
    <w:p>
      <w:pPr>
        <w:ind w:left="1080" w:hanging="444"/>
        <w:spacing w:after="0"/>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Agreement, the following shall have the following meanings:</w:t>
      </w:r>
    </w:p>
    <w:p>
      <w:pPr>
        <w:spacing w:after="0" w:line="229" w:lineRule="exact"/>
        <w:rPr>
          <w:rFonts w:ascii="Times New Roman" w:cs="Times New Roman" w:eastAsia="Times New Roman" w:hAnsi="Times New Roman"/>
          <w:sz w:val="18"/>
          <w:szCs w:val="18"/>
          <w:b w:val="1"/>
          <w:bCs w:val="1"/>
          <w:color w:val="auto"/>
        </w:rPr>
      </w:pPr>
    </w:p>
    <w:p>
      <w:pPr>
        <w:ind w:left="-20" w:right="20" w:firstLine="1305"/>
        <w:spacing w:after="0" w:line="253" w:lineRule="auto"/>
        <w:tabs>
          <w:tab w:leader="none" w:pos="17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means (i) the Participant’s willful conduct that is demonstrably and materially injurious to the Company or an Affiliate, monetarily or otherwise; (ii) the Participant’s material breach of written agreement between the Participant and the Company; (iii) the Participant’s breach of the Participant’s fiduciary duties to the Company or an Affiliate; (iv) the Participant’s conviction of any crime (or entering a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any crime) constituting a felony; or (v) the Participant’s entering into an agreement or consent decree or being the subject of any regulatory order that in any of such cases prohibits the Participant from serving as an officer or director of a company that has publicly traded securities. A termination of the Participant shall not be for “Cause” unless the decision to terminate the Participant is set forth in a resolution of the Board to that effect and which specifies the particulars thereof and that is approved by a majority of the members of the Board (exclusive of the Participant if the Participant is a member of the Board) adopted at a meeting called and held for such purpose (after reasonable notice to the Participant and an opportunity for the Participant to be heard before the Board). No act or failure to act by the Participant will be deemed “willful” if it was done or omitted to be done by the Participant in good faith or with a reasonable belief on the part of the Participant that the action or omission was in the best interests of the Company or an Affiliate. Any act or failure to act by the Participant based upon authority given pursuant to a resolution duly adopted by the Board or based on the advice of counsel to the Company shall be conclusively presumed to be done or omitted to be done by the Participant in good faith and in the best interest of the Company and its Affiliates.</w:t>
      </w:r>
    </w:p>
    <w:p>
      <w:pPr>
        <w:spacing w:after="0" w:line="190" w:lineRule="exact"/>
        <w:rPr>
          <w:rFonts w:ascii="Times New Roman" w:cs="Times New Roman" w:eastAsia="Times New Roman" w:hAnsi="Times New Roman"/>
          <w:sz w:val="18"/>
          <w:szCs w:val="18"/>
          <w:color w:val="auto"/>
        </w:rPr>
      </w:pPr>
    </w:p>
    <w:p>
      <w:pPr>
        <w:ind w:left="1800" w:hanging="515"/>
        <w:spacing w:after="0"/>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w:t>
      </w:r>
    </w:p>
    <w:p>
      <w:pPr>
        <w:spacing w:after="0" w:line="225" w:lineRule="exact"/>
        <w:rPr>
          <w:rFonts w:ascii="Times New Roman" w:cs="Times New Roman" w:eastAsia="Times New Roman" w:hAnsi="Times New Roman"/>
          <w:sz w:val="18"/>
          <w:szCs w:val="18"/>
          <w:color w:val="auto"/>
        </w:rPr>
      </w:pPr>
    </w:p>
    <w:p>
      <w:pPr>
        <w:jc w:val="both"/>
        <w:ind w:left="-20" w:right="200" w:firstLine="1953"/>
        <w:spacing w:after="0" w:line="266" w:lineRule="auto"/>
        <w:tabs>
          <w:tab w:leader="none" w:pos="241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shareholders of the Company, and consummation, of (A) any consolidation, merger or statutory share exchange of the Company with any person in which the surviving entity would not have as its directors at least a majority of the Incumbent Board and as a result of which those persons who were shareholders of the Company immediately prior to such transaction would not hold, immediately after such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60" w:top="684" w:right="299" w:bottom="1440" w:gutter="0" w:footer="0" w:header="0"/>
        </w:sectPr>
      </w:pPr>
    </w:p>
    <w:bookmarkStart w:id="57" w:name="page58"/>
    <w:bookmarkEnd w:id="57"/>
    <w:p>
      <w:pPr>
        <w:spacing w:after="0" w:line="276" w:lineRule="auto"/>
        <w:rPr>
          <w:sz w:val="20"/>
          <w:szCs w:val="20"/>
          <w:color w:val="auto"/>
        </w:rPr>
      </w:pPr>
      <w:r>
        <w:rPr>
          <w:rFonts w:ascii="Times New Roman" w:cs="Times New Roman" w:eastAsia="Times New Roman" w:hAnsi="Times New Roman"/>
          <w:sz w:val="17"/>
          <w:szCs w:val="17"/>
          <w:color w:val="auto"/>
        </w:rPr>
        <w:t>transaction, at least 50% of the Voting Power of the Company then outstanding or the combined voting power of the surviving entity’s then outstanding voting securities; (B) any sale, lease, exchange or other transfer in one transaction or series of related transactions substantially all of the assets of the Company; or</w:t>
      </w:r>
    </w:p>
    <w:p>
      <w:pPr>
        <w:spacing w:after="0" w:line="1" w:lineRule="exact"/>
        <w:rPr>
          <w:sz w:val="20"/>
          <w:szCs w:val="20"/>
          <w:color w:val="auto"/>
        </w:rPr>
      </w:pPr>
    </w:p>
    <w:p>
      <w:pPr>
        <w:jc w:val="both"/>
        <w:ind w:right="400" w:firstLine="8"/>
        <w:spacing w:after="0" w:line="255" w:lineRule="auto"/>
        <w:tabs>
          <w:tab w:leader="none" w:pos="2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any plan or proposal for the complete or partial liquidation or dissolution of the Company. For purposes of this Section 5(a), “Voting Power” when used with reference to the Company shall mean the voting power of all classes and series of capital stock of the Company now or hereafter authorized; or</w:t>
      </w:r>
    </w:p>
    <w:p>
      <w:pPr>
        <w:spacing w:after="0" w:line="186" w:lineRule="exact"/>
        <w:rPr>
          <w:rFonts w:ascii="Times New Roman" w:cs="Times New Roman" w:eastAsia="Times New Roman" w:hAnsi="Times New Roman"/>
          <w:sz w:val="18"/>
          <w:szCs w:val="18"/>
          <w:color w:val="auto"/>
        </w:rPr>
      </w:pPr>
    </w:p>
    <w:p>
      <w:pPr>
        <w:ind w:right="100" w:firstLine="1953"/>
        <w:spacing w:after="0" w:line="261" w:lineRule="auto"/>
        <w:tabs>
          <w:tab w:leader="none" w:pos="248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as of the date of this Agreement, are members of the Board of Directors of the Company (the “Incumbent Board”) cease for any reason to constitute at least a majority of the Board (provided, however, that if the election or nomination for election by the Company’s shareholders of any new director was approved by a vote of at least a majority of the Incumbent Board, such new director shall be considered to be a member of the Incumbent Board).</w:t>
      </w:r>
    </w:p>
    <w:p>
      <w:pPr>
        <w:spacing w:after="0" w:line="180" w:lineRule="exact"/>
        <w:rPr>
          <w:rFonts w:ascii="Times New Roman" w:cs="Times New Roman" w:eastAsia="Times New Roman" w:hAnsi="Times New Roman"/>
          <w:sz w:val="18"/>
          <w:szCs w:val="18"/>
          <w:color w:val="auto"/>
        </w:rPr>
      </w:pPr>
    </w:p>
    <w:p>
      <w:pPr>
        <w:ind w:left="1820" w:hanging="515"/>
        <w:spacing w:after="0"/>
        <w:tabs>
          <w:tab w:leader="none" w:pos="18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Book Value” shall have the meaning ascribed that term in Exhibit 1 attached hereto.</w:t>
      </w:r>
    </w:p>
    <w:p>
      <w:pPr>
        <w:spacing w:after="0" w:line="225" w:lineRule="exact"/>
        <w:rPr>
          <w:rFonts w:ascii="Times New Roman" w:cs="Times New Roman" w:eastAsia="Times New Roman" w:hAnsi="Times New Roman"/>
          <w:sz w:val="18"/>
          <w:szCs w:val="18"/>
          <w:color w:val="auto"/>
        </w:rPr>
      </w:pPr>
    </w:p>
    <w:p>
      <w:pPr>
        <w:ind w:right="220" w:firstLine="1305"/>
        <w:spacing w:after="0" w:line="266" w:lineRule="auto"/>
        <w:tabs>
          <w:tab w:leader="none" w:pos="182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the Participant has been determined, by a physician selected by the Company and reasonably acceptable to the Participant, to be unable to engage in any substantial gainful activity by reason of a medically determinable physical or mental impairment that can be expected to result in death or can be expected to last for a continuous period of not less than 12 months.</w:t>
      </w:r>
    </w:p>
    <w:p>
      <w:pPr>
        <w:spacing w:after="0" w:line="176" w:lineRule="exact"/>
        <w:rPr>
          <w:rFonts w:ascii="Times New Roman" w:cs="Times New Roman" w:eastAsia="Times New Roman" w:hAnsi="Times New Roman"/>
          <w:sz w:val="18"/>
          <w:szCs w:val="18"/>
          <w:color w:val="auto"/>
        </w:rPr>
      </w:pPr>
    </w:p>
    <w:p>
      <w:pPr>
        <w:ind w:right="20" w:firstLine="1305"/>
        <w:spacing w:after="0" w:line="253" w:lineRule="auto"/>
        <w:tabs>
          <w:tab w:leader="none" w:pos="18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without the express written consent of the Participant (i) a change in the Participant’s position with the Company or an Affiliate which results in a material diminution of the Participant’s authority, duties or responsibilities; (ii) a material reduction by the Company or an Affiliate in the annual rate of the Participant’s base salary; or (iii) a change in the location of the Participant’s principal office to a different place that is more than fifty miles from the Participant’s principal office immediately prior to such change. A reduction in the Participant’s rate of annual base pay shall be material if the rate of annual base salary on any date is less than ninety percent (90%) of the Participant’s highest rate of annual base pay as in effect on any date in the preceding thirty-six (36) months. Notwithstanding the two preceding sentences, a change in the Participant’s duties or responsibilities shall not constitute Good Reason, and the Participant shall not have Good Reason to resign, solely because the Company does not have common shares or other securities that are publicly traded. A resignation by the Participant shall not be with “Good Reason” unless the Participant gives the Company written notice specifying the event or condition that the Participant asserts constitutes Good Reason, the notice is given no more than ninety days after the occurrence of the event or initial existence of the condition that the Participant asserts constitutes Good Reason and the Company has failed to remedy or cure the event or condition during the thirty day period after such written notice is given to the Company.</w:t>
      </w:r>
    </w:p>
    <w:p>
      <w:pPr>
        <w:spacing w:after="0" w:line="192" w:lineRule="exact"/>
        <w:rPr>
          <w:rFonts w:ascii="Times New Roman" w:cs="Times New Roman" w:eastAsia="Times New Roman" w:hAnsi="Times New Roman"/>
          <w:sz w:val="18"/>
          <w:szCs w:val="18"/>
          <w:color w:val="auto"/>
        </w:rPr>
      </w:pPr>
    </w:p>
    <w:p>
      <w:pPr>
        <w:ind w:right="60" w:firstLine="1305"/>
        <w:spacing w:after="0" w:line="266" w:lineRule="auto"/>
        <w:tabs>
          <w:tab w:leader="none" w:pos="17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Due to Position Elimination or Reorganization” means an involuntary termination of the Participant’s employment by the Company or its Affiliates due to a job elimination, reduction in force, business restructuring or other circumstances the Committee deems appropriate, in its sole discretion, as qualifying as an Involuntary Termination Due to Position Elimination or Reorganization.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8" w:name="page59"/>
    <w:bookmarkEnd w:id="58"/>
    <w:p>
      <w:pPr>
        <w:ind w:left="-8" w:right="700" w:firstLine="1305"/>
        <w:spacing w:after="0" w:line="282" w:lineRule="auto"/>
        <w:tabs>
          <w:tab w:leader="none" w:pos="185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Period” means the period beginning on ______ and ending on the earliest of (i) ______; (ii) the date of the Participant’s death while employed with the Company or an Affiliate; or (iii) the date of a Change in Control.</w:t>
      </w:r>
    </w:p>
    <w:p>
      <w:pPr>
        <w:spacing w:after="0" w:line="161" w:lineRule="exact"/>
        <w:rPr>
          <w:rFonts w:ascii="Times New Roman" w:cs="Times New Roman" w:eastAsia="Times New Roman" w:hAnsi="Times New Roman"/>
          <w:sz w:val="18"/>
          <w:szCs w:val="18"/>
          <w:color w:val="auto"/>
        </w:rPr>
      </w:pPr>
    </w:p>
    <w:p>
      <w:pPr>
        <w:ind w:left="1812" w:hanging="515"/>
        <w:spacing w:after="0"/>
        <w:tabs>
          <w:tab w:leader="none" w:pos="1812"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a termination of the Participant’s employment on account of (i) Disability, (ii) Retirement or</w:t>
      </w:r>
    </w:p>
    <w:p>
      <w:pPr>
        <w:spacing w:after="0" w:line="27"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Due to Position Elimination or Reorganization.</w:t>
      </w:r>
    </w:p>
    <w:p>
      <w:pPr>
        <w:spacing w:after="0" w:line="206" w:lineRule="exact"/>
        <w:rPr>
          <w:rFonts w:ascii="Times New Roman" w:cs="Times New Roman" w:eastAsia="Times New Roman" w:hAnsi="Times New Roman"/>
          <w:sz w:val="18"/>
          <w:szCs w:val="18"/>
          <w:color w:val="auto"/>
        </w:rPr>
      </w:pPr>
    </w:p>
    <w:p>
      <w:pPr>
        <w:ind w:left="-8" w:right="120" w:firstLine="1305"/>
        <w:spacing w:after="0" w:line="266" w:lineRule="auto"/>
        <w:tabs>
          <w:tab w:leader="none" w:pos="177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means the Participant voluntarily resigns from employment with the Company and all Affiliates after having both attained age sixty (60) and accumulated at least seventy (70) points (“Retirement Age”). The Participant’s points shall equal the sum of the participant’s age (in years) plus completed full years of employment with the Company and its Affiliates.</w:t>
      </w:r>
    </w:p>
    <w:p>
      <w:pPr>
        <w:spacing w:after="0" w:line="172" w:lineRule="exact"/>
        <w:rPr>
          <w:rFonts w:ascii="Times New Roman" w:cs="Times New Roman" w:eastAsia="Times New Roman" w:hAnsi="Times New Roman"/>
          <w:sz w:val="18"/>
          <w:szCs w:val="18"/>
          <w:color w:val="auto"/>
        </w:rPr>
      </w:pPr>
    </w:p>
    <w:p>
      <w:pPr>
        <w:ind w:left="-8" w:right="100" w:firstLine="656"/>
        <w:spacing w:after="0" w:line="268" w:lineRule="auto"/>
        <w:tabs>
          <w:tab w:leader="none" w:pos="109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Continued Employment</w:t>
      </w:r>
      <w:r>
        <w:rPr>
          <w:rFonts w:ascii="Times New Roman" w:cs="Times New Roman" w:eastAsia="Times New Roman" w:hAnsi="Times New Roman"/>
          <w:sz w:val="18"/>
          <w:szCs w:val="18"/>
          <w:color w:val="auto"/>
        </w:rPr>
        <w:t>. This Agreement and the grant of the Stock Unit Award do not give the Participant any rights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continued employment by the Company or an Affiliate. This Agreement and the grant of the Stock Unit Award shall not interfere with the right of the Company or an Affiliate to terminate the Participant’s employment.</w:t>
      </w:r>
    </w:p>
    <w:p>
      <w:pPr>
        <w:spacing w:after="0" w:line="170" w:lineRule="exact"/>
        <w:rPr>
          <w:rFonts w:ascii="Times New Roman" w:cs="Times New Roman" w:eastAsia="Times New Roman" w:hAnsi="Times New Roman"/>
          <w:sz w:val="18"/>
          <w:szCs w:val="18"/>
          <w:b w:val="1"/>
          <w:bCs w:val="1"/>
          <w:color w:val="auto"/>
        </w:rPr>
      </w:pPr>
    </w:p>
    <w:p>
      <w:pPr>
        <w:ind w:left="-8" w:right="40" w:firstLine="656"/>
        <w:spacing w:after="0" w:line="268" w:lineRule="auto"/>
        <w:tabs>
          <w:tab w:leader="none" w:pos="109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Capital Structure</w:t>
      </w:r>
      <w:r>
        <w:rPr>
          <w:rFonts w:ascii="Times New Roman" w:cs="Times New Roman" w:eastAsia="Times New Roman" w:hAnsi="Times New Roman"/>
          <w:sz w:val="18"/>
          <w:szCs w:val="18"/>
          <w:color w:val="auto"/>
        </w:rPr>
        <w:t>. In accordance with the terms of the Plan, the terms of this Agreement and the number and kind of Shares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adjusted as the Board determines to be equitably required in the event the Company effects one or more stock dividends, stock split-ups, subdivisions, or consolidations of shares or other similar changes in capitalization.</w:t>
      </w:r>
    </w:p>
    <w:p>
      <w:pPr>
        <w:spacing w:after="0" w:line="170" w:lineRule="exact"/>
        <w:rPr>
          <w:rFonts w:ascii="Times New Roman" w:cs="Times New Roman" w:eastAsia="Times New Roman" w:hAnsi="Times New Roman"/>
          <w:sz w:val="18"/>
          <w:szCs w:val="18"/>
          <w:b w:val="1"/>
          <w:bCs w:val="1"/>
          <w:color w:val="auto"/>
        </w:rPr>
      </w:pPr>
    </w:p>
    <w:p>
      <w:pPr>
        <w:ind w:left="-8" w:firstLine="656"/>
        <w:spacing w:after="0" w:line="256" w:lineRule="auto"/>
        <w:tabs>
          <w:tab w:leader="none" w:pos="109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Venue</w:t>
      </w:r>
      <w:r>
        <w:rPr>
          <w:rFonts w:ascii="Times New Roman" w:cs="Times New Roman" w:eastAsia="Times New Roman" w:hAnsi="Times New Roman"/>
          <w:sz w:val="18"/>
          <w:szCs w:val="18"/>
          <w:color w:val="auto"/>
        </w:rPr>
        <w:t>. The laws of the State of North Dakota shall govern all matters arising out of or relating to this Agreement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its validity, interpretation, construction and performance but without giving effect to the conflict of laws principles that may require the application of the laws of another jurisdiction. Any party bringing a legal action or proceeding against any other party arising out of or relating to this Agreement may bring the legal action or proceeding in the United States District Court for the District of North Dakota or in any court of the State of North Dakota sitting in Fargo, North Dakota. Each party waives, to the fullest extent permitted by law (i) any objection it may now or later have to the laying of venue of any legal action or proceeding arising out of or relating to this Agreement brought in a court described in the preceding sentence and (ii) any claim that any legal action or proceeding brought in any such court has been brought in an inconvenient forum.</w:t>
      </w:r>
    </w:p>
    <w:p>
      <w:pPr>
        <w:spacing w:after="0" w:line="183" w:lineRule="exact"/>
        <w:rPr>
          <w:rFonts w:ascii="Times New Roman" w:cs="Times New Roman" w:eastAsia="Times New Roman" w:hAnsi="Times New Roman"/>
          <w:sz w:val="18"/>
          <w:szCs w:val="18"/>
          <w:b w:val="1"/>
          <w:bCs w:val="1"/>
          <w:color w:val="auto"/>
        </w:rPr>
      </w:pPr>
    </w:p>
    <w:p>
      <w:pPr>
        <w:ind w:left="-8" w:right="80" w:firstLine="656"/>
        <w:spacing w:after="0" w:line="286" w:lineRule="auto"/>
        <w:tabs>
          <w:tab w:leader="none" w:pos="109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Conflicts</w:t>
      </w:r>
      <w:r>
        <w:rPr>
          <w:rFonts w:ascii="Times New Roman" w:cs="Times New Roman" w:eastAsia="Times New Roman" w:hAnsi="Times New Roman"/>
          <w:sz w:val="18"/>
          <w:szCs w:val="18"/>
          <w:color w:val="auto"/>
        </w:rPr>
        <w:t>. In the event of any conflict between the provisions of the Plan as in effect on the Date of Grant and this Agreement,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shall govern. All references herein to the Plan shall mean the Plan as in effect on the Date of Grant.</w:t>
      </w:r>
    </w:p>
    <w:p>
      <w:pPr>
        <w:spacing w:after="0" w:line="154" w:lineRule="exact"/>
        <w:rPr>
          <w:rFonts w:ascii="Times New Roman" w:cs="Times New Roman" w:eastAsia="Times New Roman" w:hAnsi="Times New Roman"/>
          <w:sz w:val="18"/>
          <w:szCs w:val="18"/>
          <w:b w:val="1"/>
          <w:bCs w:val="1"/>
          <w:color w:val="auto"/>
        </w:rPr>
      </w:pPr>
    </w:p>
    <w:p>
      <w:pPr>
        <w:ind w:left="-8" w:right="20" w:firstLine="656"/>
        <w:spacing w:after="0" w:line="286" w:lineRule="auto"/>
        <w:tabs>
          <w:tab w:leader="none" w:pos="11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Bound by Plan</w:t>
      </w:r>
      <w:r>
        <w:rPr>
          <w:rFonts w:ascii="Times New Roman" w:cs="Times New Roman" w:eastAsia="Times New Roman" w:hAnsi="Times New Roman"/>
          <w:sz w:val="18"/>
          <w:szCs w:val="18"/>
          <w:color w:val="auto"/>
        </w:rPr>
        <w:t>. The Participant hereby acknowledges that a copy of the Plan has been made available to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agrees to be bound by all of the terms and provisions of the Plan.</w:t>
      </w:r>
    </w:p>
    <w:p>
      <w:pPr>
        <w:spacing w:after="0" w:line="154" w:lineRule="exact"/>
        <w:rPr>
          <w:rFonts w:ascii="Times New Roman" w:cs="Times New Roman" w:eastAsia="Times New Roman" w:hAnsi="Times New Roman"/>
          <w:sz w:val="18"/>
          <w:szCs w:val="18"/>
          <w:b w:val="1"/>
          <w:bCs w:val="1"/>
          <w:color w:val="auto"/>
        </w:rPr>
      </w:pPr>
    </w:p>
    <w:p>
      <w:pPr>
        <w:ind w:left="-8" w:right="660" w:firstLine="656"/>
        <w:spacing w:after="0" w:line="286" w:lineRule="auto"/>
        <w:tabs>
          <w:tab w:leader="none" w:pos="117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Subject to the limitations stated above and in the Plan, this Agreement shall be binding upon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successors in interest and the Company and any successors of the Company.</w:t>
      </w:r>
    </w:p>
    <w:p>
      <w:pPr>
        <w:spacing w:after="0" w:line="1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52"/>
          </w:cols>
          <w:pgMar w:left="248" w:top="688" w:right="299" w:bottom="1440" w:gutter="0" w:footer="0" w:header="0"/>
        </w:sectPr>
      </w:pPr>
    </w:p>
    <w:bookmarkStart w:id="59" w:name="page60"/>
    <w:bookmarkEnd w:id="59"/>
    <w:p>
      <w:pPr>
        <w:ind w:firstLine="656"/>
        <w:spacing w:after="0" w:line="268" w:lineRule="auto"/>
        <w:tabs>
          <w:tab w:leader="none" w:pos="118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The Participant acknowledges and agrees that the Participant’s rights in the Performance Share Units, Shares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dividend equivalents or other distributions paid or payable with respect to the Performance Share Units or Shares are subject to recoupment or repayment if, and to the extent that, such action is required under applicable law or any Company recoupment or “clawback” policy.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and the Participant have executed this Performance Share Unit Agreement as of the date first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spacing w:after="0"/>
        <w:tabs>
          <w:tab w:leader="none" w:pos="6260" w:val="left"/>
        </w:tabs>
        <w:rPr>
          <w:sz w:val="20"/>
          <w:szCs w:val="20"/>
          <w:color w:val="auto"/>
        </w:rPr>
      </w:pPr>
      <w:r>
        <w:rPr>
          <w:rFonts w:ascii="Times New Roman" w:cs="Times New Roman" w:eastAsia="Times New Roman" w:hAnsi="Times New Roman"/>
          <w:sz w:val="18"/>
          <w:szCs w:val="18"/>
          <w:color w:val="auto"/>
        </w:rPr>
        <w:t>NI HOLDINGS, INC.</w:t>
      </w:r>
      <w:r>
        <w:rPr>
          <w:sz w:val="20"/>
          <w:szCs w:val="20"/>
          <w:color w:val="auto"/>
        </w:rPr>
        <w:tab/>
      </w:r>
      <w:r>
        <w:rPr>
          <w:rFonts w:ascii="Times New Roman" w:cs="Times New Roman" w:eastAsia="Times New Roman" w:hAnsi="Times New Roman"/>
          <w:sz w:val="17"/>
          <w:szCs w:val="17"/>
          <w:color w:val="auto"/>
        </w:rPr>
        <w:t>[NAME OF PARTICIPANT]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68776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040"/>
          </w:cols>
          <w:pgMar w:left="240" w:top="684" w:right="6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84"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May 4, 2018</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600" w:type="dxa"/>
            <w:vAlign w:val="bottom"/>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600" w:type="dxa"/>
            <w:vAlign w:val="bottom"/>
          </w:tcPr>
          <w:p>
            <w:pPr>
              <w:spacing w:after="0"/>
              <w:rPr>
                <w:sz w:val="16"/>
                <w:szCs w:val="16"/>
                <w:color w:val="auto"/>
              </w:rPr>
            </w:pPr>
          </w:p>
        </w:tc>
      </w:tr>
      <w:tr>
        <w:trPr>
          <w:trHeight w:val="214"/>
        </w:trPr>
        <w:tc>
          <w:tcPr>
            <w:tcW w:w="5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0" w:type="dxa"/>
            <w:vAlign w:val="bottom"/>
          </w:tcPr>
          <w:p>
            <w:pPr>
              <w:spacing w:after="0"/>
              <w:rPr>
                <w:sz w:val="18"/>
                <w:szCs w:val="18"/>
                <w:color w:val="auto"/>
              </w:rPr>
            </w:pPr>
          </w:p>
        </w:tc>
      </w:tr>
      <w:tr>
        <w:trPr>
          <w:trHeight w:val="236"/>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600" w:type="dxa"/>
            <w:vAlign w:val="bottom"/>
          </w:tcPr>
          <w:p>
            <w:pPr>
              <w:spacing w:after="0"/>
              <w:rPr>
                <w:sz w:val="20"/>
                <w:szCs w:val="20"/>
                <w:color w:val="auto"/>
              </w:rPr>
            </w:pPr>
          </w:p>
        </w:tc>
      </w:tr>
      <w:tr>
        <w:trPr>
          <w:trHeight w:val="439"/>
        </w:trPr>
        <w:tc>
          <w:tcPr>
            <w:tcW w:w="55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w:t>
            </w: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9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400" w:hanging="644"/>
        <w:spacing w:after="0" w:line="313" w:lineRule="auto"/>
        <w:tabs>
          <w:tab w:leader="none" w:pos="1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9" w:lineRule="exact"/>
        <w:rPr>
          <w:rFonts w:ascii="Times New Roman" w:cs="Times New Roman" w:eastAsia="Times New Roman" w:hAnsi="Times New Roman"/>
          <w:sz w:val="18"/>
          <w:szCs w:val="18"/>
          <w:color w:val="auto"/>
        </w:rPr>
      </w:pPr>
    </w:p>
    <w:p>
      <w:pPr>
        <w:ind w:left="1960" w:right="80" w:hanging="655"/>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400" w:hanging="655"/>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right="20" w:hanging="655"/>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8"/>
          <w:szCs w:val="18"/>
          <w:color w:val="auto"/>
        </w:rPr>
      </w:pPr>
    </w:p>
    <w:p>
      <w:pPr>
        <w:ind w:left="1960" w:right="140" w:hanging="655"/>
        <w:spacing w:after="0" w:line="266"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320" w:hanging="644"/>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80" w:hanging="655"/>
        <w:spacing w:after="0" w:line="313" w:lineRule="auto"/>
        <w:tabs>
          <w:tab w:leader="none" w:pos="196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1960" w:right="260" w:hanging="655"/>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May 4, 2018</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r>
      <w:tr>
        <w:trPr>
          <w:trHeight w:val="191"/>
        </w:trPr>
        <w:tc>
          <w:tcPr>
            <w:tcW w:w="55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R. Doom</w:t>
            </w:r>
          </w:p>
        </w:tc>
      </w:tr>
      <w:tr>
        <w:trPr>
          <w:trHeight w:val="234"/>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ind w:left="5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March 31, 2018,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0"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44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May 4, 2018</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600" w:type="dxa"/>
            <w:vAlign w:val="bottom"/>
          </w:tcPr>
          <w:p>
            <w:pPr>
              <w:spacing w:after="0"/>
              <w:rPr>
                <w:sz w:val="20"/>
                <w:szCs w:val="20"/>
                <w:color w:val="auto"/>
              </w:rPr>
            </w:pPr>
          </w:p>
        </w:tc>
      </w:tr>
      <w:tr>
        <w:trPr>
          <w:trHeight w:val="191"/>
        </w:trPr>
        <w:tc>
          <w:tcPr>
            <w:tcW w:w="55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600" w:type="dxa"/>
            <w:vAlign w:val="bottom"/>
          </w:tcPr>
          <w:p>
            <w:pPr>
              <w:spacing w:after="0"/>
              <w:rPr>
                <w:sz w:val="16"/>
                <w:szCs w:val="16"/>
                <w:color w:val="auto"/>
              </w:rPr>
            </w:pPr>
          </w:p>
        </w:tc>
      </w:tr>
      <w:tr>
        <w:trPr>
          <w:trHeight w:val="214"/>
        </w:trPr>
        <w:tc>
          <w:tcPr>
            <w:tcW w:w="5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0" w:type="dxa"/>
            <w:vAlign w:val="bottom"/>
          </w:tcPr>
          <w:p>
            <w:pPr>
              <w:spacing w:after="0"/>
              <w:rPr>
                <w:sz w:val="18"/>
                <w:szCs w:val="18"/>
                <w:color w:val="auto"/>
              </w:rPr>
            </w:pPr>
          </w:p>
        </w:tc>
      </w:tr>
      <w:tr>
        <w:trPr>
          <w:trHeight w:val="236"/>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600" w:type="dxa"/>
            <w:vAlign w:val="bottom"/>
          </w:tcPr>
          <w:p>
            <w:pPr>
              <w:spacing w:after="0"/>
              <w:rPr>
                <w:sz w:val="20"/>
                <w:szCs w:val="20"/>
                <w:color w:val="auto"/>
              </w:rPr>
            </w:pPr>
          </w:p>
        </w:tc>
      </w:tr>
      <w:tr>
        <w:trPr>
          <w:trHeight w:val="648"/>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May 4, 2018</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R. Doom</w:t>
            </w:r>
          </w:p>
        </w:tc>
        <w:tc>
          <w:tcPr>
            <w:tcW w:w="2600" w:type="dxa"/>
            <w:vAlign w:val="bottom"/>
          </w:tcPr>
          <w:p>
            <w:pPr>
              <w:spacing w:after="0"/>
              <w:rPr>
                <w:sz w:val="24"/>
                <w:szCs w:val="24"/>
                <w:color w:val="auto"/>
              </w:rPr>
            </w:pPr>
          </w:p>
        </w:tc>
      </w:tr>
      <w:tr>
        <w:trPr>
          <w:trHeight w:val="191"/>
        </w:trPr>
        <w:tc>
          <w:tcPr>
            <w:tcW w:w="558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Brian R. Doom</w:t>
            </w:r>
          </w:p>
        </w:tc>
        <w:tc>
          <w:tcPr>
            <w:tcW w:w="2600" w:type="dxa"/>
            <w:vAlign w:val="bottom"/>
          </w:tcPr>
          <w:p>
            <w:pPr>
              <w:spacing w:after="0"/>
              <w:rPr>
                <w:sz w:val="16"/>
                <w:szCs w:val="16"/>
                <w:color w:val="auto"/>
              </w:rPr>
            </w:pPr>
          </w:p>
        </w:tc>
      </w:tr>
      <w:tr>
        <w:trPr>
          <w:trHeight w:val="214"/>
        </w:trPr>
        <w:tc>
          <w:tcPr>
            <w:tcW w:w="55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600" w:type="dxa"/>
            <w:vAlign w:val="bottom"/>
          </w:tcPr>
          <w:p>
            <w:pPr>
              <w:spacing w:after="0"/>
              <w:rPr>
                <w:sz w:val="18"/>
                <w:szCs w:val="18"/>
                <w:color w:val="auto"/>
              </w:rPr>
            </w:pPr>
          </w:p>
        </w:tc>
      </w:tr>
      <w:tr>
        <w:trPr>
          <w:trHeight w:val="236"/>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600" w:type="dxa"/>
            <w:vAlign w:val="bottom"/>
          </w:tcPr>
          <w:p>
            <w:pPr>
              <w:spacing w:after="0"/>
              <w:rPr>
                <w:sz w:val="20"/>
                <w:szCs w:val="20"/>
                <w:color w:val="auto"/>
              </w:rPr>
            </w:pPr>
          </w:p>
        </w:tc>
      </w:tr>
      <w:tr>
        <w:trPr>
          <w:trHeight w:val="696"/>
        </w:trPr>
        <w:tc>
          <w:tcPr>
            <w:tcW w:w="55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w:t>
            </w:r>
          </w:p>
        </w:tc>
        <w:tc>
          <w:tcPr>
            <w:tcW w:w="2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4"/>
    </w:lvl>
  </w:abstractNum>
  <w:abstractNum w:abstractNumId="10">
    <w:nsid w:val="71F32454"/>
    <w:multiLevelType w:val="hybridMultilevel"/>
    <w:lvl w:ilvl="0">
      <w:lvlJc w:val="left"/>
      <w:lvlText w:val="%1."/>
      <w:numFmt w:val="decimal"/>
      <w:start w:val="5"/>
    </w:lvl>
  </w:abstractNum>
  <w:abstractNum w:abstractNumId="11">
    <w:nsid w:val="2CA88611"/>
    <w:multiLevelType w:val="hybridMultilevel"/>
    <w:lvl w:ilvl="0">
      <w:lvlJc w:val="left"/>
      <w:lvlText w:val="(%1)"/>
      <w:numFmt w:val="lowerRoman"/>
      <w:start w:val="2"/>
    </w:lvl>
  </w:abstractNum>
  <w:abstractNum w:abstractNumId="12">
    <w:nsid w:val="836C40E"/>
    <w:multiLevelType w:val="hybridMultilevel"/>
    <w:lvl w:ilvl="0">
      <w:lvlJc w:val="left"/>
      <w:lvlText w:val="%1."/>
      <w:numFmt w:val="decimal"/>
      <w:start w:val="6"/>
    </w:lvl>
  </w:abstractNum>
  <w:abstractNum w:abstractNumId="13">
    <w:nsid w:val="2901D82"/>
    <w:multiLevelType w:val="hybridMultilevel"/>
    <w:lvl w:ilvl="0">
      <w:lvlJc w:val="left"/>
      <w:lvlText w:val="%1."/>
      <w:numFmt w:val="decimal"/>
      <w:start w:val="7"/>
    </w:lvl>
  </w:abstractNum>
  <w:abstractNum w:abstractNumId="14">
    <w:nsid w:val="3A95F874"/>
    <w:multiLevelType w:val="hybridMultilevel"/>
    <w:lvl w:ilvl="0">
      <w:lvlJc w:val="left"/>
      <w:lvlText w:val="%1."/>
      <w:numFmt w:val="decimal"/>
      <w:start w:val="8"/>
    </w:lvl>
  </w:abstractNum>
  <w:abstractNum w:abstractNumId="15">
    <w:nsid w:val="8138641"/>
    <w:multiLevelType w:val="hybridMultilevel"/>
    <w:lvl w:ilvl="0">
      <w:lvlJc w:val="left"/>
      <w:lvlText w:val="%1."/>
      <w:numFmt w:val="decimal"/>
      <w:start w:val="9"/>
    </w:lvl>
  </w:abstractNum>
  <w:abstractNum w:abstractNumId="16">
    <w:nsid w:val="1E7FF521"/>
    <w:multiLevelType w:val="hybridMultilevel"/>
    <w:lvl w:ilvl="0">
      <w:lvlJc w:val="left"/>
      <w:lvlText w:val="%1."/>
      <w:numFmt w:val="decimal"/>
      <w:start w:val="10"/>
    </w:lvl>
  </w:abstractNum>
  <w:abstractNum w:abstractNumId="17">
    <w:nsid w:val="7C3DBD3D"/>
    <w:multiLevelType w:val="hybridMultilevel"/>
    <w:lvl w:ilvl="0">
      <w:lvlJc w:val="left"/>
      <w:lvlText w:val="%1."/>
      <w:numFmt w:val="decimal"/>
      <w:start w:val="1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2"/>
    </w:lvl>
  </w:abstractNum>
  <w:abstractNum w:abstractNumId="20">
    <w:nsid w:val="22221A70"/>
    <w:multiLevelType w:val="hybridMultilevel"/>
    <w:lvl w:ilvl="0">
      <w:lvlJc w:val="left"/>
      <w:lvlText w:val="%1."/>
      <w:numFmt w:val="decimal"/>
      <w:start w:val="13"/>
    </w:lvl>
  </w:abstractNum>
  <w:abstractNum w:abstractNumId="21">
    <w:nsid w:val="4516DDE9"/>
    <w:multiLevelType w:val="hybridMultilevel"/>
    <w:lvl w:ilvl="0">
      <w:lvlJc w:val="left"/>
      <w:lvlText w:val="%1."/>
      <w:numFmt w:val="decimal"/>
      <w:start w:val="14"/>
    </w:lvl>
  </w:abstractNum>
  <w:abstractNum w:abstractNumId="22">
    <w:nsid w:val="3006C83E"/>
    <w:multiLevelType w:val="hybridMultilevel"/>
    <w:lvl w:ilvl="0">
      <w:lvlJc w:val="left"/>
      <w:lvlText w:val="%1."/>
      <w:numFmt w:val="decimal"/>
      <w:start w:val="15"/>
    </w:lvl>
  </w:abstractNum>
  <w:abstractNum w:abstractNumId="23">
    <w:nsid w:val="614FD4A1"/>
    <w:multiLevelType w:val="hybridMultilevel"/>
    <w:lvl w:ilvl="0">
      <w:lvlJc w:val="left"/>
      <w:lvlText w:val="%1."/>
      <w:numFmt w:val="decimal"/>
      <w:start w:val="16"/>
    </w:lvl>
  </w:abstractNum>
  <w:abstractNum w:abstractNumId="24">
    <w:nsid w:val="419AC241"/>
    <w:multiLevelType w:val="hybridMultilevel"/>
    <w:lvl w:ilvl="0">
      <w:lvlJc w:val="left"/>
      <w:lvlText w:val="%1."/>
      <w:numFmt w:val="decimal"/>
      <w:start w:val="18"/>
    </w:lvl>
  </w:abstractNum>
  <w:abstractNum w:abstractNumId="25">
    <w:nsid w:val="5577F8E1"/>
    <w:multiLevelType w:val="hybridMultilevel"/>
    <w:lvl w:ilvl="0">
      <w:lvlJc w:val="left"/>
      <w:lvlText w:val="%1."/>
      <w:numFmt w:val="decimal"/>
      <w:start w:val="19"/>
    </w:lvl>
  </w:abstractNum>
  <w:abstractNum w:abstractNumId="26">
    <w:nsid w:val="440BADFC"/>
    <w:multiLevelType w:val="hybridMultilevel"/>
    <w:lvl w:ilvl="0">
      <w:lvlJc w:val="left"/>
      <w:lvlText w:val="%1."/>
      <w:numFmt w:val="decimal"/>
      <w:start w:val="20"/>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2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32"/>
    </w:lvl>
  </w:abstractNum>
  <w:abstractNum w:abstractNumId="32">
    <w:nsid w:val="2463B9EA"/>
    <w:multiLevelType w:val="hybridMultilevel"/>
    <w:lvl w:ilvl="0">
      <w:lvlJc w:val="left"/>
      <w:lvlText w:val="%1."/>
      <w:numFmt w:val="decimal"/>
      <w:start w:val="1"/>
    </w:lvl>
    <w:lvl w:ilvl="1">
      <w:lvlJc w:val="left"/>
      <w:lvlText w:val="(%2)"/>
      <w:numFmt w:val="lowerLetter"/>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5">
    <w:nsid w:val="2D51779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6">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7">
    <w:nsid w:val="153EA438"/>
    <w:multiLevelType w:val="hybridMultilevel"/>
    <w:lvl w:ilvl="0">
      <w:lvlJc w:val="left"/>
      <w:lvlText w:val="(%1)"/>
      <w:numFmt w:val="upperLetter"/>
      <w:start w:val="3"/>
    </w:lvl>
    <w:lvl w:ilvl="1">
      <w:lvlJc w:val="left"/>
      <w:lvlText w:val="(%2)"/>
      <w:numFmt w:val="lowerLetter"/>
      <w:start w:val="2"/>
    </w:lvl>
    <w:lvl w:ilvl="2">
      <w:lvlJc w:val="left"/>
      <w:lvlText w:val="(%3)"/>
      <w:numFmt w:val="lowerLetter"/>
      <w:start w:val="35"/>
    </w:lvl>
  </w:abstractNum>
  <w:abstractNum w:abstractNumId="38">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39">
    <w:nsid w:val="70A64E2A"/>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9"/>
    </w:lvl>
  </w:abstractNum>
  <w:abstractNum w:abstractNumId="40">
    <w:nsid w:val="6A2342EC"/>
    <w:multiLevelType w:val="hybridMultilevel"/>
    <w:lvl w:ilvl="0">
      <w:lvlJc w:val="left"/>
      <w:lvlText w:val="%1."/>
      <w:numFmt w:val="decimal"/>
      <w:start w:val="12"/>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2019-12-08T15:35:51Z</dcterms:created>
  <dcterms:modified xsi:type="dcterms:W3CDTF">2019-12-08T15:35:51Z</dcterms:modified>
</cp:coreProperties>
</file>