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4" w:lineRule="exact"/>
        <w:rPr>
          <w:sz w:val="24"/>
          <w:szCs w:val="24"/>
          <w:color w:val="auto"/>
        </w:rPr>
      </w:pPr>
    </w:p>
    <w:p>
      <w:pPr>
        <w:ind w:right="1640" w:firstLine="8"/>
        <w:spacing w:after="0" w:line="282" w:lineRule="auto"/>
        <w:tabs>
          <w:tab w:leader="none" w:pos="445"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March 31, 2023</w:t>
      </w:r>
    </w:p>
    <w:p>
      <w:pPr>
        <w:spacing w:after="0" w:line="162"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tbl>
      <w:tblPr>
        <w:tblLayout w:type="fixed"/>
        <w:tblInd w:w="0" w:type="dxa"/>
        <w:tblCellMar>
          <w:top w:w="0" w:type="dxa"/>
          <w:left w:w="0" w:type="dxa"/>
          <w:bottom w:w="0" w:type="dxa"/>
          <w:right w:w="0" w:type="dxa"/>
        </w:tblCellMar>
      </w:tblPr>
      <w:tr>
        <w:trPr>
          <w:trHeight w:val="203"/>
        </w:trPr>
        <w:tc>
          <w:tcPr>
            <w:tcW w:w="2380" w:type="dxa"/>
            <w:vAlign w:val="bottom"/>
          </w:tcPr>
          <w:p>
            <w:pPr>
              <w:spacing w:after="0" w:line="203" w:lineRule="exact"/>
              <w:rPr>
                <w:sz w:val="20"/>
                <w:szCs w:val="20"/>
                <w:color w:val="auto"/>
              </w:rPr>
            </w:pPr>
            <w:r>
              <w:rPr>
                <w:rFonts w:ascii="Arial" w:cs="Arial" w:eastAsia="Arial" w:hAnsi="Arial"/>
                <w:sz w:val="18"/>
                <w:szCs w:val="18"/>
                <w:b w:val="1"/>
                <w:bCs w:val="1"/>
                <w:color w:val="auto"/>
                <w:w w:val="93"/>
              </w:rPr>
              <w:t>For the transition period from</w:t>
            </w:r>
          </w:p>
        </w:tc>
        <w:tc>
          <w:tcPr>
            <w:tcW w:w="680" w:type="dxa"/>
            <w:vAlign w:val="bottom"/>
          </w:tcPr>
          <w:p>
            <w:pPr>
              <w:spacing w:after="0"/>
              <w:rPr>
                <w:sz w:val="17"/>
                <w:szCs w:val="17"/>
                <w:color w:val="auto"/>
              </w:rPr>
            </w:pPr>
          </w:p>
        </w:tc>
        <w:tc>
          <w:tcPr>
            <w:tcW w:w="4660" w:type="dxa"/>
            <w:vAlign w:val="bottom"/>
            <w:gridSpan w:val="5"/>
          </w:tcPr>
          <w:p>
            <w:pPr>
              <w:ind w:left="40"/>
              <w:spacing w:after="0" w:line="203" w:lineRule="exact"/>
              <w:rPr>
                <w:sz w:val="20"/>
                <w:szCs w:val="20"/>
                <w:color w:val="auto"/>
              </w:rPr>
            </w:pPr>
            <w:r>
              <w:rPr>
                <w:rFonts w:ascii="Arial" w:cs="Arial" w:eastAsia="Arial" w:hAnsi="Arial"/>
                <w:sz w:val="18"/>
                <w:szCs w:val="18"/>
                <w:b w:val="1"/>
                <w:bCs w:val="1"/>
                <w:color w:val="auto"/>
              </w:rPr>
              <w:t>to</w:t>
            </w:r>
          </w:p>
        </w:tc>
        <w:tc>
          <w:tcPr>
            <w:tcW w:w="3520" w:type="dxa"/>
            <w:vAlign w:val="bottom"/>
          </w:tcPr>
          <w:p>
            <w:pPr>
              <w:spacing w:after="0"/>
              <w:rPr>
                <w:sz w:val="17"/>
                <w:szCs w:val="17"/>
                <w:color w:val="auto"/>
              </w:rPr>
            </w:pPr>
          </w:p>
        </w:tc>
      </w:tr>
      <w:tr>
        <w:trPr>
          <w:trHeight w:val="561"/>
        </w:trPr>
        <w:tc>
          <w:tcPr>
            <w:tcW w:w="238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376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90"/>
              </w:rPr>
              <w:t>Commission file number 001-37973</w:t>
            </w:r>
          </w:p>
        </w:tc>
        <w:tc>
          <w:tcPr>
            <w:tcW w:w="3520" w:type="dxa"/>
            <w:vAlign w:val="bottom"/>
          </w:tcPr>
          <w:p>
            <w:pPr>
              <w:spacing w:after="0"/>
              <w:rPr>
                <w:sz w:val="24"/>
                <w:szCs w:val="24"/>
                <w:color w:val="auto"/>
              </w:rPr>
            </w:pPr>
          </w:p>
        </w:tc>
      </w:tr>
      <w:tr>
        <w:trPr>
          <w:trHeight w:val="34"/>
        </w:trPr>
        <w:tc>
          <w:tcPr>
            <w:tcW w:w="2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515"/>
        </w:trPr>
        <w:tc>
          <w:tcPr>
            <w:tcW w:w="2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76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rPr>
              <w:t>NI HOLDINGS, INC.</w:t>
            </w:r>
          </w:p>
        </w:tc>
        <w:tc>
          <w:tcPr>
            <w:tcW w:w="3520" w:type="dxa"/>
            <w:vAlign w:val="bottom"/>
          </w:tcPr>
          <w:p>
            <w:pPr>
              <w:spacing w:after="0"/>
              <w:rPr>
                <w:sz w:val="24"/>
                <w:szCs w:val="24"/>
                <w:color w:val="auto"/>
              </w:rPr>
            </w:pPr>
          </w:p>
        </w:tc>
      </w:tr>
      <w:tr>
        <w:trPr>
          <w:trHeight w:val="234"/>
        </w:trPr>
        <w:tc>
          <w:tcPr>
            <w:tcW w:w="2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20" w:type="dxa"/>
            <w:vAlign w:val="bottom"/>
            <w:gridSpan w:val="4"/>
          </w:tcPr>
          <w:p>
            <w:pPr>
              <w:jc w:val="center"/>
              <w:ind w:left="150"/>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c>
          <w:tcPr>
            <w:tcW w:w="3520" w:type="dxa"/>
            <w:vAlign w:val="bottom"/>
          </w:tcPr>
          <w:p>
            <w:pPr>
              <w:spacing w:after="0"/>
              <w:rPr>
                <w:sz w:val="20"/>
                <w:szCs w:val="20"/>
                <w:color w:val="auto"/>
              </w:rPr>
            </w:pPr>
          </w:p>
        </w:tc>
      </w:tr>
      <w:tr>
        <w:trPr>
          <w:trHeight w:val="414"/>
        </w:trPr>
        <w:tc>
          <w:tcPr>
            <w:tcW w:w="7720" w:type="dxa"/>
            <w:vAlign w:val="bottom"/>
            <w:gridSpan w:val="7"/>
          </w:tcPr>
          <w:p>
            <w:pPr>
              <w:jc w:val="center"/>
              <w:ind w:right="2200"/>
              <w:spacing w:after="0"/>
              <w:rPr>
                <w:sz w:val="20"/>
                <w:szCs w:val="20"/>
                <w:color w:val="auto"/>
              </w:rPr>
            </w:pPr>
            <w:r>
              <w:rPr>
                <w:rFonts w:ascii="Arial" w:cs="Arial" w:eastAsia="Arial" w:hAnsi="Arial"/>
                <w:sz w:val="18"/>
                <w:szCs w:val="18"/>
                <w:b w:val="1"/>
                <w:bCs w:val="1"/>
                <w:color w:val="auto"/>
              </w:rPr>
              <w:t>NORTH DAKOTA</w:t>
            </w:r>
          </w:p>
        </w:tc>
        <w:tc>
          <w:tcPr>
            <w:tcW w:w="3520" w:type="dxa"/>
            <w:vAlign w:val="bottom"/>
          </w:tcPr>
          <w:p>
            <w:pPr>
              <w:jc w:val="right"/>
              <w:ind w:right="2170"/>
              <w:spacing w:after="0"/>
              <w:rPr>
                <w:sz w:val="20"/>
                <w:szCs w:val="20"/>
                <w:color w:val="auto"/>
              </w:rPr>
            </w:pPr>
            <w:r>
              <w:rPr>
                <w:rFonts w:ascii="Arial" w:cs="Arial" w:eastAsia="Arial" w:hAnsi="Arial"/>
                <w:sz w:val="18"/>
                <w:szCs w:val="18"/>
                <w:b w:val="1"/>
                <w:bCs w:val="1"/>
                <w:color w:val="auto"/>
              </w:rPr>
              <w:t>81-2683619</w:t>
            </w:r>
          </w:p>
        </w:tc>
      </w:tr>
      <w:tr>
        <w:trPr>
          <w:trHeight w:val="216"/>
        </w:trPr>
        <w:tc>
          <w:tcPr>
            <w:tcW w:w="7720" w:type="dxa"/>
            <w:vAlign w:val="bottom"/>
            <w:gridSpan w:val="7"/>
          </w:tcPr>
          <w:p>
            <w:pPr>
              <w:jc w:val="center"/>
              <w:ind w:right="2200"/>
              <w:spacing w:after="0"/>
              <w:rPr>
                <w:sz w:val="20"/>
                <w:szCs w:val="20"/>
                <w:color w:val="auto"/>
              </w:rPr>
            </w:pPr>
            <w:r>
              <w:rPr>
                <w:rFonts w:ascii="Arial" w:cs="Arial" w:eastAsia="Arial" w:hAnsi="Arial"/>
                <w:sz w:val="18"/>
                <w:szCs w:val="18"/>
                <w:b w:val="1"/>
                <w:bCs w:val="1"/>
                <w:color w:val="auto"/>
                <w:w w:val="90"/>
              </w:rPr>
              <w:t>(State or other jurisdiction of</w:t>
            </w:r>
          </w:p>
        </w:tc>
        <w:tc>
          <w:tcPr>
            <w:tcW w:w="3520" w:type="dxa"/>
            <w:vAlign w:val="bottom"/>
          </w:tcPr>
          <w:p>
            <w:pPr>
              <w:jc w:val="center"/>
              <w:ind w:right="179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7720" w:type="dxa"/>
            <w:vAlign w:val="bottom"/>
            <w:gridSpan w:val="7"/>
          </w:tcPr>
          <w:p>
            <w:pPr>
              <w:jc w:val="center"/>
              <w:ind w:right="2200"/>
              <w:spacing w:after="0"/>
              <w:rPr>
                <w:sz w:val="20"/>
                <w:szCs w:val="20"/>
                <w:color w:val="auto"/>
              </w:rPr>
            </w:pPr>
            <w:r>
              <w:rPr>
                <w:rFonts w:ascii="Arial" w:cs="Arial" w:eastAsia="Arial" w:hAnsi="Arial"/>
                <w:sz w:val="18"/>
                <w:szCs w:val="18"/>
                <w:b w:val="1"/>
                <w:bCs w:val="1"/>
                <w:color w:val="auto"/>
                <w:w w:val="91"/>
              </w:rPr>
              <w:t>incorporation or organization)</w:t>
            </w:r>
          </w:p>
        </w:tc>
        <w:tc>
          <w:tcPr>
            <w:tcW w:w="3520" w:type="dxa"/>
            <w:vAlign w:val="bottom"/>
          </w:tcPr>
          <w:p>
            <w:pPr>
              <w:jc w:val="center"/>
              <w:ind w:right="1770"/>
              <w:spacing w:after="0"/>
              <w:rPr>
                <w:sz w:val="20"/>
                <w:szCs w:val="20"/>
                <w:color w:val="auto"/>
              </w:rPr>
            </w:pPr>
            <w:r>
              <w:rPr>
                <w:rFonts w:ascii="Arial" w:cs="Arial" w:eastAsia="Arial" w:hAnsi="Arial"/>
                <w:sz w:val="18"/>
                <w:szCs w:val="18"/>
                <w:b w:val="1"/>
                <w:bCs w:val="1"/>
                <w:color w:val="auto"/>
                <w:w w:val="93"/>
              </w:rPr>
              <w:t>Identification No.)</w:t>
            </w:r>
          </w:p>
        </w:tc>
      </w:tr>
      <w:tr>
        <w:trPr>
          <w:trHeight w:val="414"/>
        </w:trPr>
        <w:tc>
          <w:tcPr>
            <w:tcW w:w="7720" w:type="dxa"/>
            <w:vAlign w:val="bottom"/>
            <w:gridSpan w:val="7"/>
          </w:tcPr>
          <w:p>
            <w:pPr>
              <w:jc w:val="center"/>
              <w:ind w:right="2200"/>
              <w:spacing w:after="0"/>
              <w:rPr>
                <w:sz w:val="20"/>
                <w:szCs w:val="20"/>
                <w:color w:val="auto"/>
              </w:rPr>
            </w:pPr>
            <w:r>
              <w:rPr>
                <w:rFonts w:ascii="Arial" w:cs="Arial" w:eastAsia="Arial" w:hAnsi="Arial"/>
                <w:sz w:val="18"/>
                <w:szCs w:val="18"/>
                <w:b w:val="1"/>
                <w:bCs w:val="1"/>
                <w:color w:val="auto"/>
                <w:w w:val="90"/>
              </w:rPr>
              <w:t>1101 First Avenue North</w:t>
            </w:r>
          </w:p>
        </w:tc>
        <w:tc>
          <w:tcPr>
            <w:tcW w:w="3520" w:type="dxa"/>
            <w:vAlign w:val="bottom"/>
          </w:tcPr>
          <w:p>
            <w:pPr>
              <w:spacing w:after="0"/>
              <w:rPr>
                <w:sz w:val="24"/>
                <w:szCs w:val="24"/>
                <w:color w:val="auto"/>
              </w:rPr>
            </w:pPr>
          </w:p>
        </w:tc>
      </w:tr>
      <w:tr>
        <w:trPr>
          <w:trHeight w:val="216"/>
        </w:trPr>
        <w:tc>
          <w:tcPr>
            <w:tcW w:w="7720" w:type="dxa"/>
            <w:vAlign w:val="bottom"/>
            <w:gridSpan w:val="7"/>
          </w:tcPr>
          <w:p>
            <w:pPr>
              <w:jc w:val="center"/>
              <w:ind w:right="2200"/>
              <w:spacing w:after="0"/>
              <w:rPr>
                <w:sz w:val="20"/>
                <w:szCs w:val="20"/>
                <w:color w:val="auto"/>
              </w:rPr>
            </w:pPr>
            <w:r>
              <w:rPr>
                <w:rFonts w:ascii="Arial" w:cs="Arial" w:eastAsia="Arial" w:hAnsi="Arial"/>
                <w:sz w:val="18"/>
                <w:szCs w:val="18"/>
                <w:b w:val="1"/>
                <w:bCs w:val="1"/>
                <w:color w:val="auto"/>
                <w:w w:val="92"/>
              </w:rPr>
              <w:t>Fargo, North Dakota</w:t>
            </w:r>
          </w:p>
        </w:tc>
        <w:tc>
          <w:tcPr>
            <w:tcW w:w="3520" w:type="dxa"/>
            <w:vAlign w:val="bottom"/>
          </w:tcPr>
          <w:p>
            <w:pPr>
              <w:jc w:val="right"/>
              <w:ind w:right="2370"/>
              <w:spacing w:after="0"/>
              <w:rPr>
                <w:sz w:val="20"/>
                <w:szCs w:val="20"/>
                <w:color w:val="auto"/>
              </w:rPr>
            </w:pPr>
            <w:r>
              <w:rPr>
                <w:rFonts w:ascii="Arial" w:cs="Arial" w:eastAsia="Arial" w:hAnsi="Arial"/>
                <w:sz w:val="18"/>
                <w:szCs w:val="18"/>
                <w:b w:val="1"/>
                <w:bCs w:val="1"/>
                <w:color w:val="auto"/>
              </w:rPr>
              <w:t>58102</w:t>
            </w:r>
          </w:p>
        </w:tc>
      </w:tr>
      <w:tr>
        <w:trPr>
          <w:trHeight w:val="234"/>
        </w:trPr>
        <w:tc>
          <w:tcPr>
            <w:tcW w:w="7720" w:type="dxa"/>
            <w:vAlign w:val="bottom"/>
            <w:gridSpan w:val="7"/>
          </w:tcPr>
          <w:p>
            <w:pPr>
              <w:jc w:val="center"/>
              <w:ind w:right="220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520" w:type="dxa"/>
            <w:vAlign w:val="bottom"/>
          </w:tcPr>
          <w:p>
            <w:pPr>
              <w:jc w:val="center"/>
              <w:ind w:right="1790"/>
              <w:spacing w:after="0"/>
              <w:rPr>
                <w:sz w:val="20"/>
                <w:szCs w:val="20"/>
                <w:color w:val="auto"/>
              </w:rPr>
            </w:pPr>
            <w:r>
              <w:rPr>
                <w:rFonts w:ascii="Arial" w:cs="Arial" w:eastAsia="Arial" w:hAnsi="Arial"/>
                <w:sz w:val="18"/>
                <w:szCs w:val="18"/>
                <w:b w:val="1"/>
                <w:bCs w:val="1"/>
                <w:color w:val="auto"/>
                <w:w w:val="94"/>
              </w:rPr>
              <w:t>(Zip Code)</w:t>
            </w:r>
          </w:p>
        </w:tc>
      </w:tr>
      <w:tr>
        <w:trPr>
          <w:trHeight w:val="346"/>
        </w:trPr>
        <w:tc>
          <w:tcPr>
            <w:tcW w:w="2380" w:type="dxa"/>
            <w:vAlign w:val="bottom"/>
          </w:tcPr>
          <w:p>
            <w:pPr>
              <w:spacing w:after="0"/>
              <w:rPr>
                <w:sz w:val="24"/>
                <w:szCs w:val="24"/>
                <w:color w:val="auto"/>
              </w:rPr>
            </w:pPr>
          </w:p>
        </w:tc>
        <w:tc>
          <w:tcPr>
            <w:tcW w:w="3820" w:type="dxa"/>
            <w:vAlign w:val="bottom"/>
            <w:gridSpan w:val="4"/>
          </w:tcPr>
          <w:p>
            <w:pPr>
              <w:jc w:val="center"/>
              <w:ind w:left="2570"/>
              <w:spacing w:after="0"/>
              <w:rPr>
                <w:sz w:val="20"/>
                <w:szCs w:val="20"/>
                <w:color w:val="auto"/>
              </w:rPr>
            </w:pPr>
            <w:r>
              <w:rPr>
                <w:rFonts w:ascii="Arial" w:cs="Arial" w:eastAsia="Arial" w:hAnsi="Arial"/>
                <w:sz w:val="18"/>
                <w:szCs w:val="18"/>
                <w:b w:val="1"/>
                <w:bCs w:val="1"/>
                <w:color w:val="auto"/>
                <w:w w:val="90"/>
              </w:rPr>
              <w:t>(701) 298-4200</w:t>
            </w: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34"/>
        </w:trPr>
        <w:tc>
          <w:tcPr>
            <w:tcW w:w="2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20" w:type="dxa"/>
            <w:vAlign w:val="bottom"/>
            <w:gridSpan w:val="4"/>
          </w:tcPr>
          <w:p>
            <w:pPr>
              <w:jc w:val="center"/>
              <w:ind w:left="150"/>
              <w:spacing w:after="0"/>
              <w:rPr>
                <w:sz w:val="20"/>
                <w:szCs w:val="20"/>
                <w:color w:val="auto"/>
              </w:rPr>
            </w:pPr>
            <w:r>
              <w:rPr>
                <w:rFonts w:ascii="Arial" w:cs="Arial" w:eastAsia="Arial" w:hAnsi="Arial"/>
                <w:sz w:val="18"/>
                <w:szCs w:val="18"/>
                <w:b w:val="1"/>
                <w:bCs w:val="1"/>
                <w:color w:val="auto"/>
                <w:w w:val="88"/>
              </w:rPr>
              <w:t>Registrant’s telephone number, including area code</w:t>
            </w:r>
          </w:p>
        </w:tc>
        <w:tc>
          <w:tcPr>
            <w:tcW w:w="352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Securities Exchange Act of 1934:</w:t>
      </w:r>
    </w:p>
    <w:p>
      <w:pPr>
        <w:spacing w:after="0" w:line="360" w:lineRule="exact"/>
        <w:rPr>
          <w:sz w:val="24"/>
          <w:szCs w:val="24"/>
          <w:color w:val="auto"/>
        </w:rPr>
      </w:pPr>
    </w:p>
    <w:tbl>
      <w:tblPr>
        <w:tblLayout w:type="fixed"/>
        <w:tblInd w:w="680" w:type="dxa"/>
        <w:tblCellMar>
          <w:top w:w="0" w:type="dxa"/>
          <w:left w:w="0" w:type="dxa"/>
          <w:bottom w:w="0" w:type="dxa"/>
          <w:right w:w="0" w:type="dxa"/>
        </w:tblCellMar>
      </w:tblPr>
      <w:tr>
        <w:trPr>
          <w:trHeight w:val="207"/>
        </w:trPr>
        <w:tc>
          <w:tcPr>
            <w:tcW w:w="840" w:type="dxa"/>
            <w:vAlign w:val="bottom"/>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900" w:type="dxa"/>
            <w:vAlign w:val="bottom"/>
          </w:tcPr>
          <w:p>
            <w:pPr>
              <w:spacing w:after="0"/>
              <w:rPr>
                <w:sz w:val="18"/>
                <w:szCs w:val="18"/>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Trading Symbol(s)</w:t>
            </w:r>
          </w:p>
        </w:tc>
        <w:tc>
          <w:tcPr>
            <w:tcW w:w="1000" w:type="dxa"/>
            <w:vAlign w:val="bottom"/>
          </w:tcPr>
          <w:p>
            <w:pPr>
              <w:spacing w:after="0"/>
              <w:rPr>
                <w:sz w:val="18"/>
                <w:szCs w:val="18"/>
                <w:color w:val="auto"/>
              </w:rPr>
            </w:pPr>
          </w:p>
        </w:tc>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7"/>
        </w:trPr>
        <w:tc>
          <w:tcPr>
            <w:tcW w:w="4100" w:type="dxa"/>
            <w:vAlign w:val="bottom"/>
            <w:gridSpan w:val="3"/>
          </w:tcPr>
          <w:p>
            <w:pPr>
              <w:jc w:val="center"/>
              <w:ind w:right="1060"/>
              <w:spacing w:after="0"/>
              <w:rPr>
                <w:sz w:val="20"/>
                <w:szCs w:val="20"/>
                <w:color w:val="auto"/>
              </w:rPr>
            </w:pPr>
            <w:r>
              <w:rPr>
                <w:rFonts w:ascii="Arial" w:cs="Arial" w:eastAsia="Arial" w:hAnsi="Arial"/>
                <w:sz w:val="18"/>
                <w:szCs w:val="18"/>
                <w:color w:val="auto"/>
                <w:w w:val="89"/>
              </w:rPr>
              <w:t>Common Stock, $0.01 par value per share</w:t>
            </w: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NODK</w:t>
            </w:r>
          </w:p>
        </w:tc>
        <w:tc>
          <w:tcPr>
            <w:tcW w:w="1000" w:type="dxa"/>
            <w:vAlign w:val="bottom"/>
          </w:tcPr>
          <w:p>
            <w:pPr>
              <w:spacing w:after="0"/>
              <w:rPr>
                <w:sz w:val="20"/>
                <w:szCs w:val="20"/>
                <w:color w:val="auto"/>
              </w:rPr>
            </w:pPr>
          </w:p>
        </w:tc>
        <w:tc>
          <w:tcPr>
            <w:tcW w:w="3340" w:type="dxa"/>
            <w:vAlign w:val="bottom"/>
          </w:tcPr>
          <w:p>
            <w:pPr>
              <w:jc w:val="center"/>
              <w:spacing w:after="0"/>
              <w:rPr>
                <w:sz w:val="20"/>
                <w:szCs w:val="20"/>
                <w:color w:val="auto"/>
              </w:rPr>
            </w:pPr>
            <w:r>
              <w:rPr>
                <w:rFonts w:ascii="Arial" w:cs="Arial" w:eastAsia="Arial" w:hAnsi="Arial"/>
                <w:sz w:val="18"/>
                <w:szCs w:val="18"/>
                <w:color w:val="auto"/>
                <w:w w:val="91"/>
              </w:rPr>
              <w:t>Nasdaq Capital Market</w:t>
            </w:r>
          </w:p>
        </w:tc>
      </w:tr>
    </w:tbl>
    <w:p>
      <w:pPr>
        <w:spacing w:after="0" w:line="310" w:lineRule="exact"/>
        <w:rPr>
          <w:sz w:val="24"/>
          <w:szCs w:val="24"/>
          <w:color w:val="auto"/>
        </w:rPr>
      </w:pPr>
    </w:p>
    <w:p>
      <w:pPr>
        <w:ind w:right="30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No </w:t>
      </w:r>
      <w:r>
        <w:rPr>
          <w:rFonts w:ascii="MS PGothic" w:cs="MS PGothic" w:eastAsia="MS PGothic" w:hAnsi="MS PGothic"/>
          <w:sz w:val="18"/>
          <w:szCs w:val="18"/>
          <w:color w:val="auto"/>
        </w:rPr>
        <w:t>☐</w:t>
      </w:r>
    </w:p>
    <w:p>
      <w:pPr>
        <w:spacing w:after="0" w:line="116" w:lineRule="exact"/>
        <w:rPr>
          <w:sz w:val="24"/>
          <w:szCs w:val="24"/>
          <w:color w:val="auto"/>
        </w:rPr>
      </w:pPr>
    </w:p>
    <w:p>
      <w:pPr>
        <w:jc w:val="both"/>
        <w:ind w:right="30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No </w:t>
      </w:r>
      <w:r>
        <w:rPr>
          <w:rFonts w:ascii="MS PGothic" w:cs="MS PGothic" w:eastAsia="MS PGothic" w:hAnsi="MS PGothic"/>
          <w:sz w:val="18"/>
          <w:szCs w:val="18"/>
          <w:color w:val="auto"/>
        </w:rPr>
        <w:t>☐</w:t>
      </w:r>
    </w:p>
    <w:p>
      <w:pPr>
        <w:spacing w:after="0" w:line="103" w:lineRule="exact"/>
        <w:rPr>
          <w:sz w:val="24"/>
          <w:szCs w:val="24"/>
          <w:color w:val="auto"/>
        </w:rPr>
      </w:pPr>
    </w:p>
    <w:p>
      <w:pPr>
        <w:ind w:right="360"/>
        <w:spacing w:after="0" w:line="263" w:lineRule="auto"/>
        <w:rPr>
          <w:sz w:val="20"/>
          <w:szCs w:val="20"/>
          <w:color w:val="auto"/>
        </w:rPr>
      </w:pPr>
      <w:r>
        <w:rPr>
          <w:rFonts w:ascii="Arial" w:cs="Arial" w:eastAsia="Arial" w:hAnsi="Arial"/>
          <w:sz w:val="18"/>
          <w:szCs w:val="18"/>
          <w:color w:val="auto"/>
        </w:rPr>
        <w:t>Indicate by checkmark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4"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5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020" w:type="dxa"/>
            <w:vAlign w:val="bottom"/>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3380" w:type="dxa"/>
            <w:vAlign w:val="bottom"/>
          </w:tcPr>
          <w:p>
            <w:pPr>
              <w:ind w:left="940"/>
              <w:spacing w:after="0"/>
              <w:rPr>
                <w:sz w:val="20"/>
                <w:szCs w:val="20"/>
                <w:color w:val="auto"/>
              </w:rPr>
            </w:pPr>
            <w:r>
              <w:rPr>
                <w:rFonts w:ascii="Arial" w:cs="Arial" w:eastAsia="Arial" w:hAnsi="Arial"/>
                <w:sz w:val="18"/>
                <w:szCs w:val="18"/>
                <w:color w:val="auto"/>
              </w:rPr>
              <w:t>Accelerated filer</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2560" w:type="dxa"/>
            <w:vAlign w:val="bottom"/>
          </w:tcPr>
          <w:p>
            <w:pPr>
              <w:spacing w:after="0"/>
              <w:rPr>
                <w:sz w:val="20"/>
                <w:szCs w:val="20"/>
                <w:color w:val="auto"/>
              </w:rPr>
            </w:pPr>
            <w:r>
              <w:rPr>
                <w:rFonts w:ascii="Arial" w:cs="Arial" w:eastAsia="Arial" w:hAnsi="Arial"/>
                <w:sz w:val="18"/>
                <w:szCs w:val="18"/>
                <w:color w:val="auto"/>
              </w:rPr>
              <w:t>Non-accelerated filer</w:t>
            </w:r>
          </w:p>
        </w:tc>
        <w:tc>
          <w:tcPr>
            <w:tcW w:w="2020" w:type="dxa"/>
            <w:vAlign w:val="bottom"/>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3380" w:type="dxa"/>
            <w:vAlign w:val="bottom"/>
          </w:tcPr>
          <w:p>
            <w:pPr>
              <w:ind w:left="940"/>
              <w:spacing w:after="0"/>
              <w:rPr>
                <w:sz w:val="20"/>
                <w:szCs w:val="20"/>
                <w:color w:val="auto"/>
              </w:rPr>
            </w:pPr>
            <w:r>
              <w:rPr>
                <w:rFonts w:ascii="Arial" w:cs="Arial" w:eastAsia="Arial" w:hAnsi="Arial"/>
                <w:sz w:val="18"/>
                <w:szCs w:val="18"/>
                <w:color w:val="auto"/>
              </w:rPr>
              <w:t>Smaller reporting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5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380" w:type="dxa"/>
            <w:vAlign w:val="bottom"/>
          </w:tcPr>
          <w:p>
            <w:pPr>
              <w:ind w:left="940"/>
              <w:spacing w:after="0"/>
              <w:rPr>
                <w:sz w:val="20"/>
                <w:szCs w:val="20"/>
                <w:color w:val="auto"/>
              </w:rPr>
            </w:pPr>
            <w:r>
              <w:rPr>
                <w:rFonts w:ascii="Arial" w:cs="Arial" w:eastAsia="Arial" w:hAnsi="Arial"/>
                <w:sz w:val="18"/>
                <w:szCs w:val="18"/>
                <w:color w:val="auto"/>
              </w:rPr>
              <w:t>Emerging growth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82" w:lineRule="exact"/>
        <w:rPr>
          <w:sz w:val="24"/>
          <w:szCs w:val="24"/>
          <w:color w:val="auto"/>
        </w:rPr>
      </w:pPr>
    </w:p>
    <w:p>
      <w:pPr>
        <w:spacing w:after="0" w:line="207" w:lineRule="exact"/>
        <w:tabs>
          <w:tab w:leader="none" w:pos="8940" w:val="left"/>
        </w:tabs>
        <w:rPr>
          <w:sz w:val="20"/>
          <w:szCs w:val="20"/>
          <w:color w:val="auto"/>
        </w:rPr>
      </w:pPr>
      <w:r>
        <w:rPr>
          <w:rFonts w:ascii="Arial" w:cs="Arial" w:eastAsia="Arial" w:hAnsi="Arial"/>
          <w:sz w:val="17"/>
          <w:szCs w:val="17"/>
          <w:color w:val="auto"/>
        </w:rPr>
        <w:t xml:space="preserve">Indicate by checkmark whether the registrant is a shell company (as defined in Rule 12b-2 of the Exchange Act).  </w:t>
      </w:r>
      <w:r>
        <w:rPr>
          <w:rFonts w:ascii="MS PGothic" w:cs="MS PGothic" w:eastAsia="MS PGothic" w:hAnsi="MS PGothic"/>
          <w:sz w:val="17"/>
          <w:szCs w:val="17"/>
          <w:color w:val="auto"/>
        </w:rPr>
        <w:t>☐</w:t>
      </w:r>
      <w:r>
        <w:rPr>
          <w:rFonts w:ascii="Arial" w:cs="Arial" w:eastAsia="Arial" w:hAnsi="Arial"/>
          <w:sz w:val="17"/>
          <w:szCs w:val="17"/>
          <w:color w:val="auto"/>
        </w:rPr>
        <w:t xml:space="preserve"> Yes</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190" w:lineRule="exact"/>
        <w:rPr>
          <w:sz w:val="24"/>
          <w:szCs w:val="24"/>
          <w:color w:val="auto"/>
        </w:rPr>
      </w:pPr>
    </w:p>
    <w:p>
      <w:pPr>
        <w:spacing w:after="0"/>
        <w:rPr>
          <w:sz w:val="20"/>
          <w:szCs w:val="20"/>
          <w:color w:val="auto"/>
        </w:rPr>
      </w:pPr>
      <w:r>
        <w:rPr>
          <w:rFonts w:ascii="Arial" w:cs="Arial" w:eastAsia="Arial" w:hAnsi="Arial"/>
          <w:sz w:val="17"/>
          <w:szCs w:val="17"/>
          <w:color w:val="auto"/>
        </w:rPr>
        <w:t>The number of shares of Registrant’s common stock outstanding on April 30, 2023 was 21,027,401. No preferred shares are issued or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47625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p>
      <w:pPr>
        <w:spacing w:after="0" w:line="200" w:lineRule="exact"/>
        <w:rPr>
          <w:sz w:val="24"/>
          <w:szCs w:val="24"/>
          <w:color w:val="auto"/>
        </w:rPr>
      </w:pPr>
    </w:p>
    <w:p>
      <w:pPr>
        <w:spacing w:after="0" w:line="212"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20" w:type="dxa"/>
            <w:vAlign w:val="bottom"/>
            <w:gridSpan w:val="10"/>
          </w:tcPr>
          <w:p>
            <w:pPr>
              <w:ind w:left="1340"/>
              <w:spacing w:after="0"/>
              <w:rPr>
                <w:sz w:val="20"/>
                <w:szCs w:val="20"/>
                <w:color w:val="auto"/>
              </w:rPr>
            </w:pPr>
            <w:r>
              <w:rPr>
                <w:rFonts w:ascii="Arial" w:cs="Arial" w:eastAsia="Arial" w:hAnsi="Arial"/>
                <w:sz w:val="18"/>
                <w:szCs w:val="18"/>
                <w:b w:val="1"/>
                <w:bCs w:val="1"/>
                <w:color w:val="auto"/>
              </w:rPr>
              <w:t>TABLE OF CONTENTS</w:t>
            </w:r>
          </w:p>
        </w:tc>
        <w:tc>
          <w:tcPr>
            <w:tcW w:w="900" w:type="dxa"/>
            <w:vAlign w:val="bottom"/>
          </w:tcPr>
          <w:p>
            <w:pPr>
              <w:spacing w:after="0"/>
              <w:rPr>
                <w:sz w:val="20"/>
                <w:szCs w:val="20"/>
                <w:color w:val="auto"/>
              </w:rPr>
            </w:pPr>
          </w:p>
        </w:tc>
      </w:tr>
      <w:tr>
        <w:trPr>
          <w:trHeight w:val="351"/>
        </w:trPr>
        <w:tc>
          <w:tcPr>
            <w:tcW w:w="294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EE"/>
                <w:w w:val="95"/>
              </w:rPr>
              <w:t>FORWARD-LOOKING STATEMENTS</w:t>
            </w:r>
          </w:p>
        </w:tc>
        <w:tc>
          <w:tcPr>
            <w:tcW w:w="7400" w:type="dxa"/>
            <w:vAlign w:val="bottom"/>
            <w:gridSpan w:val="11"/>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12"/>
        </w:trPr>
        <w:tc>
          <w:tcPr>
            <w:tcW w:w="286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color w:val="0000EE"/>
                <w:w w:val="98"/>
              </w:rPr>
              <w:t>Part I. - FINANCIAL INFORMATION</w:t>
            </w:r>
          </w:p>
        </w:tc>
        <w:tc>
          <w:tcPr>
            <w:tcW w:w="7480" w:type="dxa"/>
            <w:vAlign w:val="bottom"/>
            <w:gridSpan w:val="12"/>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2"/>
        </w:trPr>
        <w:tc>
          <w:tcPr>
            <w:tcW w:w="360" w:type="dxa"/>
            <w:vAlign w:val="bottom"/>
          </w:tcPr>
          <w:p>
            <w:pPr>
              <w:spacing w:after="0"/>
              <w:rPr>
                <w:sz w:val="24"/>
                <w:szCs w:val="24"/>
                <w:color w:val="auto"/>
              </w:rPr>
            </w:pPr>
          </w:p>
        </w:tc>
        <w:tc>
          <w:tcPr>
            <w:tcW w:w="218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0"/>
              </w:rPr>
              <w:t>Item 1. - Financial Statements</w:t>
            </w:r>
          </w:p>
        </w:tc>
        <w:tc>
          <w:tcPr>
            <w:tcW w:w="7800" w:type="dxa"/>
            <w:vAlign w:val="bottom"/>
            <w:gridSpan w:val="14"/>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2"/>
        </w:trPr>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100" w:type="dxa"/>
            <w:vAlign w:val="bottom"/>
            <w:tcBorders>
              <w:bottom w:val="single" w:sz="8" w:color="0000EE"/>
            </w:tcBorders>
            <w:gridSpan w:val="14"/>
          </w:tcPr>
          <w:p>
            <w:pPr>
              <w:spacing w:after="0"/>
              <w:rPr>
                <w:sz w:val="20"/>
                <w:szCs w:val="20"/>
                <w:color w:val="auto"/>
              </w:rPr>
            </w:pPr>
            <w:r>
              <w:rPr>
                <w:rFonts w:ascii="Arial" w:cs="Arial" w:eastAsia="Arial" w:hAnsi="Arial"/>
                <w:sz w:val="18"/>
                <w:szCs w:val="18"/>
                <w:color w:val="0000EE"/>
                <w:w w:val="89"/>
              </w:rPr>
              <w:t>Consolidated Balance Sheets – March 31, 2023 (Unaudited) and December 31, 2022</w:t>
            </w:r>
          </w:p>
        </w:tc>
        <w:tc>
          <w:tcPr>
            <w:tcW w:w="3520" w:type="dxa"/>
            <w:vAlign w:val="bottom"/>
            <w:gridSpan w:val="6"/>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196"/>
        </w:trPr>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340" w:type="dxa"/>
            <w:vAlign w:val="bottom"/>
            <w:tcBorders>
              <w:bottom w:val="single" w:sz="8" w:color="0000EE"/>
            </w:tcBorders>
            <w:gridSpan w:val="16"/>
          </w:tcPr>
          <w:p>
            <w:pPr>
              <w:spacing w:after="0" w:line="196" w:lineRule="exact"/>
              <w:rPr>
                <w:sz w:val="20"/>
                <w:szCs w:val="20"/>
                <w:color w:val="auto"/>
              </w:rPr>
            </w:pPr>
            <w:r>
              <w:rPr>
                <w:rFonts w:ascii="Arial" w:cs="Arial" w:eastAsia="Arial" w:hAnsi="Arial"/>
                <w:sz w:val="18"/>
                <w:szCs w:val="18"/>
                <w:color w:val="0000EE"/>
                <w:w w:val="90"/>
              </w:rPr>
              <w:t>Consolidated Statements of Operations (Unaudited) – Three Months Ended March 31, 2023 and 2022</w:t>
            </w:r>
          </w:p>
        </w:tc>
        <w:tc>
          <w:tcPr>
            <w:tcW w:w="2280" w:type="dxa"/>
            <w:vAlign w:val="bottom"/>
            <w:gridSpan w:val="4"/>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20" w:type="dxa"/>
            <w:vAlign w:val="bottom"/>
            <w:gridSpan w:val="20"/>
          </w:tcPr>
          <w:p>
            <w:pPr>
              <w:spacing w:after="0" w:line="196" w:lineRule="exact"/>
              <w:rPr>
                <w:sz w:val="20"/>
                <w:szCs w:val="20"/>
                <w:color w:val="auto"/>
              </w:rPr>
            </w:pPr>
            <w:r>
              <w:rPr>
                <w:rFonts w:ascii="Arial" w:cs="Arial" w:eastAsia="Arial" w:hAnsi="Arial"/>
                <w:sz w:val="18"/>
                <w:szCs w:val="18"/>
                <w:color w:val="0000EE"/>
                <w:w w:val="99"/>
              </w:rPr>
              <w:t>Consolidated Statements of Comprehensive Income (Loss) (Unaudited) – Three Months Ended March 31, 2023 and 2022</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920" w:type="dxa"/>
            <w:vAlign w:val="bottom"/>
            <w:tcBorders>
              <w:bottom w:val="single" w:sz="8" w:color="0000EE"/>
            </w:tcBorders>
            <w:gridSpan w:val="19"/>
          </w:tcPr>
          <w:p>
            <w:pPr>
              <w:spacing w:after="0" w:line="196" w:lineRule="exact"/>
              <w:rPr>
                <w:sz w:val="20"/>
                <w:szCs w:val="20"/>
                <w:color w:val="auto"/>
              </w:rPr>
            </w:pPr>
            <w:r>
              <w:rPr>
                <w:rFonts w:ascii="Arial" w:cs="Arial" w:eastAsia="Arial" w:hAnsi="Arial"/>
                <w:sz w:val="18"/>
                <w:szCs w:val="18"/>
                <w:color w:val="0000EE"/>
                <w:w w:val="90"/>
              </w:rPr>
              <w:t>Consolidated Statements of Changes in Shareholders’ Equity (Unaudited) – Three Months Ended March 31, 2023 and 2022</w:t>
            </w:r>
          </w:p>
        </w:tc>
        <w:tc>
          <w:tcPr>
            <w:tcW w:w="70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20" w:type="dxa"/>
            <w:vAlign w:val="bottom"/>
            <w:gridSpan w:val="20"/>
          </w:tcPr>
          <w:p>
            <w:pPr>
              <w:spacing w:after="0" w:line="196" w:lineRule="exact"/>
              <w:rPr>
                <w:sz w:val="20"/>
                <w:szCs w:val="20"/>
                <w:color w:val="auto"/>
              </w:rPr>
            </w:pPr>
            <w:r>
              <w:rPr>
                <w:rFonts w:ascii="Arial" w:cs="Arial" w:eastAsia="Arial" w:hAnsi="Arial"/>
                <w:sz w:val="18"/>
                <w:szCs w:val="18"/>
                <w:color w:val="0000EE"/>
              </w:rPr>
              <w:t>Consolidated Statements of Cash Flows (Unaudited) – Three Months Ended March 31, 2023 and 2022</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960" w:type="dxa"/>
            <w:vAlign w:val="bottom"/>
            <w:tcBorders>
              <w:top w:val="single" w:sz="8" w:color="0000EE"/>
              <w:bottom w:val="single" w:sz="8" w:color="0000EE"/>
            </w:tcBorders>
            <w:gridSpan w:val="11"/>
          </w:tcPr>
          <w:p>
            <w:pPr>
              <w:spacing w:after="0" w:line="196" w:lineRule="exact"/>
              <w:rPr>
                <w:sz w:val="20"/>
                <w:szCs w:val="20"/>
                <w:color w:val="auto"/>
              </w:rPr>
            </w:pPr>
            <w:r>
              <w:rPr>
                <w:rFonts w:ascii="Arial" w:cs="Arial" w:eastAsia="Arial" w:hAnsi="Arial"/>
                <w:sz w:val="18"/>
                <w:szCs w:val="18"/>
                <w:color w:val="0000EE"/>
                <w:w w:val="90"/>
              </w:rPr>
              <w:t>Notes to Unaudited Consolidated Financial Statements</w:t>
            </w:r>
          </w:p>
        </w:tc>
        <w:tc>
          <w:tcPr>
            <w:tcW w:w="3420" w:type="dxa"/>
            <w:vAlign w:val="bottom"/>
            <w:tcBorders>
              <w:top w:val="single" w:sz="8" w:color="0000EE"/>
            </w:tcBorders>
            <w:gridSpan w:val="6"/>
          </w:tcPr>
          <w:p>
            <w:pPr>
              <w:spacing w:after="0"/>
              <w:rPr>
                <w:sz w:val="17"/>
                <w:szCs w:val="17"/>
                <w:color w:val="auto"/>
              </w:rPr>
            </w:pPr>
          </w:p>
        </w:tc>
        <w:tc>
          <w:tcPr>
            <w:tcW w:w="2240" w:type="dxa"/>
            <w:vAlign w:val="bottom"/>
            <w:gridSpan w:val="3"/>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412"/>
        </w:trPr>
        <w:tc>
          <w:tcPr>
            <w:tcW w:w="360" w:type="dxa"/>
            <w:vAlign w:val="bottom"/>
          </w:tcPr>
          <w:p>
            <w:pPr>
              <w:spacing w:after="0"/>
              <w:rPr>
                <w:sz w:val="24"/>
                <w:szCs w:val="24"/>
                <w:color w:val="auto"/>
              </w:rPr>
            </w:pPr>
          </w:p>
        </w:tc>
        <w:tc>
          <w:tcPr>
            <w:tcW w:w="9980" w:type="dxa"/>
            <w:vAlign w:val="bottom"/>
            <w:gridSpan w:val="21"/>
          </w:tcPr>
          <w:p>
            <w:pPr>
              <w:spacing w:after="0"/>
              <w:rPr>
                <w:sz w:val="20"/>
                <w:szCs w:val="20"/>
                <w:color w:val="auto"/>
              </w:rPr>
            </w:pPr>
            <w:r>
              <w:rPr>
                <w:rFonts w:ascii="Arial" w:cs="Arial" w:eastAsia="Arial" w:hAnsi="Arial"/>
                <w:sz w:val="18"/>
                <w:szCs w:val="18"/>
                <w:color w:val="0000EE"/>
              </w:rPr>
              <w:t>Item 2. - Management’s Discussion and Analysis of Financial Condition and Results of Operations</w:t>
            </w:r>
          </w:p>
        </w:tc>
        <w:tc>
          <w:tcPr>
            <w:tcW w:w="9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196"/>
        </w:trPr>
        <w:tc>
          <w:tcPr>
            <w:tcW w:w="360" w:type="dxa"/>
            <w:vAlign w:val="bottom"/>
          </w:tcPr>
          <w:p>
            <w:pPr>
              <w:spacing w:after="0"/>
              <w:rPr>
                <w:sz w:val="17"/>
                <w:szCs w:val="17"/>
                <w:color w:val="auto"/>
              </w:rPr>
            </w:pPr>
          </w:p>
        </w:tc>
        <w:tc>
          <w:tcPr>
            <w:tcW w:w="4980" w:type="dxa"/>
            <w:vAlign w:val="bottom"/>
            <w:tcBorders>
              <w:top w:val="single" w:sz="8" w:color="0000EE"/>
              <w:bottom w:val="single" w:sz="8" w:color="0000EE"/>
            </w:tcBorders>
            <w:gridSpan w:val="13"/>
          </w:tcPr>
          <w:p>
            <w:pPr>
              <w:spacing w:after="0" w:line="196" w:lineRule="exact"/>
              <w:rPr>
                <w:sz w:val="20"/>
                <w:szCs w:val="20"/>
                <w:color w:val="auto"/>
              </w:rPr>
            </w:pPr>
            <w:r>
              <w:rPr>
                <w:rFonts w:ascii="Arial" w:cs="Arial" w:eastAsia="Arial" w:hAnsi="Arial"/>
                <w:sz w:val="18"/>
                <w:szCs w:val="18"/>
                <w:color w:val="0000EE"/>
                <w:w w:val="91"/>
              </w:rPr>
              <w:t>Item 3. - Quantitative and Qualitative Disclosures about Market Risk</w:t>
            </w:r>
          </w:p>
        </w:tc>
        <w:tc>
          <w:tcPr>
            <w:tcW w:w="2140" w:type="dxa"/>
            <w:vAlign w:val="bottom"/>
            <w:tcBorders>
              <w:top w:val="single" w:sz="8" w:color="0000EE"/>
            </w:tcBorders>
            <w:gridSpan w:val="3"/>
          </w:tcPr>
          <w:p>
            <w:pPr>
              <w:spacing w:after="0"/>
              <w:rPr>
                <w:sz w:val="17"/>
                <w:szCs w:val="17"/>
                <w:color w:val="auto"/>
              </w:rPr>
            </w:pPr>
          </w:p>
        </w:tc>
        <w:tc>
          <w:tcPr>
            <w:tcW w:w="2860" w:type="dxa"/>
            <w:vAlign w:val="bottom"/>
            <w:gridSpan w:val="5"/>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196"/>
        </w:trPr>
        <w:tc>
          <w:tcPr>
            <w:tcW w:w="360" w:type="dxa"/>
            <w:vAlign w:val="bottom"/>
          </w:tcPr>
          <w:p>
            <w:pPr>
              <w:spacing w:after="0"/>
              <w:rPr>
                <w:sz w:val="17"/>
                <w:szCs w:val="17"/>
                <w:color w:val="auto"/>
              </w:rPr>
            </w:pPr>
          </w:p>
        </w:tc>
        <w:tc>
          <w:tcPr>
            <w:tcW w:w="2440" w:type="dxa"/>
            <w:vAlign w:val="bottom"/>
            <w:tcBorders>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89"/>
              </w:rPr>
              <w:t>Item 4. - Controls and Procedures</w:t>
            </w:r>
          </w:p>
        </w:tc>
        <w:tc>
          <w:tcPr>
            <w:tcW w:w="7540" w:type="dxa"/>
            <w:vAlign w:val="bottom"/>
            <w:gridSpan w:val="13"/>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412"/>
        </w:trPr>
        <w:tc>
          <w:tcPr>
            <w:tcW w:w="10340" w:type="dxa"/>
            <w:vAlign w:val="bottom"/>
            <w:gridSpan w:val="22"/>
          </w:tcPr>
          <w:p>
            <w:pPr>
              <w:spacing w:after="0"/>
              <w:rPr>
                <w:sz w:val="20"/>
                <w:szCs w:val="20"/>
                <w:color w:val="auto"/>
              </w:rPr>
            </w:pPr>
            <w:r>
              <w:rPr>
                <w:rFonts w:ascii="Arial" w:cs="Arial" w:eastAsia="Arial" w:hAnsi="Arial"/>
                <w:sz w:val="18"/>
                <w:szCs w:val="18"/>
                <w:color w:val="0000EE"/>
              </w:rPr>
              <w:t>Part II. - OTHER INFORMATION</w:t>
            </w:r>
          </w:p>
        </w:tc>
        <w:tc>
          <w:tcPr>
            <w:tcW w:w="9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412"/>
        </w:trPr>
        <w:tc>
          <w:tcPr>
            <w:tcW w:w="360" w:type="dxa"/>
            <w:vAlign w:val="bottom"/>
            <w:tcBorders>
              <w:top w:val="single" w:sz="8" w:color="0000EE"/>
            </w:tcBorders>
          </w:tcPr>
          <w:p>
            <w:pPr>
              <w:spacing w:after="0"/>
              <w:rPr>
                <w:sz w:val="24"/>
                <w:szCs w:val="24"/>
                <w:color w:val="auto"/>
              </w:rPr>
            </w:pPr>
          </w:p>
        </w:tc>
        <w:tc>
          <w:tcPr>
            <w:tcW w:w="2180" w:type="dxa"/>
            <w:vAlign w:val="bottom"/>
            <w:tcBorders>
              <w:top w:val="single" w:sz="8" w:color="0000EE"/>
            </w:tcBorders>
            <w:gridSpan w:val="7"/>
          </w:tcPr>
          <w:p>
            <w:pPr>
              <w:spacing w:after="0"/>
              <w:rPr>
                <w:sz w:val="20"/>
                <w:szCs w:val="20"/>
                <w:color w:val="auto"/>
              </w:rPr>
            </w:pPr>
            <w:r>
              <w:rPr>
                <w:rFonts w:ascii="Arial" w:cs="Arial" w:eastAsia="Arial" w:hAnsi="Arial"/>
                <w:sz w:val="18"/>
                <w:szCs w:val="18"/>
                <w:color w:val="0000EE"/>
                <w:w w:val="98"/>
              </w:rPr>
              <w:t>Item 1. - Legal Proceedings</w:t>
            </w:r>
          </w:p>
        </w:tc>
        <w:tc>
          <w:tcPr>
            <w:tcW w:w="7800" w:type="dxa"/>
            <w:vAlign w:val="bottom"/>
            <w:gridSpan w:val="14"/>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196"/>
        </w:trPr>
        <w:tc>
          <w:tcPr>
            <w:tcW w:w="360" w:type="dxa"/>
            <w:vAlign w:val="bottom"/>
          </w:tcPr>
          <w:p>
            <w:pPr>
              <w:spacing w:after="0"/>
              <w:rPr>
                <w:sz w:val="17"/>
                <w:szCs w:val="17"/>
                <w:color w:val="auto"/>
              </w:rPr>
            </w:pPr>
          </w:p>
        </w:tc>
        <w:tc>
          <w:tcPr>
            <w:tcW w:w="2000" w:type="dxa"/>
            <w:vAlign w:val="bottom"/>
            <w:tcBorders>
              <w:top w:val="single" w:sz="8" w:color="0000EE"/>
            </w:tcBorders>
            <w:gridSpan w:val="6"/>
          </w:tcPr>
          <w:p>
            <w:pPr>
              <w:spacing w:after="0" w:line="196" w:lineRule="exact"/>
              <w:rPr>
                <w:sz w:val="20"/>
                <w:szCs w:val="20"/>
                <w:color w:val="auto"/>
              </w:rPr>
            </w:pPr>
            <w:r>
              <w:rPr>
                <w:rFonts w:ascii="Arial" w:cs="Arial" w:eastAsia="Arial" w:hAnsi="Arial"/>
                <w:sz w:val="18"/>
                <w:szCs w:val="18"/>
                <w:color w:val="0000EE"/>
              </w:rPr>
              <w:t>Item 1A. - Risk Factors</w:t>
            </w:r>
          </w:p>
        </w:tc>
        <w:tc>
          <w:tcPr>
            <w:tcW w:w="7980" w:type="dxa"/>
            <w:vAlign w:val="bottom"/>
            <w:gridSpan w:val="15"/>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20"/>
        </w:trPr>
        <w:tc>
          <w:tcPr>
            <w:tcW w:w="36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gridSpan w:val="6"/>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4960" w:type="dxa"/>
            <w:vAlign w:val="bottom"/>
            <w:gridSpan w:val="7"/>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5020" w:type="dxa"/>
            <w:vAlign w:val="bottom"/>
            <w:tcBorders>
              <w:bottom w:val="single" w:sz="8" w:color="0000EE"/>
            </w:tcBorders>
            <w:gridSpan w:val="14"/>
          </w:tcPr>
          <w:p>
            <w:pPr>
              <w:spacing w:after="0" w:line="196" w:lineRule="exact"/>
              <w:rPr>
                <w:sz w:val="20"/>
                <w:szCs w:val="20"/>
                <w:color w:val="auto"/>
              </w:rPr>
            </w:pPr>
            <w:r>
              <w:rPr>
                <w:rFonts w:ascii="Arial" w:cs="Arial" w:eastAsia="Arial" w:hAnsi="Arial"/>
                <w:sz w:val="18"/>
                <w:szCs w:val="18"/>
                <w:color w:val="0000EE"/>
                <w:w w:val="89"/>
              </w:rPr>
              <w:t>Item 2. - Unregistered Sales of Equity Securities and Use of Proceeds</w:t>
            </w:r>
          </w:p>
        </w:tc>
        <w:tc>
          <w:tcPr>
            <w:tcW w:w="4960" w:type="dxa"/>
            <w:vAlign w:val="bottom"/>
            <w:gridSpan w:val="7"/>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196"/>
        </w:trPr>
        <w:tc>
          <w:tcPr>
            <w:tcW w:w="360" w:type="dxa"/>
            <w:vAlign w:val="bottom"/>
          </w:tcPr>
          <w:p>
            <w:pPr>
              <w:spacing w:after="0"/>
              <w:rPr>
                <w:sz w:val="17"/>
                <w:szCs w:val="17"/>
                <w:color w:val="auto"/>
              </w:rPr>
            </w:pPr>
          </w:p>
        </w:tc>
        <w:tc>
          <w:tcPr>
            <w:tcW w:w="2960" w:type="dxa"/>
            <w:vAlign w:val="bottom"/>
            <w:tcBorders>
              <w:bottom w:val="single" w:sz="8" w:color="0000EE"/>
            </w:tcBorders>
            <w:gridSpan w:val="11"/>
          </w:tcPr>
          <w:p>
            <w:pPr>
              <w:spacing w:after="0" w:line="196" w:lineRule="exact"/>
              <w:rPr>
                <w:sz w:val="20"/>
                <w:szCs w:val="20"/>
                <w:color w:val="auto"/>
              </w:rPr>
            </w:pPr>
            <w:r>
              <w:rPr>
                <w:rFonts w:ascii="Arial" w:cs="Arial" w:eastAsia="Arial" w:hAnsi="Arial"/>
                <w:sz w:val="18"/>
                <w:szCs w:val="18"/>
                <w:color w:val="0000EE"/>
                <w:w w:val="90"/>
              </w:rPr>
              <w:t>Item 3. - Defaults upon Senior Securities</w:t>
            </w:r>
          </w:p>
        </w:tc>
        <w:tc>
          <w:tcPr>
            <w:tcW w:w="7020" w:type="dxa"/>
            <w:vAlign w:val="bottom"/>
            <w:gridSpan w:val="10"/>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196"/>
        </w:trPr>
        <w:tc>
          <w:tcPr>
            <w:tcW w:w="360" w:type="dxa"/>
            <w:vAlign w:val="bottom"/>
          </w:tcPr>
          <w:p>
            <w:pPr>
              <w:spacing w:after="0"/>
              <w:rPr>
                <w:sz w:val="17"/>
                <w:szCs w:val="17"/>
                <w:color w:val="auto"/>
              </w:rPr>
            </w:pPr>
          </w:p>
        </w:tc>
        <w:tc>
          <w:tcPr>
            <w:tcW w:w="2440" w:type="dxa"/>
            <w:vAlign w:val="bottom"/>
            <w:tcBorders>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91"/>
              </w:rPr>
              <w:t>Item 4. - Mine Safety Disclosures</w:t>
            </w:r>
          </w:p>
        </w:tc>
        <w:tc>
          <w:tcPr>
            <w:tcW w:w="7540" w:type="dxa"/>
            <w:vAlign w:val="bottom"/>
            <w:gridSpan w:val="13"/>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196"/>
        </w:trPr>
        <w:tc>
          <w:tcPr>
            <w:tcW w:w="360" w:type="dxa"/>
            <w:vAlign w:val="bottom"/>
          </w:tcPr>
          <w:p>
            <w:pPr>
              <w:spacing w:after="0"/>
              <w:rPr>
                <w:sz w:val="17"/>
                <w:szCs w:val="17"/>
                <w:color w:val="auto"/>
              </w:rPr>
            </w:pPr>
          </w:p>
        </w:tc>
        <w:tc>
          <w:tcPr>
            <w:tcW w:w="9980" w:type="dxa"/>
            <w:vAlign w:val="bottom"/>
            <w:gridSpan w:val="21"/>
          </w:tcPr>
          <w:p>
            <w:pPr>
              <w:spacing w:after="0" w:line="196" w:lineRule="exact"/>
              <w:rPr>
                <w:sz w:val="20"/>
                <w:szCs w:val="20"/>
                <w:color w:val="auto"/>
              </w:rPr>
            </w:pPr>
            <w:r>
              <w:rPr>
                <w:rFonts w:ascii="Arial" w:cs="Arial" w:eastAsia="Arial" w:hAnsi="Arial"/>
                <w:sz w:val="18"/>
                <w:szCs w:val="18"/>
                <w:color w:val="0000EE"/>
              </w:rPr>
              <w:t>Item 5. - Other Information</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196"/>
        </w:trPr>
        <w:tc>
          <w:tcPr>
            <w:tcW w:w="360" w:type="dxa"/>
            <w:vAlign w:val="bottom"/>
          </w:tcPr>
          <w:p>
            <w:pPr>
              <w:spacing w:after="0"/>
              <w:rPr>
                <w:sz w:val="17"/>
                <w:szCs w:val="17"/>
                <w:color w:val="auto"/>
              </w:rPr>
            </w:pPr>
          </w:p>
        </w:tc>
        <w:tc>
          <w:tcPr>
            <w:tcW w:w="1980" w:type="dxa"/>
            <w:vAlign w:val="bottom"/>
            <w:tcBorders>
              <w:top w:val="single" w:sz="8" w:color="0000EE"/>
            </w:tcBorders>
            <w:gridSpan w:val="5"/>
          </w:tcPr>
          <w:p>
            <w:pPr>
              <w:spacing w:after="0" w:line="196" w:lineRule="exact"/>
              <w:rPr>
                <w:sz w:val="20"/>
                <w:szCs w:val="20"/>
                <w:color w:val="auto"/>
              </w:rPr>
            </w:pPr>
            <w:r>
              <w:rPr>
                <w:rFonts w:ascii="Arial" w:cs="Arial" w:eastAsia="Arial" w:hAnsi="Arial"/>
                <w:sz w:val="18"/>
                <w:szCs w:val="18"/>
                <w:color w:val="0000EE"/>
              </w:rPr>
              <w:t>Item 6. - Exhibits</w:t>
            </w:r>
          </w:p>
        </w:tc>
        <w:tc>
          <w:tcPr>
            <w:tcW w:w="8000" w:type="dxa"/>
            <w:vAlign w:val="bottom"/>
            <w:gridSpan w:val="16"/>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196"/>
        </w:trPr>
        <w:tc>
          <w:tcPr>
            <w:tcW w:w="360" w:type="dxa"/>
            <w:vAlign w:val="bottom"/>
          </w:tcPr>
          <w:p>
            <w:pPr>
              <w:spacing w:after="0"/>
              <w:rPr>
                <w:sz w:val="17"/>
                <w:szCs w:val="17"/>
                <w:color w:val="auto"/>
              </w:rPr>
            </w:pPr>
          </w:p>
        </w:tc>
        <w:tc>
          <w:tcPr>
            <w:tcW w:w="1260" w:type="dxa"/>
            <w:vAlign w:val="bottom"/>
            <w:tcBorders>
              <w:top w:val="single" w:sz="8" w:color="0000EE"/>
            </w:tcBorders>
            <w:gridSpan w:val="3"/>
          </w:tcPr>
          <w:p>
            <w:pPr>
              <w:spacing w:after="0" w:line="196" w:lineRule="exact"/>
              <w:rPr>
                <w:sz w:val="20"/>
                <w:szCs w:val="20"/>
                <w:color w:val="auto"/>
              </w:rPr>
            </w:pPr>
            <w:r>
              <w:rPr>
                <w:rFonts w:ascii="Arial" w:cs="Arial" w:eastAsia="Arial" w:hAnsi="Arial"/>
                <w:sz w:val="18"/>
                <w:szCs w:val="18"/>
                <w:color w:val="0000EE"/>
              </w:rPr>
              <w:t>Signatures</w:t>
            </w:r>
          </w:p>
        </w:tc>
        <w:tc>
          <w:tcPr>
            <w:tcW w:w="8720" w:type="dxa"/>
            <w:vAlign w:val="bottom"/>
            <w:gridSpan w:val="18"/>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20"/>
        </w:trPr>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33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IMPORTANT INFORMATION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Unless the context otherwise requires, as used in this Quarterly Report on Form 10-Q (“Form 10-Q”):</w:t>
      </w:r>
    </w:p>
    <w:p>
      <w:pPr>
        <w:spacing w:after="0" w:line="185" w:lineRule="exact"/>
        <w:rPr>
          <w:sz w:val="20"/>
          <w:szCs w:val="20"/>
          <w:color w:val="auto"/>
        </w:rPr>
      </w:pPr>
    </w:p>
    <w:p>
      <w:pPr>
        <w:ind w:left="660" w:hanging="328"/>
        <w:spacing w:after="0" w:line="301"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“NI Holdings”, “the Company”, “we”, “us”, and “our” refer to NI Holdings, Inc., together with Nodak Insurance Company and its subsidiaries and its affiliate (Battle Creek Mutual Insurance Company), Direct Auto Insurance Company (acquired August 31, 2018), and Westminster American Insurance Company (acquired January 1, 2020), for periods discussed after completion of the conversion, and for periods discussed prior to completion of the conversion refer to Nodak Mutual Insurance Company and all of its subsidiaries and Battle Creek Mutual Insurance Company;</w:t>
      </w:r>
    </w:p>
    <w:p>
      <w:pPr>
        <w:spacing w:after="0" w:line="130" w:lineRule="exact"/>
        <w:rPr>
          <w:rFonts w:ascii="Arial" w:cs="Arial" w:eastAsia="Arial" w:hAnsi="Arial"/>
          <w:sz w:val="16"/>
          <w:szCs w:val="16"/>
          <w:color w:val="auto"/>
        </w:rPr>
      </w:pPr>
    </w:p>
    <w:p>
      <w:pPr>
        <w:ind w:left="660" w:right="20" w:hanging="328"/>
        <w:spacing w:after="0" w:line="26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“conversion” refers to the series of transactions consummated on March 13, 2017 by which Nodak Mutual Insurance Company converted from a mutual insurance company to a stock insurance company, as Nodak Insurance Company, and became a wholly-owned subsidiary of NI Holdings, an intermediate stock holding company formed on the date of conversion;</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“Nodak Mutual Group” refers to Nodak Mutual Group, Inc., which is the majority shareholder of NI Holdings;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“Nodak Mutual” refers to Nodak Mutual Insurance Company, the predecessor company to Nodak Insurance Company prior to the conversion;</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“Nodak Insurance” refers to Nodak Insurance Company or Nodak Mutual Insurance Company interchangeably;</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“members” refers to the policyholders of Nodak Insurance, who are the named insureds under insurance policies issued by Nodak Insurance;</w:t>
      </w:r>
    </w:p>
    <w:p>
      <w:pPr>
        <w:spacing w:after="0" w:line="207" w:lineRule="exact"/>
        <w:rPr>
          <w:rFonts w:ascii="Arial" w:cs="Arial" w:eastAsia="Arial" w:hAnsi="Arial"/>
          <w:sz w:val="16"/>
          <w:szCs w:val="16"/>
          <w:color w:val="auto"/>
        </w:rPr>
      </w:pPr>
    </w:p>
    <w:p>
      <w:pPr>
        <w:ind w:left="660" w:right="180" w:hanging="328"/>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“Battle Creek” refers to Battle Creek Mutual Insurance Company. Battle Creek became affiliated with Nodak Insurance in 2011, and Nodak Insurance provides underwriting, claims management, policy administration, and other administrative services to Battle Creek. Battle Creek is controlled by Nodak Insurance via a surplus note. The terms of the surplus note allow Nodak Insurance to appoint two-thirds of the Battle Creek Board of Directors;</w:t>
      </w:r>
    </w:p>
    <w:p>
      <w:pPr>
        <w:spacing w:after="0" w:line="159" w:lineRule="exact"/>
        <w:rPr>
          <w:rFonts w:ascii="Arial" w:cs="Arial" w:eastAsia="Arial" w:hAnsi="Arial"/>
          <w:sz w:val="18"/>
          <w:szCs w:val="18"/>
          <w:color w:val="auto"/>
        </w:rPr>
      </w:pPr>
    </w:p>
    <w:p>
      <w:pPr>
        <w:ind w:left="660" w:right="340" w:hanging="328"/>
        <w:spacing w:after="0" w:line="311"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“Direct Auto” refers to Direct Auto Insurance Company. On August 31, 2018, NI Holdings completed the acquisition of 100% of the common stock of Direct Auto from the private shareholders of Direct Auto. Direct Auto became a consolidated subsidiary of NI Holdings on this date. Direct Auto is a property and casualty insurance company specializing in non-standard automobile insurance in the state of Illinois;</w:t>
      </w:r>
    </w:p>
    <w:p>
      <w:pPr>
        <w:spacing w:after="0" w:line="108"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“American West” refers to American West Insurance Company. American West is a wholly-owned subsidiary of Nodak Insurance;</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“Primero” refers to Primero Insurance Company. Primero is an indirect, wholly-owned subsidiary of Nodak Insurance;</w:t>
      </w:r>
    </w:p>
    <w:p>
      <w:pPr>
        <w:spacing w:after="0" w:line="198" w:lineRule="exact"/>
        <w:rPr>
          <w:rFonts w:ascii="Arial" w:cs="Arial" w:eastAsia="Arial" w:hAnsi="Arial"/>
          <w:sz w:val="18"/>
          <w:szCs w:val="18"/>
          <w:color w:val="auto"/>
        </w:rPr>
      </w:pPr>
    </w:p>
    <w:p>
      <w:pPr>
        <w:jc w:val="both"/>
        <w:ind w:left="660" w:right="220" w:hanging="328"/>
        <w:spacing w:after="0" w:line="311"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“Westminster” refers to Westminster American Insurance Company. On January 1, 2020, NI Holdings completed the acquisition of 100% of the common stock of Westminster from the private shareholder of Westminster, and Westminster became a consolidated subsidiary of NI Holdings. Westminster is a property and casualty insurance company specializing in commercial multi-peril insurance in the Mid-Atlantic states; and</w:t>
      </w:r>
    </w:p>
    <w:p>
      <w:pPr>
        <w:spacing w:after="0" w:line="108"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“Nodak Agency” refers to Nodak Agency, Inc. Nodak Agency is a wholly-owned subsidiary of Nodak Insurance.</w:t>
      </w:r>
    </w:p>
    <w:p>
      <w:pPr>
        <w:spacing w:after="0" w:line="18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00" w:lineRule="exact"/>
        <w:rPr>
          <w:sz w:val="20"/>
          <w:szCs w:val="20"/>
          <w:color w:val="auto"/>
        </w:rPr>
      </w:pPr>
    </w:p>
    <w:p>
      <w:pPr>
        <w:spacing w:after="0" w:line="25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This report contains, and management may make, certain “forward-looking statements” within the meaning of the Private Securities Litigation Reform Act of 1995. All statements, other than statements of historical facts, may be forward-looking statements. Words such as “may”, “will”, “should”, “likely”, “anticipates”, “expects”, “intends”, “plans”, “projects”, “believes”, “views”, “estimates”, and similar expressions are used to identify these forward-looking statements. These statements include, among other things, the Company’s statements about:</w:t>
      </w:r>
    </w:p>
    <w:p>
      <w:pPr>
        <w:spacing w:after="0" w:line="160"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anticipated operating and financial performance, business plans, and prospects;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strategic reviews, capital allocation objectives, dividends, and share repurchases;</w:t>
      </w:r>
    </w:p>
    <w:p>
      <w:pPr>
        <w:spacing w:after="0" w:line="184"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plans for and prospects of acquisitions, dispositions, and other business development activities, and our ability to successfully capitalize on these opportunities;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a future pandemic and related economic conditions, including the potential impact on the Company's investments;</w:t>
      </w:r>
    </w:p>
    <w:p>
      <w:pPr>
        <w:spacing w:after="0" w:line="184" w:lineRule="exact"/>
        <w:rPr>
          <w:rFonts w:ascii="Arial" w:cs="Arial" w:eastAsia="Arial" w:hAnsi="Arial"/>
          <w:sz w:val="18"/>
          <w:szCs w:val="18"/>
          <w:color w:val="auto"/>
        </w:rPr>
      </w:pPr>
    </w:p>
    <w:p>
      <w:pPr>
        <w:ind w:left="660" w:right="42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enter new markets successfully and capitalize on growth opportunities either through acquisitions or the expansion of our agent network;</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cyclical changes in the insurance industry, competition, and innovation and emerging technologies;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for impact of or changes to existing or new government regulations or laws;</w:t>
      </w:r>
    </w:p>
    <w:p>
      <w:pPr>
        <w:spacing w:after="0" w:line="184"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anticipate and respond to macroeconomic, geopolitical, health and industry trends, pandemics, acts of war, and other large-scale crises;</w:t>
      </w:r>
    </w:p>
    <w:p>
      <w:pPr>
        <w:spacing w:after="0" w:line="129"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developments in general economic conditions, domestic and global financial markets, interest rate, unemployment, or inflation, that could affect the performance of our insurance operations and/or investment portfolio; and</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effectively manage future growth, including additional necessary capital, systems, and personnel.</w:t>
      </w:r>
    </w:p>
    <w:p>
      <w:pPr>
        <w:spacing w:after="0" w:line="18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Given their nature, we cannot assure that any outcome expressed in these or other forward-looking statements will be realized in whole or in part. Actual outcomes may vary materially from past results and those anticipated, estimated, implied, or projected. These forward-looking statements may be affected by underlying assumptions that may prove inaccurate or incomplete, or by known or unknown risks and uncertainties, including those described in Part II, Item 1A, “Risk Factors” of this Form 10-Q and in the Part I, Item 1A, “Risk Factors” section in our Annual Report on Form 10-K for the year ended December 31, 2022 (“2022 Annual Report”). The occurrence of any of the risks identified in the Part I, Item 1A, “Risk Factors” section of the 2022 Annual Report, or other risks currently unknown, could have a material adverse effect on our business, financial condition or results of operations, or we may be required to increase our accruals for contingencies. It is not possible to predict or identify all such factors. Consequently, you should not consider such discussion to be a complete discussion of all potential risks or uncertainties.</w:t>
      </w:r>
    </w:p>
    <w:p>
      <w:pPr>
        <w:spacing w:after="0" w:line="138" w:lineRule="exact"/>
        <w:rPr>
          <w:sz w:val="20"/>
          <w:szCs w:val="20"/>
          <w:color w:val="auto"/>
        </w:rPr>
      </w:pPr>
    </w:p>
    <w:p>
      <w:pPr>
        <w:jc w:val="both"/>
        <w:ind w:right="500"/>
        <w:spacing w:after="0" w:line="286" w:lineRule="auto"/>
        <w:rPr>
          <w:sz w:val="20"/>
          <w:szCs w:val="20"/>
          <w:color w:val="auto"/>
        </w:rPr>
      </w:pPr>
      <w:r>
        <w:rPr>
          <w:rFonts w:ascii="Arial" w:cs="Arial" w:eastAsia="Arial" w:hAnsi="Arial"/>
          <w:sz w:val="17"/>
          <w:szCs w:val="17"/>
          <w:color w:val="auto"/>
        </w:rPr>
        <w:t>Therefore, you are cautioned not to unduly rely on forward-looking statements, which speak only as of the date of this Form 10-Q. We undertake no obligation to update forward-looking statements, whether as a result of new information, future events or otherwise, except as required by applicable securities law. You are advised, however, to consult any further disclosures we make on related subjects.</w:t>
      </w:r>
    </w:p>
    <w:p>
      <w:pPr>
        <w:spacing w:after="0" w:line="13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Arial" w:cs="Arial" w:eastAsia="Arial" w:hAnsi="Arial"/>
                <w:sz w:val="18"/>
                <w:szCs w:val="18"/>
                <w:i w:val="1"/>
                <w:iCs w:val="1"/>
                <w:color w:val="0000EE"/>
              </w:rPr>
              <w:t>Table of Contents</w:t>
            </w: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1280" w:type="dxa"/>
            <w:vAlign w:val="bottom"/>
            <w:tcBorders>
              <w:top w:val="single" w:sz="8" w:color="0000EE"/>
            </w:tcBorders>
          </w:tcPr>
          <w:p>
            <w:pPr>
              <w:spacing w:after="0"/>
              <w:rPr>
                <w:sz w:val="24"/>
                <w:szCs w:val="24"/>
                <w:color w:val="auto"/>
              </w:rPr>
            </w:pPr>
          </w:p>
        </w:tc>
        <w:tc>
          <w:tcPr>
            <w:tcW w:w="6720" w:type="dxa"/>
            <w:vAlign w:val="bottom"/>
          </w:tcPr>
          <w:p>
            <w:pPr>
              <w:ind w:left="2760"/>
              <w:spacing w:after="0"/>
              <w:rPr>
                <w:sz w:val="20"/>
                <w:szCs w:val="20"/>
                <w:color w:val="auto"/>
              </w:rPr>
            </w:pPr>
            <w:r>
              <w:rPr>
                <w:rFonts w:ascii="Arial" w:cs="Arial" w:eastAsia="Arial" w:hAnsi="Arial"/>
                <w:sz w:val="18"/>
                <w:szCs w:val="18"/>
                <w:b w:val="1"/>
                <w:bCs w:val="1"/>
                <w:color w:val="auto"/>
              </w:rPr>
              <w:t>PART I. - FINANCIAL INFORMATION</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Item 1. - Financial Statements</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NI Holdings, Inc.</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Consolidated Balance Sheets</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(dollar amounts in thousands, except par value)</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3"/>
              </w:rPr>
              <w:t>March 31, 2023</w:t>
            </w:r>
          </w:p>
        </w:tc>
        <w:tc>
          <w:tcPr>
            <w:tcW w:w="1640" w:type="dxa"/>
            <w:vAlign w:val="bottom"/>
            <w:gridSpan w:val="4"/>
          </w:tcPr>
          <w:p>
            <w:pPr>
              <w:ind w:left="80"/>
              <w:spacing w:after="0"/>
              <w:rPr>
                <w:sz w:val="20"/>
                <w:szCs w:val="20"/>
                <w:color w:val="auto"/>
              </w:rPr>
            </w:pPr>
            <w:r>
              <w:rPr>
                <w:rFonts w:ascii="Arial" w:cs="Arial" w:eastAsia="Arial" w:hAnsi="Arial"/>
                <w:sz w:val="18"/>
                <w:szCs w:val="18"/>
                <w:b w:val="1"/>
                <w:bCs w:val="1"/>
                <w:color w:val="auto"/>
                <w:w w:val="94"/>
              </w:rPr>
              <w:t>December 31, 2022</w:t>
            </w: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(Unaudited)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ind w:left="160"/>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61,285</w:t>
            </w:r>
          </w:p>
        </w:tc>
        <w:tc>
          <w:tcPr>
            <w:tcW w:w="5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47,002</w:t>
            </w:r>
          </w:p>
        </w:tc>
        <w:tc>
          <w:tcPr>
            <w:tcW w:w="0" w:type="dxa"/>
            <w:vAlign w:val="bottom"/>
          </w:tcPr>
          <w:p>
            <w:pPr>
              <w:spacing w:after="0"/>
              <w:rPr>
                <w:sz w:val="1"/>
                <w:szCs w:val="1"/>
                <w:color w:val="auto"/>
              </w:rPr>
            </w:pPr>
          </w:p>
        </w:tc>
      </w:tr>
      <w:tr>
        <w:trPr>
          <w:trHeight w:val="202"/>
        </w:trPr>
        <w:tc>
          <w:tcPr>
            <w:tcW w:w="800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w w:val="92"/>
              </w:rPr>
              <w:t>Fixed income securities, at fair value (net of allowance for expected credit losses of $0 at March 31, 2023,</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and $0 at December 31, 2022)</w:t>
            </w:r>
          </w:p>
        </w:tc>
        <w:tc>
          <w:tcPr>
            <w:tcW w:w="12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316,865</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303,324</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60"/>
              <w:spacing w:after="0"/>
              <w:rPr>
                <w:sz w:val="20"/>
                <w:szCs w:val="20"/>
                <w:color w:val="auto"/>
              </w:rPr>
            </w:pPr>
            <w:r>
              <w:rPr>
                <w:rFonts w:ascii="Arial" w:cs="Arial" w:eastAsia="Arial" w:hAnsi="Arial"/>
                <w:sz w:val="18"/>
                <w:szCs w:val="18"/>
                <w:color w:val="auto"/>
              </w:rPr>
              <w:t>Equity securities, at fair value</w:t>
            </w: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26,336</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52,393</w:t>
            </w:r>
          </w:p>
        </w:tc>
        <w:tc>
          <w:tcPr>
            <w:tcW w:w="0" w:type="dxa"/>
            <w:vAlign w:val="bottom"/>
          </w:tcPr>
          <w:p>
            <w:pPr>
              <w:spacing w:after="0"/>
              <w:rPr>
                <w:sz w:val="1"/>
                <w:szCs w:val="1"/>
                <w:color w:val="auto"/>
              </w:rPr>
            </w:pPr>
          </w:p>
        </w:tc>
      </w:tr>
      <w:tr>
        <w:trPr>
          <w:trHeight w:val="229"/>
        </w:trPr>
        <w:tc>
          <w:tcPr>
            <w:tcW w:w="80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investments</w:t>
            </w: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2,005</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2,005</w:t>
            </w:r>
          </w:p>
        </w:tc>
        <w:tc>
          <w:tcPr>
            <w:tcW w:w="0" w:type="dxa"/>
            <w:vAlign w:val="bottom"/>
          </w:tcPr>
          <w:p>
            <w:pPr>
              <w:spacing w:after="0"/>
              <w:rPr>
                <w:sz w:val="1"/>
                <w:szCs w:val="1"/>
                <w:color w:val="auto"/>
              </w:rPr>
            </w:pPr>
          </w:p>
        </w:tc>
      </w:tr>
      <w:tr>
        <w:trPr>
          <w:trHeight w:val="210"/>
        </w:trPr>
        <w:tc>
          <w:tcPr>
            <w:tcW w:w="8000" w:type="dxa"/>
            <w:vAlign w:val="bottom"/>
            <w:gridSpan w:val="2"/>
          </w:tcPr>
          <w:p>
            <w:pPr>
              <w:ind w:left="320"/>
              <w:spacing w:after="0"/>
              <w:rPr>
                <w:sz w:val="20"/>
                <w:szCs w:val="20"/>
                <w:color w:val="auto"/>
              </w:rPr>
            </w:pPr>
            <w:r>
              <w:rPr>
                <w:rFonts w:ascii="Arial" w:cs="Arial" w:eastAsia="Arial" w:hAnsi="Arial"/>
                <w:sz w:val="18"/>
                <w:szCs w:val="18"/>
                <w:color w:val="auto"/>
              </w:rPr>
              <w:t>Total cash and investments</w:t>
            </w: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406,491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404,724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000" w:type="dxa"/>
            <w:vAlign w:val="bottom"/>
            <w:gridSpan w:val="2"/>
          </w:tcPr>
          <w:p>
            <w:pPr>
              <w:ind w:left="160"/>
              <w:spacing w:after="0" w:line="201" w:lineRule="exact"/>
              <w:rPr>
                <w:sz w:val="20"/>
                <w:szCs w:val="20"/>
                <w:color w:val="auto"/>
              </w:rPr>
            </w:pPr>
            <w:r>
              <w:rPr>
                <w:rFonts w:ascii="Arial" w:cs="Arial" w:eastAsia="Arial" w:hAnsi="Arial"/>
                <w:sz w:val="18"/>
                <w:szCs w:val="18"/>
                <w:color w:val="auto"/>
                <w:w w:val="93"/>
              </w:rPr>
              <w:t>Premiums and agents' balances receivable (net of allowance for expected credit losses of $445 at March</w:t>
            </w: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00" w:type="dxa"/>
            <w:vAlign w:val="bottom"/>
            <w:gridSpan w:val="2"/>
          </w:tcPr>
          <w:p>
            <w:pPr>
              <w:ind w:left="160"/>
              <w:spacing w:after="0"/>
              <w:rPr>
                <w:sz w:val="20"/>
                <w:szCs w:val="20"/>
                <w:color w:val="auto"/>
              </w:rPr>
            </w:pPr>
            <w:r>
              <w:rPr>
                <w:rFonts w:ascii="Arial" w:cs="Arial" w:eastAsia="Arial" w:hAnsi="Arial"/>
                <w:sz w:val="18"/>
                <w:szCs w:val="18"/>
                <w:color w:val="auto"/>
              </w:rPr>
              <w:t>31, 2023, and $425 at December 31, 2022)</w:t>
            </w:r>
          </w:p>
        </w:tc>
        <w:tc>
          <w:tcPr>
            <w:tcW w:w="12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64,502</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62,173</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Deferred policy acquisition costs</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31,350</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29,768</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60"/>
              <w:spacing w:after="0"/>
              <w:rPr>
                <w:sz w:val="20"/>
                <w:szCs w:val="20"/>
                <w:color w:val="auto"/>
              </w:rPr>
            </w:pPr>
            <w:r>
              <w:rPr>
                <w:rFonts w:ascii="Arial" w:cs="Arial" w:eastAsia="Arial" w:hAnsi="Arial"/>
                <w:sz w:val="18"/>
                <w:szCs w:val="18"/>
                <w:color w:val="auto"/>
              </w:rPr>
              <w:t>Reinsurance premiums receivable</w:t>
            </w: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3,768</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1,647</w:t>
            </w:r>
          </w:p>
        </w:tc>
        <w:tc>
          <w:tcPr>
            <w:tcW w:w="0" w:type="dxa"/>
            <w:vAlign w:val="bottom"/>
          </w:tcPr>
          <w:p>
            <w:pPr>
              <w:spacing w:after="0"/>
              <w:rPr>
                <w:sz w:val="1"/>
                <w:szCs w:val="1"/>
                <w:color w:val="auto"/>
              </w:rPr>
            </w:pPr>
          </w:p>
        </w:tc>
      </w:tr>
      <w:tr>
        <w:trPr>
          <w:trHeight w:val="202"/>
        </w:trPr>
        <w:tc>
          <w:tcPr>
            <w:tcW w:w="800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w w:val="93"/>
              </w:rPr>
              <w:t>Reinsurance recoverables on losses (net of allowance for expected credit losses of $0 at March 31, 2023,</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and $0 at December 31, 2022)</w:t>
            </w:r>
          </w:p>
        </w:tc>
        <w:tc>
          <w:tcPr>
            <w:tcW w:w="12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45,642</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37,575</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60"/>
              <w:spacing w:after="0"/>
              <w:rPr>
                <w:sz w:val="20"/>
                <w:szCs w:val="20"/>
                <w:color w:val="auto"/>
              </w:rPr>
            </w:pPr>
            <w:r>
              <w:rPr>
                <w:rFonts w:ascii="Arial" w:cs="Arial" w:eastAsia="Arial" w:hAnsi="Arial"/>
                <w:sz w:val="18"/>
                <w:szCs w:val="18"/>
                <w:color w:val="auto"/>
              </w:rPr>
              <w:t>Income tax recoverable</w:t>
            </w: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11,997</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13,964</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Accrued investment income</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2,354</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2,456</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60"/>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9,918</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9,843</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Deferred income taxes</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10,510</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9,005</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60"/>
              <w:spacing w:after="0"/>
              <w:rPr>
                <w:sz w:val="20"/>
                <w:szCs w:val="20"/>
                <w:color w:val="auto"/>
              </w:rPr>
            </w:pPr>
            <w:r>
              <w:rPr>
                <w:rFonts w:ascii="Arial" w:cs="Arial" w:eastAsia="Arial" w:hAnsi="Arial"/>
                <w:sz w:val="18"/>
                <w:szCs w:val="18"/>
                <w:color w:val="auto"/>
              </w:rPr>
              <w:t>Receivable from Federal Crop Insurance Corporation</w:t>
            </w: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14,034</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15,462</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Goodwill and other intangibles</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17,132</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17,250</w:t>
            </w:r>
          </w:p>
        </w:tc>
        <w:tc>
          <w:tcPr>
            <w:tcW w:w="0" w:type="dxa"/>
            <w:vAlign w:val="bottom"/>
          </w:tcPr>
          <w:p>
            <w:pPr>
              <w:spacing w:after="0"/>
              <w:rPr>
                <w:sz w:val="1"/>
                <w:szCs w:val="1"/>
                <w:color w:val="auto"/>
              </w:rPr>
            </w:pPr>
          </w:p>
        </w:tc>
      </w:tr>
      <w:tr>
        <w:trPr>
          <w:trHeight w:val="230"/>
        </w:trPr>
        <w:tc>
          <w:tcPr>
            <w:tcW w:w="8000" w:type="dxa"/>
            <w:vAlign w:val="bottom"/>
            <w:gridSpan w:val="2"/>
          </w:tcPr>
          <w:p>
            <w:pPr>
              <w:ind w:left="160"/>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10,286</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10,365</w:t>
            </w:r>
          </w:p>
        </w:tc>
        <w:tc>
          <w:tcPr>
            <w:tcW w:w="0" w:type="dxa"/>
            <w:vAlign w:val="bottom"/>
          </w:tcPr>
          <w:p>
            <w:pPr>
              <w:spacing w:after="0"/>
              <w:rPr>
                <w:sz w:val="1"/>
                <w:szCs w:val="1"/>
                <w:color w:val="auto"/>
              </w:rPr>
            </w:pPr>
          </w:p>
        </w:tc>
      </w:tr>
      <w:tr>
        <w:trPr>
          <w:trHeight w:val="223"/>
        </w:trPr>
        <w:tc>
          <w:tcPr>
            <w:tcW w:w="8000" w:type="dxa"/>
            <w:vAlign w:val="bottom"/>
            <w:tcBorders>
              <w:top w:val="single" w:sz="8" w:color="CCEEFF"/>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 assets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627,984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614,232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6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ind w:left="160"/>
              <w:spacing w:after="0"/>
              <w:rPr>
                <w:sz w:val="20"/>
                <w:szCs w:val="20"/>
                <w:color w:val="auto"/>
              </w:rPr>
            </w:pPr>
            <w:r>
              <w:rPr>
                <w:rFonts w:ascii="Arial" w:cs="Arial" w:eastAsia="Arial" w:hAnsi="Arial"/>
                <w:sz w:val="18"/>
                <w:szCs w:val="18"/>
                <w:color w:val="auto"/>
              </w:rPr>
              <w:t>Unpaid losses and loss adjustment expenses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204,790</w:t>
            </w:r>
          </w:p>
        </w:tc>
        <w:tc>
          <w:tcPr>
            <w:tcW w:w="5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190,459</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Unearned premiums</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153,467</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148,513</w:t>
            </w:r>
          </w:p>
        </w:tc>
        <w:tc>
          <w:tcPr>
            <w:tcW w:w="0" w:type="dxa"/>
            <w:vAlign w:val="bottom"/>
          </w:tcPr>
          <w:p>
            <w:pPr>
              <w:spacing w:after="0"/>
              <w:rPr>
                <w:sz w:val="1"/>
                <w:szCs w:val="1"/>
                <w:color w:val="auto"/>
              </w:rPr>
            </w:pPr>
          </w:p>
        </w:tc>
      </w:tr>
      <w:tr>
        <w:trPr>
          <w:trHeight w:val="229"/>
        </w:trPr>
        <w:tc>
          <w:tcPr>
            <w:tcW w:w="8000" w:type="dxa"/>
            <w:vAlign w:val="bottom"/>
            <w:gridSpan w:val="2"/>
          </w:tcPr>
          <w:p>
            <w:pPr>
              <w:ind w:left="160"/>
              <w:spacing w:after="0"/>
              <w:rPr>
                <w:sz w:val="20"/>
                <w:szCs w:val="20"/>
                <w:color w:val="auto"/>
              </w:rPr>
            </w:pPr>
            <w:r>
              <w:rPr>
                <w:rFonts w:ascii="Arial" w:cs="Arial" w:eastAsia="Arial" w:hAnsi="Arial"/>
                <w:sz w:val="18"/>
                <w:szCs w:val="18"/>
                <w:color w:val="auto"/>
              </w:rPr>
              <w:t>Accrued expenses and other liabilities</w:t>
            </w:r>
          </w:p>
        </w:tc>
        <w:tc>
          <w:tcPr>
            <w:tcW w:w="12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16,656</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22,053</w:t>
            </w: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liabilities</w:t>
            </w: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374,913</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361,025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00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Common stock, $0.01 par value, authorized: 25,000,000 shares; issued: 23,000,000 shares; and</w:t>
            </w: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00" w:type="dxa"/>
            <w:vAlign w:val="bottom"/>
            <w:gridSpan w:val="2"/>
          </w:tcPr>
          <w:p>
            <w:pPr>
              <w:ind w:left="160"/>
              <w:spacing w:after="0"/>
              <w:rPr>
                <w:sz w:val="20"/>
                <w:szCs w:val="20"/>
                <w:color w:val="auto"/>
              </w:rPr>
            </w:pPr>
            <w:r>
              <w:rPr>
                <w:rFonts w:ascii="Arial" w:cs="Arial" w:eastAsia="Arial" w:hAnsi="Arial"/>
                <w:sz w:val="18"/>
                <w:szCs w:val="18"/>
                <w:color w:val="auto"/>
              </w:rPr>
              <w:t>outstanding: 2023 – 21,062,355 shares, 2022 – 21,076,255 shares</w:t>
            </w:r>
          </w:p>
        </w:tc>
        <w:tc>
          <w:tcPr>
            <w:tcW w:w="12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230</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95,568</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95,671</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60"/>
              <w:spacing w:after="0"/>
              <w:rPr>
                <w:sz w:val="20"/>
                <w:szCs w:val="20"/>
                <w:color w:val="auto"/>
              </w:rPr>
            </w:pPr>
            <w:r>
              <w:rPr>
                <w:rFonts w:ascii="Arial" w:cs="Arial" w:eastAsia="Arial" w:hAnsi="Arial"/>
                <w:sz w:val="18"/>
                <w:szCs w:val="18"/>
                <w:color w:val="auto"/>
              </w:rPr>
              <w:t>Unearned employee stock ownership plan shares</w:t>
            </w:r>
          </w:p>
        </w:tc>
        <w:tc>
          <w:tcPr>
            <w:tcW w:w="12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(941)</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209,710</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214,121</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60"/>
              <w:spacing w:after="0"/>
              <w:rPr>
                <w:sz w:val="20"/>
                <w:szCs w:val="20"/>
                <w:color w:val="auto"/>
              </w:rPr>
            </w:pPr>
            <w:r>
              <w:rPr>
                <w:rFonts w:ascii="Arial" w:cs="Arial" w:eastAsia="Arial" w:hAnsi="Arial"/>
                <w:sz w:val="18"/>
                <w:szCs w:val="18"/>
                <w:color w:val="auto"/>
              </w:rPr>
              <w:t>Accumulated other comprehensive loss, net of income taxes</w:t>
            </w:r>
          </w:p>
        </w:tc>
        <w:tc>
          <w:tcPr>
            <w:tcW w:w="12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(24,848)</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(29,286)</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Treasury stock, at cost, 2023 – 1,843,535 shares, 2022 – 1,829,635 shares</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(28,803)</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(28,818)</w:t>
            </w:r>
          </w:p>
        </w:tc>
        <w:tc>
          <w:tcPr>
            <w:tcW w:w="0" w:type="dxa"/>
            <w:vAlign w:val="bottom"/>
          </w:tcPr>
          <w:p>
            <w:pPr>
              <w:spacing w:after="0"/>
              <w:rPr>
                <w:sz w:val="1"/>
                <w:szCs w:val="1"/>
                <w:color w:val="auto"/>
              </w:rPr>
            </w:pPr>
          </w:p>
        </w:tc>
      </w:tr>
      <w:tr>
        <w:trPr>
          <w:trHeight w:val="230"/>
        </w:trPr>
        <w:tc>
          <w:tcPr>
            <w:tcW w:w="8000" w:type="dxa"/>
            <w:vAlign w:val="bottom"/>
            <w:gridSpan w:val="2"/>
          </w:tcPr>
          <w:p>
            <w:pPr>
              <w:ind w:left="160"/>
              <w:spacing w:after="0"/>
              <w:rPr>
                <w:sz w:val="20"/>
                <w:szCs w:val="20"/>
                <w:color w:val="auto"/>
              </w:rPr>
            </w:pPr>
            <w:r>
              <w:rPr>
                <w:rFonts w:ascii="Arial" w:cs="Arial" w:eastAsia="Arial" w:hAnsi="Arial"/>
                <w:sz w:val="18"/>
                <w:szCs w:val="18"/>
                <w:color w:val="auto"/>
              </w:rPr>
              <w:t>Non-controlling interest</w:t>
            </w:r>
          </w:p>
        </w:tc>
        <w:tc>
          <w:tcPr>
            <w:tcW w:w="12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2,155</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2,230</w:t>
            </w: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shareholders’ equity</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253,071</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253,207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0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Total liabilities and shareholders’ equity</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627,984</w:t>
            </w:r>
          </w:p>
        </w:tc>
        <w:tc>
          <w:tcPr>
            <w:tcW w:w="5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614,232</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00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8000" w:type="dxa"/>
            <w:vAlign w:val="bottom"/>
            <w:tcBorders>
              <w:bottom w:val="single" w:sz="8" w:color="auto"/>
            </w:tcBorders>
            <w:gridSpan w:val="2"/>
          </w:tcPr>
          <w:p>
            <w:pPr>
              <w:ind w:left="556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16"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07" w:lineRule="exact"/>
        <w:rPr>
          <w:sz w:val="20"/>
          <w:szCs w:val="20"/>
          <w:color w:val="auto"/>
        </w:rPr>
      </w:pPr>
    </w:p>
    <w:p>
      <w:pPr>
        <w:jc w:val="center"/>
        <w:ind w:left="832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8320"/>
        <w:spacing w:after="0"/>
        <w:rPr>
          <w:sz w:val="20"/>
          <w:szCs w:val="20"/>
          <w:color w:val="auto"/>
        </w:rPr>
      </w:pPr>
      <w:r>
        <w:rPr>
          <w:rFonts w:ascii="Arial" w:cs="Arial" w:eastAsia="Arial" w:hAnsi="Arial"/>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7580" w:type="dxa"/>
            <w:vAlign w:val="bottom"/>
            <w:tcBorders>
              <w:bottom w:val="single" w:sz="8" w:color="CCEEFF"/>
            </w:tcBorders>
          </w:tcPr>
          <w:p>
            <w:pPr>
              <w:spacing w:after="0"/>
              <w:rPr>
                <w:sz w:val="21"/>
                <w:szCs w:val="21"/>
                <w:color w:val="auto"/>
              </w:rPr>
            </w:pPr>
          </w:p>
        </w:tc>
        <w:tc>
          <w:tcPr>
            <w:tcW w:w="86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top w:val="single" w:sz="8" w:color="auto"/>
              <w:bottom w:val="single" w:sz="8" w:color="CCEEFF"/>
            </w:tcBorders>
          </w:tcPr>
          <w:p>
            <w:pPr>
              <w:spacing w:after="0"/>
              <w:rPr>
                <w:sz w:val="21"/>
                <w:szCs w:val="21"/>
                <w:color w:val="auto"/>
              </w:rPr>
            </w:pPr>
          </w:p>
        </w:tc>
        <w:tc>
          <w:tcPr>
            <w:tcW w:w="80" w:type="dxa"/>
            <w:vAlign w:val="bottom"/>
            <w:tcBorders>
              <w:top w:val="single" w:sz="8" w:color="auto"/>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209"/>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580" w:type="dxa"/>
            <w:vAlign w:val="bottom"/>
          </w:tcPr>
          <w:p>
            <w:pPr>
              <w:ind w:left="160"/>
              <w:spacing w:after="0"/>
              <w:rPr>
                <w:sz w:val="20"/>
                <w:szCs w:val="20"/>
                <w:color w:val="auto"/>
              </w:rPr>
            </w:pPr>
            <w:r>
              <w:rPr>
                <w:rFonts w:ascii="Arial" w:cs="Arial" w:eastAsia="Arial" w:hAnsi="Arial"/>
                <w:sz w:val="18"/>
                <w:szCs w:val="18"/>
                <w:color w:val="auto"/>
              </w:rPr>
              <w:t>Net premiums earned</w:t>
            </w: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1"/>
              <w:spacing w:after="0"/>
              <w:rPr>
                <w:sz w:val="20"/>
                <w:szCs w:val="20"/>
                <w:color w:val="auto"/>
              </w:rPr>
            </w:pPr>
            <w:r>
              <w:rPr>
                <w:rFonts w:ascii="Arial" w:cs="Arial" w:eastAsia="Arial" w:hAnsi="Arial"/>
                <w:sz w:val="18"/>
                <w:szCs w:val="18"/>
                <w:color w:val="auto"/>
              </w:rPr>
              <w:t>77,627</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69,587</w:t>
            </w:r>
          </w:p>
        </w:tc>
        <w:tc>
          <w:tcPr>
            <w:tcW w:w="80" w:type="dxa"/>
            <w:vAlign w:val="bottom"/>
          </w:tcPr>
          <w:p>
            <w:pPr>
              <w:spacing w:after="0"/>
              <w:rPr>
                <w:sz w:val="18"/>
                <w:szCs w:val="18"/>
                <w:color w:val="auto"/>
              </w:rPr>
            </w:pPr>
          </w:p>
        </w:tc>
      </w:tr>
      <w:tr>
        <w:trPr>
          <w:trHeight w:val="216"/>
        </w:trPr>
        <w:tc>
          <w:tcPr>
            <w:tcW w:w="7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Fee and other income</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274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428</w:t>
            </w:r>
          </w:p>
        </w:tc>
        <w:tc>
          <w:tcPr>
            <w:tcW w:w="80" w:type="dxa"/>
            <w:vAlign w:val="bottom"/>
            <w:shd w:val="clear" w:color="auto" w:fill="CCEEFF"/>
          </w:tcPr>
          <w:p>
            <w:pPr>
              <w:spacing w:after="0"/>
              <w:rPr>
                <w:sz w:val="18"/>
                <w:szCs w:val="18"/>
                <w:color w:val="auto"/>
              </w:rPr>
            </w:pPr>
          </w:p>
        </w:tc>
      </w:tr>
      <w:tr>
        <w:trPr>
          <w:trHeight w:val="216"/>
        </w:trPr>
        <w:tc>
          <w:tcPr>
            <w:tcW w:w="7580" w:type="dxa"/>
            <w:vAlign w:val="bottom"/>
          </w:tcPr>
          <w:p>
            <w:pPr>
              <w:ind w:left="160"/>
              <w:spacing w:after="0"/>
              <w:rPr>
                <w:sz w:val="20"/>
                <w:szCs w:val="20"/>
                <w:color w:val="auto"/>
              </w:rPr>
            </w:pPr>
            <w:r>
              <w:rPr>
                <w:rFonts w:ascii="Arial" w:cs="Arial" w:eastAsia="Arial" w:hAnsi="Arial"/>
                <w:sz w:val="18"/>
                <w:szCs w:val="18"/>
                <w:color w:val="auto"/>
              </w:rPr>
              <w:t>Net investment income</w:t>
            </w: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1"/>
              <w:spacing w:after="0"/>
              <w:rPr>
                <w:sz w:val="20"/>
                <w:szCs w:val="20"/>
                <w:color w:val="auto"/>
              </w:rPr>
            </w:pPr>
            <w:r>
              <w:rPr>
                <w:rFonts w:ascii="Arial" w:cs="Arial" w:eastAsia="Arial" w:hAnsi="Arial"/>
                <w:sz w:val="18"/>
                <w:szCs w:val="18"/>
                <w:color w:val="auto"/>
              </w:rPr>
              <w:t>2,239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1,653</w:t>
            </w:r>
          </w:p>
        </w:tc>
        <w:tc>
          <w:tcPr>
            <w:tcW w:w="80" w:type="dxa"/>
            <w:vAlign w:val="bottom"/>
          </w:tcPr>
          <w:p>
            <w:pPr>
              <w:spacing w:after="0"/>
              <w:rPr>
                <w:sz w:val="18"/>
                <w:szCs w:val="18"/>
                <w:color w:val="auto"/>
              </w:rPr>
            </w:pPr>
          </w:p>
        </w:tc>
      </w:tr>
      <w:tr>
        <w:trPr>
          <w:trHeight w:val="229"/>
        </w:trPr>
        <w:tc>
          <w:tcPr>
            <w:tcW w:w="7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investment gains (losses)</w:t>
            </w:r>
          </w:p>
        </w:tc>
        <w:tc>
          <w:tcPr>
            <w:tcW w:w="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1,416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(5,528)</w:t>
            </w:r>
          </w:p>
        </w:tc>
      </w:tr>
      <w:tr>
        <w:trPr>
          <w:trHeight w:val="210"/>
        </w:trPr>
        <w:tc>
          <w:tcPr>
            <w:tcW w:w="758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revenues</w:t>
            </w:r>
          </w:p>
        </w:tc>
        <w:tc>
          <w:tcPr>
            <w:tcW w:w="86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81,556</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66,140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09"/>
        </w:trPr>
        <w:tc>
          <w:tcPr>
            <w:tcW w:w="7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Expenses:</w:t>
            </w: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Losses and loss adjustment expenses</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58,825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40,129</w:t>
            </w:r>
          </w:p>
        </w:tc>
        <w:tc>
          <w:tcPr>
            <w:tcW w:w="80" w:type="dxa"/>
            <w:vAlign w:val="bottom"/>
            <w:shd w:val="clear" w:color="auto" w:fill="CCEEFF"/>
          </w:tcPr>
          <w:p>
            <w:pPr>
              <w:spacing w:after="0"/>
              <w:rPr>
                <w:sz w:val="18"/>
                <w:szCs w:val="18"/>
                <w:color w:val="auto"/>
              </w:rPr>
            </w:pPr>
          </w:p>
        </w:tc>
      </w:tr>
      <w:tr>
        <w:trPr>
          <w:trHeight w:val="216"/>
        </w:trPr>
        <w:tc>
          <w:tcPr>
            <w:tcW w:w="7580" w:type="dxa"/>
            <w:vAlign w:val="bottom"/>
          </w:tcPr>
          <w:p>
            <w:pPr>
              <w:ind w:left="160"/>
              <w:spacing w:after="0"/>
              <w:rPr>
                <w:sz w:val="20"/>
                <w:szCs w:val="20"/>
                <w:color w:val="auto"/>
              </w:rPr>
            </w:pPr>
            <w:r>
              <w:rPr>
                <w:rFonts w:ascii="Arial" w:cs="Arial" w:eastAsia="Arial" w:hAnsi="Arial"/>
                <w:sz w:val="18"/>
                <w:szCs w:val="18"/>
                <w:color w:val="auto"/>
              </w:rPr>
              <w:t>Amortization of deferred policy acquisition costs</w:t>
            </w: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1"/>
              <w:spacing w:after="0"/>
              <w:rPr>
                <w:sz w:val="20"/>
                <w:szCs w:val="20"/>
                <w:color w:val="auto"/>
              </w:rPr>
            </w:pPr>
            <w:r>
              <w:rPr>
                <w:rFonts w:ascii="Arial" w:cs="Arial" w:eastAsia="Arial" w:hAnsi="Arial"/>
                <w:sz w:val="18"/>
                <w:szCs w:val="18"/>
                <w:color w:val="auto"/>
              </w:rPr>
              <w:t>18,588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15,623</w:t>
            </w:r>
          </w:p>
        </w:tc>
        <w:tc>
          <w:tcPr>
            <w:tcW w:w="80" w:type="dxa"/>
            <w:vAlign w:val="bottom"/>
          </w:tcPr>
          <w:p>
            <w:pPr>
              <w:spacing w:after="0"/>
              <w:rPr>
                <w:sz w:val="18"/>
                <w:szCs w:val="18"/>
                <w:color w:val="auto"/>
              </w:rPr>
            </w:pPr>
          </w:p>
        </w:tc>
      </w:tr>
      <w:tr>
        <w:trPr>
          <w:trHeight w:val="230"/>
        </w:trPr>
        <w:tc>
          <w:tcPr>
            <w:tcW w:w="7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underwriting and general expenses</w:t>
            </w:r>
          </w:p>
        </w:tc>
        <w:tc>
          <w:tcPr>
            <w:tcW w:w="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9,656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7,781</w:t>
            </w:r>
          </w:p>
        </w:tc>
        <w:tc>
          <w:tcPr>
            <w:tcW w:w="80" w:type="dxa"/>
            <w:vAlign w:val="bottom"/>
            <w:shd w:val="clear" w:color="auto" w:fill="CCEEFF"/>
          </w:tcPr>
          <w:p>
            <w:pPr>
              <w:spacing w:after="0"/>
              <w:rPr>
                <w:sz w:val="19"/>
                <w:szCs w:val="19"/>
                <w:color w:val="auto"/>
              </w:rPr>
            </w:pPr>
          </w:p>
        </w:tc>
      </w:tr>
      <w:tr>
        <w:trPr>
          <w:trHeight w:val="209"/>
        </w:trPr>
        <w:tc>
          <w:tcPr>
            <w:tcW w:w="758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expenses</w:t>
            </w:r>
          </w:p>
        </w:tc>
        <w:tc>
          <w:tcPr>
            <w:tcW w:w="86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87,069</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63,533</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7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
              <w:spacing w:after="0"/>
              <w:rPr>
                <w:sz w:val="20"/>
                <w:szCs w:val="20"/>
                <w:color w:val="auto"/>
              </w:rPr>
            </w:pPr>
            <w:r>
              <w:rPr>
                <w:rFonts w:ascii="Arial" w:cs="Arial" w:eastAsia="Arial" w:hAnsi="Arial"/>
                <w:sz w:val="18"/>
                <w:szCs w:val="18"/>
                <w:color w:val="auto"/>
              </w:rPr>
              <w:t>(5,513)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2,607</w:t>
            </w:r>
          </w:p>
        </w:tc>
        <w:tc>
          <w:tcPr>
            <w:tcW w:w="80" w:type="dxa"/>
            <w:vAlign w:val="bottom"/>
          </w:tcPr>
          <w:p>
            <w:pPr>
              <w:spacing w:after="0"/>
              <w:rPr>
                <w:sz w:val="18"/>
                <w:szCs w:val="18"/>
                <w:color w:val="auto"/>
              </w:rPr>
            </w:pPr>
          </w:p>
        </w:tc>
      </w:tr>
      <w:tr>
        <w:trPr>
          <w:trHeight w:val="229"/>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(1,013)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568</w:t>
            </w:r>
          </w:p>
        </w:tc>
        <w:tc>
          <w:tcPr>
            <w:tcW w:w="80" w:type="dxa"/>
            <w:vAlign w:val="bottom"/>
            <w:shd w:val="clear" w:color="auto" w:fill="CCEEFF"/>
          </w:tcPr>
          <w:p>
            <w:pPr>
              <w:spacing w:after="0"/>
              <w:rPr>
                <w:sz w:val="19"/>
                <w:szCs w:val="19"/>
                <w:color w:val="auto"/>
              </w:rPr>
            </w:pPr>
          </w:p>
        </w:tc>
      </w:tr>
      <w:tr>
        <w:trPr>
          <w:trHeight w:val="210"/>
        </w:trPr>
        <w:tc>
          <w:tcPr>
            <w:tcW w:w="7580" w:type="dxa"/>
            <w:vAlign w:val="bottom"/>
          </w:tcPr>
          <w:p>
            <w:pPr>
              <w:ind w:left="160"/>
              <w:spacing w:after="0"/>
              <w:rPr>
                <w:sz w:val="20"/>
                <w:szCs w:val="20"/>
                <w:color w:val="auto"/>
              </w:rPr>
            </w:pPr>
            <w:r>
              <w:rPr>
                <w:rFonts w:ascii="Arial" w:cs="Arial" w:eastAsia="Arial" w:hAnsi="Arial"/>
                <w:sz w:val="18"/>
                <w:szCs w:val="18"/>
                <w:color w:val="auto"/>
              </w:rPr>
              <w:t>Net income (loss)</w:t>
            </w:r>
          </w:p>
        </w:tc>
        <w:tc>
          <w:tcPr>
            <w:tcW w:w="8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non-controlling interest</w:t>
            </w:r>
          </w:p>
        </w:tc>
        <w:tc>
          <w:tcPr>
            <w:tcW w:w="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(290)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w:t>
            </w:r>
          </w:p>
        </w:tc>
        <w:tc>
          <w:tcPr>
            <w:tcW w:w="80" w:type="dxa"/>
            <w:vAlign w:val="bottom"/>
            <w:shd w:val="clear" w:color="auto" w:fill="CCEEFF"/>
          </w:tcPr>
          <w:p>
            <w:pPr>
              <w:spacing w:after="0"/>
              <w:rPr>
                <w:sz w:val="19"/>
                <w:szCs w:val="19"/>
                <w:color w:val="auto"/>
              </w:rPr>
            </w:pPr>
          </w:p>
        </w:tc>
      </w:tr>
      <w:tr>
        <w:trPr>
          <w:trHeight w:val="263"/>
        </w:trPr>
        <w:tc>
          <w:tcPr>
            <w:tcW w:w="75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income (loss) attributable to NI Holdings, Inc.</w:t>
            </w:r>
          </w:p>
        </w:tc>
        <w:tc>
          <w:tcPr>
            <w:tcW w:w="86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(4,210</w:t>
            </w:r>
          </w:p>
        </w:tc>
        <w:tc>
          <w:tcPr>
            <w:tcW w:w="14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1,909</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r>
      <w:tr>
        <w:trPr>
          <w:trHeight w:val="197"/>
        </w:trPr>
        <w:tc>
          <w:tcPr>
            <w:tcW w:w="75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7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common share:</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83"/>
        </w:trPr>
        <w:tc>
          <w:tcPr>
            <w:tcW w:w="7580" w:type="dxa"/>
            <w:vAlign w:val="bottom"/>
          </w:tcPr>
          <w:p>
            <w:pPr>
              <w:ind w:left="140"/>
              <w:spacing w:after="0"/>
              <w:rPr>
                <w:sz w:val="20"/>
                <w:szCs w:val="20"/>
                <w:color w:val="auto"/>
              </w:rPr>
            </w:pPr>
            <w:r>
              <w:rPr>
                <w:rFonts w:ascii="Arial" w:cs="Arial" w:eastAsia="Arial" w:hAnsi="Arial"/>
                <w:sz w:val="18"/>
                <w:szCs w:val="18"/>
                <w:color w:val="auto"/>
              </w:rPr>
              <w:t>Basic</w:t>
            </w: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
              <w:spacing w:after="0"/>
              <w:rPr>
                <w:sz w:val="20"/>
                <w:szCs w:val="20"/>
                <w:color w:val="auto"/>
              </w:rPr>
            </w:pPr>
            <w:r>
              <w:rPr>
                <w:rFonts w:ascii="Arial" w:cs="Arial" w:eastAsia="Arial" w:hAnsi="Arial"/>
                <w:sz w:val="18"/>
                <w:szCs w:val="18"/>
                <w:color w:val="auto"/>
              </w:rPr>
              <w:t>(0.20)</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0.09</w:t>
            </w:r>
          </w:p>
        </w:tc>
        <w:tc>
          <w:tcPr>
            <w:tcW w:w="80" w:type="dxa"/>
            <w:vAlign w:val="bottom"/>
          </w:tcPr>
          <w:p>
            <w:pPr>
              <w:spacing w:after="0"/>
              <w:rPr>
                <w:sz w:val="24"/>
                <w:szCs w:val="24"/>
                <w:color w:val="auto"/>
              </w:rPr>
            </w:pPr>
          </w:p>
        </w:tc>
      </w:tr>
      <w:tr>
        <w:trPr>
          <w:trHeight w:val="197"/>
        </w:trPr>
        <w:tc>
          <w:tcPr>
            <w:tcW w:w="7580" w:type="dxa"/>
            <w:vAlign w:val="bottom"/>
            <w:tcBorders>
              <w:top w:val="single" w:sz="8" w:color="CCEEFF"/>
              <w:bottom w:val="single" w:sz="8" w:color="CCEEFF"/>
            </w:tcBorders>
            <w:shd w:val="clear" w:color="auto" w:fill="CCEEFF"/>
          </w:tcPr>
          <w:p>
            <w:pPr>
              <w:ind w:left="140"/>
              <w:spacing w:after="0" w:line="190" w:lineRule="exact"/>
              <w:rPr>
                <w:sz w:val="20"/>
                <w:szCs w:val="20"/>
                <w:color w:val="auto"/>
              </w:rPr>
            </w:pPr>
            <w:r>
              <w:rPr>
                <w:rFonts w:ascii="Arial" w:cs="Arial" w:eastAsia="Arial" w:hAnsi="Arial"/>
                <w:sz w:val="18"/>
                <w:szCs w:val="18"/>
                <w:color w:val="auto"/>
              </w:rPr>
              <w:t>Diluted</w:t>
            </w:r>
          </w:p>
        </w:tc>
        <w:tc>
          <w:tcPr>
            <w:tcW w:w="86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(0.20</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0.09</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7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75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Share data:</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580" w:type="dxa"/>
            <w:vAlign w:val="bottom"/>
          </w:tcPr>
          <w:p>
            <w:pPr>
              <w:ind w:left="140"/>
              <w:spacing w:after="0"/>
              <w:rPr>
                <w:sz w:val="20"/>
                <w:szCs w:val="20"/>
                <w:color w:val="auto"/>
              </w:rPr>
            </w:pPr>
            <w:r>
              <w:rPr>
                <w:rFonts w:ascii="Arial" w:cs="Arial" w:eastAsia="Arial" w:hAnsi="Arial"/>
                <w:sz w:val="18"/>
                <w:szCs w:val="18"/>
                <w:color w:val="auto"/>
              </w:rPr>
              <w:t>Weighted average common shares outstanding used in basic per common share calculations</w:t>
            </w: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1"/>
              <w:spacing w:after="0"/>
              <w:rPr>
                <w:sz w:val="20"/>
                <w:szCs w:val="20"/>
                <w:color w:val="auto"/>
              </w:rPr>
            </w:pPr>
            <w:r>
              <w:rPr>
                <w:rFonts w:ascii="Arial" w:cs="Arial" w:eastAsia="Arial" w:hAnsi="Arial"/>
                <w:sz w:val="18"/>
                <w:szCs w:val="18"/>
                <w:color w:val="auto"/>
              </w:rPr>
              <w:t>21,368,956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21,372,753</w:t>
            </w:r>
          </w:p>
        </w:tc>
        <w:tc>
          <w:tcPr>
            <w:tcW w:w="80" w:type="dxa"/>
            <w:vAlign w:val="bottom"/>
          </w:tcPr>
          <w:p>
            <w:pPr>
              <w:spacing w:after="0"/>
              <w:rPr>
                <w:sz w:val="18"/>
                <w:szCs w:val="18"/>
                <w:color w:val="auto"/>
              </w:rPr>
            </w:pPr>
          </w:p>
        </w:tc>
      </w:tr>
      <w:tr>
        <w:trPr>
          <w:trHeight w:val="230"/>
        </w:trPr>
        <w:tc>
          <w:tcPr>
            <w:tcW w:w="7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Plus: Dilutive securities</w:t>
            </w:r>
          </w:p>
        </w:tc>
        <w:tc>
          <w:tcPr>
            <w:tcW w:w="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239,161</w:t>
            </w:r>
          </w:p>
        </w:tc>
        <w:tc>
          <w:tcPr>
            <w:tcW w:w="80" w:type="dxa"/>
            <w:vAlign w:val="bottom"/>
            <w:shd w:val="clear" w:color="auto" w:fill="CCEEFF"/>
          </w:tcPr>
          <w:p>
            <w:pPr>
              <w:spacing w:after="0"/>
              <w:rPr>
                <w:sz w:val="19"/>
                <w:szCs w:val="19"/>
                <w:color w:val="auto"/>
              </w:rPr>
            </w:pPr>
          </w:p>
        </w:tc>
      </w:tr>
      <w:tr>
        <w:trPr>
          <w:trHeight w:val="223"/>
        </w:trPr>
        <w:tc>
          <w:tcPr>
            <w:tcW w:w="7580" w:type="dxa"/>
            <w:vAlign w:val="bottom"/>
          </w:tcPr>
          <w:p>
            <w:pPr>
              <w:ind w:left="140"/>
              <w:spacing w:after="0"/>
              <w:rPr>
                <w:sz w:val="20"/>
                <w:szCs w:val="20"/>
                <w:color w:val="auto"/>
              </w:rPr>
            </w:pPr>
            <w:r>
              <w:rPr>
                <w:rFonts w:ascii="Arial" w:cs="Arial" w:eastAsia="Arial" w:hAnsi="Arial"/>
                <w:sz w:val="18"/>
                <w:szCs w:val="18"/>
                <w:color w:val="auto"/>
              </w:rPr>
              <w:t>Weighted average common shares used in diluted per common share calculations</w:t>
            </w:r>
          </w:p>
        </w:tc>
        <w:tc>
          <w:tcPr>
            <w:tcW w:w="86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21,368,956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21,611,914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1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Income (Loss)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 amounts in thousands)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40" w:type="dxa"/>
            <w:vAlign w:val="bottom"/>
            <w:gridSpan w:val="10"/>
          </w:tcPr>
          <w:p>
            <w:pPr>
              <w:jc w:val="right"/>
              <w:ind w:right="381"/>
              <w:spacing w:after="0"/>
              <w:rPr>
                <w:sz w:val="20"/>
                <w:szCs w:val="20"/>
                <w:color w:val="auto"/>
              </w:rPr>
            </w:pPr>
            <w:r>
              <w:rPr>
                <w:rFonts w:ascii="Arial" w:cs="Arial" w:eastAsia="Arial" w:hAnsi="Arial"/>
                <w:sz w:val="18"/>
                <w:szCs w:val="18"/>
                <w:b w:val="1"/>
                <w:bCs w:val="1"/>
                <w:color w:val="auto"/>
                <w:w w:val="95"/>
              </w:rPr>
              <w:t>Three Months Ended March 31, 2023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0" w:type="dxa"/>
            <w:vAlign w:val="bottom"/>
            <w:gridSpan w:val="9"/>
          </w:tcPr>
          <w:p>
            <w:pPr>
              <w:jc w:val="right"/>
              <w:ind w:right="420"/>
              <w:spacing w:after="0"/>
              <w:rPr>
                <w:sz w:val="20"/>
                <w:szCs w:val="20"/>
                <w:color w:val="auto"/>
              </w:rPr>
            </w:pPr>
            <w:r>
              <w:rPr>
                <w:rFonts w:ascii="Arial" w:cs="Arial" w:eastAsia="Arial" w:hAnsi="Arial"/>
                <w:sz w:val="18"/>
                <w:szCs w:val="18"/>
                <w:b w:val="1"/>
                <w:bCs w:val="1"/>
                <w:color w:val="auto"/>
                <w:w w:val="95"/>
              </w:rPr>
              <w:t>Three Months Ended March 31, 2022</w:t>
            </w:r>
          </w:p>
        </w:tc>
      </w:tr>
      <w:tr>
        <w:trPr>
          <w:trHeight w:val="191"/>
        </w:trPr>
        <w:tc>
          <w:tcPr>
            <w:tcW w:w="39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3"/>
          </w:tcPr>
          <w:p>
            <w:pPr>
              <w:jc w:val="center"/>
              <w:ind w:right="61"/>
              <w:spacing w:after="0" w:line="191" w:lineRule="exact"/>
              <w:rPr>
                <w:sz w:val="20"/>
                <w:szCs w:val="20"/>
                <w:color w:val="auto"/>
              </w:rPr>
            </w:pPr>
            <w:r>
              <w:rPr>
                <w:rFonts w:ascii="Arial" w:cs="Arial" w:eastAsia="Arial" w:hAnsi="Arial"/>
                <w:sz w:val="18"/>
                <w:szCs w:val="18"/>
                <w:b w:val="1"/>
                <w:bCs w:val="1"/>
                <w:color w:val="auto"/>
                <w:w w:val="95"/>
              </w:rPr>
              <w:t>Attributable</w:t>
            </w:r>
          </w:p>
        </w:tc>
        <w:tc>
          <w:tcPr>
            <w:tcW w:w="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3"/>
          </w:tcPr>
          <w:p>
            <w:pPr>
              <w:jc w:val="center"/>
              <w:ind w:right="220"/>
              <w:spacing w:after="0" w:line="191" w:lineRule="exact"/>
              <w:rPr>
                <w:sz w:val="20"/>
                <w:szCs w:val="20"/>
                <w:color w:val="auto"/>
              </w:rPr>
            </w:pPr>
            <w:r>
              <w:rPr>
                <w:rFonts w:ascii="Arial" w:cs="Arial" w:eastAsia="Arial" w:hAnsi="Arial"/>
                <w:sz w:val="18"/>
                <w:szCs w:val="18"/>
                <w:b w:val="1"/>
                <w:bCs w:val="1"/>
                <w:color w:val="auto"/>
                <w:w w:val="95"/>
              </w:rPr>
              <w:t>Attributable</w:t>
            </w: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3920" w:type="dxa"/>
            <w:vAlign w:val="bottom"/>
          </w:tcPr>
          <w:p>
            <w:pPr>
              <w:spacing w:after="0"/>
              <w:rPr>
                <w:sz w:val="18"/>
                <w:szCs w:val="18"/>
                <w:color w:val="auto"/>
              </w:rPr>
            </w:pPr>
          </w:p>
        </w:tc>
        <w:tc>
          <w:tcPr>
            <w:tcW w:w="1200" w:type="dxa"/>
            <w:vAlign w:val="bottom"/>
            <w:gridSpan w:val="3"/>
          </w:tcPr>
          <w:p>
            <w:pPr>
              <w:jc w:val="right"/>
              <w:ind w:right="101"/>
              <w:spacing w:after="0"/>
              <w:rPr>
                <w:sz w:val="20"/>
                <w:szCs w:val="20"/>
                <w:color w:val="auto"/>
              </w:rPr>
            </w:pPr>
            <w:r>
              <w:rPr>
                <w:rFonts w:ascii="Arial" w:cs="Arial" w:eastAsia="Arial" w:hAnsi="Arial"/>
                <w:sz w:val="18"/>
                <w:szCs w:val="18"/>
                <w:b w:val="1"/>
                <w:bCs w:val="1"/>
                <w:color w:val="auto"/>
                <w:w w:val="98"/>
              </w:rPr>
              <w:t>Attributable</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center"/>
              <w:ind w:right="201"/>
              <w:spacing w:after="0"/>
              <w:rPr>
                <w:sz w:val="20"/>
                <w:szCs w:val="20"/>
                <w:color w:val="auto"/>
              </w:rPr>
            </w:pPr>
            <w:r>
              <w:rPr>
                <w:rFonts w:ascii="Arial" w:cs="Arial" w:eastAsia="Arial" w:hAnsi="Arial"/>
                <w:sz w:val="18"/>
                <w:szCs w:val="18"/>
                <w:b w:val="1"/>
                <w:bCs w:val="1"/>
                <w:color w:val="auto"/>
                <w:w w:val="92"/>
              </w:rPr>
              <w:t>to Non-</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6"/>
              </w:rPr>
              <w:t>Attributable</w:t>
            </w:r>
          </w:p>
        </w:tc>
        <w:tc>
          <w:tcPr>
            <w:tcW w:w="140" w:type="dxa"/>
            <w:vAlign w:val="bottom"/>
          </w:tcPr>
          <w:p>
            <w:pPr>
              <w:spacing w:after="0"/>
              <w:rPr>
                <w:sz w:val="18"/>
                <w:szCs w:val="18"/>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to Non-</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381"/>
              <w:spacing w:after="0"/>
              <w:rPr>
                <w:sz w:val="20"/>
                <w:szCs w:val="20"/>
                <w:color w:val="auto"/>
              </w:rPr>
            </w:pPr>
            <w:r>
              <w:rPr>
                <w:rFonts w:ascii="Arial" w:cs="Arial" w:eastAsia="Arial" w:hAnsi="Arial"/>
                <w:sz w:val="18"/>
                <w:szCs w:val="18"/>
                <w:b w:val="1"/>
                <w:bCs w:val="1"/>
                <w:color w:val="auto"/>
              </w:rPr>
              <w:t>to NI</w:t>
            </w:r>
          </w:p>
        </w:tc>
        <w:tc>
          <w:tcPr>
            <w:tcW w:w="80" w:type="dxa"/>
            <w:vAlign w:val="bottom"/>
          </w:tcPr>
          <w:p>
            <w:pPr>
              <w:spacing w:after="0"/>
              <w:rPr>
                <w:sz w:val="18"/>
                <w:szCs w:val="18"/>
                <w:color w:val="auto"/>
              </w:rPr>
            </w:pPr>
          </w:p>
        </w:tc>
        <w:tc>
          <w:tcPr>
            <w:tcW w:w="1140" w:type="dxa"/>
            <w:vAlign w:val="bottom"/>
            <w:gridSpan w:val="3"/>
          </w:tcPr>
          <w:p>
            <w:pPr>
              <w:jc w:val="center"/>
              <w:ind w:right="61"/>
              <w:spacing w:after="0"/>
              <w:rPr>
                <w:sz w:val="20"/>
                <w:szCs w:val="20"/>
                <w:color w:val="auto"/>
              </w:rPr>
            </w:pPr>
            <w:r>
              <w:rPr>
                <w:rFonts w:ascii="Arial" w:cs="Arial" w:eastAsia="Arial" w:hAnsi="Arial"/>
                <w:sz w:val="18"/>
                <w:szCs w:val="18"/>
                <w:b w:val="1"/>
                <w:bCs w:val="1"/>
                <w:color w:val="auto"/>
                <w:w w:val="91"/>
              </w:rPr>
              <w:t>Controlling</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to NI</w:t>
            </w:r>
          </w:p>
        </w:tc>
        <w:tc>
          <w:tcPr>
            <w:tcW w:w="12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Controlling</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3920" w:type="dxa"/>
            <w:vAlign w:val="bottom"/>
          </w:tcPr>
          <w:p>
            <w:pPr>
              <w:spacing w:after="0"/>
              <w:rPr>
                <w:sz w:val="20"/>
                <w:szCs w:val="20"/>
                <w:color w:val="auto"/>
              </w:rPr>
            </w:pPr>
          </w:p>
        </w:tc>
        <w:tc>
          <w:tcPr>
            <w:tcW w:w="1200" w:type="dxa"/>
            <w:vAlign w:val="bottom"/>
            <w:gridSpan w:val="3"/>
          </w:tcPr>
          <w:p>
            <w:pPr>
              <w:spacing w:after="0"/>
              <w:rPr>
                <w:sz w:val="20"/>
                <w:szCs w:val="20"/>
                <w:color w:val="auto"/>
              </w:rPr>
            </w:pPr>
            <w:r>
              <w:rPr>
                <w:rFonts w:ascii="Arial" w:cs="Arial" w:eastAsia="Arial" w:hAnsi="Arial"/>
                <w:sz w:val="18"/>
                <w:szCs w:val="18"/>
                <w:b w:val="1"/>
                <w:bCs w:val="1"/>
                <w:color w:val="auto"/>
                <w:w w:val="99"/>
              </w:rPr>
              <w:t>Holdings, Inc.</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center"/>
              <w:ind w:right="221"/>
              <w:spacing w:after="0"/>
              <w:rPr>
                <w:sz w:val="20"/>
                <w:szCs w:val="20"/>
                <w:color w:val="auto"/>
              </w:rPr>
            </w:pPr>
            <w:r>
              <w:rPr>
                <w:rFonts w:ascii="Arial" w:cs="Arial" w:eastAsia="Arial" w:hAnsi="Arial"/>
                <w:sz w:val="18"/>
                <w:szCs w:val="18"/>
                <w:b w:val="1"/>
                <w:bCs w:val="1"/>
                <w:color w:val="auto"/>
                <w:w w:val="92"/>
              </w:rPr>
              <w:t>Interest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361"/>
              <w:spacing w:after="0"/>
              <w:rPr>
                <w:sz w:val="20"/>
                <w:szCs w:val="20"/>
                <w:color w:val="auto"/>
              </w:rPr>
            </w:pPr>
            <w:r>
              <w:rPr>
                <w:rFonts w:ascii="Arial" w:cs="Arial" w:eastAsia="Arial" w:hAnsi="Arial"/>
                <w:sz w:val="18"/>
                <w:szCs w:val="18"/>
                <w:b w:val="1"/>
                <w:bCs w:val="1"/>
                <w:color w:val="auto"/>
              </w:rPr>
              <w:t>Total</w:t>
            </w:r>
          </w:p>
        </w:tc>
        <w:tc>
          <w:tcPr>
            <w:tcW w:w="1360" w:type="dxa"/>
            <w:vAlign w:val="bottom"/>
            <w:gridSpan w:val="4"/>
          </w:tcPr>
          <w:p>
            <w:pPr>
              <w:ind w:left="80"/>
              <w:spacing w:after="0"/>
              <w:rPr>
                <w:sz w:val="20"/>
                <w:szCs w:val="20"/>
                <w:color w:val="auto"/>
              </w:rPr>
            </w:pPr>
            <w:r>
              <w:rPr>
                <w:rFonts w:ascii="Arial" w:cs="Arial" w:eastAsia="Arial" w:hAnsi="Arial"/>
                <w:sz w:val="18"/>
                <w:szCs w:val="18"/>
                <w:b w:val="1"/>
                <w:bCs w:val="1"/>
                <w:color w:val="auto"/>
              </w:rPr>
              <w:t>Holdings, Inc.</w:t>
            </w:r>
          </w:p>
        </w:tc>
        <w:tc>
          <w:tcPr>
            <w:tcW w:w="140" w:type="dxa"/>
            <w:vAlign w:val="bottom"/>
          </w:tcPr>
          <w:p>
            <w:pPr>
              <w:spacing w:after="0"/>
              <w:rPr>
                <w:sz w:val="20"/>
                <w:szCs w:val="20"/>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Interest</w:t>
            </w:r>
          </w:p>
        </w:tc>
        <w:tc>
          <w:tcPr>
            <w:tcW w:w="180" w:type="dxa"/>
            <w:vAlign w:val="bottom"/>
          </w:tcPr>
          <w:p>
            <w:pPr>
              <w:spacing w:after="0"/>
              <w:rPr>
                <w:sz w:val="20"/>
                <w:szCs w:val="20"/>
                <w:color w:val="auto"/>
              </w:rPr>
            </w:pPr>
          </w:p>
        </w:tc>
        <w:tc>
          <w:tcPr>
            <w:tcW w:w="92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Total</w:t>
            </w:r>
          </w:p>
        </w:tc>
      </w:tr>
      <w:tr>
        <w:trPr>
          <w:trHeight w:val="209"/>
        </w:trPr>
        <w:tc>
          <w:tcPr>
            <w:tcW w:w="3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(4,210</w:t>
            </w:r>
          </w:p>
        </w:tc>
        <w:tc>
          <w:tcPr>
            <w:tcW w:w="140" w:type="dxa"/>
            <w:vAlign w:val="bottom"/>
            <w:tcBorders>
              <w:top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40" w:type="dxa"/>
            <w:vAlign w:val="bottom"/>
            <w:tcBorders>
              <w:top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140" w:type="dxa"/>
            <w:vAlign w:val="bottom"/>
            <w:tcBorders>
              <w:top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1,909</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3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3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Other comprehensive income (loss), before income</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taxes:</w:t>
            </w: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16"/>
        </w:trPr>
        <w:tc>
          <w:tcPr>
            <w:tcW w:w="3920" w:type="dxa"/>
            <w:vAlign w:val="bottom"/>
          </w:tcPr>
          <w:p>
            <w:pPr>
              <w:ind w:left="180"/>
              <w:spacing w:after="0"/>
              <w:rPr>
                <w:sz w:val="20"/>
                <w:szCs w:val="20"/>
                <w:color w:val="auto"/>
              </w:rPr>
            </w:pPr>
            <w:r>
              <w:rPr>
                <w:rFonts w:ascii="Arial" w:cs="Arial" w:eastAsia="Arial" w:hAnsi="Arial"/>
                <w:sz w:val="18"/>
                <w:szCs w:val="18"/>
                <w:color w:val="auto"/>
              </w:rPr>
              <w:t>Holding gains (losses) on investments</w:t>
            </w:r>
          </w:p>
        </w:tc>
        <w:tc>
          <w:tcPr>
            <w:tcW w:w="200" w:type="dxa"/>
            <w:vAlign w:val="bottom"/>
          </w:tcPr>
          <w:p>
            <w:pPr>
              <w:spacing w:after="0"/>
              <w:rPr>
                <w:sz w:val="18"/>
                <w:szCs w:val="18"/>
                <w:color w:val="auto"/>
              </w:rPr>
            </w:pPr>
          </w:p>
        </w:tc>
        <w:tc>
          <w:tcPr>
            <w:tcW w:w="1000" w:type="dxa"/>
            <w:vAlign w:val="bottom"/>
            <w:gridSpan w:val="2"/>
          </w:tcPr>
          <w:p>
            <w:pPr>
              <w:jc w:val="right"/>
              <w:ind w:right="61"/>
              <w:spacing w:after="0"/>
              <w:rPr>
                <w:sz w:val="20"/>
                <w:szCs w:val="20"/>
                <w:color w:val="auto"/>
              </w:rPr>
            </w:pPr>
            <w:r>
              <w:rPr>
                <w:rFonts w:ascii="Arial" w:cs="Arial" w:eastAsia="Arial" w:hAnsi="Arial"/>
                <w:sz w:val="18"/>
                <w:szCs w:val="18"/>
                <w:color w:val="auto"/>
              </w:rPr>
              <w:t>5,444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278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61"/>
              <w:spacing w:after="0"/>
              <w:rPr>
                <w:sz w:val="20"/>
                <w:szCs w:val="20"/>
                <w:color w:val="auto"/>
              </w:rPr>
            </w:pPr>
            <w:r>
              <w:rPr>
                <w:rFonts w:ascii="Arial" w:cs="Arial" w:eastAsia="Arial" w:hAnsi="Arial"/>
                <w:sz w:val="18"/>
                <w:szCs w:val="18"/>
                <w:color w:val="auto"/>
              </w:rPr>
              <w:t>5,722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(20,197)</w:t>
            </w:r>
          </w:p>
        </w:tc>
        <w:tc>
          <w:tcPr>
            <w:tcW w:w="1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(697)</w:t>
            </w:r>
          </w:p>
        </w:tc>
        <w:tc>
          <w:tcPr>
            <w:tcW w:w="18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(20,894)</w:t>
            </w:r>
          </w:p>
        </w:tc>
      </w:tr>
      <w:tr>
        <w:trPr>
          <w:trHeight w:val="202"/>
        </w:trPr>
        <w:tc>
          <w:tcPr>
            <w:tcW w:w="39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3"/>
              </w:rPr>
              <w:t>Reclassification adjustment for net realized losses</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44"/>
        </w:trPr>
        <w:tc>
          <w:tcPr>
            <w:tcW w:w="3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(gains) included in net income (loss)</w:t>
            </w:r>
          </w:p>
        </w:tc>
        <w:tc>
          <w:tcPr>
            <w:tcW w:w="2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299</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299</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(43)</w:t>
            </w:r>
          </w:p>
        </w:tc>
      </w:tr>
      <w:tr>
        <w:trPr>
          <w:trHeight w:val="182"/>
        </w:trPr>
        <w:tc>
          <w:tcPr>
            <w:tcW w:w="3920" w:type="dxa"/>
            <w:vAlign w:val="bottom"/>
          </w:tcPr>
          <w:p>
            <w:pPr>
              <w:ind w:left="340"/>
              <w:spacing w:after="0" w:line="182" w:lineRule="exact"/>
              <w:rPr>
                <w:sz w:val="20"/>
                <w:szCs w:val="20"/>
                <w:color w:val="auto"/>
              </w:rPr>
            </w:pPr>
            <w:r>
              <w:rPr>
                <w:rFonts w:ascii="Arial" w:cs="Arial" w:eastAsia="Arial" w:hAnsi="Arial"/>
                <w:sz w:val="18"/>
                <w:szCs w:val="18"/>
                <w:color w:val="auto"/>
              </w:rPr>
              <w:t>Other comprehensive income (loss), before</w:t>
            </w:r>
          </w:p>
        </w:tc>
        <w:tc>
          <w:tcPr>
            <w:tcW w:w="2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30"/>
        </w:trPr>
        <w:tc>
          <w:tcPr>
            <w:tcW w:w="3920" w:type="dxa"/>
            <w:vAlign w:val="bottom"/>
          </w:tcPr>
          <w:p>
            <w:pPr>
              <w:ind w:left="340"/>
              <w:spacing w:after="0"/>
              <w:rPr>
                <w:sz w:val="20"/>
                <w:szCs w:val="20"/>
                <w:color w:val="auto"/>
              </w:rPr>
            </w:pPr>
            <w:r>
              <w:rPr>
                <w:rFonts w:ascii="Arial" w:cs="Arial" w:eastAsia="Arial" w:hAnsi="Arial"/>
                <w:sz w:val="18"/>
                <w:szCs w:val="18"/>
                <w:color w:val="auto"/>
              </w:rPr>
              <w:t>income taxes</w:t>
            </w:r>
          </w:p>
        </w:tc>
        <w:tc>
          <w:tcPr>
            <w:tcW w:w="200" w:type="dxa"/>
            <w:vAlign w:val="bottom"/>
          </w:tcPr>
          <w:p>
            <w:pPr>
              <w:spacing w:after="0"/>
              <w:rPr>
                <w:sz w:val="20"/>
                <w:szCs w:val="20"/>
                <w:color w:val="auto"/>
              </w:rPr>
            </w:pPr>
          </w:p>
        </w:tc>
        <w:tc>
          <w:tcPr>
            <w:tcW w:w="1000" w:type="dxa"/>
            <w:vAlign w:val="bottom"/>
            <w:gridSpan w:val="2"/>
          </w:tcPr>
          <w:p>
            <w:pPr>
              <w:jc w:val="right"/>
              <w:ind w:right="61"/>
              <w:spacing w:after="0"/>
              <w:rPr>
                <w:sz w:val="20"/>
                <w:szCs w:val="20"/>
                <w:color w:val="auto"/>
              </w:rPr>
            </w:pPr>
            <w:r>
              <w:rPr>
                <w:rFonts w:ascii="Arial" w:cs="Arial" w:eastAsia="Arial" w:hAnsi="Arial"/>
                <w:sz w:val="18"/>
                <w:szCs w:val="18"/>
                <w:color w:val="auto"/>
              </w:rPr>
              <w:t>5,743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278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61"/>
              <w:spacing w:after="0"/>
              <w:rPr>
                <w:sz w:val="20"/>
                <w:szCs w:val="20"/>
                <w:color w:val="auto"/>
              </w:rPr>
            </w:pPr>
            <w:r>
              <w:rPr>
                <w:rFonts w:ascii="Arial" w:cs="Arial" w:eastAsia="Arial" w:hAnsi="Arial"/>
                <w:sz w:val="18"/>
                <w:szCs w:val="18"/>
                <w:color w:val="auto"/>
              </w:rPr>
              <w:t>6,021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(20,240)</w:t>
            </w:r>
          </w:p>
        </w:tc>
        <w:tc>
          <w:tcPr>
            <w:tcW w:w="1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(697)</w:t>
            </w:r>
          </w:p>
        </w:tc>
        <w:tc>
          <w:tcPr>
            <w:tcW w:w="180" w:type="dxa"/>
            <w:vAlign w:val="bottom"/>
          </w:tcPr>
          <w:p>
            <w:pPr>
              <w:spacing w:after="0"/>
              <w:rPr>
                <w:sz w:val="20"/>
                <w:szCs w:val="20"/>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(20,937)</w:t>
            </w:r>
          </w:p>
        </w:tc>
      </w:tr>
      <w:tr>
        <w:trPr>
          <w:trHeight w:val="202"/>
        </w:trPr>
        <w:tc>
          <w:tcPr>
            <w:tcW w:w="3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Income tax benefit (expense) related to items of</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44"/>
        </w:trPr>
        <w:tc>
          <w:tcPr>
            <w:tcW w:w="3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2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(1,305)</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(63)</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(1,368)</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4,601</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w:t>
            </w:r>
          </w:p>
        </w:tc>
        <w:tc>
          <w:tcPr>
            <w:tcW w:w="1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4,759</w:t>
            </w:r>
          </w:p>
        </w:tc>
        <w:tc>
          <w:tcPr>
            <w:tcW w:w="80" w:type="dxa"/>
            <w:vAlign w:val="bottom"/>
            <w:shd w:val="clear" w:color="auto" w:fill="CCEEFF"/>
          </w:tcPr>
          <w:p>
            <w:pPr>
              <w:spacing w:after="0"/>
              <w:rPr>
                <w:sz w:val="21"/>
                <w:szCs w:val="21"/>
                <w:color w:val="auto"/>
              </w:rPr>
            </w:pPr>
          </w:p>
        </w:tc>
      </w:tr>
      <w:tr>
        <w:trPr>
          <w:trHeight w:val="182"/>
        </w:trPr>
        <w:tc>
          <w:tcPr>
            <w:tcW w:w="3920" w:type="dxa"/>
            <w:vAlign w:val="bottom"/>
          </w:tcPr>
          <w:p>
            <w:pPr>
              <w:ind w:left="340"/>
              <w:spacing w:after="0" w:line="182" w:lineRule="exact"/>
              <w:rPr>
                <w:sz w:val="20"/>
                <w:szCs w:val="20"/>
                <w:color w:val="auto"/>
              </w:rPr>
            </w:pPr>
            <w:r>
              <w:rPr>
                <w:rFonts w:ascii="Arial" w:cs="Arial" w:eastAsia="Arial" w:hAnsi="Arial"/>
                <w:sz w:val="18"/>
                <w:szCs w:val="18"/>
                <w:color w:val="auto"/>
              </w:rPr>
              <w:t>Other comprehensive income (loss), net of</w:t>
            </w:r>
          </w:p>
        </w:tc>
        <w:tc>
          <w:tcPr>
            <w:tcW w:w="2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44"/>
        </w:trPr>
        <w:tc>
          <w:tcPr>
            <w:tcW w:w="3920" w:type="dxa"/>
            <w:vAlign w:val="bottom"/>
          </w:tcPr>
          <w:p>
            <w:pPr>
              <w:ind w:left="340"/>
              <w:spacing w:after="0"/>
              <w:rPr>
                <w:sz w:val="20"/>
                <w:szCs w:val="20"/>
                <w:color w:val="auto"/>
              </w:rPr>
            </w:pPr>
            <w:r>
              <w:rPr>
                <w:rFonts w:ascii="Arial" w:cs="Arial" w:eastAsia="Arial" w:hAnsi="Arial"/>
                <w:sz w:val="18"/>
                <w:szCs w:val="18"/>
                <w:color w:val="auto"/>
              </w:rPr>
              <w:t>income taxes</w:t>
            </w:r>
          </w:p>
        </w:tc>
        <w:tc>
          <w:tcPr>
            <w:tcW w:w="200" w:type="dxa"/>
            <w:vAlign w:val="bottom"/>
          </w:tcPr>
          <w:p>
            <w:pPr>
              <w:spacing w:after="0"/>
              <w:rPr>
                <w:sz w:val="21"/>
                <w:szCs w:val="21"/>
                <w:color w:val="auto"/>
              </w:rPr>
            </w:pPr>
          </w:p>
        </w:tc>
        <w:tc>
          <w:tcPr>
            <w:tcW w:w="1000" w:type="dxa"/>
            <w:vAlign w:val="bottom"/>
            <w:gridSpan w:val="2"/>
          </w:tcPr>
          <w:p>
            <w:pPr>
              <w:jc w:val="right"/>
              <w:ind w:right="61"/>
              <w:spacing w:after="0"/>
              <w:rPr>
                <w:sz w:val="20"/>
                <w:szCs w:val="20"/>
                <w:color w:val="auto"/>
              </w:rPr>
            </w:pPr>
            <w:r>
              <w:rPr>
                <w:rFonts w:ascii="Arial" w:cs="Arial" w:eastAsia="Arial" w:hAnsi="Arial"/>
                <w:sz w:val="18"/>
                <w:szCs w:val="18"/>
                <w:color w:val="auto"/>
              </w:rPr>
              <w:t>4,438</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215</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61"/>
              <w:spacing w:after="0"/>
              <w:rPr>
                <w:sz w:val="20"/>
                <w:szCs w:val="20"/>
                <w:color w:val="auto"/>
              </w:rPr>
            </w:pPr>
            <w:r>
              <w:rPr>
                <w:rFonts w:ascii="Arial" w:cs="Arial" w:eastAsia="Arial" w:hAnsi="Arial"/>
                <w:sz w:val="18"/>
                <w:szCs w:val="18"/>
                <w:color w:val="auto"/>
              </w:rPr>
              <w:t>4,653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(15,639)</w:t>
            </w:r>
          </w:p>
        </w:tc>
        <w:tc>
          <w:tcPr>
            <w:tcW w:w="14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(539)</w:t>
            </w:r>
          </w:p>
        </w:tc>
        <w:tc>
          <w:tcPr>
            <w:tcW w:w="180" w:type="dxa"/>
            <w:vAlign w:val="bottom"/>
          </w:tcPr>
          <w:p>
            <w:pPr>
              <w:spacing w:after="0"/>
              <w:rPr>
                <w:sz w:val="21"/>
                <w:szCs w:val="21"/>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(16,178)</w:t>
            </w:r>
          </w:p>
        </w:tc>
      </w:tr>
      <w:tr>
        <w:trPr>
          <w:trHeight w:val="210"/>
        </w:trPr>
        <w:tc>
          <w:tcPr>
            <w:tcW w:w="39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43"/>
        </w:trPr>
        <w:tc>
          <w:tcPr>
            <w:tcW w:w="3920" w:type="dxa"/>
            <w:vAlign w:val="bottom"/>
          </w:tcPr>
          <w:p>
            <w:pPr>
              <w:spacing w:after="0"/>
              <w:rPr>
                <w:sz w:val="20"/>
                <w:szCs w:val="20"/>
                <w:color w:val="auto"/>
              </w:rPr>
            </w:pPr>
            <w:r>
              <w:rPr>
                <w:rFonts w:ascii="Arial" w:cs="Arial" w:eastAsia="Arial" w:hAnsi="Arial"/>
                <w:sz w:val="18"/>
                <w:szCs w:val="18"/>
                <w:color w:val="auto"/>
              </w:rPr>
              <w:t>Comprehensive income (loss)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1"/>
              <w:spacing w:after="0"/>
              <w:rPr>
                <w:sz w:val="20"/>
                <w:szCs w:val="20"/>
                <w:color w:val="auto"/>
              </w:rPr>
            </w:pPr>
            <w:r>
              <w:rPr>
                <w:rFonts w:ascii="Arial" w:cs="Arial" w:eastAsia="Arial" w:hAnsi="Arial"/>
                <w:sz w:val="18"/>
                <w:szCs w:val="18"/>
                <w:color w:val="auto"/>
              </w:rPr>
              <w:t>228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
              <w:spacing w:after="0"/>
              <w:rPr>
                <w:sz w:val="20"/>
                <w:szCs w:val="20"/>
                <w:color w:val="auto"/>
              </w:rPr>
            </w:pPr>
            <w:r>
              <w:rPr>
                <w:rFonts w:ascii="Arial" w:cs="Arial" w:eastAsia="Arial" w:hAnsi="Arial"/>
                <w:sz w:val="18"/>
                <w:szCs w:val="18"/>
                <w:color w:val="auto"/>
              </w:rPr>
              <w:t>(75)</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1"/>
              <w:spacing w:after="0"/>
              <w:rPr>
                <w:sz w:val="20"/>
                <w:szCs w:val="20"/>
                <w:color w:val="auto"/>
              </w:rPr>
            </w:pPr>
            <w:r>
              <w:rPr>
                <w:rFonts w:ascii="Arial" w:cs="Arial" w:eastAsia="Arial" w:hAnsi="Arial"/>
                <w:sz w:val="18"/>
                <w:szCs w:val="18"/>
                <w:color w:val="auto"/>
              </w:rPr>
              <w:t>153</w:t>
            </w:r>
          </w:p>
        </w:tc>
        <w:tc>
          <w:tcPr>
            <w:tcW w:w="2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(13,730)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(409)</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(14,139)</w:t>
            </w:r>
          </w:p>
        </w:tc>
      </w:tr>
      <w:tr>
        <w:trPr>
          <w:trHeight w:val="20"/>
        </w:trPr>
        <w:tc>
          <w:tcPr>
            <w:tcW w:w="39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Changes in Shareholders’ Equity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 amounts in thousands)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2023</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3"/>
          </w:tcPr>
          <w:p>
            <w:pPr>
              <w:jc w:val="center"/>
              <w:ind w:right="20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r>
      <w:tr>
        <w:trPr>
          <w:trHeight w:val="216"/>
        </w:trPr>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1"/>
              </w:rPr>
              <w:t>Unearned</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5"/>
              </w:rPr>
              <w:t>Other</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9"/>
              </w:rPr>
              <w:t>Employee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88"/>
              </w:rPr>
              <w:t>Comprehensive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gridSpan w:val="4"/>
          </w:tcPr>
          <w:p>
            <w:pPr>
              <w:spacing w:after="0"/>
              <w:rPr>
                <w:sz w:val="20"/>
                <w:szCs w:val="20"/>
                <w:color w:val="auto"/>
              </w:rPr>
            </w:pPr>
            <w:r>
              <w:rPr>
                <w:rFonts w:ascii="Arial" w:cs="Arial" w:eastAsia="Arial" w:hAnsi="Arial"/>
                <w:sz w:val="18"/>
                <w:szCs w:val="18"/>
                <w:b w:val="1"/>
                <w:bCs w:val="1"/>
                <w:color w:val="auto"/>
                <w:w w:val="97"/>
              </w:rPr>
              <w:t>Additional</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5"/>
              </w:rPr>
              <w:t>Stock</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9"/>
              </w:rPr>
              <w:t>Income (Loss),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2"/>
              </w:rPr>
              <w:t>Total</w:t>
            </w:r>
          </w:p>
        </w:tc>
      </w:tr>
      <w:tr>
        <w:trPr>
          <w:trHeight w:val="216"/>
        </w:trPr>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2"/>
              </w:rPr>
              <w:t>Common</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89"/>
              </w:rPr>
              <w:t>Paid-in</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4"/>
          </w:tcPr>
          <w:p>
            <w:pPr>
              <w:spacing w:after="0"/>
              <w:rPr>
                <w:sz w:val="20"/>
                <w:szCs w:val="20"/>
                <w:color w:val="auto"/>
              </w:rPr>
            </w:pPr>
            <w:r>
              <w:rPr>
                <w:rFonts w:ascii="Arial" w:cs="Arial" w:eastAsia="Arial" w:hAnsi="Arial"/>
                <w:sz w:val="18"/>
                <w:szCs w:val="18"/>
                <w:b w:val="1"/>
                <w:bCs w:val="1"/>
                <w:color w:val="auto"/>
              </w:rPr>
              <w:t>Ownership</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92"/>
              </w:rPr>
              <w:t>Retained</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89"/>
              </w:rPr>
              <w:t>Net of Income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w w:val="92"/>
              </w:rPr>
              <w:t>Treasury</w:t>
            </w:r>
          </w:p>
        </w:tc>
        <w:tc>
          <w:tcPr>
            <w:tcW w:w="1500" w:type="dxa"/>
            <w:vAlign w:val="bottom"/>
            <w:gridSpan w:val="4"/>
          </w:tcPr>
          <w:p>
            <w:pPr>
              <w:ind w:left="60"/>
              <w:spacing w:after="0"/>
              <w:rPr>
                <w:sz w:val="20"/>
                <w:szCs w:val="20"/>
                <w:color w:val="auto"/>
              </w:rPr>
            </w:pPr>
            <w:r>
              <w:rPr>
                <w:rFonts w:ascii="Arial" w:cs="Arial" w:eastAsia="Arial" w:hAnsi="Arial"/>
                <w:sz w:val="18"/>
                <w:szCs w:val="18"/>
                <w:b w:val="1"/>
                <w:bCs w:val="1"/>
                <w:color w:val="auto"/>
              </w:rPr>
              <w:t>Non-Controlling</w:t>
            </w:r>
          </w:p>
        </w:tc>
        <w:tc>
          <w:tcPr>
            <w:tcW w:w="20" w:type="dxa"/>
            <w:vAlign w:val="bottom"/>
          </w:tcPr>
          <w:p>
            <w:pPr>
              <w:spacing w:after="0"/>
              <w:rPr>
                <w:sz w:val="18"/>
                <w:szCs w:val="18"/>
                <w:color w:val="auto"/>
              </w:rPr>
            </w:pPr>
          </w:p>
        </w:tc>
        <w:tc>
          <w:tcPr>
            <w:tcW w:w="1200" w:type="dxa"/>
            <w:vAlign w:val="bottom"/>
            <w:gridSpan w:val="4"/>
          </w:tcPr>
          <w:p>
            <w:pPr>
              <w:spacing w:after="0"/>
              <w:rPr>
                <w:sz w:val="20"/>
                <w:szCs w:val="20"/>
                <w:color w:val="auto"/>
              </w:rPr>
            </w:pPr>
            <w:r>
              <w:rPr>
                <w:rFonts w:ascii="Arial" w:cs="Arial" w:eastAsia="Arial" w:hAnsi="Arial"/>
                <w:sz w:val="18"/>
                <w:szCs w:val="18"/>
                <w:b w:val="1"/>
                <w:bCs w:val="1"/>
                <w:color w:val="auto"/>
                <w:w w:val="98"/>
              </w:rPr>
              <w:t>Shareholders’</w:t>
            </w:r>
          </w:p>
        </w:tc>
      </w:tr>
      <w:tr>
        <w:trPr>
          <w:trHeight w:val="234"/>
        </w:trPr>
        <w:tc>
          <w:tcPr>
            <w:tcW w:w="2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9"/>
              </w:rPr>
              <w:t>Stock</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3"/>
              </w:rPr>
              <w:t>Capital</w:t>
            </w:r>
          </w:p>
        </w:tc>
        <w:tc>
          <w:tcPr>
            <w:tcW w:w="40" w:type="dxa"/>
            <w:vAlign w:val="bottom"/>
          </w:tcPr>
          <w:p>
            <w:pPr>
              <w:spacing w:after="0"/>
              <w:rPr>
                <w:sz w:val="20"/>
                <w:szCs w:val="20"/>
                <w:color w:val="auto"/>
              </w:rPr>
            </w:pPr>
          </w:p>
        </w:tc>
        <w:tc>
          <w:tcPr>
            <w:tcW w:w="1060" w:type="dxa"/>
            <w:vAlign w:val="bottom"/>
            <w:gridSpan w:val="5"/>
          </w:tcPr>
          <w:p>
            <w:pPr>
              <w:ind w:left="60"/>
              <w:spacing w:after="0"/>
              <w:rPr>
                <w:sz w:val="20"/>
                <w:szCs w:val="20"/>
                <w:color w:val="auto"/>
              </w:rPr>
            </w:pPr>
            <w:r>
              <w:rPr>
                <w:rFonts w:ascii="Arial" w:cs="Arial" w:eastAsia="Arial" w:hAnsi="Arial"/>
                <w:sz w:val="18"/>
                <w:szCs w:val="18"/>
                <w:b w:val="1"/>
                <w:bCs w:val="1"/>
                <w:color w:val="auto"/>
                <w:w w:val="95"/>
              </w:rPr>
              <w:t>Plan Shares</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90"/>
              </w:rPr>
              <w:t>Earnings</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2"/>
              </w:rPr>
              <w:t>Taxes</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3"/>
              </w:rPr>
              <w:t>Stock</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Interest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4"/>
              </w:rPr>
              <w:t>Equity</w:t>
            </w:r>
          </w:p>
        </w:tc>
      </w:tr>
      <w:tr>
        <w:trPr>
          <w:trHeight w:val="209"/>
        </w:trPr>
        <w:tc>
          <w:tcPr>
            <w:tcW w:w="2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January 1, 2023</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95,671</w:t>
            </w: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$ 214,121</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(29,286)</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2"/>
              </w:rPr>
              <w:t>(28,818)</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2,230</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253,207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(4,210)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(4,500)</w:t>
            </w:r>
          </w:p>
        </w:tc>
      </w:tr>
      <w:tr>
        <w:trPr>
          <w:trHeight w:val="202"/>
        </w:trPr>
        <w:tc>
          <w:tcPr>
            <w:tcW w:w="2220" w:type="dxa"/>
            <w:vAlign w:val="bottom"/>
          </w:tcPr>
          <w:p>
            <w:pPr>
              <w:spacing w:after="0" w:line="201" w:lineRule="exact"/>
              <w:rPr>
                <w:sz w:val="20"/>
                <w:szCs w:val="20"/>
                <w:color w:val="auto"/>
              </w:rPr>
            </w:pPr>
            <w:r>
              <w:rPr>
                <w:rFonts w:ascii="Arial" w:cs="Arial" w:eastAsia="Arial" w:hAnsi="Arial"/>
                <w:sz w:val="18"/>
                <w:szCs w:val="18"/>
                <w:color w:val="auto"/>
                <w:w w:val="93"/>
              </w:rPr>
              <w:t>Other comprehensive income</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2220" w:type="dxa"/>
            <w:vAlign w:val="bottom"/>
          </w:tcPr>
          <w:p>
            <w:pPr>
              <w:spacing w:after="0"/>
              <w:rPr>
                <w:sz w:val="20"/>
                <w:szCs w:val="20"/>
                <w:color w:val="auto"/>
              </w:rPr>
            </w:pPr>
            <w:r>
              <w:rPr>
                <w:rFonts w:ascii="Arial" w:cs="Arial" w:eastAsia="Arial" w:hAnsi="Arial"/>
                <w:sz w:val="18"/>
                <w:szCs w:val="18"/>
                <w:color w:val="auto"/>
              </w:rPr>
              <w:t>(loss), net of income taxes</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4,438</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215</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4,653</w:t>
            </w:r>
          </w:p>
        </w:tc>
        <w:tc>
          <w:tcPr>
            <w:tcW w:w="80" w:type="dxa"/>
            <w:vAlign w:val="bottom"/>
          </w:tcPr>
          <w:p>
            <w:pPr>
              <w:spacing w:after="0"/>
              <w:rPr>
                <w:sz w:val="20"/>
                <w:szCs w:val="20"/>
                <w:color w:val="auto"/>
              </w:rPr>
            </w:pPr>
          </w:p>
        </w:tc>
      </w:tr>
      <w:tr>
        <w:trPr>
          <w:trHeight w:val="216"/>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Purchase of treasury stock</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(621)</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(621)</w:t>
            </w: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w w:val="99"/>
              </w:rPr>
              <w:t>Share-based compensation</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8"/>
                <w:szCs w:val="18"/>
                <w:color w:val="auto"/>
              </w:rPr>
              <w:t>505</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505</w:t>
            </w:r>
          </w:p>
        </w:tc>
        <w:tc>
          <w:tcPr>
            <w:tcW w:w="80" w:type="dxa"/>
            <w:vAlign w:val="bottom"/>
          </w:tcPr>
          <w:p>
            <w:pPr>
              <w:spacing w:after="0"/>
              <w:rPr>
                <w:sz w:val="18"/>
                <w:szCs w:val="18"/>
                <w:color w:val="auto"/>
              </w:rPr>
            </w:pPr>
          </w:p>
        </w:tc>
      </w:tr>
      <w:tr>
        <w:trPr>
          <w:trHeight w:val="202"/>
        </w:trPr>
        <w:tc>
          <w:tcPr>
            <w:tcW w:w="2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vested award</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44"/>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shares</w:t>
            </w: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(608)</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(201)</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636</w:t>
            </w: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(173)</w:t>
            </w:r>
          </w:p>
        </w:tc>
      </w:tr>
      <w:tr>
        <w:trPr>
          <w:trHeight w:val="182"/>
        </w:trPr>
        <w:tc>
          <w:tcPr>
            <w:tcW w:w="2220" w:type="dxa"/>
            <w:vAlign w:val="bottom"/>
          </w:tcPr>
          <w:p>
            <w:pPr>
              <w:spacing w:after="0" w:line="182" w:lineRule="exact"/>
              <w:rPr>
                <w:sz w:val="20"/>
                <w:szCs w:val="20"/>
                <w:color w:val="auto"/>
              </w:rPr>
            </w:pPr>
            <w:r>
              <w:rPr>
                <w:rFonts w:ascii="Arial" w:cs="Arial" w:eastAsia="Arial" w:hAnsi="Arial"/>
                <w:sz w:val="18"/>
                <w:szCs w:val="18"/>
                <w:color w:val="auto"/>
              </w:rPr>
              <w:t>Balance,</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57"/>
        </w:trPr>
        <w:tc>
          <w:tcPr>
            <w:tcW w:w="2220" w:type="dxa"/>
            <w:vAlign w:val="bottom"/>
          </w:tcPr>
          <w:p>
            <w:pPr>
              <w:spacing w:after="0"/>
              <w:rPr>
                <w:sz w:val="20"/>
                <w:szCs w:val="20"/>
                <w:color w:val="auto"/>
              </w:rPr>
            </w:pPr>
            <w:r>
              <w:rPr>
                <w:rFonts w:ascii="Arial" w:cs="Arial" w:eastAsia="Arial" w:hAnsi="Arial"/>
                <w:sz w:val="18"/>
                <w:szCs w:val="18"/>
                <w:color w:val="auto"/>
              </w:rPr>
              <w:t>March 31, 2023</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230</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780" w:type="dxa"/>
            <w:vAlign w:val="bottom"/>
            <w:gridSpan w:val="3"/>
          </w:tcPr>
          <w:p>
            <w:pPr>
              <w:jc w:val="right"/>
              <w:ind w:right="80"/>
              <w:spacing w:after="0"/>
              <w:rPr>
                <w:sz w:val="20"/>
                <w:szCs w:val="20"/>
                <w:color w:val="auto"/>
              </w:rPr>
            </w:pPr>
            <w:r>
              <w:rPr>
                <w:rFonts w:ascii="Arial" w:cs="Arial" w:eastAsia="Arial" w:hAnsi="Arial"/>
                <w:sz w:val="18"/>
                <w:szCs w:val="18"/>
                <w:color w:val="auto"/>
              </w:rPr>
              <w:t>95,568</w:t>
            </w:r>
          </w:p>
        </w:tc>
        <w:tc>
          <w:tcPr>
            <w:tcW w:w="220" w:type="dxa"/>
            <w:vAlign w:val="bottom"/>
            <w:gridSpan w:val="3"/>
          </w:tcPr>
          <w:p>
            <w:pPr>
              <w:ind w:left="100"/>
              <w:spacing w:after="0"/>
              <w:rPr>
                <w:sz w:val="20"/>
                <w:szCs w:val="20"/>
                <w:color w:val="auto"/>
              </w:rPr>
            </w:pPr>
            <w:r>
              <w:rPr>
                <w:rFonts w:ascii="Arial" w:cs="Arial" w:eastAsia="Arial" w:hAnsi="Arial"/>
                <w:sz w:val="18"/>
                <w:szCs w:val="18"/>
                <w:color w:val="auto"/>
                <w:w w:val="99"/>
              </w:rPr>
              <w:t>$</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(941)</w:t>
            </w:r>
          </w:p>
        </w:tc>
        <w:tc>
          <w:tcPr>
            <w:tcW w:w="920" w:type="dxa"/>
            <w:vAlign w:val="bottom"/>
            <w:gridSpan w:val="5"/>
          </w:tcPr>
          <w:p>
            <w:pPr>
              <w:jc w:val="right"/>
              <w:ind w:right="100"/>
              <w:spacing w:after="0"/>
              <w:rPr>
                <w:sz w:val="20"/>
                <w:szCs w:val="20"/>
                <w:color w:val="auto"/>
              </w:rPr>
            </w:pPr>
            <w:r>
              <w:rPr>
                <w:rFonts w:ascii="Arial" w:cs="Arial" w:eastAsia="Arial" w:hAnsi="Arial"/>
                <w:sz w:val="18"/>
                <w:szCs w:val="18"/>
                <w:color w:val="auto"/>
                <w:w w:val="99"/>
              </w:rPr>
              <w:t>$ 209,710</w:t>
            </w:r>
          </w:p>
        </w:tc>
        <w:tc>
          <w:tcPr>
            <w:tcW w:w="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(24,848)</w:t>
            </w:r>
          </w:p>
        </w:tc>
        <w:tc>
          <w:tcPr>
            <w:tcW w:w="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auto"/>
              </w:rPr>
              <w:t>(28,803)</w:t>
            </w:r>
          </w:p>
        </w:tc>
        <w:tc>
          <w:tcPr>
            <w:tcW w:w="2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2,155</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253,071</w:t>
            </w:r>
          </w:p>
        </w:tc>
        <w:tc>
          <w:tcPr>
            <w:tcW w:w="80" w:type="dxa"/>
            <w:vAlign w:val="bottom"/>
          </w:tcPr>
          <w:p>
            <w:pPr>
              <w:spacing w:after="0"/>
              <w:rPr>
                <w:sz w:val="22"/>
                <w:szCs w:val="22"/>
                <w:color w:val="auto"/>
              </w:rPr>
            </w:pPr>
          </w:p>
        </w:tc>
      </w:tr>
      <w:tr>
        <w:trPr>
          <w:trHeight w:val="20"/>
        </w:trPr>
        <w:tc>
          <w:tcPr>
            <w:tcW w:w="2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88"/>
        </w:trPr>
        <w:tc>
          <w:tcPr>
            <w:tcW w:w="2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17"/>
          </w:tcPr>
          <w:p>
            <w:pPr>
              <w:ind w:left="20"/>
              <w:spacing w:after="0"/>
              <w:rPr>
                <w:sz w:val="20"/>
                <w:szCs w:val="20"/>
                <w:color w:val="auto"/>
              </w:rPr>
            </w:pPr>
            <w:r>
              <w:rPr>
                <w:rFonts w:ascii="Arial" w:cs="Arial" w:eastAsia="Arial" w:hAnsi="Arial"/>
                <w:sz w:val="18"/>
                <w:szCs w:val="18"/>
                <w:b w:val="1"/>
                <w:bCs w:val="1"/>
                <w:color w:val="auto"/>
              </w:rPr>
              <w:t>Three Months Ended March 31, 2022</w:t>
            </w: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r>
        <w:trPr>
          <w:trHeight w:val="191"/>
        </w:trPr>
        <w:tc>
          <w:tcPr>
            <w:tcW w:w="2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20" w:type="dxa"/>
            <w:vAlign w:val="bottom"/>
            <w:gridSpan w:val="4"/>
          </w:tcPr>
          <w:p>
            <w:pPr>
              <w:jc w:val="center"/>
              <w:ind w:right="22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gridSpan w:val="5"/>
          </w:tcPr>
          <w:p>
            <w:pPr>
              <w:ind w:left="60"/>
              <w:spacing w:after="0"/>
              <w:rPr>
                <w:sz w:val="20"/>
                <w:szCs w:val="20"/>
                <w:color w:val="auto"/>
              </w:rPr>
            </w:pPr>
            <w:r>
              <w:rPr>
                <w:rFonts w:ascii="Arial" w:cs="Arial" w:eastAsia="Arial" w:hAnsi="Arial"/>
                <w:sz w:val="18"/>
                <w:szCs w:val="18"/>
                <w:b w:val="1"/>
                <w:bCs w:val="1"/>
                <w:color w:val="auto"/>
              </w:rPr>
              <w:t>Unearned</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5"/>
              </w:rPr>
              <w:t>Other</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gridSpan w:val="5"/>
          </w:tcPr>
          <w:p>
            <w:pPr>
              <w:ind w:left="60"/>
              <w:spacing w:after="0"/>
              <w:rPr>
                <w:sz w:val="20"/>
                <w:szCs w:val="20"/>
                <w:color w:val="auto"/>
              </w:rPr>
            </w:pPr>
            <w:r>
              <w:rPr>
                <w:rFonts w:ascii="Arial" w:cs="Arial" w:eastAsia="Arial" w:hAnsi="Arial"/>
                <w:sz w:val="18"/>
                <w:szCs w:val="18"/>
                <w:b w:val="1"/>
                <w:bCs w:val="1"/>
                <w:color w:val="auto"/>
              </w:rPr>
              <w:t>Employee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80" w:type="dxa"/>
            <w:vAlign w:val="bottom"/>
            <w:gridSpan w:val="5"/>
          </w:tcPr>
          <w:p>
            <w:pPr>
              <w:jc w:val="center"/>
              <w:ind w:right="140"/>
              <w:spacing w:after="0"/>
              <w:rPr>
                <w:sz w:val="20"/>
                <w:szCs w:val="20"/>
                <w:color w:val="auto"/>
              </w:rPr>
            </w:pPr>
            <w:r>
              <w:rPr>
                <w:rFonts w:ascii="Arial" w:cs="Arial" w:eastAsia="Arial" w:hAnsi="Arial"/>
                <w:sz w:val="18"/>
                <w:szCs w:val="18"/>
                <w:b w:val="1"/>
                <w:bCs w:val="1"/>
                <w:color w:val="auto"/>
                <w:w w:val="88"/>
              </w:rPr>
              <w:t>Comprehensive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5"/>
          </w:tcPr>
          <w:p>
            <w:pPr>
              <w:spacing w:after="0"/>
              <w:rPr>
                <w:sz w:val="20"/>
                <w:szCs w:val="20"/>
                <w:color w:val="auto"/>
              </w:rPr>
            </w:pPr>
            <w:r>
              <w:rPr>
                <w:rFonts w:ascii="Arial" w:cs="Arial" w:eastAsia="Arial" w:hAnsi="Arial"/>
                <w:sz w:val="18"/>
                <w:szCs w:val="18"/>
                <w:b w:val="1"/>
                <w:bCs w:val="1"/>
                <w:color w:val="auto"/>
              </w:rPr>
              <w:t>Additional</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w w:val="93"/>
              </w:rPr>
              <w:t>Stock</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80" w:type="dxa"/>
            <w:vAlign w:val="bottom"/>
            <w:gridSpan w:val="5"/>
          </w:tcPr>
          <w:p>
            <w:pPr>
              <w:jc w:val="center"/>
              <w:ind w:right="140"/>
              <w:spacing w:after="0"/>
              <w:rPr>
                <w:sz w:val="20"/>
                <w:szCs w:val="20"/>
                <w:color w:val="auto"/>
              </w:rPr>
            </w:pPr>
            <w:r>
              <w:rPr>
                <w:rFonts w:ascii="Arial" w:cs="Arial" w:eastAsia="Arial" w:hAnsi="Arial"/>
                <w:sz w:val="18"/>
                <w:szCs w:val="18"/>
                <w:b w:val="1"/>
                <w:bCs w:val="1"/>
                <w:color w:val="auto"/>
                <w:w w:val="88"/>
              </w:rPr>
              <w:t>Income (Loss),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2"/>
              </w:rPr>
              <w:t>Total</w:t>
            </w:r>
          </w:p>
        </w:tc>
      </w:tr>
      <w:tr>
        <w:trPr>
          <w:trHeight w:val="216"/>
        </w:trPr>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89"/>
              </w:rPr>
              <w:t>Common</w:t>
            </w:r>
          </w:p>
        </w:tc>
        <w:tc>
          <w:tcPr>
            <w:tcW w:w="60" w:type="dxa"/>
            <w:vAlign w:val="bottom"/>
          </w:tcPr>
          <w:p>
            <w:pPr>
              <w:spacing w:after="0"/>
              <w:rPr>
                <w:sz w:val="18"/>
                <w:szCs w:val="18"/>
                <w:color w:val="auto"/>
              </w:rPr>
            </w:pPr>
          </w:p>
        </w:tc>
        <w:tc>
          <w:tcPr>
            <w:tcW w:w="880" w:type="dxa"/>
            <w:vAlign w:val="bottom"/>
            <w:gridSpan w:val="4"/>
          </w:tcPr>
          <w:p>
            <w:pPr>
              <w:jc w:val="right"/>
              <w:ind w:right="280"/>
              <w:spacing w:after="0"/>
              <w:rPr>
                <w:sz w:val="20"/>
                <w:szCs w:val="20"/>
                <w:color w:val="auto"/>
              </w:rPr>
            </w:pPr>
            <w:r>
              <w:rPr>
                <w:rFonts w:ascii="Arial" w:cs="Arial" w:eastAsia="Arial" w:hAnsi="Arial"/>
                <w:sz w:val="18"/>
                <w:szCs w:val="18"/>
                <w:b w:val="1"/>
                <w:bCs w:val="1"/>
                <w:color w:val="auto"/>
                <w:w w:val="96"/>
              </w:rPr>
              <w:t>Paid-in</w:t>
            </w:r>
          </w:p>
        </w:tc>
        <w:tc>
          <w:tcPr>
            <w:tcW w:w="40" w:type="dxa"/>
            <w:vAlign w:val="bottom"/>
          </w:tcPr>
          <w:p>
            <w:pPr>
              <w:spacing w:after="0"/>
              <w:rPr>
                <w:sz w:val="18"/>
                <w:szCs w:val="18"/>
                <w:color w:val="auto"/>
              </w:rPr>
            </w:pPr>
          </w:p>
        </w:tc>
        <w:tc>
          <w:tcPr>
            <w:tcW w:w="1060" w:type="dxa"/>
            <w:vAlign w:val="bottom"/>
            <w:gridSpan w:val="5"/>
          </w:tcPr>
          <w:p>
            <w:pPr>
              <w:jc w:val="right"/>
              <w:ind w:right="180"/>
              <w:spacing w:after="0"/>
              <w:rPr>
                <w:sz w:val="20"/>
                <w:szCs w:val="20"/>
                <w:color w:val="auto"/>
              </w:rPr>
            </w:pPr>
            <w:r>
              <w:rPr>
                <w:rFonts w:ascii="Arial" w:cs="Arial" w:eastAsia="Arial" w:hAnsi="Arial"/>
                <w:sz w:val="18"/>
                <w:szCs w:val="18"/>
                <w:b w:val="1"/>
                <w:bCs w:val="1"/>
                <w:color w:val="auto"/>
                <w:w w:val="92"/>
              </w:rPr>
              <w:t>Ownership</w:t>
            </w:r>
          </w:p>
        </w:tc>
        <w:tc>
          <w:tcPr>
            <w:tcW w:w="20" w:type="dxa"/>
            <w:vAlign w:val="bottom"/>
          </w:tcPr>
          <w:p>
            <w:pPr>
              <w:spacing w:after="0"/>
              <w:rPr>
                <w:sz w:val="18"/>
                <w:szCs w:val="18"/>
                <w:color w:val="auto"/>
              </w:rPr>
            </w:pPr>
          </w:p>
        </w:tc>
        <w:tc>
          <w:tcPr>
            <w:tcW w:w="900" w:type="dxa"/>
            <w:vAlign w:val="bottom"/>
            <w:gridSpan w:val="4"/>
          </w:tcPr>
          <w:p>
            <w:pPr>
              <w:jc w:val="right"/>
              <w:ind w:right="200"/>
              <w:spacing w:after="0"/>
              <w:rPr>
                <w:sz w:val="20"/>
                <w:szCs w:val="20"/>
                <w:color w:val="auto"/>
              </w:rPr>
            </w:pPr>
            <w:r>
              <w:rPr>
                <w:rFonts w:ascii="Arial" w:cs="Arial" w:eastAsia="Arial" w:hAnsi="Arial"/>
                <w:sz w:val="18"/>
                <w:szCs w:val="18"/>
                <w:b w:val="1"/>
                <w:bCs w:val="1"/>
                <w:color w:val="auto"/>
                <w:w w:val="89"/>
              </w:rPr>
              <w:t>Retained</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90"/>
              </w:rPr>
              <w:t>Net of Income</w:t>
            </w:r>
          </w:p>
        </w:tc>
        <w:tc>
          <w:tcPr>
            <w:tcW w:w="20" w:type="dxa"/>
            <w:vAlign w:val="bottom"/>
          </w:tcPr>
          <w:p>
            <w:pPr>
              <w:spacing w:after="0"/>
              <w:rPr>
                <w:sz w:val="18"/>
                <w:szCs w:val="18"/>
                <w:color w:val="auto"/>
              </w:rPr>
            </w:pPr>
          </w:p>
        </w:tc>
        <w:tc>
          <w:tcPr>
            <w:tcW w:w="920" w:type="dxa"/>
            <w:vAlign w:val="bottom"/>
            <w:gridSpan w:val="5"/>
          </w:tcPr>
          <w:p>
            <w:pPr>
              <w:jc w:val="right"/>
              <w:ind w:right="200"/>
              <w:spacing w:after="0"/>
              <w:rPr>
                <w:sz w:val="20"/>
                <w:szCs w:val="20"/>
                <w:color w:val="auto"/>
              </w:rPr>
            </w:pPr>
            <w:r>
              <w:rPr>
                <w:rFonts w:ascii="Arial" w:cs="Arial" w:eastAsia="Arial" w:hAnsi="Arial"/>
                <w:sz w:val="18"/>
                <w:szCs w:val="18"/>
                <w:b w:val="1"/>
                <w:bCs w:val="1"/>
                <w:color w:val="auto"/>
                <w:w w:val="92"/>
              </w:rPr>
              <w:t>Treasury</w:t>
            </w:r>
          </w:p>
        </w:tc>
        <w:tc>
          <w:tcPr>
            <w:tcW w:w="1500" w:type="dxa"/>
            <w:vAlign w:val="bottom"/>
            <w:gridSpan w:val="4"/>
          </w:tcPr>
          <w:p>
            <w:pPr>
              <w:spacing w:after="0"/>
              <w:rPr>
                <w:sz w:val="20"/>
                <w:szCs w:val="20"/>
                <w:color w:val="auto"/>
              </w:rPr>
            </w:pPr>
            <w:r>
              <w:rPr>
                <w:rFonts w:ascii="Arial" w:cs="Arial" w:eastAsia="Arial" w:hAnsi="Arial"/>
                <w:sz w:val="18"/>
                <w:szCs w:val="18"/>
                <w:b w:val="1"/>
                <w:bCs w:val="1"/>
                <w:color w:val="auto"/>
              </w:rPr>
              <w:t>Non-Controlling</w:t>
            </w:r>
          </w:p>
        </w:tc>
        <w:tc>
          <w:tcPr>
            <w:tcW w:w="20" w:type="dxa"/>
            <w:vAlign w:val="bottom"/>
          </w:tcPr>
          <w:p>
            <w:pPr>
              <w:spacing w:after="0"/>
              <w:rPr>
                <w:sz w:val="18"/>
                <w:szCs w:val="18"/>
                <w:color w:val="auto"/>
              </w:rPr>
            </w:pPr>
          </w:p>
        </w:tc>
        <w:tc>
          <w:tcPr>
            <w:tcW w:w="1200" w:type="dxa"/>
            <w:vAlign w:val="bottom"/>
            <w:gridSpan w:val="4"/>
          </w:tcPr>
          <w:p>
            <w:pPr>
              <w:spacing w:after="0"/>
              <w:rPr>
                <w:sz w:val="20"/>
                <w:szCs w:val="20"/>
                <w:color w:val="auto"/>
              </w:rPr>
            </w:pPr>
            <w:r>
              <w:rPr>
                <w:rFonts w:ascii="Arial" w:cs="Arial" w:eastAsia="Arial" w:hAnsi="Arial"/>
                <w:sz w:val="18"/>
                <w:szCs w:val="18"/>
                <w:b w:val="1"/>
                <w:bCs w:val="1"/>
                <w:color w:val="auto"/>
                <w:w w:val="98"/>
              </w:rPr>
              <w:t>Shareholders’</w:t>
            </w:r>
          </w:p>
        </w:tc>
      </w:tr>
      <w:tr>
        <w:trPr>
          <w:trHeight w:val="234"/>
        </w:trPr>
        <w:tc>
          <w:tcPr>
            <w:tcW w:w="2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85"/>
              </w:rPr>
              <w:t>Stock</w:t>
            </w:r>
          </w:p>
        </w:tc>
        <w:tc>
          <w:tcPr>
            <w:tcW w:w="60" w:type="dxa"/>
            <w:vAlign w:val="bottom"/>
          </w:tcPr>
          <w:p>
            <w:pPr>
              <w:spacing w:after="0"/>
              <w:rPr>
                <w:sz w:val="20"/>
                <w:szCs w:val="20"/>
                <w:color w:val="auto"/>
              </w:rPr>
            </w:pPr>
          </w:p>
        </w:tc>
        <w:tc>
          <w:tcPr>
            <w:tcW w:w="880" w:type="dxa"/>
            <w:vAlign w:val="bottom"/>
            <w:gridSpan w:val="4"/>
          </w:tcPr>
          <w:p>
            <w:pPr>
              <w:jc w:val="right"/>
              <w:ind w:right="240"/>
              <w:spacing w:after="0"/>
              <w:rPr>
                <w:sz w:val="20"/>
                <w:szCs w:val="20"/>
                <w:color w:val="auto"/>
              </w:rPr>
            </w:pPr>
            <w:r>
              <w:rPr>
                <w:rFonts w:ascii="Arial" w:cs="Arial" w:eastAsia="Arial" w:hAnsi="Arial"/>
                <w:sz w:val="18"/>
                <w:szCs w:val="18"/>
                <w:b w:val="1"/>
                <w:bCs w:val="1"/>
                <w:color w:val="auto"/>
              </w:rPr>
              <w:t>Capital</w:t>
            </w:r>
          </w:p>
        </w:tc>
        <w:tc>
          <w:tcPr>
            <w:tcW w:w="1100" w:type="dxa"/>
            <w:vAlign w:val="bottom"/>
            <w:gridSpan w:val="6"/>
          </w:tcPr>
          <w:p>
            <w:pPr>
              <w:ind w:left="40"/>
              <w:spacing w:after="0"/>
              <w:rPr>
                <w:sz w:val="20"/>
                <w:szCs w:val="20"/>
                <w:color w:val="auto"/>
              </w:rPr>
            </w:pPr>
            <w:r>
              <w:rPr>
                <w:rFonts w:ascii="Arial" w:cs="Arial" w:eastAsia="Arial" w:hAnsi="Arial"/>
                <w:sz w:val="18"/>
                <w:szCs w:val="18"/>
                <w:b w:val="1"/>
                <w:bCs w:val="1"/>
                <w:color w:val="auto"/>
              </w:rPr>
              <w:t>Plan Shares</w:t>
            </w:r>
          </w:p>
        </w:tc>
        <w:tc>
          <w:tcPr>
            <w:tcW w:w="20" w:type="dxa"/>
            <w:vAlign w:val="bottom"/>
          </w:tcPr>
          <w:p>
            <w:pPr>
              <w:spacing w:after="0"/>
              <w:rPr>
                <w:sz w:val="20"/>
                <w:szCs w:val="20"/>
                <w:color w:val="auto"/>
              </w:rPr>
            </w:pPr>
          </w:p>
        </w:tc>
        <w:tc>
          <w:tcPr>
            <w:tcW w:w="900" w:type="dxa"/>
            <w:vAlign w:val="bottom"/>
            <w:gridSpan w:val="4"/>
          </w:tcPr>
          <w:p>
            <w:pPr>
              <w:jc w:val="right"/>
              <w:ind w:right="160"/>
              <w:spacing w:after="0"/>
              <w:rPr>
                <w:sz w:val="20"/>
                <w:szCs w:val="20"/>
                <w:color w:val="auto"/>
              </w:rPr>
            </w:pPr>
            <w:r>
              <w:rPr>
                <w:rFonts w:ascii="Arial" w:cs="Arial" w:eastAsia="Arial" w:hAnsi="Arial"/>
                <w:sz w:val="18"/>
                <w:szCs w:val="18"/>
                <w:b w:val="1"/>
                <w:bCs w:val="1"/>
                <w:color w:val="auto"/>
                <w:w w:val="93"/>
              </w:rPr>
              <w:t>Earnings</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86"/>
              </w:rPr>
              <w:t>Taxes</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w w:val="81"/>
              </w:rPr>
              <w:t>Stock</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Interest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4"/>
              </w:rPr>
              <w:t>Equity</w:t>
            </w:r>
          </w:p>
        </w:tc>
      </w:tr>
      <w:tr>
        <w:trPr>
          <w:trHeight w:val="210"/>
        </w:trPr>
        <w:tc>
          <w:tcPr>
            <w:tcW w:w="2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January 1, 2022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98,166</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(1,184)</w:t>
            </w:r>
          </w:p>
        </w:tc>
        <w:tc>
          <w:tcPr>
            <w:tcW w:w="140" w:type="dxa"/>
            <w:vAlign w:val="bottom"/>
            <w:tcBorders>
              <w:top w:val="single" w:sz="8" w:color="CCEEFF"/>
            </w:tcBorders>
            <w:gridSpan w:val="2"/>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2"/>
              </w:rPr>
              <w:t>$ 267,207</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5,237</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7"/>
              </w:rPr>
              <w:t>$ (26,452)</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4,209</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347,413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1,909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2,039</w:t>
            </w:r>
          </w:p>
        </w:tc>
        <w:tc>
          <w:tcPr>
            <w:tcW w:w="80" w:type="dxa"/>
            <w:vAlign w:val="bottom"/>
            <w:shd w:val="clear" w:color="auto" w:fill="CCEEFF"/>
          </w:tcPr>
          <w:p>
            <w:pPr>
              <w:spacing w:after="0"/>
              <w:rPr>
                <w:sz w:val="18"/>
                <w:szCs w:val="18"/>
                <w:color w:val="auto"/>
              </w:rPr>
            </w:pPr>
          </w:p>
        </w:tc>
      </w:tr>
      <w:tr>
        <w:trPr>
          <w:trHeight w:val="202"/>
        </w:trPr>
        <w:tc>
          <w:tcPr>
            <w:tcW w:w="2220" w:type="dxa"/>
            <w:vAlign w:val="bottom"/>
          </w:tcPr>
          <w:p>
            <w:pPr>
              <w:spacing w:after="0" w:line="201" w:lineRule="exact"/>
              <w:rPr>
                <w:sz w:val="20"/>
                <w:szCs w:val="20"/>
                <w:color w:val="auto"/>
              </w:rPr>
            </w:pPr>
            <w:r>
              <w:rPr>
                <w:rFonts w:ascii="Arial" w:cs="Arial" w:eastAsia="Arial" w:hAnsi="Arial"/>
                <w:sz w:val="18"/>
                <w:szCs w:val="18"/>
                <w:color w:val="auto"/>
                <w:w w:val="93"/>
              </w:rPr>
              <w:t>Other comprehensive income</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2220" w:type="dxa"/>
            <w:vAlign w:val="bottom"/>
          </w:tcPr>
          <w:p>
            <w:pPr>
              <w:spacing w:after="0"/>
              <w:rPr>
                <w:sz w:val="20"/>
                <w:szCs w:val="20"/>
                <w:color w:val="auto"/>
              </w:rPr>
            </w:pPr>
            <w:r>
              <w:rPr>
                <w:rFonts w:ascii="Arial" w:cs="Arial" w:eastAsia="Arial" w:hAnsi="Arial"/>
                <w:sz w:val="18"/>
                <w:szCs w:val="18"/>
                <w:color w:val="auto"/>
              </w:rPr>
              <w:t>(loss), net of income taxes</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3"/>
          </w:tcPr>
          <w:p>
            <w:pPr>
              <w:jc w:val="right"/>
              <w:ind w:right="80"/>
              <w:spacing w:after="0"/>
              <w:rPr>
                <w:sz w:val="20"/>
                <w:szCs w:val="20"/>
                <w:color w:val="auto"/>
              </w:rPr>
            </w:pPr>
            <w:r>
              <w:rPr>
                <w:rFonts w:ascii="Arial" w:cs="Arial" w:eastAsia="Arial" w:hAnsi="Arial"/>
                <w:sz w:val="18"/>
                <w:szCs w:val="18"/>
                <w:color w:val="auto"/>
              </w:rPr>
              <w:t>(15,639)</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(539)</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(16,178)</w:t>
            </w:r>
          </w:p>
        </w:tc>
      </w:tr>
      <w:tr>
        <w:trPr>
          <w:trHeight w:val="216"/>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Purchase of treasury stock</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(997)</w:t>
            </w: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w w:val="99"/>
              </w:rPr>
              <w:t>Share-based compensation</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565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565</w:t>
            </w:r>
          </w:p>
        </w:tc>
        <w:tc>
          <w:tcPr>
            <w:tcW w:w="80" w:type="dxa"/>
            <w:vAlign w:val="bottom"/>
          </w:tcPr>
          <w:p>
            <w:pPr>
              <w:spacing w:after="0"/>
              <w:rPr>
                <w:sz w:val="18"/>
                <w:szCs w:val="18"/>
                <w:color w:val="auto"/>
              </w:rPr>
            </w:pPr>
          </w:p>
        </w:tc>
      </w:tr>
      <w:tr>
        <w:trPr>
          <w:trHeight w:val="202"/>
        </w:trPr>
        <w:tc>
          <w:tcPr>
            <w:tcW w:w="2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vested award</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44"/>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shares</w:t>
            </w: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(2,214)</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1,624</w:t>
            </w: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(564)</w:t>
            </w:r>
          </w:p>
        </w:tc>
      </w:tr>
      <w:tr>
        <w:trPr>
          <w:trHeight w:val="182"/>
        </w:trPr>
        <w:tc>
          <w:tcPr>
            <w:tcW w:w="2220" w:type="dxa"/>
            <w:vAlign w:val="bottom"/>
          </w:tcPr>
          <w:p>
            <w:pPr>
              <w:spacing w:after="0" w:line="182" w:lineRule="exact"/>
              <w:rPr>
                <w:sz w:val="20"/>
                <w:szCs w:val="20"/>
                <w:color w:val="auto"/>
              </w:rPr>
            </w:pPr>
            <w:r>
              <w:rPr>
                <w:rFonts w:ascii="Arial" w:cs="Arial" w:eastAsia="Arial" w:hAnsi="Arial"/>
                <w:sz w:val="18"/>
                <w:szCs w:val="18"/>
                <w:color w:val="auto"/>
              </w:rPr>
              <w:t>Balance,</w:t>
            </w:r>
          </w:p>
        </w:tc>
        <w:tc>
          <w:tcPr>
            <w:tcW w:w="10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57"/>
        </w:trPr>
        <w:tc>
          <w:tcPr>
            <w:tcW w:w="2220" w:type="dxa"/>
            <w:vAlign w:val="bottom"/>
          </w:tcPr>
          <w:p>
            <w:pPr>
              <w:spacing w:after="0"/>
              <w:rPr>
                <w:sz w:val="20"/>
                <w:szCs w:val="20"/>
                <w:color w:val="auto"/>
              </w:rPr>
            </w:pPr>
            <w:r>
              <w:rPr>
                <w:rFonts w:ascii="Arial" w:cs="Arial" w:eastAsia="Arial" w:hAnsi="Arial"/>
                <w:sz w:val="18"/>
                <w:szCs w:val="18"/>
                <w:color w:val="auto"/>
              </w:rPr>
              <w:t>March 31, 2022</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2"/>
                <w:szCs w:val="22"/>
                <w:color w:val="auto"/>
              </w:rPr>
            </w:pP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96,517</w:t>
            </w:r>
          </w:p>
        </w:tc>
        <w:tc>
          <w:tcPr>
            <w:tcW w:w="80" w:type="dxa"/>
            <w:vAlign w:val="bottom"/>
          </w:tcPr>
          <w:p>
            <w:pPr>
              <w:spacing w:after="0"/>
              <w:rPr>
                <w:sz w:val="22"/>
                <w:szCs w:val="22"/>
                <w:color w:val="auto"/>
              </w:rPr>
            </w:pPr>
          </w:p>
        </w:tc>
        <w:tc>
          <w:tcPr>
            <w:tcW w:w="22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(1,184)</w:t>
            </w:r>
          </w:p>
        </w:tc>
        <w:tc>
          <w:tcPr>
            <w:tcW w:w="820" w:type="dxa"/>
            <w:vAlign w:val="bottom"/>
            <w:gridSpan w:val="4"/>
          </w:tcPr>
          <w:p>
            <w:pPr>
              <w:jc w:val="right"/>
              <w:ind w:right="40"/>
              <w:spacing w:after="0"/>
              <w:rPr>
                <w:sz w:val="20"/>
                <w:szCs w:val="20"/>
                <w:color w:val="auto"/>
              </w:rPr>
            </w:pPr>
            <w:r>
              <w:rPr>
                <w:rFonts w:ascii="Arial" w:cs="Arial" w:eastAsia="Arial" w:hAnsi="Arial"/>
                <w:sz w:val="18"/>
                <w:szCs w:val="18"/>
                <w:color w:val="auto"/>
                <w:w w:val="94"/>
              </w:rPr>
              <w:t>$ 269,142</w:t>
            </w:r>
          </w:p>
        </w:tc>
        <w:tc>
          <w:tcPr>
            <w:tcW w:w="100" w:type="dxa"/>
            <w:vAlign w:val="bottom"/>
          </w:tcPr>
          <w:p>
            <w:pPr>
              <w:spacing w:after="0"/>
              <w:rPr>
                <w:sz w:val="22"/>
                <w:szCs w:val="22"/>
                <w:color w:val="auto"/>
              </w:rPr>
            </w:pPr>
          </w:p>
        </w:tc>
        <w:tc>
          <w:tcPr>
            <w:tcW w:w="180" w:type="dxa"/>
            <w:vAlign w:val="bottom"/>
            <w:gridSpan w:val="3"/>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3"/>
          </w:tcPr>
          <w:p>
            <w:pPr>
              <w:jc w:val="right"/>
              <w:ind w:right="80"/>
              <w:spacing w:after="0"/>
              <w:rPr>
                <w:sz w:val="20"/>
                <w:szCs w:val="20"/>
                <w:color w:val="auto"/>
              </w:rPr>
            </w:pPr>
            <w:r>
              <w:rPr>
                <w:rFonts w:ascii="Arial" w:cs="Arial" w:eastAsia="Arial" w:hAnsi="Arial"/>
                <w:sz w:val="18"/>
                <w:szCs w:val="18"/>
                <w:color w:val="auto"/>
              </w:rPr>
              <w:t>(10,402)</w:t>
            </w:r>
          </w:p>
        </w:tc>
        <w:tc>
          <w:tcPr>
            <w:tcW w:w="820" w:type="dxa"/>
            <w:vAlign w:val="bottom"/>
            <w:gridSpan w:val="5"/>
          </w:tcPr>
          <w:p>
            <w:pPr>
              <w:jc w:val="right"/>
              <w:spacing w:after="0"/>
              <w:rPr>
                <w:sz w:val="20"/>
                <w:szCs w:val="20"/>
                <w:color w:val="auto"/>
              </w:rPr>
            </w:pPr>
            <w:r>
              <w:rPr>
                <w:rFonts w:ascii="Arial" w:cs="Arial" w:eastAsia="Arial" w:hAnsi="Arial"/>
                <w:sz w:val="18"/>
                <w:szCs w:val="18"/>
                <w:color w:val="auto"/>
                <w:w w:val="97"/>
              </w:rPr>
              <w:t>$ (25,825)</w:t>
            </w:r>
          </w:p>
        </w:tc>
        <w:tc>
          <w:tcPr>
            <w:tcW w:w="120" w:type="dxa"/>
            <w:vAlign w:val="bottom"/>
          </w:tcPr>
          <w:p>
            <w:pPr>
              <w:spacing w:after="0"/>
              <w:rPr>
                <w:sz w:val="22"/>
                <w:szCs w:val="22"/>
                <w:color w:val="auto"/>
              </w:rPr>
            </w:pPr>
          </w:p>
        </w:tc>
        <w:tc>
          <w:tcPr>
            <w:tcW w:w="260" w:type="dxa"/>
            <w:vAlign w:val="bottom"/>
            <w:gridSpan w:val="2"/>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3,800</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332,278</w:t>
            </w:r>
          </w:p>
        </w:tc>
        <w:tc>
          <w:tcPr>
            <w:tcW w:w="80" w:type="dxa"/>
            <w:vAlign w:val="bottom"/>
          </w:tcPr>
          <w:p>
            <w:pPr>
              <w:spacing w:after="0"/>
              <w:rPr>
                <w:sz w:val="22"/>
                <w:szCs w:val="22"/>
                <w:color w:val="auto"/>
              </w:rPr>
            </w:pPr>
          </w:p>
        </w:tc>
      </w:tr>
      <w:tr>
        <w:trPr>
          <w:trHeight w:val="20"/>
        </w:trPr>
        <w:tc>
          <w:tcPr>
            <w:tcW w:w="2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1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 amounts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gridSpan w:val="6"/>
          </w:tcPr>
          <w:p>
            <w:pPr>
              <w:jc w:val="right"/>
              <w:ind w:right="141"/>
              <w:spacing w:after="0"/>
              <w:rPr>
                <w:sz w:val="20"/>
                <w:szCs w:val="20"/>
                <w:color w:val="auto"/>
              </w:rPr>
            </w:pPr>
            <w:r>
              <w:rPr>
                <w:rFonts w:ascii="Arial" w:cs="Arial" w:eastAsia="Arial" w:hAnsi="Arial"/>
                <w:sz w:val="18"/>
                <w:szCs w:val="18"/>
                <w:b w:val="1"/>
                <w:bCs w:val="1"/>
                <w:color w:val="auto"/>
                <w:w w:val="92"/>
              </w:rPr>
              <w:t>Three Months Ended March 31,</w:t>
            </w:r>
          </w:p>
        </w:tc>
      </w:tr>
      <w:tr>
        <w:trPr>
          <w:trHeight w:val="223"/>
        </w:trPr>
        <w:tc>
          <w:tcPr>
            <w:tcW w:w="74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r>
      <w:tr>
        <w:trPr>
          <w:trHeight w:val="209"/>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00" w:type="dxa"/>
            <w:vAlign w:val="bottom"/>
          </w:tcPr>
          <w:p>
            <w:pPr>
              <w:ind w:left="140"/>
              <w:spacing w:after="0"/>
              <w:rPr>
                <w:sz w:val="20"/>
                <w:szCs w:val="20"/>
                <w:color w:val="auto"/>
              </w:rPr>
            </w:pPr>
            <w:r>
              <w:rPr>
                <w:rFonts w:ascii="Arial" w:cs="Arial" w:eastAsia="Arial" w:hAnsi="Arial"/>
                <w:sz w:val="18"/>
                <w:szCs w:val="18"/>
                <w:color w:val="auto"/>
              </w:rPr>
              <w:t>Net income (loss)</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
              <w:spacing w:after="0"/>
              <w:rPr>
                <w:sz w:val="20"/>
                <w:szCs w:val="20"/>
                <w:color w:val="auto"/>
              </w:rPr>
            </w:pPr>
            <w:r>
              <w:rPr>
                <w:rFonts w:ascii="Arial" w:cs="Arial" w:eastAsia="Arial" w:hAnsi="Arial"/>
                <w:sz w:val="18"/>
                <w:szCs w:val="18"/>
                <w:color w:val="auto"/>
              </w:rPr>
              <w:t>(4,500)</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2,039</w:t>
            </w:r>
          </w:p>
        </w:tc>
      </w:tr>
      <w:tr>
        <w:trPr>
          <w:trHeight w:val="216"/>
        </w:trPr>
        <w:tc>
          <w:tcPr>
            <w:tcW w:w="7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Adjustments to reconcile net income (loss) to net cash flows from operating activities:</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00" w:type="dxa"/>
            <w:vAlign w:val="bottom"/>
          </w:tcPr>
          <w:p>
            <w:pPr>
              <w:ind w:left="340"/>
              <w:spacing w:after="0"/>
              <w:rPr>
                <w:sz w:val="20"/>
                <w:szCs w:val="20"/>
                <w:color w:val="auto"/>
              </w:rPr>
            </w:pPr>
            <w:r>
              <w:rPr>
                <w:rFonts w:ascii="Arial" w:cs="Arial" w:eastAsia="Arial" w:hAnsi="Arial"/>
                <w:sz w:val="18"/>
                <w:szCs w:val="18"/>
                <w:color w:val="auto"/>
              </w:rPr>
              <w:t>Net investment losses (gains)</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
              <w:spacing w:after="0"/>
              <w:rPr>
                <w:sz w:val="20"/>
                <w:szCs w:val="20"/>
                <w:color w:val="auto"/>
              </w:rPr>
            </w:pPr>
            <w:r>
              <w:rPr>
                <w:rFonts w:ascii="Arial" w:cs="Arial" w:eastAsia="Arial" w:hAnsi="Arial"/>
                <w:sz w:val="18"/>
                <w:szCs w:val="18"/>
                <w:color w:val="auto"/>
              </w:rPr>
              <w:t>(1,416)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5,528</w:t>
            </w:r>
          </w:p>
        </w:tc>
      </w:tr>
      <w:tr>
        <w:trPr>
          <w:trHeight w:val="216"/>
        </w:trPr>
        <w:tc>
          <w:tcPr>
            <w:tcW w:w="7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income tax benefit</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(2,874)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(1,360)</w:t>
            </w:r>
          </w:p>
        </w:tc>
      </w:tr>
      <w:tr>
        <w:trPr>
          <w:trHeight w:val="216"/>
        </w:trPr>
        <w:tc>
          <w:tcPr>
            <w:tcW w:w="7400" w:type="dxa"/>
            <w:vAlign w:val="bottom"/>
          </w:tcPr>
          <w:p>
            <w:pPr>
              <w:ind w:left="340"/>
              <w:spacing w:after="0"/>
              <w:rPr>
                <w:sz w:val="20"/>
                <w:szCs w:val="20"/>
                <w:color w:val="auto"/>
              </w:rPr>
            </w:pPr>
            <w:r>
              <w:rPr>
                <w:rFonts w:ascii="Arial" w:cs="Arial" w:eastAsia="Arial" w:hAnsi="Arial"/>
                <w:sz w:val="18"/>
                <w:szCs w:val="18"/>
                <w:color w:val="auto"/>
              </w:rPr>
              <w:t>Depreciation of property and equipment</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1"/>
              <w:spacing w:after="0"/>
              <w:rPr>
                <w:sz w:val="20"/>
                <w:szCs w:val="20"/>
                <w:color w:val="auto"/>
              </w:rPr>
            </w:pPr>
            <w:r>
              <w:rPr>
                <w:rFonts w:ascii="Arial" w:cs="Arial" w:eastAsia="Arial" w:hAnsi="Arial"/>
                <w:sz w:val="18"/>
                <w:szCs w:val="18"/>
                <w:color w:val="auto"/>
              </w:rPr>
              <w:t>182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168</w:t>
            </w:r>
          </w:p>
        </w:tc>
      </w:tr>
      <w:tr>
        <w:trPr>
          <w:trHeight w:val="216"/>
        </w:trPr>
        <w:tc>
          <w:tcPr>
            <w:tcW w:w="7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intangibles</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118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118</w:t>
            </w:r>
          </w:p>
        </w:tc>
      </w:tr>
      <w:tr>
        <w:trPr>
          <w:trHeight w:val="216"/>
        </w:trPr>
        <w:tc>
          <w:tcPr>
            <w:tcW w:w="7400" w:type="dxa"/>
            <w:vAlign w:val="bottom"/>
          </w:tcPr>
          <w:p>
            <w:pPr>
              <w:ind w:left="340"/>
              <w:spacing w:after="0"/>
              <w:rPr>
                <w:sz w:val="20"/>
                <w:szCs w:val="20"/>
                <w:color w:val="auto"/>
              </w:rPr>
            </w:pPr>
            <w:r>
              <w:rPr>
                <w:rFonts w:ascii="Arial" w:cs="Arial" w:eastAsia="Arial" w:hAnsi="Arial"/>
                <w:sz w:val="18"/>
                <w:szCs w:val="18"/>
                <w:color w:val="auto"/>
              </w:rPr>
              <w:t>Share-based compensation</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1"/>
              <w:spacing w:after="0"/>
              <w:rPr>
                <w:sz w:val="20"/>
                <w:szCs w:val="20"/>
                <w:color w:val="auto"/>
              </w:rPr>
            </w:pPr>
            <w:r>
              <w:rPr>
                <w:rFonts w:ascii="Arial" w:cs="Arial" w:eastAsia="Arial" w:hAnsi="Arial"/>
                <w:sz w:val="18"/>
                <w:szCs w:val="18"/>
                <w:color w:val="auto"/>
              </w:rPr>
              <w:t>505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565</w:t>
            </w:r>
          </w:p>
        </w:tc>
      </w:tr>
      <w:tr>
        <w:trPr>
          <w:trHeight w:val="216"/>
        </w:trPr>
        <w:tc>
          <w:tcPr>
            <w:tcW w:w="7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deferred policy acquisition costs</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18,588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15,623</w:t>
            </w:r>
          </w:p>
        </w:tc>
      </w:tr>
      <w:tr>
        <w:trPr>
          <w:trHeight w:val="216"/>
        </w:trPr>
        <w:tc>
          <w:tcPr>
            <w:tcW w:w="7400" w:type="dxa"/>
            <w:vAlign w:val="bottom"/>
          </w:tcPr>
          <w:p>
            <w:pPr>
              <w:ind w:left="340"/>
              <w:spacing w:after="0"/>
              <w:rPr>
                <w:sz w:val="20"/>
                <w:szCs w:val="20"/>
                <w:color w:val="auto"/>
              </w:rPr>
            </w:pPr>
            <w:r>
              <w:rPr>
                <w:rFonts w:ascii="Arial" w:cs="Arial" w:eastAsia="Arial" w:hAnsi="Arial"/>
                <w:sz w:val="18"/>
                <w:szCs w:val="18"/>
                <w:color w:val="auto"/>
              </w:rPr>
              <w:t>Deferral of policy acquisition costs</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
              <w:spacing w:after="0"/>
              <w:rPr>
                <w:sz w:val="20"/>
                <w:szCs w:val="20"/>
                <w:color w:val="auto"/>
              </w:rPr>
            </w:pPr>
            <w:r>
              <w:rPr>
                <w:rFonts w:ascii="Arial" w:cs="Arial" w:eastAsia="Arial" w:hAnsi="Arial"/>
                <w:sz w:val="18"/>
                <w:szCs w:val="18"/>
                <w:color w:val="auto"/>
              </w:rPr>
              <w:t>(20,170)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(16,948)</w:t>
            </w:r>
          </w:p>
        </w:tc>
      </w:tr>
      <w:tr>
        <w:trPr>
          <w:trHeight w:val="216"/>
        </w:trPr>
        <w:tc>
          <w:tcPr>
            <w:tcW w:w="7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amortization of premiums and discounts on investments</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290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470</w:t>
            </w:r>
          </w:p>
        </w:tc>
      </w:tr>
      <w:tr>
        <w:trPr>
          <w:trHeight w:val="216"/>
        </w:trPr>
        <w:tc>
          <w:tcPr>
            <w:tcW w:w="7400" w:type="dxa"/>
            <w:vAlign w:val="bottom"/>
          </w:tcPr>
          <w:p>
            <w:pPr>
              <w:ind w:left="340"/>
              <w:spacing w:after="0"/>
              <w:rPr>
                <w:sz w:val="20"/>
                <w:szCs w:val="20"/>
                <w:color w:val="auto"/>
              </w:rPr>
            </w:pPr>
            <w:r>
              <w:rPr>
                <w:rFonts w:ascii="Arial" w:cs="Arial" w:eastAsia="Arial" w:hAnsi="Arial"/>
                <w:sz w:val="18"/>
                <w:szCs w:val="18"/>
                <w:color w:val="auto"/>
              </w:rPr>
              <w:t>Gain on sale of property and equipment</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(160)</w:t>
            </w:r>
          </w:p>
        </w:tc>
      </w:tr>
      <w:tr>
        <w:trPr>
          <w:trHeight w:val="216"/>
        </w:trPr>
        <w:tc>
          <w:tcPr>
            <w:tcW w:w="7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00" w:type="dxa"/>
            <w:vAlign w:val="bottom"/>
          </w:tcPr>
          <w:p>
            <w:pPr>
              <w:ind w:left="340"/>
              <w:spacing w:after="0"/>
              <w:rPr>
                <w:sz w:val="20"/>
                <w:szCs w:val="20"/>
                <w:color w:val="auto"/>
              </w:rPr>
            </w:pPr>
            <w:r>
              <w:rPr>
                <w:rFonts w:ascii="Arial" w:cs="Arial" w:eastAsia="Arial" w:hAnsi="Arial"/>
                <w:sz w:val="18"/>
                <w:szCs w:val="18"/>
                <w:color w:val="auto"/>
              </w:rPr>
              <w:t>Premiums and agents’ balances receivable</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
              <w:spacing w:after="0"/>
              <w:rPr>
                <w:sz w:val="20"/>
                <w:szCs w:val="20"/>
                <w:color w:val="auto"/>
              </w:rPr>
            </w:pPr>
            <w:r>
              <w:rPr>
                <w:rFonts w:ascii="Arial" w:cs="Arial" w:eastAsia="Arial" w:hAnsi="Arial"/>
                <w:sz w:val="18"/>
                <w:szCs w:val="18"/>
                <w:color w:val="auto"/>
              </w:rPr>
              <w:t>(2,329)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(3,428)</w:t>
            </w:r>
          </w:p>
        </w:tc>
      </w:tr>
      <w:tr>
        <w:trPr>
          <w:trHeight w:val="216"/>
        </w:trPr>
        <w:tc>
          <w:tcPr>
            <w:tcW w:w="7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Reinsurance premiums receivable / payable</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(2,121)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(989)</w:t>
            </w:r>
          </w:p>
        </w:tc>
      </w:tr>
      <w:tr>
        <w:trPr>
          <w:trHeight w:val="216"/>
        </w:trPr>
        <w:tc>
          <w:tcPr>
            <w:tcW w:w="7400" w:type="dxa"/>
            <w:vAlign w:val="bottom"/>
          </w:tcPr>
          <w:p>
            <w:pPr>
              <w:ind w:left="400"/>
              <w:spacing w:after="0"/>
              <w:rPr>
                <w:sz w:val="20"/>
                <w:szCs w:val="20"/>
                <w:color w:val="auto"/>
              </w:rPr>
            </w:pPr>
            <w:r>
              <w:rPr>
                <w:rFonts w:ascii="Arial" w:cs="Arial" w:eastAsia="Arial" w:hAnsi="Arial"/>
                <w:sz w:val="18"/>
                <w:szCs w:val="18"/>
                <w:color w:val="auto"/>
              </w:rPr>
              <w:t>Reinsurance recoverables on losses</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
              <w:spacing w:after="0"/>
              <w:rPr>
                <w:sz w:val="20"/>
                <w:szCs w:val="20"/>
                <w:color w:val="auto"/>
              </w:rPr>
            </w:pPr>
            <w:r>
              <w:rPr>
                <w:rFonts w:ascii="Arial" w:cs="Arial" w:eastAsia="Arial" w:hAnsi="Arial"/>
                <w:sz w:val="18"/>
                <w:szCs w:val="18"/>
                <w:color w:val="auto"/>
              </w:rPr>
              <w:t>(8,067)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1,838</w:t>
            </w:r>
          </w:p>
        </w:tc>
      </w:tr>
      <w:tr>
        <w:trPr>
          <w:trHeight w:val="216"/>
        </w:trPr>
        <w:tc>
          <w:tcPr>
            <w:tcW w:w="7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Income tax recoverable / payable</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1,967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1,927</w:t>
            </w:r>
          </w:p>
        </w:tc>
      </w:tr>
      <w:tr>
        <w:trPr>
          <w:trHeight w:val="216"/>
        </w:trPr>
        <w:tc>
          <w:tcPr>
            <w:tcW w:w="7400" w:type="dxa"/>
            <w:vAlign w:val="bottom"/>
          </w:tcPr>
          <w:p>
            <w:pPr>
              <w:ind w:left="400"/>
              <w:spacing w:after="0"/>
              <w:rPr>
                <w:sz w:val="20"/>
                <w:szCs w:val="20"/>
                <w:color w:val="auto"/>
              </w:rPr>
            </w:pPr>
            <w:r>
              <w:rPr>
                <w:rFonts w:ascii="Arial" w:cs="Arial" w:eastAsia="Arial" w:hAnsi="Arial"/>
                <w:sz w:val="18"/>
                <w:szCs w:val="18"/>
                <w:color w:val="auto"/>
              </w:rPr>
              <w:t>Accrued investment income</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1"/>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167</w:t>
            </w:r>
          </w:p>
        </w:tc>
      </w:tr>
      <w:tr>
        <w:trPr>
          <w:trHeight w:val="216"/>
        </w:trPr>
        <w:tc>
          <w:tcPr>
            <w:tcW w:w="7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Federal Crop Insurance Corporation receivable / payable</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1,428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2,097</w:t>
            </w:r>
          </w:p>
        </w:tc>
      </w:tr>
      <w:tr>
        <w:trPr>
          <w:trHeight w:val="216"/>
        </w:trPr>
        <w:tc>
          <w:tcPr>
            <w:tcW w:w="7400" w:type="dxa"/>
            <w:vAlign w:val="bottom"/>
          </w:tcPr>
          <w:p>
            <w:pPr>
              <w:ind w:left="400"/>
              <w:spacing w:after="0"/>
              <w:rPr>
                <w:sz w:val="20"/>
                <w:szCs w:val="20"/>
                <w:color w:val="auto"/>
              </w:rPr>
            </w:pPr>
            <w:r>
              <w:rPr>
                <w:rFonts w:ascii="Arial" w:cs="Arial" w:eastAsia="Arial" w:hAnsi="Arial"/>
                <w:sz w:val="18"/>
                <w:szCs w:val="18"/>
                <w:color w:val="auto"/>
              </w:rPr>
              <w:t>Other assets</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1"/>
              <w:spacing w:after="0"/>
              <w:rPr>
                <w:sz w:val="20"/>
                <w:szCs w:val="20"/>
                <w:color w:val="auto"/>
              </w:rPr>
            </w:pPr>
            <w:r>
              <w:rPr>
                <w:rFonts w:ascii="Arial" w:cs="Arial" w:eastAsia="Arial" w:hAnsi="Arial"/>
                <w:sz w:val="18"/>
                <w:szCs w:val="18"/>
                <w:color w:val="auto"/>
              </w:rPr>
              <w:t>79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(123)</w:t>
            </w:r>
          </w:p>
        </w:tc>
      </w:tr>
      <w:tr>
        <w:trPr>
          <w:trHeight w:val="216"/>
        </w:trPr>
        <w:tc>
          <w:tcPr>
            <w:tcW w:w="7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Unpaid losses and loss adjustment expenses</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14,331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(5,968)</w:t>
            </w:r>
          </w:p>
        </w:tc>
      </w:tr>
      <w:tr>
        <w:trPr>
          <w:trHeight w:val="216"/>
        </w:trPr>
        <w:tc>
          <w:tcPr>
            <w:tcW w:w="7400" w:type="dxa"/>
            <w:vAlign w:val="bottom"/>
          </w:tcPr>
          <w:p>
            <w:pPr>
              <w:ind w:left="400"/>
              <w:spacing w:after="0"/>
              <w:rPr>
                <w:sz w:val="20"/>
                <w:szCs w:val="20"/>
                <w:color w:val="auto"/>
              </w:rPr>
            </w:pPr>
            <w:r>
              <w:rPr>
                <w:rFonts w:ascii="Arial" w:cs="Arial" w:eastAsia="Arial" w:hAnsi="Arial"/>
                <w:sz w:val="18"/>
                <w:szCs w:val="18"/>
                <w:color w:val="auto"/>
              </w:rPr>
              <w:t>Unearned premiums</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1"/>
              <w:spacing w:after="0"/>
              <w:rPr>
                <w:sz w:val="20"/>
                <w:szCs w:val="20"/>
                <w:color w:val="auto"/>
              </w:rPr>
            </w:pPr>
            <w:r>
              <w:rPr>
                <w:rFonts w:ascii="Arial" w:cs="Arial" w:eastAsia="Arial" w:hAnsi="Arial"/>
                <w:sz w:val="18"/>
                <w:szCs w:val="18"/>
                <w:color w:val="auto"/>
              </w:rPr>
              <w:t>4,954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2,486</w:t>
            </w:r>
          </w:p>
        </w:tc>
      </w:tr>
      <w:tr>
        <w:trPr>
          <w:trHeight w:val="229"/>
        </w:trPr>
        <w:tc>
          <w:tcPr>
            <w:tcW w:w="7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Accrued expenses and other liabilities</w:t>
            </w: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(5,397)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w:t>
            </w:r>
          </w:p>
        </w:tc>
      </w:tr>
      <w:tr>
        <w:trPr>
          <w:trHeight w:val="210"/>
        </w:trPr>
        <w:tc>
          <w:tcPr>
            <w:tcW w:w="7400" w:type="dxa"/>
            <w:vAlign w:val="bottom"/>
            <w:tcBorders>
              <w:bottom w:val="single" w:sz="8" w:color="CCEEFF"/>
            </w:tcBorders>
          </w:tcPr>
          <w:p>
            <w:pPr>
              <w:ind w:left="580"/>
              <w:spacing w:after="0"/>
              <w:rPr>
                <w:sz w:val="20"/>
                <w:szCs w:val="20"/>
                <w:color w:val="auto"/>
              </w:rPr>
            </w:pPr>
            <w:r>
              <w:rPr>
                <w:rFonts w:ascii="Arial" w:cs="Arial" w:eastAsia="Arial" w:hAnsi="Arial"/>
                <w:sz w:val="18"/>
                <w:szCs w:val="18"/>
                <w:color w:val="auto"/>
              </w:rPr>
              <w:t>Net cash flows from operating activities</w:t>
            </w:r>
          </w:p>
        </w:tc>
        <w:tc>
          <w:tcPr>
            <w:tcW w:w="10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(4,351</w:t>
            </w:r>
          </w:p>
        </w:tc>
        <w:tc>
          <w:tcPr>
            <w:tcW w:w="14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3,849</w:t>
            </w:r>
          </w:p>
        </w:tc>
        <w:tc>
          <w:tcPr>
            <w:tcW w:w="100" w:type="dxa"/>
            <w:vAlign w:val="bottom"/>
            <w:tcBorders>
              <w:bottom w:val="single" w:sz="8" w:color="CCEEFF"/>
            </w:tcBorders>
          </w:tcPr>
          <w:p>
            <w:pPr>
              <w:spacing w:after="0"/>
              <w:rPr>
                <w:sz w:val="18"/>
                <w:szCs w:val="18"/>
                <w:color w:val="auto"/>
              </w:rPr>
            </w:pPr>
          </w:p>
        </w:tc>
      </w:tr>
      <w:tr>
        <w:trPr>
          <w:trHeight w:val="210"/>
        </w:trPr>
        <w:tc>
          <w:tcPr>
            <w:tcW w:w="7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maturities and sales of fixed income securities</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11,380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14,966</w:t>
            </w:r>
          </w:p>
        </w:tc>
      </w:tr>
      <w:tr>
        <w:trPr>
          <w:trHeight w:val="216"/>
        </w:trPr>
        <w:tc>
          <w:tcPr>
            <w:tcW w:w="7400" w:type="dxa"/>
            <w:vAlign w:val="bottom"/>
          </w:tcPr>
          <w:p>
            <w:pPr>
              <w:ind w:left="140"/>
              <w:spacing w:after="0"/>
              <w:rPr>
                <w:sz w:val="20"/>
                <w:szCs w:val="20"/>
                <w:color w:val="auto"/>
              </w:rPr>
            </w:pPr>
            <w:r>
              <w:rPr>
                <w:rFonts w:ascii="Arial" w:cs="Arial" w:eastAsia="Arial" w:hAnsi="Arial"/>
                <w:sz w:val="18"/>
                <w:szCs w:val="18"/>
                <w:color w:val="auto"/>
              </w:rPr>
              <w:t>Proceeds from sales of equity securities</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1"/>
              <w:spacing w:after="0"/>
              <w:rPr>
                <w:sz w:val="20"/>
                <w:szCs w:val="20"/>
                <w:color w:val="auto"/>
              </w:rPr>
            </w:pPr>
            <w:r>
              <w:rPr>
                <w:rFonts w:ascii="Arial" w:cs="Arial" w:eastAsia="Arial" w:hAnsi="Arial"/>
                <w:sz w:val="18"/>
                <w:szCs w:val="18"/>
                <w:color w:val="auto"/>
              </w:rPr>
              <w:t>30,389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4,383</w:t>
            </w:r>
          </w:p>
        </w:tc>
      </w:tr>
      <w:tr>
        <w:trPr>
          <w:trHeight w:val="216"/>
        </w:trPr>
        <w:tc>
          <w:tcPr>
            <w:tcW w:w="7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Purchases of fixed income securities</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(19,486)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(24,761)</w:t>
            </w:r>
          </w:p>
        </w:tc>
      </w:tr>
      <w:tr>
        <w:trPr>
          <w:trHeight w:val="216"/>
        </w:trPr>
        <w:tc>
          <w:tcPr>
            <w:tcW w:w="7400" w:type="dxa"/>
            <w:vAlign w:val="bottom"/>
          </w:tcPr>
          <w:p>
            <w:pPr>
              <w:ind w:left="140"/>
              <w:spacing w:after="0"/>
              <w:rPr>
                <w:sz w:val="20"/>
                <w:szCs w:val="20"/>
                <w:color w:val="auto"/>
              </w:rPr>
            </w:pPr>
            <w:r>
              <w:rPr>
                <w:rFonts w:ascii="Arial" w:cs="Arial" w:eastAsia="Arial" w:hAnsi="Arial"/>
                <w:sz w:val="18"/>
                <w:szCs w:val="18"/>
                <w:color w:val="auto"/>
              </w:rPr>
              <w:t>Purchases of equity securities</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
              <w:spacing w:after="0"/>
              <w:rPr>
                <w:sz w:val="20"/>
                <w:szCs w:val="20"/>
                <w:color w:val="auto"/>
              </w:rPr>
            </w:pPr>
            <w:r>
              <w:rPr>
                <w:rFonts w:ascii="Arial" w:cs="Arial" w:eastAsia="Arial" w:hAnsi="Arial"/>
                <w:sz w:val="18"/>
                <w:szCs w:val="18"/>
                <w:color w:val="auto"/>
              </w:rPr>
              <w:t>(2,618)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(6,943)</w:t>
            </w:r>
          </w:p>
        </w:tc>
      </w:tr>
      <w:tr>
        <w:trPr>
          <w:trHeight w:val="216"/>
        </w:trPr>
        <w:tc>
          <w:tcPr>
            <w:tcW w:w="7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Purchases of property and equipment</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(293)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(571)</w:t>
            </w:r>
          </w:p>
        </w:tc>
      </w:tr>
      <w:tr>
        <w:trPr>
          <w:trHeight w:val="230"/>
        </w:trPr>
        <w:tc>
          <w:tcPr>
            <w:tcW w:w="7400" w:type="dxa"/>
            <w:vAlign w:val="bottom"/>
          </w:tcPr>
          <w:p>
            <w:pPr>
              <w:ind w:left="140"/>
              <w:spacing w:after="0"/>
              <w:rPr>
                <w:sz w:val="20"/>
                <w:szCs w:val="20"/>
                <w:color w:val="auto"/>
              </w:rPr>
            </w:pPr>
            <w:r>
              <w:rPr>
                <w:rFonts w:ascii="Arial" w:cs="Arial" w:eastAsia="Arial" w:hAnsi="Arial"/>
                <w:sz w:val="18"/>
                <w:szCs w:val="18"/>
                <w:color w:val="auto"/>
              </w:rPr>
              <w:t>Proceeds from sales of property and equipment</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61"/>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624</w:t>
            </w:r>
          </w:p>
        </w:tc>
      </w:tr>
      <w:tr>
        <w:trPr>
          <w:trHeight w:val="209"/>
        </w:trPr>
        <w:tc>
          <w:tcPr>
            <w:tcW w:w="740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cash flows from investing activities</w:t>
            </w:r>
          </w:p>
        </w:tc>
        <w:tc>
          <w:tcPr>
            <w:tcW w:w="10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19,428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(12,302</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bl>
    <w:p>
      <w:pPr>
        <w:spacing w:after="0" w:line="200" w:lineRule="exact"/>
        <w:rPr>
          <w:sz w:val="20"/>
          <w:szCs w:val="20"/>
          <w:color w:val="auto"/>
        </w:rPr>
      </w:pPr>
    </w:p>
    <w:p>
      <w:pPr>
        <w:sectPr>
          <w:pgSz w:w="11900" w:h="16838" w:orient="portrait"/>
          <w:cols w:equalWidth="0" w:num="1">
            <w:col w:w="11240"/>
          </w:cols>
          <w:pgMar w:left="320" w:top="233" w:right="3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Purchases of treasury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40" w:right="3320"/>
        <w:spacing w:after="0" w:line="250" w:lineRule="auto"/>
        <w:rPr>
          <w:sz w:val="20"/>
          <w:szCs w:val="20"/>
          <w:color w:val="auto"/>
        </w:rPr>
      </w:pPr>
      <w:r>
        <w:rPr>
          <w:rFonts w:ascii="Arial" w:cs="Arial" w:eastAsia="Arial" w:hAnsi="Arial"/>
          <w:sz w:val="18"/>
          <w:szCs w:val="18"/>
          <w:color w:val="auto"/>
        </w:rPr>
        <w:t>Installment payment on Westminster consideration payable Issuance of vested award shares</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Net 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3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Net increase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20" w:type="dxa"/>
            <w:vAlign w:val="bottom"/>
          </w:tcPr>
          <w:p>
            <w:pPr>
              <w:spacing w:after="0"/>
              <w:rPr>
                <w:sz w:val="18"/>
                <w:szCs w:val="18"/>
                <w:color w:val="auto"/>
              </w:rPr>
            </w:pPr>
          </w:p>
        </w:tc>
        <w:tc>
          <w:tcPr>
            <w:tcW w:w="1040" w:type="dxa"/>
            <w:vAlign w:val="bottom"/>
            <w:gridSpan w:val="2"/>
          </w:tcPr>
          <w:p>
            <w:pPr>
              <w:jc w:val="right"/>
              <w:ind w:right="81"/>
              <w:spacing w:after="0"/>
              <w:rPr>
                <w:sz w:val="20"/>
                <w:szCs w:val="20"/>
                <w:color w:val="auto"/>
              </w:rPr>
            </w:pPr>
            <w:r>
              <w:rPr>
                <w:rFonts w:ascii="Arial" w:cs="Arial" w:eastAsia="Arial" w:hAnsi="Arial"/>
                <w:sz w:val="18"/>
                <w:szCs w:val="18"/>
                <w:color w:val="auto"/>
              </w:rPr>
              <w:t>(621)</w:t>
            </w:r>
          </w:p>
        </w:tc>
        <w:tc>
          <w:tcPr>
            <w:tcW w:w="3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(997)</w:t>
            </w:r>
          </w:p>
        </w:tc>
      </w:tr>
      <w:tr>
        <w:trPr>
          <w:trHeight w:val="216"/>
        </w:trPr>
        <w:tc>
          <w:tcPr>
            <w:tcW w:w="420" w:type="dxa"/>
            <w:vAlign w:val="bottom"/>
          </w:tcPr>
          <w:p>
            <w:pPr>
              <w:spacing w:after="0"/>
              <w:rPr>
                <w:sz w:val="18"/>
                <w:szCs w:val="18"/>
                <w:color w:val="auto"/>
              </w:rPr>
            </w:pPr>
          </w:p>
        </w:tc>
        <w:tc>
          <w:tcPr>
            <w:tcW w:w="10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(6,667)</w:t>
            </w:r>
          </w:p>
        </w:tc>
      </w:tr>
      <w:tr>
        <w:trPr>
          <w:trHeight w:val="244"/>
        </w:trPr>
        <w:tc>
          <w:tcPr>
            <w:tcW w:w="420" w:type="dxa"/>
            <w:vAlign w:val="bottom"/>
          </w:tcPr>
          <w:p>
            <w:pPr>
              <w:spacing w:after="0"/>
              <w:rPr>
                <w:sz w:val="21"/>
                <w:szCs w:val="21"/>
                <w:color w:val="auto"/>
              </w:rPr>
            </w:pPr>
          </w:p>
        </w:tc>
        <w:tc>
          <w:tcPr>
            <w:tcW w:w="1040" w:type="dxa"/>
            <w:vAlign w:val="bottom"/>
            <w:gridSpan w:val="2"/>
          </w:tcPr>
          <w:p>
            <w:pPr>
              <w:jc w:val="right"/>
              <w:ind w:right="81"/>
              <w:spacing w:after="0"/>
              <w:rPr>
                <w:sz w:val="20"/>
                <w:szCs w:val="20"/>
                <w:color w:val="auto"/>
              </w:rPr>
            </w:pPr>
            <w:r>
              <w:rPr>
                <w:rFonts w:ascii="Arial" w:cs="Arial" w:eastAsia="Arial" w:hAnsi="Arial"/>
                <w:sz w:val="18"/>
                <w:szCs w:val="18"/>
                <w:color w:val="auto"/>
              </w:rPr>
              <w:t>(173)</w:t>
            </w:r>
          </w:p>
        </w:tc>
        <w:tc>
          <w:tcPr>
            <w:tcW w:w="3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(564)</w:t>
            </w:r>
          </w:p>
        </w:tc>
      </w:tr>
      <w:tr>
        <w:trPr>
          <w:trHeight w:val="210"/>
        </w:trPr>
        <w:tc>
          <w:tcPr>
            <w:tcW w:w="4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(794</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3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(8,228</w:t>
            </w:r>
          </w:p>
        </w:tc>
        <w:tc>
          <w:tcPr>
            <w:tcW w:w="40" w:type="dxa"/>
            <w:vAlign w:val="bottom"/>
          </w:tcPr>
          <w:p>
            <w:pPr>
              <w:jc w:val="right"/>
              <w:spacing w:after="0"/>
              <w:rPr>
                <w:sz w:val="20"/>
                <w:szCs w:val="20"/>
                <w:color w:val="auto"/>
              </w:rPr>
            </w:pPr>
            <w:r>
              <w:rPr>
                <w:rFonts w:ascii="Arial" w:cs="Arial" w:eastAsia="Arial" w:hAnsi="Arial"/>
                <w:sz w:val="8"/>
                <w:szCs w:val="8"/>
                <w:color w:val="auto"/>
                <w:w w:val="73"/>
              </w:rPr>
              <w:t>)</w:t>
            </w:r>
          </w:p>
        </w:tc>
      </w:tr>
      <w:tr>
        <w:trPr>
          <w:trHeight w:val="425"/>
        </w:trPr>
        <w:tc>
          <w:tcPr>
            <w:tcW w:w="420" w:type="dxa"/>
            <w:vAlign w:val="bottom"/>
          </w:tcPr>
          <w:p>
            <w:pPr>
              <w:spacing w:after="0"/>
              <w:rPr>
                <w:sz w:val="24"/>
                <w:szCs w:val="24"/>
                <w:color w:val="auto"/>
              </w:rPr>
            </w:pPr>
          </w:p>
        </w:tc>
        <w:tc>
          <w:tcPr>
            <w:tcW w:w="1040" w:type="dxa"/>
            <w:vAlign w:val="bottom"/>
            <w:gridSpan w:val="2"/>
          </w:tcPr>
          <w:p>
            <w:pPr>
              <w:jc w:val="right"/>
              <w:ind w:right="141"/>
              <w:spacing w:after="0"/>
              <w:rPr>
                <w:sz w:val="20"/>
                <w:szCs w:val="20"/>
                <w:color w:val="auto"/>
              </w:rPr>
            </w:pPr>
            <w:r>
              <w:rPr>
                <w:rFonts w:ascii="Arial" w:cs="Arial" w:eastAsia="Arial" w:hAnsi="Arial"/>
                <w:sz w:val="18"/>
                <w:szCs w:val="18"/>
                <w:color w:val="auto"/>
              </w:rPr>
              <w:t>14,283</w:t>
            </w:r>
          </w:p>
        </w:tc>
        <w:tc>
          <w:tcPr>
            <w:tcW w:w="38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(16,681)</w:t>
            </w:r>
          </w:p>
        </w:tc>
      </w:tr>
      <w:tr>
        <w:trPr>
          <w:trHeight w:val="445"/>
        </w:trPr>
        <w:tc>
          <w:tcPr>
            <w:tcW w:w="420" w:type="dxa"/>
            <w:vAlign w:val="bottom"/>
          </w:tcPr>
          <w:p>
            <w:pPr>
              <w:spacing w:after="0"/>
              <w:rPr>
                <w:sz w:val="24"/>
                <w:szCs w:val="24"/>
                <w:color w:val="auto"/>
              </w:rPr>
            </w:pPr>
          </w:p>
        </w:tc>
        <w:tc>
          <w:tcPr>
            <w:tcW w:w="1040" w:type="dxa"/>
            <w:vAlign w:val="bottom"/>
            <w:gridSpan w:val="2"/>
          </w:tcPr>
          <w:p>
            <w:pPr>
              <w:jc w:val="right"/>
              <w:ind w:right="141"/>
              <w:spacing w:after="0"/>
              <w:rPr>
                <w:sz w:val="20"/>
                <w:szCs w:val="20"/>
                <w:color w:val="auto"/>
              </w:rPr>
            </w:pPr>
            <w:r>
              <w:rPr>
                <w:rFonts w:ascii="Arial" w:cs="Arial" w:eastAsia="Arial" w:hAnsi="Arial"/>
                <w:sz w:val="18"/>
                <w:szCs w:val="18"/>
                <w:color w:val="auto"/>
              </w:rPr>
              <w:t>47,002</w:t>
            </w:r>
          </w:p>
        </w:tc>
        <w:tc>
          <w:tcPr>
            <w:tcW w:w="3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70,623</w:t>
            </w:r>
          </w:p>
        </w:tc>
        <w:tc>
          <w:tcPr>
            <w:tcW w:w="40" w:type="dxa"/>
            <w:vAlign w:val="bottom"/>
          </w:tcPr>
          <w:p>
            <w:pPr>
              <w:spacing w:after="0"/>
              <w:rPr>
                <w:sz w:val="24"/>
                <w:szCs w:val="24"/>
                <w:color w:val="auto"/>
              </w:rPr>
            </w:pPr>
          </w:p>
        </w:tc>
      </w:tr>
      <w:tr>
        <w:trPr>
          <w:trHeight w:val="20"/>
        </w:trPr>
        <w:tc>
          <w:tcPr>
            <w:tcW w:w="4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1"/>
              <w:spacing w:after="0"/>
              <w:rPr>
                <w:sz w:val="20"/>
                <w:szCs w:val="20"/>
                <w:color w:val="auto"/>
              </w:rPr>
            </w:pPr>
            <w:r>
              <w:rPr>
                <w:rFonts w:ascii="Arial" w:cs="Arial" w:eastAsia="Arial" w:hAnsi="Arial"/>
                <w:sz w:val="18"/>
                <w:szCs w:val="18"/>
                <w:color w:val="auto"/>
              </w:rPr>
              <w:t>61,285</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53,942</w:t>
            </w:r>
          </w:p>
        </w:tc>
        <w:tc>
          <w:tcPr>
            <w:tcW w:w="40" w:type="dxa"/>
            <w:vAlign w:val="bottom"/>
          </w:tcPr>
          <w:p>
            <w:pPr>
              <w:spacing w:after="0"/>
              <w:rPr>
                <w:sz w:val="24"/>
                <w:szCs w:val="24"/>
                <w:color w:val="auto"/>
              </w:rPr>
            </w:pPr>
          </w:p>
        </w:tc>
      </w:tr>
      <w:tr>
        <w:trPr>
          <w:trHeight w:val="20"/>
        </w:trPr>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720" w:space="720"/>
            <w:col w:w="2800"/>
          </w:cols>
          <w:pgMar w:left="320" w:top="233" w:right="339" w:bottom="1440" w:gutter="0" w:footer="0" w:header="0"/>
          <w:type w:val="continuous"/>
        </w:sectPr>
      </w:pPr>
    </w:p>
    <w:p>
      <w:pPr>
        <w:spacing w:after="0" w:line="218" w:lineRule="exact"/>
        <w:rPr>
          <w:sz w:val="20"/>
          <w:szCs w:val="20"/>
          <w:color w:val="auto"/>
        </w:rPr>
      </w:pPr>
    </w:p>
    <w:p>
      <w:pPr>
        <w:spacing w:after="0"/>
        <w:tabs>
          <w:tab w:leader="none" w:pos="8420" w:val="left"/>
          <w:tab w:leader="none" w:pos="9480" w:val="left"/>
          <w:tab w:leader="none" w:pos="9880" w:val="left"/>
          <w:tab w:leader="none" w:pos="10940" w:val="left"/>
        </w:tabs>
        <w:rPr>
          <w:sz w:val="20"/>
          <w:szCs w:val="20"/>
          <w:color w:val="auto"/>
        </w:rPr>
      </w:pPr>
      <w:r>
        <w:rPr>
          <w:rFonts w:ascii="Arial" w:cs="Arial" w:eastAsia="Arial" w:hAnsi="Arial"/>
          <w:sz w:val="18"/>
          <w:szCs w:val="18"/>
          <w:color w:val="auto"/>
        </w:rPr>
        <w:t>Federal and state income taxes paid</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tab/>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31750</wp:posOffset>
            </wp:positionV>
            <wp:extent cx="170561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05610" cy="26035"/>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1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7"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NI Holdings is a North Dakota business corporation that is the stock holding company of Nodak Insurance and became such in connection with the conversion of Nodak Mutual from a mutual to stock form of organization and the creation of a mutual holding company. The conversion was consummated on March 13, 2017. Immediately following the conversion, all of the outstanding shares of common stock of Nodak Insurance were issued to Nodak Mutual Group, which then contributed the shares to NI Holdings in exchange for 55% of the outstanding shares of common stock of NI Holdings. Nodak Insurance then became a wholly-owned stock subsidiary of NI Holdings. Prior to completion of the conversion, NI Holdings conducted no business and had no assets or liabilities. As a result of the conversion, NI Holdings became the holding company for Nodak Insurance and its existing subsidiaries.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These unaudited consolidated financial statements include the financial position and results of operations of NI Holdings and the following other entities: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Nodak Insurance Company</w:t>
      </w:r>
    </w:p>
    <w:p>
      <w:pPr>
        <w:spacing w:after="0" w:line="225" w:lineRule="exact"/>
        <w:rPr>
          <w:sz w:val="20"/>
          <w:szCs w:val="20"/>
          <w:color w:val="auto"/>
        </w:rPr>
      </w:pPr>
    </w:p>
    <w:p>
      <w:pPr>
        <w:ind w:right="700"/>
        <w:spacing w:after="0" w:line="342" w:lineRule="auto"/>
        <w:rPr>
          <w:sz w:val="20"/>
          <w:szCs w:val="20"/>
          <w:color w:val="auto"/>
        </w:rPr>
      </w:pPr>
      <w:r>
        <w:rPr>
          <w:rFonts w:ascii="Arial" w:cs="Arial" w:eastAsia="Arial" w:hAnsi="Arial"/>
          <w:sz w:val="16"/>
          <w:szCs w:val="16"/>
          <w:color w:val="auto"/>
        </w:rPr>
        <w:t>Nodak Insurance is the largest domestic property and casualty insurance company in North Dakota, offering private passenger auto, homeowners, farmowners, commercial multi-peril, crop hail, and Federal multi-peril crop insurance coverages through its captive agents in the state.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Nodak Agency,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Nodak Agency is an inactive shell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American West Insurance Company</w:t>
      </w:r>
    </w:p>
    <w:p>
      <w:pPr>
        <w:spacing w:after="0" w:line="225"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American West is a property and casualty insurance company licensed in eight states in the Midwest and Western regions of the United States (“U.S.”). American West began writing policies in 2002 and primarily writes personal auto, homeowners, and farm coverages in South Dakota. American West also writes personal auto coverage in North Dakota, as well as crop hail and Federal multi-peril crop insurance coverages in Minnesota and South Dakota.</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Primero Insurance Company</w:t>
      </w:r>
    </w:p>
    <w:p>
      <w:pPr>
        <w:spacing w:after="0" w:line="225"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Primero is a wholly-owned subsidiary of Tri-State, Ltd. Tri-State, Ltd. is an inactive shell corporation 100% owned by Nodak Insurance. Primero is a property and casualty insurance company writing non-standard automobile coverage in the states of Nevada, Arizona, North Dakota, and South Dakota. Primero was acquired by Nodak Insurance in 2014.</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Battle Creek Mutual Insurance Company</w:t>
      </w:r>
    </w:p>
    <w:p>
      <w:pPr>
        <w:spacing w:after="0" w:line="225"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Battle Creek is a property and casualty insurance company writing personal auto, homeowners, and farm coverages solely in the state of Nebraska. Battle Creek became affiliated with Nodak Insurance in 2011, and Nodak Insurance provides underwriting, claims management, policy administration, and other administrative services to Battle Creek. Because we have concluded that we control Battle Creek, we consolidate the financial statements of Battle Creek, and Battle Creek’s policyholders’ interest in Battle Creek is reflected as a non-controlling interest in shareholders’ equity in our Consolidated Balance Sheets and its net income or loss is excluded from net income or loss attributed to NI Holdings in our Consolidated Statements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 Auto Insurance Company</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Direct Auto is a property and casualty insurance company licensed in Illinois. Direct Auto began writing non-standard automobile coverage in 2007, and was acquired by NI Holdings on August 31, 2018, via a stock purchase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Westminster American Insurance Company</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Westminster is a property and casualty insurance company licensed in 18 states and the District of Columbia. Westminster is headquartered in Owings Mills, Maryland and underwrites commercial multi-peril insurance in the states of Delaware, Georgia,</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NI Holdings, Inc.</w:t>
      </w:r>
    </w:p>
    <w:p>
      <w:pPr>
        <w:spacing w:after="0" w:line="9"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319" w:lineRule="exact"/>
        <w:rPr>
          <w:sz w:val="20"/>
          <w:szCs w:val="20"/>
          <w:color w:val="auto"/>
        </w:rPr>
      </w:pPr>
    </w:p>
    <w:p>
      <w:pPr>
        <w:spacing w:after="0"/>
        <w:rPr>
          <w:sz w:val="20"/>
          <w:szCs w:val="20"/>
          <w:color w:val="auto"/>
        </w:rPr>
      </w:pPr>
      <w:r>
        <w:rPr>
          <w:rFonts w:ascii="Arial" w:cs="Arial" w:eastAsia="Arial" w:hAnsi="Arial"/>
          <w:sz w:val="17"/>
          <w:szCs w:val="17"/>
          <w:color w:val="auto"/>
        </w:rPr>
        <w:t>Kentucky, Maryland, New Jersey, North Carolina, Pennsylvania, South Carolina, Tennessee, Virginia, West Virginia, and the District of Columbia.</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Westminster was acquired by NI Holdings on January 1, 2020, via a stock purchase agreement.</w:t>
      </w:r>
    </w:p>
    <w:p>
      <w:pPr>
        <w:spacing w:after="0" w:line="170"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Nodak Insurance markets and distributes its policies through its captive agents, while all other companies utilize the independent agent distribution channel. Additionally, all of the Company’s insurance subsidiary and affiliate companies are rated “A” Excellent by A.M. Best Company, Inc. (“AM Best”).</w:t>
      </w:r>
    </w:p>
    <w:p>
      <w:pPr>
        <w:spacing w:after="0" w:line="184"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The same executive management team provides oversight and strategic direction for the entire organization. Nodak Insurance provides common product oversight, pricing practices, and underwriting standards, as well as underwriting and claims administration, to itself, American West, and Battle Creek. Primero, Direct Auto, and Westminster personnel manage the day-to-day operations of their respective companies.</w:t>
      </w:r>
    </w:p>
    <w:p>
      <w:pPr>
        <w:spacing w:after="0" w:line="377"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9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accompanying unaudited consolidated financial statements have been prepared in accordance with accounting principles generally accepted in the United States of America (“GAAP”) for interim financial information and with the instructions to Form 10-Q and Article 10 of Regulation S-X. Accordingly, they do not include all of the information and footnotes required by GAAP for complete financial statements. In the opinion of management, all adjustments (consisting of normal recurring accruals) considered necessary for a fair presentation have been included. All material intercompany transactions and balances have been eliminated. These financial statements should be read in conjunction with the financial statements and notes thereto included in our 2022 Annual Report.</w:t>
      </w:r>
    </w:p>
    <w:p>
      <w:pPr>
        <w:spacing w:after="0" w:line="15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Consolidated Balance Sheet at December 31, 2022, has been derived from the audited consolidated financial statements at that date but does not include all of the information and footnotes required by GAAP for complete financial statements.</w:t>
      </w:r>
    </w:p>
    <w:p>
      <w:pPr>
        <w:spacing w:after="0" w:line="13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preparation of the interim unaudited consolidated financial statements in accordance with GAAP requires management to make estimates and assumptions that affect the reported amounts of assets and liabilities and disclosure of contingent assets and liabilities at the date of the interim unaudited consolidated financial statements and the reported amounts of revenues, claims, and expenses during the reporting period. Actual results could differ from those estimates. Operating results for the interim period ended March 31, 2023, are not necessarily indicative of the results that may be expected for the year ended December 31, 2023.</w:t>
      </w:r>
    </w:p>
    <w:p>
      <w:pPr>
        <w:spacing w:after="0" w:line="16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Our 2022 Annual Report describes the accounting policies and estimates that are critical to the understanding of our results of operations, financial condition, and liquidity. The accounting policies and estimation processes described in the 2022 Annual Report were consistently applied to the unaudited consolidated financial statements as of and for the three months ended March 31, 2023 and 2022.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8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Prior to December 31, 2022, we were classified as an emerging growth company (“EGC”) and elected to use the extended transition period for complying with certain new or revised financial accounting standards from the Financial Accounting Standards Board (“FASB”) pursuant to Section 13(a) of the Exchange Act. However, beginning on December 31, 2022, we are no longer an EGC and will no longer have the ability to delay adoption of these new or revised accounting standards, or to take advantage of reduced corporate governance disclosures.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Adopted</w:t>
      </w:r>
    </w:p>
    <w:p>
      <w:pPr>
        <w:spacing w:after="0" w:line="198"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For information regarding accounting pronouncements that the Company adopted during the periods presented, see Item II, Part 8, Note 2 “Recent Accounting Pronouncements” section of the 2022 Annual Report.</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233" w:right="45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9"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331"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amortized cost and estimated fair value of fixed income securities as of March 31, 2023, and December 31, 2022, were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8"/>
                <w:szCs w:val="18"/>
                <w:b w:val="1"/>
                <w:bCs w:val="1"/>
                <w:color w:val="auto"/>
                <w:w w:val="93"/>
              </w:rPr>
              <w:t>March 31, 2023</w:t>
            </w: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5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400"/>
              <w:spacing w:after="0" w:line="191" w:lineRule="exact"/>
              <w:rPr>
                <w:sz w:val="20"/>
                <w:szCs w:val="20"/>
                <w:color w:val="auto"/>
              </w:rPr>
            </w:pPr>
            <w:r>
              <w:rPr>
                <w:rFonts w:ascii="Arial" w:cs="Arial" w:eastAsia="Arial" w:hAnsi="Arial"/>
                <w:sz w:val="18"/>
                <w:szCs w:val="18"/>
                <w:b w:val="1"/>
                <w:bCs w:val="1"/>
                <w:color w:val="auto"/>
                <w:w w:val="88"/>
              </w:rPr>
              <w:t>Cost or</w:t>
            </w:r>
          </w:p>
        </w:tc>
        <w:tc>
          <w:tcPr>
            <w:tcW w:w="1140" w:type="dxa"/>
            <w:vAlign w:val="bottom"/>
            <w:gridSpan w:val="3"/>
          </w:tcPr>
          <w:p>
            <w:pPr>
              <w:ind w:left="20"/>
              <w:spacing w:after="0" w:line="191" w:lineRule="exact"/>
              <w:rPr>
                <w:sz w:val="20"/>
                <w:szCs w:val="20"/>
                <w:color w:val="auto"/>
              </w:rPr>
            </w:pPr>
            <w:r>
              <w:rPr>
                <w:rFonts w:ascii="Arial" w:cs="Arial" w:eastAsia="Arial" w:hAnsi="Arial"/>
                <w:sz w:val="18"/>
                <w:szCs w:val="18"/>
                <w:b w:val="1"/>
                <w:bCs w:val="1"/>
                <w:color w:val="auto"/>
                <w:w w:val="93"/>
              </w:rPr>
              <w:t>Allowance for</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ind w:left="80"/>
              <w:spacing w:after="0" w:line="191" w:lineRule="exact"/>
              <w:rPr>
                <w:sz w:val="20"/>
                <w:szCs w:val="20"/>
                <w:color w:val="auto"/>
              </w:rPr>
            </w:pPr>
            <w:r>
              <w:rPr>
                <w:rFonts w:ascii="Arial" w:cs="Arial" w:eastAsia="Arial" w:hAnsi="Arial"/>
                <w:sz w:val="18"/>
                <w:szCs w:val="18"/>
                <w:b w:val="1"/>
                <w:bCs w:val="1"/>
                <w:color w:val="auto"/>
              </w:rPr>
              <w:t>Gross</w:t>
            </w:r>
          </w:p>
        </w:tc>
        <w:tc>
          <w:tcPr>
            <w:tcW w:w="160" w:type="dxa"/>
            <w:vAlign w:val="bottom"/>
          </w:tcPr>
          <w:p>
            <w:pPr>
              <w:spacing w:after="0"/>
              <w:rPr>
                <w:sz w:val="16"/>
                <w:szCs w:val="16"/>
                <w:color w:val="auto"/>
              </w:rPr>
            </w:pPr>
          </w:p>
        </w:tc>
        <w:tc>
          <w:tcPr>
            <w:tcW w:w="1060" w:type="dxa"/>
            <w:vAlign w:val="bottom"/>
            <w:gridSpan w:val="2"/>
          </w:tcPr>
          <w:p>
            <w:pPr>
              <w:ind w:left="100"/>
              <w:spacing w:after="0" w:line="191" w:lineRule="exact"/>
              <w:rPr>
                <w:sz w:val="20"/>
                <w:szCs w:val="20"/>
                <w:color w:val="auto"/>
              </w:rPr>
            </w:pPr>
            <w:r>
              <w:rPr>
                <w:rFonts w:ascii="Arial" w:cs="Arial" w:eastAsia="Arial" w:hAnsi="Arial"/>
                <w:sz w:val="18"/>
                <w:szCs w:val="18"/>
                <w:b w:val="1"/>
                <w:bCs w:val="1"/>
                <w:color w:val="auto"/>
              </w:rPr>
              <w:t>Gross</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160" w:type="dxa"/>
            <w:vAlign w:val="bottom"/>
          </w:tcPr>
          <w:p>
            <w:pPr>
              <w:spacing w:after="0"/>
              <w:rPr>
                <w:sz w:val="18"/>
                <w:szCs w:val="18"/>
                <w:color w:val="auto"/>
              </w:rPr>
            </w:pPr>
          </w:p>
        </w:tc>
        <w:tc>
          <w:tcPr>
            <w:tcW w:w="122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3"/>
              </w:rPr>
              <w:t>Amortized</w:t>
            </w:r>
          </w:p>
        </w:tc>
        <w:tc>
          <w:tcPr>
            <w:tcW w:w="140" w:type="dxa"/>
            <w:vAlign w:val="bottom"/>
          </w:tcPr>
          <w:p>
            <w:pPr>
              <w:spacing w:after="0"/>
              <w:rPr>
                <w:sz w:val="18"/>
                <w:szCs w:val="18"/>
                <w:color w:val="auto"/>
              </w:rPr>
            </w:pPr>
          </w:p>
        </w:tc>
        <w:tc>
          <w:tcPr>
            <w:tcW w:w="1000" w:type="dxa"/>
            <w:vAlign w:val="bottom"/>
            <w:gridSpan w:val="2"/>
          </w:tcPr>
          <w:p>
            <w:pPr>
              <w:ind w:left="40"/>
              <w:spacing w:after="0"/>
              <w:rPr>
                <w:sz w:val="20"/>
                <w:szCs w:val="20"/>
                <w:color w:val="auto"/>
              </w:rPr>
            </w:pPr>
            <w:r>
              <w:rPr>
                <w:rFonts w:ascii="Arial" w:cs="Arial" w:eastAsia="Arial" w:hAnsi="Arial"/>
                <w:sz w:val="18"/>
                <w:szCs w:val="18"/>
                <w:b w:val="1"/>
                <w:bCs w:val="1"/>
                <w:color w:val="auto"/>
              </w:rPr>
              <w:t>Expected</w:t>
            </w:r>
          </w:p>
        </w:tc>
        <w:tc>
          <w:tcPr>
            <w:tcW w:w="180" w:type="dxa"/>
            <w:vAlign w:val="bottom"/>
          </w:tcPr>
          <w:p>
            <w:pPr>
              <w:spacing w:after="0"/>
              <w:rPr>
                <w:sz w:val="18"/>
                <w:szCs w:val="18"/>
                <w:color w:val="auto"/>
              </w:rPr>
            </w:pPr>
          </w:p>
        </w:tc>
        <w:tc>
          <w:tcPr>
            <w:tcW w:w="122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6"/>
              </w:rPr>
              <w:t>Unrealized</w:t>
            </w:r>
          </w:p>
        </w:tc>
        <w:tc>
          <w:tcPr>
            <w:tcW w:w="1220" w:type="dxa"/>
            <w:vAlign w:val="bottom"/>
            <w:gridSpan w:val="3"/>
          </w:tcPr>
          <w:p>
            <w:pPr>
              <w:jc w:val="right"/>
              <w:ind w:right="241"/>
              <w:spacing w:after="0"/>
              <w:rPr>
                <w:sz w:val="20"/>
                <w:szCs w:val="20"/>
                <w:color w:val="auto"/>
              </w:rPr>
            </w:pPr>
            <w:r>
              <w:rPr>
                <w:rFonts w:ascii="Arial" w:cs="Arial" w:eastAsia="Arial" w:hAnsi="Arial"/>
                <w:sz w:val="18"/>
                <w:szCs w:val="18"/>
                <w:b w:val="1"/>
                <w:bCs w:val="1"/>
                <w:color w:val="auto"/>
                <w:w w:val="96"/>
              </w:rPr>
              <w:t>Unrealized</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Cost</w:t>
            </w:r>
          </w:p>
        </w:tc>
        <w:tc>
          <w:tcPr>
            <w:tcW w:w="1140" w:type="dxa"/>
            <w:vAlign w:val="bottom"/>
            <w:gridSpan w:val="3"/>
          </w:tcPr>
          <w:p>
            <w:pPr>
              <w:ind w:left="40"/>
              <w:spacing w:after="0"/>
              <w:rPr>
                <w:sz w:val="20"/>
                <w:szCs w:val="20"/>
                <w:color w:val="auto"/>
              </w:rPr>
            </w:pPr>
            <w:r>
              <w:rPr>
                <w:rFonts w:ascii="Arial" w:cs="Arial" w:eastAsia="Arial" w:hAnsi="Arial"/>
                <w:sz w:val="18"/>
                <w:szCs w:val="18"/>
                <w:b w:val="1"/>
                <w:bCs w:val="1"/>
                <w:color w:val="auto"/>
                <w:w w:val="90"/>
              </w:rPr>
              <w:t>Credit Losses</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b w:val="1"/>
                <w:bCs w:val="1"/>
                <w:color w:val="auto"/>
              </w:rPr>
              <w:t>Gains</w:t>
            </w:r>
          </w:p>
        </w:tc>
        <w:tc>
          <w:tcPr>
            <w:tcW w:w="160" w:type="dxa"/>
            <w:vAlign w:val="bottom"/>
          </w:tcPr>
          <w:p>
            <w:pPr>
              <w:spacing w:after="0"/>
              <w:rPr>
                <w:sz w:val="20"/>
                <w:szCs w:val="20"/>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b w:val="1"/>
                <w:bCs w:val="1"/>
                <w:color w:val="auto"/>
              </w:rPr>
              <w:t>Losses</w:t>
            </w:r>
          </w:p>
        </w:tc>
        <w:tc>
          <w:tcPr>
            <w:tcW w:w="80" w:type="dxa"/>
            <w:vAlign w:val="bottom"/>
          </w:tcPr>
          <w:p>
            <w:pPr>
              <w:spacing w:after="0"/>
              <w:rPr>
                <w:sz w:val="20"/>
                <w:szCs w:val="20"/>
                <w:color w:val="auto"/>
              </w:rPr>
            </w:pPr>
          </w:p>
        </w:tc>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Fair Value</w:t>
            </w:r>
          </w:p>
        </w:tc>
      </w:tr>
      <w:tr>
        <w:trPr>
          <w:trHeight w:val="209"/>
        </w:trPr>
        <w:tc>
          <w:tcPr>
            <w:tcW w:w="5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U.S. Government and agencies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10,272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1"/>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81"/>
              <w:spacing w:after="0"/>
              <w:rPr>
                <w:sz w:val="20"/>
                <w:szCs w:val="20"/>
                <w:color w:val="auto"/>
              </w:rPr>
            </w:pPr>
            <w:r>
              <w:rPr>
                <w:rFonts w:ascii="Arial" w:cs="Arial" w:eastAsia="Arial" w:hAnsi="Arial"/>
                <w:sz w:val="18"/>
                <w:szCs w:val="18"/>
                <w:color w:val="auto"/>
              </w:rPr>
              <w:t>(809)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9,463</w:t>
            </w:r>
          </w:p>
        </w:tc>
      </w:tr>
      <w:tr>
        <w:trPr>
          <w:trHeight w:val="216"/>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Obligations of states and political subdivisions</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57,833</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(5,007)</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52,918</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Corporate securities</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138,302</w:t>
            </w:r>
          </w:p>
        </w:tc>
        <w:tc>
          <w:tcPr>
            <w:tcW w:w="140" w:type="dxa"/>
            <w:vAlign w:val="bottom"/>
          </w:tcPr>
          <w:p>
            <w:pPr>
              <w:spacing w:after="0"/>
              <w:rPr>
                <w:sz w:val="18"/>
                <w:szCs w:val="18"/>
                <w:color w:val="auto"/>
              </w:rPr>
            </w:pPr>
          </w:p>
        </w:tc>
        <w:tc>
          <w:tcPr>
            <w:tcW w:w="100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148</w:t>
            </w:r>
          </w:p>
        </w:tc>
        <w:tc>
          <w:tcPr>
            <w:tcW w:w="160" w:type="dxa"/>
            <w:vAlign w:val="bottom"/>
          </w:tcPr>
          <w:p>
            <w:pPr>
              <w:spacing w:after="0"/>
              <w:rPr>
                <w:sz w:val="18"/>
                <w:szCs w:val="18"/>
                <w:color w:val="auto"/>
              </w:rPr>
            </w:pPr>
          </w:p>
        </w:tc>
        <w:tc>
          <w:tcPr>
            <w:tcW w:w="1060" w:type="dxa"/>
            <w:vAlign w:val="bottom"/>
            <w:gridSpan w:val="2"/>
          </w:tcPr>
          <w:p>
            <w:pPr>
              <w:jc w:val="right"/>
              <w:ind w:right="81"/>
              <w:spacing w:after="0"/>
              <w:rPr>
                <w:sz w:val="20"/>
                <w:szCs w:val="20"/>
                <w:color w:val="auto"/>
              </w:rPr>
            </w:pPr>
            <w:r>
              <w:rPr>
                <w:rFonts w:ascii="Arial" w:cs="Arial" w:eastAsia="Arial" w:hAnsi="Arial"/>
                <w:sz w:val="18"/>
                <w:szCs w:val="18"/>
                <w:color w:val="auto"/>
              </w:rPr>
              <w:t>(13,324)</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125,126</w:t>
            </w:r>
          </w:p>
        </w:tc>
      </w:tr>
      <w:tr>
        <w:trPr>
          <w:trHeight w:val="216"/>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 mortgage-backed securities</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57,624</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(5,286)</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52,536</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Commercial mortgage-backed securities</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30,938</w:t>
            </w:r>
          </w:p>
        </w:tc>
        <w:tc>
          <w:tcPr>
            <w:tcW w:w="140" w:type="dxa"/>
            <w:vAlign w:val="bottom"/>
          </w:tcPr>
          <w:p>
            <w:pPr>
              <w:spacing w:after="0"/>
              <w:rPr>
                <w:sz w:val="18"/>
                <w:szCs w:val="18"/>
                <w:color w:val="auto"/>
              </w:rPr>
            </w:pPr>
          </w:p>
        </w:tc>
        <w:tc>
          <w:tcPr>
            <w:tcW w:w="100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81"/>
              <w:spacing w:after="0"/>
              <w:rPr>
                <w:sz w:val="20"/>
                <w:szCs w:val="20"/>
                <w:color w:val="auto"/>
              </w:rPr>
            </w:pPr>
            <w:r>
              <w:rPr>
                <w:rFonts w:ascii="Arial" w:cs="Arial" w:eastAsia="Arial" w:hAnsi="Arial"/>
                <w:sz w:val="18"/>
                <w:szCs w:val="18"/>
                <w:color w:val="auto"/>
              </w:rPr>
              <w:t>(4,537)</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26,401</w:t>
            </w:r>
          </w:p>
        </w:tc>
      </w:tr>
      <w:tr>
        <w:trPr>
          <w:trHeight w:val="216"/>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Asset-backed securities</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50,781</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(4,436)</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46,359</w:t>
            </w:r>
          </w:p>
        </w:tc>
      </w:tr>
      <w:tr>
        <w:trPr>
          <w:trHeight w:val="230"/>
        </w:trPr>
        <w:tc>
          <w:tcPr>
            <w:tcW w:w="5160" w:type="dxa"/>
            <w:vAlign w:val="bottom"/>
          </w:tcPr>
          <w:p>
            <w:pPr>
              <w:ind w:left="180"/>
              <w:spacing w:after="0"/>
              <w:rPr>
                <w:sz w:val="20"/>
                <w:szCs w:val="20"/>
                <w:color w:val="auto"/>
              </w:rPr>
            </w:pPr>
            <w:r>
              <w:rPr>
                <w:rFonts w:ascii="Arial" w:cs="Arial" w:eastAsia="Arial" w:hAnsi="Arial"/>
                <w:sz w:val="18"/>
                <w:szCs w:val="18"/>
                <w:color w:val="auto"/>
              </w:rPr>
              <w:t>Redeemable preferred stocks</w:t>
            </w:r>
          </w:p>
        </w:tc>
        <w:tc>
          <w:tcPr>
            <w:tcW w:w="1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4,747</w:t>
            </w:r>
          </w:p>
        </w:tc>
        <w:tc>
          <w:tcPr>
            <w:tcW w:w="140" w:type="dxa"/>
            <w:vAlign w:val="bottom"/>
          </w:tcPr>
          <w:p>
            <w:pPr>
              <w:spacing w:after="0"/>
              <w:rPr>
                <w:sz w:val="19"/>
                <w:szCs w:val="19"/>
                <w:color w:val="auto"/>
              </w:rPr>
            </w:pPr>
          </w:p>
        </w:tc>
        <w:tc>
          <w:tcPr>
            <w:tcW w:w="100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81"/>
              <w:spacing w:after="0"/>
              <w:rPr>
                <w:sz w:val="20"/>
                <w:szCs w:val="20"/>
                <w:color w:val="auto"/>
              </w:rPr>
            </w:pPr>
            <w:r>
              <w:rPr>
                <w:rFonts w:ascii="Arial" w:cs="Arial" w:eastAsia="Arial" w:hAnsi="Arial"/>
                <w:sz w:val="18"/>
                <w:szCs w:val="18"/>
                <w:color w:val="auto"/>
              </w:rPr>
              <w:t>(685)</w:t>
            </w:r>
          </w:p>
        </w:tc>
        <w:tc>
          <w:tcPr>
            <w:tcW w:w="8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4,062</w:t>
            </w:r>
          </w:p>
        </w:tc>
      </w:tr>
      <w:tr>
        <w:trPr>
          <w:trHeight w:val="223"/>
        </w:trPr>
        <w:tc>
          <w:tcPr>
            <w:tcW w:w="51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fixed income securities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350,497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w w:val="88"/>
              </w:rPr>
              <w:t>—</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(34,084</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316,865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42"/>
        </w:trPr>
        <w:tc>
          <w:tcPr>
            <w:tcW w:w="5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6"/>
          </w:tcPr>
          <w:p>
            <w:pPr>
              <w:ind w:left="900"/>
              <w:spacing w:after="0"/>
              <w:rPr>
                <w:sz w:val="20"/>
                <w:szCs w:val="20"/>
                <w:color w:val="auto"/>
              </w:rPr>
            </w:pPr>
            <w:r>
              <w:rPr>
                <w:rFonts w:ascii="Arial" w:cs="Arial" w:eastAsia="Arial" w:hAnsi="Arial"/>
                <w:sz w:val="18"/>
                <w:szCs w:val="18"/>
                <w:b w:val="1"/>
                <w:bCs w:val="1"/>
                <w:color w:val="auto"/>
                <w:w w:val="91"/>
              </w:rPr>
              <w:t>December 31, 2022</w:t>
            </w: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5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88"/>
              </w:rPr>
              <w:t>Cost or</w:t>
            </w:r>
          </w:p>
        </w:tc>
        <w:tc>
          <w:tcPr>
            <w:tcW w:w="1140" w:type="dxa"/>
            <w:vAlign w:val="bottom"/>
            <w:gridSpan w:val="3"/>
          </w:tcPr>
          <w:p>
            <w:pPr>
              <w:ind w:left="20"/>
              <w:spacing w:after="0" w:line="191" w:lineRule="exact"/>
              <w:rPr>
                <w:sz w:val="20"/>
                <w:szCs w:val="20"/>
                <w:color w:val="auto"/>
              </w:rPr>
            </w:pPr>
            <w:r>
              <w:rPr>
                <w:rFonts w:ascii="Arial" w:cs="Arial" w:eastAsia="Arial" w:hAnsi="Arial"/>
                <w:sz w:val="18"/>
                <w:szCs w:val="18"/>
                <w:b w:val="1"/>
                <w:bCs w:val="1"/>
                <w:color w:val="auto"/>
                <w:w w:val="93"/>
              </w:rPr>
              <w:t>Allowance for</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ind w:left="80"/>
              <w:spacing w:after="0" w:line="191" w:lineRule="exact"/>
              <w:rPr>
                <w:sz w:val="20"/>
                <w:szCs w:val="20"/>
                <w:color w:val="auto"/>
              </w:rPr>
            </w:pPr>
            <w:r>
              <w:rPr>
                <w:rFonts w:ascii="Arial" w:cs="Arial" w:eastAsia="Arial" w:hAnsi="Arial"/>
                <w:sz w:val="18"/>
                <w:szCs w:val="18"/>
                <w:b w:val="1"/>
                <w:bCs w:val="1"/>
                <w:color w:val="auto"/>
              </w:rPr>
              <w:t>Gross</w:t>
            </w:r>
          </w:p>
        </w:tc>
        <w:tc>
          <w:tcPr>
            <w:tcW w:w="160" w:type="dxa"/>
            <w:vAlign w:val="bottom"/>
          </w:tcPr>
          <w:p>
            <w:pPr>
              <w:spacing w:after="0"/>
              <w:rPr>
                <w:sz w:val="16"/>
                <w:szCs w:val="16"/>
                <w:color w:val="auto"/>
              </w:rPr>
            </w:pPr>
          </w:p>
        </w:tc>
        <w:tc>
          <w:tcPr>
            <w:tcW w:w="1060" w:type="dxa"/>
            <w:vAlign w:val="bottom"/>
            <w:gridSpan w:val="2"/>
          </w:tcPr>
          <w:p>
            <w:pPr>
              <w:ind w:left="100"/>
              <w:spacing w:after="0" w:line="191" w:lineRule="exact"/>
              <w:rPr>
                <w:sz w:val="20"/>
                <w:szCs w:val="20"/>
                <w:color w:val="auto"/>
              </w:rPr>
            </w:pPr>
            <w:r>
              <w:rPr>
                <w:rFonts w:ascii="Arial" w:cs="Arial" w:eastAsia="Arial" w:hAnsi="Arial"/>
                <w:sz w:val="18"/>
                <w:szCs w:val="18"/>
                <w:b w:val="1"/>
                <w:bCs w:val="1"/>
                <w:color w:val="auto"/>
              </w:rPr>
              <w:t>Gross</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160" w:type="dxa"/>
            <w:vAlign w:val="bottom"/>
          </w:tcPr>
          <w:p>
            <w:pPr>
              <w:spacing w:after="0"/>
              <w:rPr>
                <w:sz w:val="18"/>
                <w:szCs w:val="18"/>
                <w:color w:val="auto"/>
              </w:rPr>
            </w:pPr>
          </w:p>
        </w:tc>
        <w:tc>
          <w:tcPr>
            <w:tcW w:w="122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3"/>
              </w:rPr>
              <w:t>Amortized</w:t>
            </w:r>
          </w:p>
        </w:tc>
        <w:tc>
          <w:tcPr>
            <w:tcW w:w="140" w:type="dxa"/>
            <w:vAlign w:val="bottom"/>
          </w:tcPr>
          <w:p>
            <w:pPr>
              <w:spacing w:after="0"/>
              <w:rPr>
                <w:sz w:val="18"/>
                <w:szCs w:val="18"/>
                <w:color w:val="auto"/>
              </w:rPr>
            </w:pPr>
          </w:p>
        </w:tc>
        <w:tc>
          <w:tcPr>
            <w:tcW w:w="1000" w:type="dxa"/>
            <w:vAlign w:val="bottom"/>
            <w:gridSpan w:val="2"/>
          </w:tcPr>
          <w:p>
            <w:pPr>
              <w:ind w:left="40"/>
              <w:spacing w:after="0"/>
              <w:rPr>
                <w:sz w:val="20"/>
                <w:szCs w:val="20"/>
                <w:color w:val="auto"/>
              </w:rPr>
            </w:pPr>
            <w:r>
              <w:rPr>
                <w:rFonts w:ascii="Arial" w:cs="Arial" w:eastAsia="Arial" w:hAnsi="Arial"/>
                <w:sz w:val="18"/>
                <w:szCs w:val="18"/>
                <w:b w:val="1"/>
                <w:bCs w:val="1"/>
                <w:color w:val="auto"/>
              </w:rPr>
              <w:t>Expected</w:t>
            </w:r>
          </w:p>
        </w:tc>
        <w:tc>
          <w:tcPr>
            <w:tcW w:w="180" w:type="dxa"/>
            <w:vAlign w:val="bottom"/>
          </w:tcPr>
          <w:p>
            <w:pPr>
              <w:spacing w:after="0"/>
              <w:rPr>
                <w:sz w:val="18"/>
                <w:szCs w:val="18"/>
                <w:color w:val="auto"/>
              </w:rPr>
            </w:pPr>
          </w:p>
        </w:tc>
        <w:tc>
          <w:tcPr>
            <w:tcW w:w="122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6"/>
              </w:rPr>
              <w:t>Unrealized</w:t>
            </w:r>
          </w:p>
        </w:tc>
        <w:tc>
          <w:tcPr>
            <w:tcW w:w="1220" w:type="dxa"/>
            <w:vAlign w:val="bottom"/>
            <w:gridSpan w:val="3"/>
          </w:tcPr>
          <w:p>
            <w:pPr>
              <w:jc w:val="right"/>
              <w:ind w:right="241"/>
              <w:spacing w:after="0"/>
              <w:rPr>
                <w:sz w:val="20"/>
                <w:szCs w:val="20"/>
                <w:color w:val="auto"/>
              </w:rPr>
            </w:pPr>
            <w:r>
              <w:rPr>
                <w:rFonts w:ascii="Arial" w:cs="Arial" w:eastAsia="Arial" w:hAnsi="Arial"/>
                <w:sz w:val="18"/>
                <w:szCs w:val="18"/>
                <w:b w:val="1"/>
                <w:bCs w:val="1"/>
                <w:color w:val="auto"/>
                <w:w w:val="96"/>
              </w:rPr>
              <w:t>Unrealized</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Cost</w:t>
            </w:r>
          </w:p>
        </w:tc>
        <w:tc>
          <w:tcPr>
            <w:tcW w:w="1140" w:type="dxa"/>
            <w:vAlign w:val="bottom"/>
            <w:gridSpan w:val="3"/>
          </w:tcPr>
          <w:p>
            <w:pPr>
              <w:ind w:left="40"/>
              <w:spacing w:after="0"/>
              <w:rPr>
                <w:sz w:val="20"/>
                <w:szCs w:val="20"/>
                <w:color w:val="auto"/>
              </w:rPr>
            </w:pPr>
            <w:r>
              <w:rPr>
                <w:rFonts w:ascii="Arial" w:cs="Arial" w:eastAsia="Arial" w:hAnsi="Arial"/>
                <w:sz w:val="18"/>
                <w:szCs w:val="18"/>
                <w:b w:val="1"/>
                <w:bCs w:val="1"/>
                <w:color w:val="auto"/>
                <w:w w:val="90"/>
              </w:rPr>
              <w:t>Credit Losses</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b w:val="1"/>
                <w:bCs w:val="1"/>
                <w:color w:val="auto"/>
              </w:rPr>
              <w:t>Gains</w:t>
            </w:r>
          </w:p>
        </w:tc>
        <w:tc>
          <w:tcPr>
            <w:tcW w:w="160" w:type="dxa"/>
            <w:vAlign w:val="bottom"/>
          </w:tcPr>
          <w:p>
            <w:pPr>
              <w:spacing w:after="0"/>
              <w:rPr>
                <w:sz w:val="20"/>
                <w:szCs w:val="20"/>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b w:val="1"/>
                <w:bCs w:val="1"/>
                <w:color w:val="auto"/>
              </w:rPr>
              <w:t>Losses</w:t>
            </w:r>
          </w:p>
        </w:tc>
        <w:tc>
          <w:tcPr>
            <w:tcW w:w="80" w:type="dxa"/>
            <w:vAlign w:val="bottom"/>
          </w:tcPr>
          <w:p>
            <w:pPr>
              <w:spacing w:after="0"/>
              <w:rPr>
                <w:sz w:val="20"/>
                <w:szCs w:val="20"/>
                <w:color w:val="auto"/>
              </w:rPr>
            </w:pPr>
          </w:p>
        </w:tc>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Fair Value</w:t>
            </w:r>
          </w:p>
        </w:tc>
      </w:tr>
      <w:tr>
        <w:trPr>
          <w:trHeight w:val="210"/>
        </w:trPr>
        <w:tc>
          <w:tcPr>
            <w:tcW w:w="5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U.S. Government and agencies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11,174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60" w:type="dxa"/>
            <w:vAlign w:val="bottom"/>
          </w:tcPr>
          <w:p>
            <w:pPr>
              <w:jc w:val="right"/>
              <w:ind w:right="1"/>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81"/>
              <w:spacing w:after="0"/>
              <w:rPr>
                <w:sz w:val="20"/>
                <w:szCs w:val="20"/>
                <w:color w:val="auto"/>
              </w:rPr>
            </w:pPr>
            <w:r>
              <w:rPr>
                <w:rFonts w:ascii="Arial" w:cs="Arial" w:eastAsia="Arial" w:hAnsi="Arial"/>
                <w:sz w:val="18"/>
                <w:szCs w:val="18"/>
                <w:color w:val="auto"/>
              </w:rPr>
              <w:t>(1,008)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10,167</w:t>
            </w:r>
          </w:p>
        </w:tc>
      </w:tr>
      <w:tr>
        <w:trPr>
          <w:trHeight w:val="216"/>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Obligations of states and political subdivisions</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60,342</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(6,454)</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53,926</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Corporate securities</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136,837</w:t>
            </w:r>
          </w:p>
        </w:tc>
        <w:tc>
          <w:tcPr>
            <w:tcW w:w="140" w:type="dxa"/>
            <w:vAlign w:val="bottom"/>
          </w:tcPr>
          <w:p>
            <w:pPr>
              <w:spacing w:after="0"/>
              <w:rPr>
                <w:sz w:val="18"/>
                <w:szCs w:val="18"/>
                <w:color w:val="auto"/>
              </w:rPr>
            </w:pPr>
          </w:p>
        </w:tc>
        <w:tc>
          <w:tcPr>
            <w:tcW w:w="100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109</w:t>
            </w:r>
          </w:p>
        </w:tc>
        <w:tc>
          <w:tcPr>
            <w:tcW w:w="160" w:type="dxa"/>
            <w:vAlign w:val="bottom"/>
          </w:tcPr>
          <w:p>
            <w:pPr>
              <w:spacing w:after="0"/>
              <w:rPr>
                <w:sz w:val="18"/>
                <w:szCs w:val="18"/>
                <w:color w:val="auto"/>
              </w:rPr>
            </w:pPr>
          </w:p>
        </w:tc>
        <w:tc>
          <w:tcPr>
            <w:tcW w:w="1060" w:type="dxa"/>
            <w:vAlign w:val="bottom"/>
            <w:gridSpan w:val="2"/>
          </w:tcPr>
          <w:p>
            <w:pPr>
              <w:jc w:val="right"/>
              <w:ind w:right="81"/>
              <w:spacing w:after="0"/>
              <w:rPr>
                <w:sz w:val="20"/>
                <w:szCs w:val="20"/>
                <w:color w:val="auto"/>
              </w:rPr>
            </w:pPr>
            <w:r>
              <w:rPr>
                <w:rFonts w:ascii="Arial" w:cs="Arial" w:eastAsia="Arial" w:hAnsi="Arial"/>
                <w:sz w:val="18"/>
                <w:szCs w:val="18"/>
                <w:color w:val="auto"/>
              </w:rPr>
              <w:t>(15,787)</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121,159</w:t>
            </w:r>
          </w:p>
        </w:tc>
      </w:tr>
      <w:tr>
        <w:trPr>
          <w:trHeight w:val="216"/>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 mortgage-backed securities</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53,254</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(5,846)</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47,493</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Commercial mortgage-backed securities</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30,837</w:t>
            </w:r>
          </w:p>
        </w:tc>
        <w:tc>
          <w:tcPr>
            <w:tcW w:w="140" w:type="dxa"/>
            <w:vAlign w:val="bottom"/>
          </w:tcPr>
          <w:p>
            <w:pPr>
              <w:spacing w:after="0"/>
              <w:rPr>
                <w:sz w:val="18"/>
                <w:szCs w:val="18"/>
                <w:color w:val="auto"/>
              </w:rPr>
            </w:pPr>
          </w:p>
        </w:tc>
        <w:tc>
          <w:tcPr>
            <w:tcW w:w="100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81"/>
              <w:spacing w:after="0"/>
              <w:rPr>
                <w:sz w:val="20"/>
                <w:szCs w:val="20"/>
                <w:color w:val="auto"/>
              </w:rPr>
            </w:pPr>
            <w:r>
              <w:rPr>
                <w:rFonts w:ascii="Arial" w:cs="Arial" w:eastAsia="Arial" w:hAnsi="Arial"/>
                <w:sz w:val="18"/>
                <w:szCs w:val="18"/>
                <w:color w:val="auto"/>
              </w:rPr>
              <w:t>(4,702)</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26,135</w:t>
            </w:r>
          </w:p>
        </w:tc>
      </w:tr>
      <w:tr>
        <w:trPr>
          <w:trHeight w:val="216"/>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Asset-backed securities</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45,786</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(5,061)</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40,725</w:t>
            </w:r>
          </w:p>
        </w:tc>
      </w:tr>
      <w:tr>
        <w:trPr>
          <w:trHeight w:val="229"/>
        </w:trPr>
        <w:tc>
          <w:tcPr>
            <w:tcW w:w="5160" w:type="dxa"/>
            <w:vAlign w:val="bottom"/>
          </w:tcPr>
          <w:p>
            <w:pPr>
              <w:ind w:left="180"/>
              <w:spacing w:after="0"/>
              <w:rPr>
                <w:sz w:val="20"/>
                <w:szCs w:val="20"/>
                <w:color w:val="auto"/>
              </w:rPr>
            </w:pPr>
            <w:r>
              <w:rPr>
                <w:rFonts w:ascii="Arial" w:cs="Arial" w:eastAsia="Arial" w:hAnsi="Arial"/>
                <w:sz w:val="18"/>
                <w:szCs w:val="18"/>
                <w:color w:val="auto"/>
              </w:rPr>
              <w:t>Redeemable preferred stocks</w:t>
            </w:r>
          </w:p>
        </w:tc>
        <w:tc>
          <w:tcPr>
            <w:tcW w:w="1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4,747</w:t>
            </w:r>
          </w:p>
        </w:tc>
        <w:tc>
          <w:tcPr>
            <w:tcW w:w="140" w:type="dxa"/>
            <w:vAlign w:val="bottom"/>
          </w:tcPr>
          <w:p>
            <w:pPr>
              <w:spacing w:after="0"/>
              <w:rPr>
                <w:sz w:val="19"/>
                <w:szCs w:val="19"/>
                <w:color w:val="auto"/>
              </w:rPr>
            </w:pPr>
          </w:p>
        </w:tc>
        <w:tc>
          <w:tcPr>
            <w:tcW w:w="100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81"/>
              <w:spacing w:after="0"/>
              <w:rPr>
                <w:sz w:val="20"/>
                <w:szCs w:val="20"/>
                <w:color w:val="auto"/>
              </w:rPr>
            </w:pPr>
            <w:r>
              <w:rPr>
                <w:rFonts w:ascii="Arial" w:cs="Arial" w:eastAsia="Arial" w:hAnsi="Arial"/>
                <w:sz w:val="18"/>
                <w:szCs w:val="18"/>
                <w:color w:val="auto"/>
              </w:rPr>
              <w:t>(1,028)</w:t>
            </w:r>
          </w:p>
        </w:tc>
        <w:tc>
          <w:tcPr>
            <w:tcW w:w="8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3,719</w:t>
            </w:r>
          </w:p>
        </w:tc>
      </w:tr>
      <w:tr>
        <w:trPr>
          <w:trHeight w:val="223"/>
        </w:trPr>
        <w:tc>
          <w:tcPr>
            <w:tcW w:w="51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fixed income securities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342,977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w w:val="88"/>
              </w:rPr>
              <w:t>—</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(39,886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303,324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9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amortized cost and estimated fair value of fixed income securities by contractual maturity are shown below. Actual maturities could differ from contractual maturities because issuers may have the right to call or prepay these securities.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40" w:type="dxa"/>
            <w:vAlign w:val="bottom"/>
            <w:gridSpan w:val="7"/>
          </w:tcPr>
          <w:p>
            <w:pPr>
              <w:ind w:left="880"/>
              <w:spacing w:after="0"/>
              <w:rPr>
                <w:sz w:val="20"/>
                <w:szCs w:val="20"/>
                <w:color w:val="auto"/>
              </w:rPr>
            </w:pPr>
            <w:r>
              <w:rPr>
                <w:rFonts w:ascii="Arial" w:cs="Arial" w:eastAsia="Arial" w:hAnsi="Arial"/>
                <w:sz w:val="18"/>
                <w:szCs w:val="18"/>
                <w:b w:val="1"/>
                <w:bCs w:val="1"/>
                <w:color w:val="auto"/>
              </w:rPr>
              <w:t>March 31, 2023</w:t>
            </w:r>
          </w:p>
        </w:tc>
      </w:tr>
      <w:tr>
        <w:trPr>
          <w:trHeight w:val="223"/>
        </w:trPr>
        <w:tc>
          <w:tcPr>
            <w:tcW w:w="80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Amortized Cost</w:t>
            </w: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Fair Value</w:t>
            </w:r>
          </w:p>
        </w:tc>
        <w:tc>
          <w:tcPr>
            <w:tcW w:w="100" w:type="dxa"/>
            <w:vAlign w:val="bottom"/>
            <w:gridSpan w:val="2"/>
          </w:tcPr>
          <w:p>
            <w:pPr>
              <w:spacing w:after="0"/>
              <w:rPr>
                <w:sz w:val="19"/>
                <w:szCs w:val="19"/>
                <w:color w:val="auto"/>
              </w:rPr>
            </w:pPr>
          </w:p>
        </w:tc>
      </w:tr>
      <w:tr>
        <w:trPr>
          <w:trHeight w:val="209"/>
        </w:trPr>
        <w:tc>
          <w:tcPr>
            <w:tcW w:w="8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to mature:</w:t>
            </w:r>
          </w:p>
        </w:tc>
        <w:tc>
          <w:tcPr>
            <w:tcW w:w="1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tcPr>
          <w:p>
            <w:pPr>
              <w:ind w:left="160"/>
              <w:spacing w:after="0"/>
              <w:rPr>
                <w:sz w:val="20"/>
                <w:szCs w:val="20"/>
                <w:color w:val="auto"/>
              </w:rPr>
            </w:pPr>
            <w:r>
              <w:rPr>
                <w:rFonts w:ascii="Arial" w:cs="Arial" w:eastAsia="Arial" w:hAnsi="Arial"/>
                <w:sz w:val="18"/>
                <w:szCs w:val="18"/>
                <w:color w:val="auto"/>
              </w:rPr>
              <w:t>One year or less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9,932</w:t>
            </w:r>
          </w:p>
        </w:tc>
        <w:tc>
          <w:tcPr>
            <w:tcW w:w="220" w:type="dxa"/>
            <w:vAlign w:val="bottom"/>
            <w:gridSpan w:val="2"/>
          </w:tcPr>
          <w:p>
            <w:pPr>
              <w:jc w:val="right"/>
              <w:ind w:right="47"/>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9,788</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After one year through five years</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84,213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79,721</w:t>
            </w:r>
          </w:p>
        </w:tc>
      </w:tr>
      <w:tr>
        <w:trPr>
          <w:trHeight w:val="216"/>
        </w:trPr>
        <w:tc>
          <w:tcPr>
            <w:tcW w:w="8000" w:type="dxa"/>
            <w:vAlign w:val="bottom"/>
          </w:tcPr>
          <w:p>
            <w:pPr>
              <w:ind w:left="160"/>
              <w:spacing w:after="0"/>
              <w:rPr>
                <w:sz w:val="20"/>
                <w:szCs w:val="20"/>
                <w:color w:val="auto"/>
              </w:rPr>
            </w:pPr>
            <w:r>
              <w:rPr>
                <w:rFonts w:ascii="Arial" w:cs="Arial" w:eastAsia="Arial" w:hAnsi="Arial"/>
                <w:sz w:val="18"/>
                <w:szCs w:val="18"/>
                <w:color w:val="auto"/>
              </w:rPr>
              <w:t>After five years through ten years</w:t>
            </w:r>
          </w:p>
        </w:tc>
        <w:tc>
          <w:tcPr>
            <w:tcW w:w="100" w:type="dxa"/>
            <w:vAlign w:val="bottom"/>
          </w:tcPr>
          <w:p>
            <w:pPr>
              <w:spacing w:after="0"/>
              <w:rPr>
                <w:sz w:val="18"/>
                <w:szCs w:val="18"/>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74,106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65,903</w:t>
            </w:r>
          </w:p>
        </w:tc>
      </w:tr>
      <w:tr>
        <w:trPr>
          <w:trHeight w:val="216"/>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After ten years</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38,156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32,095</w:t>
            </w:r>
          </w:p>
        </w:tc>
      </w:tr>
      <w:tr>
        <w:trPr>
          <w:trHeight w:val="216"/>
        </w:trPr>
        <w:tc>
          <w:tcPr>
            <w:tcW w:w="8000" w:type="dxa"/>
            <w:vAlign w:val="bottom"/>
          </w:tcPr>
          <w:p>
            <w:pPr>
              <w:ind w:left="160"/>
              <w:spacing w:after="0"/>
              <w:rPr>
                <w:sz w:val="20"/>
                <w:szCs w:val="20"/>
                <w:color w:val="auto"/>
              </w:rPr>
            </w:pPr>
            <w:r>
              <w:rPr>
                <w:rFonts w:ascii="Arial" w:cs="Arial" w:eastAsia="Arial" w:hAnsi="Arial"/>
                <w:sz w:val="18"/>
                <w:szCs w:val="18"/>
                <w:color w:val="auto"/>
              </w:rPr>
              <w:t>Mortgage / asset-backed securities</w:t>
            </w:r>
          </w:p>
        </w:tc>
        <w:tc>
          <w:tcPr>
            <w:tcW w:w="100" w:type="dxa"/>
            <w:vAlign w:val="bottom"/>
          </w:tcPr>
          <w:p>
            <w:pPr>
              <w:spacing w:after="0"/>
              <w:rPr>
                <w:sz w:val="18"/>
                <w:szCs w:val="18"/>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139,343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125,296</w:t>
            </w:r>
          </w:p>
        </w:tc>
        <w:tc>
          <w:tcPr>
            <w:tcW w:w="80" w:type="dxa"/>
            <w:vAlign w:val="bottom"/>
          </w:tcPr>
          <w:p>
            <w:pPr>
              <w:spacing w:after="0"/>
              <w:rPr>
                <w:sz w:val="18"/>
                <w:szCs w:val="18"/>
                <w:color w:val="auto"/>
              </w:rPr>
            </w:pPr>
          </w:p>
        </w:tc>
      </w:tr>
      <w:tr>
        <w:trPr>
          <w:trHeight w:val="230"/>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Redeemable preferred stocks</w:t>
            </w:r>
          </w:p>
        </w:tc>
        <w:tc>
          <w:tcPr>
            <w:tcW w:w="1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4,747</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4,062</w:t>
            </w:r>
          </w:p>
        </w:tc>
        <w:tc>
          <w:tcPr>
            <w:tcW w:w="80" w:type="dxa"/>
            <w:vAlign w:val="bottom"/>
            <w:shd w:val="clear" w:color="auto" w:fill="CCEEFF"/>
          </w:tcPr>
          <w:p>
            <w:pPr>
              <w:spacing w:after="0"/>
              <w:rPr>
                <w:sz w:val="19"/>
                <w:szCs w:val="19"/>
                <w:color w:val="auto"/>
              </w:rPr>
            </w:pPr>
          </w:p>
        </w:tc>
      </w:tr>
      <w:tr>
        <w:trPr>
          <w:trHeight w:val="223"/>
        </w:trPr>
        <w:tc>
          <w:tcPr>
            <w:tcW w:w="8000" w:type="dxa"/>
            <w:vAlign w:val="bottom"/>
          </w:tcPr>
          <w:p>
            <w:pPr>
              <w:ind w:left="340"/>
              <w:spacing w:after="0"/>
              <w:rPr>
                <w:sz w:val="20"/>
                <w:szCs w:val="20"/>
                <w:color w:val="auto"/>
              </w:rPr>
            </w:pPr>
            <w:r>
              <w:rPr>
                <w:rFonts w:ascii="Arial" w:cs="Arial" w:eastAsia="Arial" w:hAnsi="Arial"/>
                <w:sz w:val="18"/>
                <w:szCs w:val="18"/>
                <w:color w:val="auto"/>
              </w:rPr>
              <w:t>Total fixed income securities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350,497</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316,865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40" w:type="dxa"/>
            <w:vAlign w:val="bottom"/>
            <w:gridSpan w:val="7"/>
          </w:tcPr>
          <w:p>
            <w:pPr>
              <w:ind w:left="740"/>
              <w:spacing w:after="0"/>
              <w:rPr>
                <w:sz w:val="20"/>
                <w:szCs w:val="20"/>
                <w:color w:val="auto"/>
              </w:rPr>
            </w:pPr>
            <w:r>
              <w:rPr>
                <w:rFonts w:ascii="Arial" w:cs="Arial" w:eastAsia="Arial" w:hAnsi="Arial"/>
                <w:sz w:val="18"/>
                <w:szCs w:val="18"/>
                <w:b w:val="1"/>
                <w:bCs w:val="1"/>
                <w:color w:val="auto"/>
              </w:rPr>
              <w:t>December 31, 2022</w:t>
            </w:r>
          </w:p>
        </w:tc>
      </w:tr>
      <w:tr>
        <w:trPr>
          <w:trHeight w:val="223"/>
        </w:trPr>
        <w:tc>
          <w:tcPr>
            <w:tcW w:w="80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Amortized Cost</w:t>
            </w: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Fair Value</w:t>
            </w:r>
          </w:p>
        </w:tc>
        <w:tc>
          <w:tcPr>
            <w:tcW w:w="100" w:type="dxa"/>
            <w:vAlign w:val="bottom"/>
            <w:gridSpan w:val="2"/>
          </w:tcPr>
          <w:p>
            <w:pPr>
              <w:spacing w:after="0"/>
              <w:rPr>
                <w:sz w:val="19"/>
                <w:szCs w:val="19"/>
                <w:color w:val="auto"/>
              </w:rPr>
            </w:pPr>
          </w:p>
        </w:tc>
      </w:tr>
      <w:tr>
        <w:trPr>
          <w:trHeight w:val="209"/>
        </w:trPr>
        <w:tc>
          <w:tcPr>
            <w:tcW w:w="8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to mature:</w:t>
            </w:r>
          </w:p>
        </w:tc>
        <w:tc>
          <w:tcPr>
            <w:tcW w:w="1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tcPr>
          <w:p>
            <w:pPr>
              <w:ind w:left="160"/>
              <w:spacing w:after="0"/>
              <w:rPr>
                <w:sz w:val="20"/>
                <w:szCs w:val="20"/>
                <w:color w:val="auto"/>
              </w:rPr>
            </w:pPr>
            <w:r>
              <w:rPr>
                <w:rFonts w:ascii="Arial" w:cs="Arial" w:eastAsia="Arial" w:hAnsi="Arial"/>
                <w:sz w:val="18"/>
                <w:szCs w:val="18"/>
                <w:color w:val="auto"/>
              </w:rPr>
              <w:t>One year or less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10,130</w:t>
            </w:r>
          </w:p>
        </w:tc>
        <w:tc>
          <w:tcPr>
            <w:tcW w:w="220" w:type="dxa"/>
            <w:vAlign w:val="bottom"/>
            <w:gridSpan w:val="2"/>
          </w:tcPr>
          <w:p>
            <w:pPr>
              <w:jc w:val="right"/>
              <w:ind w:right="47"/>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9,971</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After one year through five years</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81,879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77,031</w:t>
            </w:r>
          </w:p>
        </w:tc>
      </w:tr>
      <w:tr>
        <w:trPr>
          <w:trHeight w:val="216"/>
        </w:trPr>
        <w:tc>
          <w:tcPr>
            <w:tcW w:w="8000" w:type="dxa"/>
            <w:vAlign w:val="bottom"/>
          </w:tcPr>
          <w:p>
            <w:pPr>
              <w:ind w:left="160"/>
              <w:spacing w:after="0"/>
              <w:rPr>
                <w:sz w:val="20"/>
                <w:szCs w:val="20"/>
                <w:color w:val="auto"/>
              </w:rPr>
            </w:pPr>
            <w:r>
              <w:rPr>
                <w:rFonts w:ascii="Arial" w:cs="Arial" w:eastAsia="Arial" w:hAnsi="Arial"/>
                <w:sz w:val="18"/>
                <w:szCs w:val="18"/>
                <w:color w:val="auto"/>
              </w:rPr>
              <w:t>After five years through ten years</w:t>
            </w:r>
          </w:p>
        </w:tc>
        <w:tc>
          <w:tcPr>
            <w:tcW w:w="100" w:type="dxa"/>
            <w:vAlign w:val="bottom"/>
          </w:tcPr>
          <w:p>
            <w:pPr>
              <w:spacing w:after="0"/>
              <w:rPr>
                <w:sz w:val="18"/>
                <w:szCs w:val="18"/>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76,648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65,966</w:t>
            </w:r>
          </w:p>
        </w:tc>
      </w:tr>
      <w:tr>
        <w:trPr>
          <w:trHeight w:val="216"/>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After ten years</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39,696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32,284</w:t>
            </w:r>
          </w:p>
        </w:tc>
      </w:tr>
      <w:tr>
        <w:trPr>
          <w:trHeight w:val="216"/>
        </w:trPr>
        <w:tc>
          <w:tcPr>
            <w:tcW w:w="8000" w:type="dxa"/>
            <w:vAlign w:val="bottom"/>
          </w:tcPr>
          <w:p>
            <w:pPr>
              <w:ind w:left="160"/>
              <w:spacing w:after="0"/>
              <w:rPr>
                <w:sz w:val="20"/>
                <w:szCs w:val="20"/>
                <w:color w:val="auto"/>
              </w:rPr>
            </w:pPr>
            <w:r>
              <w:rPr>
                <w:rFonts w:ascii="Arial" w:cs="Arial" w:eastAsia="Arial" w:hAnsi="Arial"/>
                <w:sz w:val="18"/>
                <w:szCs w:val="18"/>
                <w:color w:val="auto"/>
              </w:rPr>
              <w:t>Mortgage / asset-backed securities</w:t>
            </w:r>
          </w:p>
        </w:tc>
        <w:tc>
          <w:tcPr>
            <w:tcW w:w="100" w:type="dxa"/>
            <w:vAlign w:val="bottom"/>
          </w:tcPr>
          <w:p>
            <w:pPr>
              <w:spacing w:after="0"/>
              <w:rPr>
                <w:sz w:val="18"/>
                <w:szCs w:val="18"/>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129,877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114,353</w:t>
            </w:r>
          </w:p>
        </w:tc>
      </w:tr>
      <w:tr>
        <w:trPr>
          <w:trHeight w:val="229"/>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Redeemable preferred stocks</w:t>
            </w:r>
          </w:p>
        </w:tc>
        <w:tc>
          <w:tcPr>
            <w:tcW w:w="1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4,747</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3,719</w:t>
            </w:r>
          </w:p>
        </w:tc>
        <w:tc>
          <w:tcPr>
            <w:tcW w:w="80" w:type="dxa"/>
            <w:vAlign w:val="bottom"/>
            <w:shd w:val="clear" w:color="auto" w:fill="CCEEFF"/>
          </w:tcPr>
          <w:p>
            <w:pPr>
              <w:spacing w:after="0"/>
              <w:rPr>
                <w:sz w:val="19"/>
                <w:szCs w:val="19"/>
                <w:color w:val="auto"/>
              </w:rPr>
            </w:pPr>
          </w:p>
        </w:tc>
      </w:tr>
      <w:tr>
        <w:trPr>
          <w:trHeight w:val="223"/>
        </w:trPr>
        <w:tc>
          <w:tcPr>
            <w:tcW w:w="8000" w:type="dxa"/>
            <w:vAlign w:val="bottom"/>
          </w:tcPr>
          <w:p>
            <w:pPr>
              <w:ind w:left="340"/>
              <w:spacing w:after="0"/>
              <w:rPr>
                <w:sz w:val="20"/>
                <w:szCs w:val="20"/>
                <w:color w:val="auto"/>
              </w:rPr>
            </w:pPr>
            <w:r>
              <w:rPr>
                <w:rFonts w:ascii="Arial" w:cs="Arial" w:eastAsia="Arial" w:hAnsi="Arial"/>
                <w:sz w:val="18"/>
                <w:szCs w:val="18"/>
                <w:color w:val="auto"/>
              </w:rPr>
              <w:t>Total fixed income securities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342,977</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303,324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33" w:right="339" w:bottom="1128" w:gutter="0" w:footer="0" w:header="0"/>
        </w:sectPr>
      </w:pPr>
    </w:p>
    <w:p>
      <w:pPr>
        <w:spacing w:after="0" w:line="17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128"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9"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386" w:lineRule="exact"/>
        <w:rPr>
          <w:sz w:val="20"/>
          <w:szCs w:val="20"/>
          <w:color w:val="auto"/>
        </w:rPr>
      </w:pPr>
    </w:p>
    <w:p>
      <w:pPr>
        <w:ind w:left="20" w:right="400"/>
        <w:spacing w:after="0" w:line="277" w:lineRule="auto"/>
        <w:rPr>
          <w:sz w:val="20"/>
          <w:szCs w:val="20"/>
          <w:color w:val="auto"/>
        </w:rPr>
      </w:pPr>
      <w:r>
        <w:rPr>
          <w:rFonts w:ascii="Arial" w:cs="Arial" w:eastAsia="Arial" w:hAnsi="Arial"/>
          <w:sz w:val="18"/>
          <w:szCs w:val="18"/>
          <w:color w:val="auto"/>
        </w:rPr>
        <w:t>Fixed income securities with a fair value of $5,994 at March 31, 2023, and $6,613 at December 31, 2022, were deposited with various state regulatory agencies as required by law. The Company has not pledged any assets to secure any obligations.</w:t>
      </w:r>
    </w:p>
    <w:p>
      <w:pPr>
        <w:spacing w:after="0" w:line="143" w:lineRule="exact"/>
        <w:rPr>
          <w:sz w:val="20"/>
          <w:szCs w:val="20"/>
          <w:color w:val="auto"/>
        </w:rPr>
      </w:pPr>
    </w:p>
    <w:p>
      <w:pPr>
        <w:ind w:left="20" w:right="160"/>
        <w:spacing w:after="0" w:line="263" w:lineRule="auto"/>
        <w:rPr>
          <w:sz w:val="20"/>
          <w:szCs w:val="20"/>
          <w:color w:val="auto"/>
        </w:rPr>
      </w:pPr>
      <w:r>
        <w:rPr>
          <w:rFonts w:ascii="Arial" w:cs="Arial" w:eastAsia="Arial" w:hAnsi="Arial"/>
          <w:sz w:val="18"/>
          <w:szCs w:val="18"/>
          <w:color w:val="auto"/>
        </w:rPr>
        <w:t>The investment category and duration of the Company’s gross unrealized losses on fixed income securities are shown below. Investments with unrealized losses are categorized with a duration of greater than 12 months when all positions of a security have continually been in a loss position for at least 12 months.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5"/>
          </w:tcPr>
          <w:p>
            <w:pPr>
              <w:jc w:val="right"/>
              <w:ind w:right="701"/>
              <w:spacing w:after="0"/>
              <w:rPr>
                <w:sz w:val="20"/>
                <w:szCs w:val="20"/>
                <w:color w:val="auto"/>
              </w:rPr>
            </w:pPr>
            <w:r>
              <w:rPr>
                <w:rFonts w:ascii="Arial" w:cs="Arial" w:eastAsia="Arial" w:hAnsi="Arial"/>
                <w:sz w:val="18"/>
                <w:szCs w:val="18"/>
                <w:b w:val="1"/>
                <w:bCs w:val="1"/>
                <w:color w:val="auto"/>
              </w:rPr>
              <w:t>March 31, 2023</w:t>
            </w: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40" w:type="dxa"/>
            <w:vAlign w:val="bottom"/>
            <w:gridSpan w:val="5"/>
          </w:tcPr>
          <w:p>
            <w:pPr>
              <w:ind w:left="160"/>
              <w:spacing w:after="0"/>
              <w:rPr>
                <w:sz w:val="20"/>
                <w:szCs w:val="20"/>
                <w:color w:val="auto"/>
              </w:rPr>
            </w:pPr>
            <w:r>
              <w:rPr>
                <w:rFonts w:ascii="Arial" w:cs="Arial" w:eastAsia="Arial" w:hAnsi="Arial"/>
                <w:sz w:val="18"/>
                <w:szCs w:val="18"/>
                <w:b w:val="1"/>
                <w:bCs w:val="1"/>
                <w:color w:val="auto"/>
              </w:rPr>
              <w:t>Less than 12 Months</w:t>
            </w:r>
          </w:p>
        </w:tc>
        <w:tc>
          <w:tcPr>
            <w:tcW w:w="140" w:type="dxa"/>
            <w:vAlign w:val="bottom"/>
          </w:tcPr>
          <w:p>
            <w:pPr>
              <w:spacing w:after="0"/>
              <w:rPr>
                <w:sz w:val="19"/>
                <w:szCs w:val="19"/>
                <w:color w:val="auto"/>
              </w:rPr>
            </w:pPr>
          </w:p>
        </w:tc>
        <w:tc>
          <w:tcPr>
            <w:tcW w:w="2300" w:type="dxa"/>
            <w:vAlign w:val="bottom"/>
            <w:gridSpan w:val="5"/>
          </w:tcPr>
          <w:p>
            <w:pPr>
              <w:jc w:val="right"/>
              <w:ind w:right="321"/>
              <w:spacing w:after="0"/>
              <w:rPr>
                <w:sz w:val="20"/>
                <w:szCs w:val="20"/>
                <w:color w:val="auto"/>
              </w:rPr>
            </w:pPr>
            <w:r>
              <w:rPr>
                <w:rFonts w:ascii="Arial" w:cs="Arial" w:eastAsia="Arial" w:hAnsi="Arial"/>
                <w:sz w:val="18"/>
                <w:szCs w:val="18"/>
                <w:b w:val="1"/>
                <w:bCs w:val="1"/>
                <w:color w:val="auto"/>
                <w:w w:val="93"/>
              </w:rPr>
              <w:t>Greater than 12 months</w:t>
            </w:r>
          </w:p>
        </w:tc>
        <w:tc>
          <w:tcPr>
            <w:tcW w:w="180" w:type="dxa"/>
            <w:vAlign w:val="bottom"/>
          </w:tcPr>
          <w:p>
            <w:pPr>
              <w:spacing w:after="0"/>
              <w:rPr>
                <w:sz w:val="19"/>
                <w:szCs w:val="19"/>
                <w:color w:val="auto"/>
              </w:rPr>
            </w:pPr>
          </w:p>
        </w:tc>
        <w:tc>
          <w:tcPr>
            <w:tcW w:w="1200" w:type="dxa"/>
            <w:vAlign w:val="bottom"/>
            <w:gridSpan w:val="3"/>
          </w:tcPr>
          <w:p>
            <w:pPr>
              <w:jc w:val="right"/>
              <w:ind w:right="1"/>
              <w:spacing w:after="0"/>
              <w:rPr>
                <w:sz w:val="20"/>
                <w:szCs w:val="20"/>
                <w:color w:val="auto"/>
              </w:rPr>
            </w:pPr>
            <w:r>
              <w:rPr>
                <w:rFonts w:ascii="Arial" w:cs="Arial" w:eastAsia="Arial" w:hAnsi="Arial"/>
                <w:sz w:val="18"/>
                <w:szCs w:val="18"/>
                <w:b w:val="1"/>
                <w:bCs w:val="1"/>
                <w:color w:val="auto"/>
              </w:rPr>
              <w:t>Total</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1"/>
        </w:trPr>
        <w:tc>
          <w:tcPr>
            <w:tcW w:w="39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ind w:left="160"/>
              <w:spacing w:after="0" w:line="191" w:lineRule="exact"/>
              <w:rPr>
                <w:sz w:val="20"/>
                <w:szCs w:val="20"/>
                <w:color w:val="auto"/>
              </w:rPr>
            </w:pPr>
            <w:r>
              <w:rPr>
                <w:rFonts w:ascii="Arial" w:cs="Arial" w:eastAsia="Arial" w:hAnsi="Arial"/>
                <w:sz w:val="18"/>
                <w:szCs w:val="18"/>
                <w:b w:val="1"/>
                <w:bCs w:val="1"/>
                <w:color w:val="auto"/>
              </w:rPr>
              <w:t>Fair</w:t>
            </w: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2"/>
              </w:rPr>
              <w:t>Unrealized</w:t>
            </w:r>
          </w:p>
        </w:tc>
        <w:tc>
          <w:tcPr>
            <w:tcW w:w="2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rPr>
              <w:t>Fair</w:t>
            </w:r>
          </w:p>
        </w:tc>
        <w:tc>
          <w:tcPr>
            <w:tcW w:w="100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92"/>
              </w:rPr>
              <w:t>Unrealized</w:t>
            </w: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jc w:val="center"/>
              <w:ind w:right="400"/>
              <w:spacing w:after="0" w:line="191" w:lineRule="exact"/>
              <w:rPr>
                <w:sz w:val="20"/>
                <w:szCs w:val="20"/>
                <w:color w:val="auto"/>
              </w:rPr>
            </w:pPr>
            <w:r>
              <w:rPr>
                <w:rFonts w:ascii="Arial" w:cs="Arial" w:eastAsia="Arial" w:hAnsi="Arial"/>
                <w:sz w:val="18"/>
                <w:szCs w:val="18"/>
                <w:b w:val="1"/>
                <w:bCs w:val="1"/>
                <w:color w:val="auto"/>
                <w:w w:val="96"/>
              </w:rPr>
              <w:t>Fair</w:t>
            </w:r>
          </w:p>
        </w:tc>
        <w:tc>
          <w:tcPr>
            <w:tcW w:w="100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6"/>
                <w:szCs w:val="16"/>
                <w:color w:val="auto"/>
              </w:rPr>
            </w:pPr>
          </w:p>
        </w:tc>
      </w:tr>
      <w:tr>
        <w:trPr>
          <w:trHeight w:val="234"/>
        </w:trPr>
        <w:tc>
          <w:tcPr>
            <w:tcW w:w="3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ind w:left="100"/>
              <w:spacing w:after="0"/>
              <w:rPr>
                <w:sz w:val="20"/>
                <w:szCs w:val="20"/>
                <w:color w:val="auto"/>
              </w:rPr>
            </w:pPr>
            <w:r>
              <w:rPr>
                <w:rFonts w:ascii="Arial" w:cs="Arial" w:eastAsia="Arial" w:hAnsi="Arial"/>
                <w:sz w:val="18"/>
                <w:szCs w:val="18"/>
                <w:b w:val="1"/>
                <w:bCs w:val="1"/>
                <w:color w:val="auto"/>
              </w:rPr>
              <w:t>Value</w:t>
            </w:r>
          </w:p>
        </w:tc>
        <w:tc>
          <w:tcPr>
            <w:tcW w:w="100" w:type="dxa"/>
            <w:vAlign w:val="bottom"/>
          </w:tcPr>
          <w:p>
            <w:pPr>
              <w:spacing w:after="0"/>
              <w:rPr>
                <w:sz w:val="20"/>
                <w:szCs w:val="20"/>
                <w:color w:val="auto"/>
              </w:rPr>
            </w:pPr>
          </w:p>
        </w:tc>
        <w:tc>
          <w:tcPr>
            <w:tcW w:w="1160" w:type="dxa"/>
            <w:vAlign w:val="bottom"/>
            <w:gridSpan w:val="2"/>
          </w:tcPr>
          <w:p>
            <w:pPr>
              <w:jc w:val="center"/>
              <w:ind w:right="261"/>
              <w:spacing w:after="0"/>
              <w:rPr>
                <w:sz w:val="20"/>
                <w:szCs w:val="20"/>
                <w:color w:val="auto"/>
              </w:rPr>
            </w:pPr>
            <w:r>
              <w:rPr>
                <w:rFonts w:ascii="Arial" w:cs="Arial" w:eastAsia="Arial" w:hAnsi="Arial"/>
                <w:sz w:val="18"/>
                <w:szCs w:val="18"/>
                <w:b w:val="1"/>
                <w:bCs w:val="1"/>
                <w:color w:val="auto"/>
                <w:w w:val="80"/>
              </w:rPr>
              <w:t>Losses</w:t>
            </w:r>
          </w:p>
        </w:tc>
        <w:tc>
          <w:tcPr>
            <w:tcW w:w="140" w:type="dxa"/>
            <w:vAlign w:val="bottom"/>
          </w:tcPr>
          <w:p>
            <w:pPr>
              <w:spacing w:after="0"/>
              <w:rPr>
                <w:sz w:val="20"/>
                <w:szCs w:val="20"/>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Value</w:t>
            </w:r>
          </w:p>
        </w:tc>
        <w:tc>
          <w:tcPr>
            <w:tcW w:w="180" w:type="dxa"/>
            <w:vAlign w:val="bottom"/>
          </w:tcPr>
          <w:p>
            <w:pPr>
              <w:spacing w:after="0"/>
              <w:rPr>
                <w:sz w:val="20"/>
                <w:szCs w:val="20"/>
                <w:color w:val="auto"/>
              </w:rPr>
            </w:pPr>
          </w:p>
        </w:tc>
        <w:tc>
          <w:tcPr>
            <w:tcW w:w="1040" w:type="dxa"/>
            <w:vAlign w:val="bottom"/>
            <w:gridSpan w:val="2"/>
          </w:tcPr>
          <w:p>
            <w:pPr>
              <w:jc w:val="center"/>
              <w:ind w:right="301"/>
              <w:spacing w:after="0"/>
              <w:rPr>
                <w:sz w:val="20"/>
                <w:szCs w:val="20"/>
                <w:color w:val="auto"/>
              </w:rPr>
            </w:pPr>
            <w:r>
              <w:rPr>
                <w:rFonts w:ascii="Arial" w:cs="Arial" w:eastAsia="Arial" w:hAnsi="Arial"/>
                <w:sz w:val="18"/>
                <w:szCs w:val="18"/>
                <w:b w:val="1"/>
                <w:bCs w:val="1"/>
                <w:color w:val="auto"/>
                <w:w w:val="80"/>
              </w:rPr>
              <w:t>Losses</w:t>
            </w:r>
          </w:p>
        </w:tc>
        <w:tc>
          <w:tcPr>
            <w:tcW w:w="180" w:type="dxa"/>
            <w:vAlign w:val="bottom"/>
          </w:tcPr>
          <w:p>
            <w:pPr>
              <w:spacing w:after="0"/>
              <w:rPr>
                <w:sz w:val="20"/>
                <w:szCs w:val="20"/>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Value</w:t>
            </w:r>
          </w:p>
        </w:tc>
        <w:tc>
          <w:tcPr>
            <w:tcW w:w="160" w:type="dxa"/>
            <w:vAlign w:val="bottom"/>
          </w:tcPr>
          <w:p>
            <w:pPr>
              <w:spacing w:after="0"/>
              <w:rPr>
                <w:sz w:val="20"/>
                <w:szCs w:val="20"/>
                <w:color w:val="auto"/>
              </w:rPr>
            </w:pPr>
          </w:p>
        </w:tc>
        <w:tc>
          <w:tcPr>
            <w:tcW w:w="940" w:type="dxa"/>
            <w:vAlign w:val="bottom"/>
            <w:gridSpan w:val="2"/>
          </w:tcPr>
          <w:p>
            <w:pPr>
              <w:jc w:val="center"/>
              <w:ind w:right="201"/>
              <w:spacing w:after="0"/>
              <w:rPr>
                <w:sz w:val="20"/>
                <w:szCs w:val="20"/>
                <w:color w:val="auto"/>
              </w:rPr>
            </w:pPr>
            <w:r>
              <w:rPr>
                <w:rFonts w:ascii="Arial" w:cs="Arial" w:eastAsia="Arial" w:hAnsi="Arial"/>
                <w:sz w:val="18"/>
                <w:szCs w:val="18"/>
                <w:b w:val="1"/>
                <w:bCs w:val="1"/>
                <w:color w:val="auto"/>
                <w:w w:val="80"/>
              </w:rPr>
              <w:t>Losses</w:t>
            </w:r>
          </w:p>
        </w:tc>
      </w:tr>
      <w:tr>
        <w:trPr>
          <w:trHeight w:val="210"/>
        </w:trPr>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tcPr>
          <w:p>
            <w:pPr>
              <w:ind w:left="160"/>
              <w:spacing w:after="0"/>
              <w:rPr>
                <w:sz w:val="20"/>
                <w:szCs w:val="20"/>
                <w:color w:val="auto"/>
              </w:rPr>
            </w:pPr>
            <w:r>
              <w:rPr>
                <w:rFonts w:ascii="Arial" w:cs="Arial" w:eastAsia="Arial" w:hAnsi="Arial"/>
                <w:sz w:val="18"/>
                <w:szCs w:val="18"/>
                <w:color w:val="auto"/>
              </w:rPr>
              <w:t>U.S. Government and agencies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2,817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01"/>
              <w:spacing w:after="0"/>
              <w:rPr>
                <w:sz w:val="20"/>
                <w:szCs w:val="20"/>
                <w:color w:val="auto"/>
              </w:rPr>
            </w:pPr>
            <w:r>
              <w:rPr>
                <w:rFonts w:ascii="Arial" w:cs="Arial" w:eastAsia="Arial" w:hAnsi="Arial"/>
                <w:sz w:val="18"/>
                <w:szCs w:val="18"/>
                <w:color w:val="auto"/>
              </w:rPr>
              <w:t>(147)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6,646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1"/>
              <w:spacing w:after="0"/>
              <w:rPr>
                <w:sz w:val="20"/>
                <w:szCs w:val="20"/>
                <w:color w:val="auto"/>
              </w:rPr>
            </w:pPr>
            <w:r>
              <w:rPr>
                <w:rFonts w:ascii="Arial" w:cs="Arial" w:eastAsia="Arial" w:hAnsi="Arial"/>
                <w:sz w:val="18"/>
                <w:szCs w:val="18"/>
                <w:color w:val="auto"/>
              </w:rPr>
              <w:t>(662)</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9,463</w:t>
            </w:r>
          </w:p>
        </w:tc>
        <w:tc>
          <w:tcPr>
            <w:tcW w:w="160" w:type="dxa"/>
            <w:vAlign w:val="bottom"/>
          </w:tcPr>
          <w:p>
            <w:pPr>
              <w:jc w:val="right"/>
              <w:ind w:right="1"/>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(809)</w:t>
            </w:r>
          </w:p>
        </w:tc>
      </w:tr>
      <w:tr>
        <w:trPr>
          <w:trHeight w:val="216"/>
        </w:trPr>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Obligations of states and political subdivisions</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11,468</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(521)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35,619</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(4,486)</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47,087</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(5,007)</w:t>
            </w:r>
          </w:p>
        </w:tc>
      </w:tr>
      <w:tr>
        <w:trPr>
          <w:trHeight w:val="216"/>
        </w:trPr>
        <w:tc>
          <w:tcPr>
            <w:tcW w:w="3940" w:type="dxa"/>
            <w:vAlign w:val="bottom"/>
          </w:tcPr>
          <w:p>
            <w:pPr>
              <w:ind w:left="160"/>
              <w:spacing w:after="0"/>
              <w:rPr>
                <w:sz w:val="20"/>
                <w:szCs w:val="20"/>
                <w:color w:val="auto"/>
              </w:rPr>
            </w:pPr>
            <w:r>
              <w:rPr>
                <w:rFonts w:ascii="Arial" w:cs="Arial" w:eastAsia="Arial" w:hAnsi="Arial"/>
                <w:sz w:val="18"/>
                <w:szCs w:val="18"/>
                <w:color w:val="auto"/>
              </w:rPr>
              <w:t>Corporate securities</w:t>
            </w:r>
          </w:p>
        </w:tc>
        <w:tc>
          <w:tcPr>
            <w:tcW w:w="2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31,765</w:t>
            </w:r>
          </w:p>
        </w:tc>
        <w:tc>
          <w:tcPr>
            <w:tcW w:w="100" w:type="dxa"/>
            <w:vAlign w:val="bottom"/>
          </w:tcPr>
          <w:p>
            <w:pPr>
              <w:spacing w:after="0"/>
              <w:rPr>
                <w:sz w:val="18"/>
                <w:szCs w:val="18"/>
                <w:color w:val="auto"/>
              </w:rPr>
            </w:pPr>
          </w:p>
        </w:tc>
        <w:tc>
          <w:tcPr>
            <w:tcW w:w="1160" w:type="dxa"/>
            <w:vAlign w:val="bottom"/>
            <w:gridSpan w:val="2"/>
          </w:tcPr>
          <w:p>
            <w:pPr>
              <w:jc w:val="right"/>
              <w:ind w:right="101"/>
              <w:spacing w:after="0"/>
              <w:rPr>
                <w:sz w:val="20"/>
                <w:szCs w:val="20"/>
                <w:color w:val="auto"/>
              </w:rPr>
            </w:pPr>
            <w:r>
              <w:rPr>
                <w:rFonts w:ascii="Arial" w:cs="Arial" w:eastAsia="Arial" w:hAnsi="Arial"/>
                <w:sz w:val="18"/>
                <w:szCs w:val="18"/>
                <w:color w:val="auto"/>
              </w:rPr>
              <w:t>(1,385)</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85,610</w:t>
            </w:r>
          </w:p>
        </w:tc>
        <w:tc>
          <w:tcPr>
            <w:tcW w:w="180" w:type="dxa"/>
            <w:vAlign w:val="bottom"/>
          </w:tcPr>
          <w:p>
            <w:pPr>
              <w:spacing w:after="0"/>
              <w:rPr>
                <w:sz w:val="18"/>
                <w:szCs w:val="18"/>
                <w:color w:val="auto"/>
              </w:rPr>
            </w:pPr>
          </w:p>
        </w:tc>
        <w:tc>
          <w:tcPr>
            <w:tcW w:w="1040" w:type="dxa"/>
            <w:vAlign w:val="bottom"/>
            <w:gridSpan w:val="2"/>
          </w:tcPr>
          <w:p>
            <w:pPr>
              <w:jc w:val="right"/>
              <w:ind w:right="81"/>
              <w:spacing w:after="0"/>
              <w:rPr>
                <w:sz w:val="20"/>
                <w:szCs w:val="20"/>
                <w:color w:val="auto"/>
              </w:rPr>
            </w:pPr>
            <w:r>
              <w:rPr>
                <w:rFonts w:ascii="Arial" w:cs="Arial" w:eastAsia="Arial" w:hAnsi="Arial"/>
                <w:sz w:val="18"/>
                <w:szCs w:val="18"/>
                <w:color w:val="auto"/>
              </w:rPr>
              <w:t>(11,939)</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117,375</w:t>
            </w:r>
          </w:p>
        </w:tc>
        <w:tc>
          <w:tcPr>
            <w:tcW w:w="1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(13,324)</w:t>
            </w:r>
          </w:p>
        </w:tc>
      </w:tr>
      <w:tr>
        <w:trPr>
          <w:trHeight w:val="216"/>
        </w:trPr>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mortgage-backed securities</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6,539</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(192)</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31,272</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(5,094)</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37,811</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(5,286)</w:t>
            </w:r>
          </w:p>
        </w:tc>
      </w:tr>
      <w:tr>
        <w:trPr>
          <w:trHeight w:val="216"/>
        </w:trPr>
        <w:tc>
          <w:tcPr>
            <w:tcW w:w="3940" w:type="dxa"/>
            <w:vAlign w:val="bottom"/>
          </w:tcPr>
          <w:p>
            <w:pPr>
              <w:ind w:left="160"/>
              <w:spacing w:after="0"/>
              <w:rPr>
                <w:sz w:val="20"/>
                <w:szCs w:val="20"/>
                <w:color w:val="auto"/>
              </w:rPr>
            </w:pPr>
            <w:r>
              <w:rPr>
                <w:rFonts w:ascii="Arial" w:cs="Arial" w:eastAsia="Arial" w:hAnsi="Arial"/>
                <w:sz w:val="18"/>
                <w:szCs w:val="18"/>
                <w:color w:val="auto"/>
              </w:rPr>
              <w:t>Commercial mortgage-backed securities</w:t>
            </w:r>
          </w:p>
        </w:tc>
        <w:tc>
          <w:tcPr>
            <w:tcW w:w="2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5,347</w:t>
            </w:r>
          </w:p>
        </w:tc>
        <w:tc>
          <w:tcPr>
            <w:tcW w:w="100" w:type="dxa"/>
            <w:vAlign w:val="bottom"/>
          </w:tcPr>
          <w:p>
            <w:pPr>
              <w:spacing w:after="0"/>
              <w:rPr>
                <w:sz w:val="18"/>
                <w:szCs w:val="18"/>
                <w:color w:val="auto"/>
              </w:rPr>
            </w:pPr>
          </w:p>
        </w:tc>
        <w:tc>
          <w:tcPr>
            <w:tcW w:w="1160" w:type="dxa"/>
            <w:vAlign w:val="bottom"/>
            <w:gridSpan w:val="2"/>
          </w:tcPr>
          <w:p>
            <w:pPr>
              <w:jc w:val="right"/>
              <w:ind w:right="101"/>
              <w:spacing w:after="0"/>
              <w:rPr>
                <w:sz w:val="20"/>
                <w:szCs w:val="20"/>
                <w:color w:val="auto"/>
              </w:rPr>
            </w:pPr>
            <w:r>
              <w:rPr>
                <w:rFonts w:ascii="Arial" w:cs="Arial" w:eastAsia="Arial" w:hAnsi="Arial"/>
                <w:sz w:val="18"/>
                <w:szCs w:val="18"/>
                <w:color w:val="auto"/>
              </w:rPr>
              <w:t>(270)</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20,346</w:t>
            </w:r>
          </w:p>
        </w:tc>
        <w:tc>
          <w:tcPr>
            <w:tcW w:w="180" w:type="dxa"/>
            <w:vAlign w:val="bottom"/>
          </w:tcPr>
          <w:p>
            <w:pPr>
              <w:spacing w:after="0"/>
              <w:rPr>
                <w:sz w:val="18"/>
                <w:szCs w:val="18"/>
                <w:color w:val="auto"/>
              </w:rPr>
            </w:pPr>
          </w:p>
        </w:tc>
        <w:tc>
          <w:tcPr>
            <w:tcW w:w="1040" w:type="dxa"/>
            <w:vAlign w:val="bottom"/>
            <w:gridSpan w:val="2"/>
          </w:tcPr>
          <w:p>
            <w:pPr>
              <w:jc w:val="right"/>
              <w:ind w:right="81"/>
              <w:spacing w:after="0"/>
              <w:rPr>
                <w:sz w:val="20"/>
                <w:szCs w:val="20"/>
                <w:color w:val="auto"/>
              </w:rPr>
            </w:pPr>
            <w:r>
              <w:rPr>
                <w:rFonts w:ascii="Arial" w:cs="Arial" w:eastAsia="Arial" w:hAnsi="Arial"/>
                <w:sz w:val="18"/>
                <w:szCs w:val="18"/>
                <w:color w:val="auto"/>
              </w:rPr>
              <w:t>(4,267)</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25,693</w:t>
            </w:r>
          </w:p>
        </w:tc>
        <w:tc>
          <w:tcPr>
            <w:tcW w:w="1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(4,537)</w:t>
            </w:r>
          </w:p>
        </w:tc>
      </w:tr>
      <w:tr>
        <w:trPr>
          <w:trHeight w:val="216"/>
        </w:trPr>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Asset-backed securities</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8,204</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(129)</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32,642</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(4,307)</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40,846</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(4,436)</w:t>
            </w:r>
          </w:p>
        </w:tc>
      </w:tr>
      <w:tr>
        <w:trPr>
          <w:trHeight w:val="229"/>
        </w:trPr>
        <w:tc>
          <w:tcPr>
            <w:tcW w:w="3940" w:type="dxa"/>
            <w:vAlign w:val="bottom"/>
          </w:tcPr>
          <w:p>
            <w:pPr>
              <w:ind w:left="160"/>
              <w:spacing w:after="0"/>
              <w:rPr>
                <w:sz w:val="20"/>
                <w:szCs w:val="20"/>
                <w:color w:val="auto"/>
              </w:rPr>
            </w:pPr>
            <w:r>
              <w:rPr>
                <w:rFonts w:ascii="Arial" w:cs="Arial" w:eastAsia="Arial" w:hAnsi="Arial"/>
                <w:sz w:val="18"/>
                <w:szCs w:val="18"/>
                <w:color w:val="auto"/>
              </w:rPr>
              <w:t>Redeemable preferred stocks</w:t>
            </w:r>
          </w:p>
        </w:tc>
        <w:tc>
          <w:tcPr>
            <w:tcW w:w="20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3,299</w:t>
            </w:r>
          </w:p>
        </w:tc>
        <w:tc>
          <w:tcPr>
            <w:tcW w:w="100" w:type="dxa"/>
            <w:vAlign w:val="bottom"/>
          </w:tcPr>
          <w:p>
            <w:pPr>
              <w:spacing w:after="0"/>
              <w:rPr>
                <w:sz w:val="19"/>
                <w:szCs w:val="19"/>
                <w:color w:val="auto"/>
              </w:rPr>
            </w:pPr>
          </w:p>
        </w:tc>
        <w:tc>
          <w:tcPr>
            <w:tcW w:w="1160" w:type="dxa"/>
            <w:vAlign w:val="bottom"/>
            <w:gridSpan w:val="2"/>
          </w:tcPr>
          <w:p>
            <w:pPr>
              <w:jc w:val="right"/>
              <w:ind w:right="101"/>
              <w:spacing w:after="0"/>
              <w:rPr>
                <w:sz w:val="20"/>
                <w:szCs w:val="20"/>
                <w:color w:val="auto"/>
              </w:rPr>
            </w:pPr>
            <w:r>
              <w:rPr>
                <w:rFonts w:ascii="Arial" w:cs="Arial" w:eastAsia="Arial" w:hAnsi="Arial"/>
                <w:sz w:val="18"/>
                <w:szCs w:val="18"/>
                <w:color w:val="auto"/>
              </w:rPr>
              <w:t>(448)</w:t>
            </w:r>
          </w:p>
        </w:tc>
        <w:tc>
          <w:tcPr>
            <w:tcW w:w="1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763</w:t>
            </w:r>
          </w:p>
        </w:tc>
        <w:tc>
          <w:tcPr>
            <w:tcW w:w="180" w:type="dxa"/>
            <w:vAlign w:val="bottom"/>
          </w:tcPr>
          <w:p>
            <w:pPr>
              <w:spacing w:after="0"/>
              <w:rPr>
                <w:sz w:val="19"/>
                <w:szCs w:val="19"/>
                <w:color w:val="auto"/>
              </w:rPr>
            </w:pPr>
          </w:p>
        </w:tc>
        <w:tc>
          <w:tcPr>
            <w:tcW w:w="1040" w:type="dxa"/>
            <w:vAlign w:val="bottom"/>
            <w:gridSpan w:val="2"/>
          </w:tcPr>
          <w:p>
            <w:pPr>
              <w:jc w:val="right"/>
              <w:ind w:right="81"/>
              <w:spacing w:after="0"/>
              <w:rPr>
                <w:sz w:val="20"/>
                <w:szCs w:val="20"/>
                <w:color w:val="auto"/>
              </w:rPr>
            </w:pPr>
            <w:r>
              <w:rPr>
                <w:rFonts w:ascii="Arial" w:cs="Arial" w:eastAsia="Arial" w:hAnsi="Arial"/>
                <w:sz w:val="18"/>
                <w:szCs w:val="18"/>
                <w:color w:val="auto"/>
              </w:rPr>
              <w:t>(237)</w:t>
            </w:r>
          </w:p>
        </w:tc>
        <w:tc>
          <w:tcPr>
            <w:tcW w:w="18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4,062</w:t>
            </w:r>
          </w:p>
        </w:tc>
        <w:tc>
          <w:tcPr>
            <w:tcW w:w="16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(685)</w:t>
            </w:r>
          </w:p>
        </w:tc>
      </w:tr>
      <w:tr>
        <w:trPr>
          <w:trHeight w:val="209"/>
        </w:trPr>
        <w:tc>
          <w:tcPr>
            <w:tcW w:w="394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fixed income securities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69,439</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(3,092</w:t>
            </w:r>
          </w:p>
        </w:tc>
        <w:tc>
          <w:tcPr>
            <w:tcW w:w="240" w:type="dxa"/>
            <w:vAlign w:val="bottom"/>
            <w:tcBorders>
              <w:top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212,898</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(30,992</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282,337</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(34,084</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655"/>
        </w:trPr>
        <w:tc>
          <w:tcPr>
            <w:tcW w:w="39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5"/>
          </w:tcPr>
          <w:p>
            <w:pPr>
              <w:jc w:val="right"/>
              <w:ind w:right="581"/>
              <w:spacing w:after="0"/>
              <w:rPr>
                <w:sz w:val="20"/>
                <w:szCs w:val="20"/>
                <w:color w:val="auto"/>
              </w:rPr>
            </w:pPr>
            <w:r>
              <w:rPr>
                <w:rFonts w:ascii="Arial" w:cs="Arial" w:eastAsia="Arial" w:hAnsi="Arial"/>
                <w:sz w:val="18"/>
                <w:szCs w:val="18"/>
                <w:b w:val="1"/>
                <w:bCs w:val="1"/>
                <w:color w:val="auto"/>
                <w:w w:val="99"/>
              </w:rPr>
              <w:t>December 31, 2022</w:t>
            </w: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3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40" w:type="dxa"/>
            <w:vAlign w:val="bottom"/>
            <w:gridSpan w:val="5"/>
          </w:tcPr>
          <w:p>
            <w:pPr>
              <w:ind w:left="160"/>
              <w:spacing w:after="0"/>
              <w:rPr>
                <w:sz w:val="20"/>
                <w:szCs w:val="20"/>
                <w:color w:val="auto"/>
              </w:rPr>
            </w:pPr>
            <w:r>
              <w:rPr>
                <w:rFonts w:ascii="Arial" w:cs="Arial" w:eastAsia="Arial" w:hAnsi="Arial"/>
                <w:sz w:val="18"/>
                <w:szCs w:val="18"/>
                <w:b w:val="1"/>
                <w:bCs w:val="1"/>
                <w:color w:val="auto"/>
              </w:rPr>
              <w:t>Less than 12 Months</w:t>
            </w:r>
          </w:p>
        </w:tc>
        <w:tc>
          <w:tcPr>
            <w:tcW w:w="140" w:type="dxa"/>
            <w:vAlign w:val="bottom"/>
          </w:tcPr>
          <w:p>
            <w:pPr>
              <w:spacing w:after="0"/>
              <w:rPr>
                <w:sz w:val="19"/>
                <w:szCs w:val="19"/>
                <w:color w:val="auto"/>
              </w:rPr>
            </w:pPr>
          </w:p>
        </w:tc>
        <w:tc>
          <w:tcPr>
            <w:tcW w:w="2300" w:type="dxa"/>
            <w:vAlign w:val="bottom"/>
            <w:gridSpan w:val="5"/>
          </w:tcPr>
          <w:p>
            <w:pPr>
              <w:jc w:val="right"/>
              <w:ind w:right="321"/>
              <w:spacing w:after="0"/>
              <w:rPr>
                <w:sz w:val="20"/>
                <w:szCs w:val="20"/>
                <w:color w:val="auto"/>
              </w:rPr>
            </w:pPr>
            <w:r>
              <w:rPr>
                <w:rFonts w:ascii="Arial" w:cs="Arial" w:eastAsia="Arial" w:hAnsi="Arial"/>
                <w:sz w:val="18"/>
                <w:szCs w:val="18"/>
                <w:b w:val="1"/>
                <w:bCs w:val="1"/>
                <w:color w:val="auto"/>
                <w:w w:val="93"/>
              </w:rPr>
              <w:t>Greater than 12 months</w:t>
            </w:r>
          </w:p>
        </w:tc>
        <w:tc>
          <w:tcPr>
            <w:tcW w:w="180" w:type="dxa"/>
            <w:vAlign w:val="bottom"/>
          </w:tcPr>
          <w:p>
            <w:pPr>
              <w:spacing w:after="0"/>
              <w:rPr>
                <w:sz w:val="19"/>
                <w:szCs w:val="19"/>
                <w:color w:val="auto"/>
              </w:rPr>
            </w:pPr>
          </w:p>
        </w:tc>
        <w:tc>
          <w:tcPr>
            <w:tcW w:w="1200" w:type="dxa"/>
            <w:vAlign w:val="bottom"/>
            <w:gridSpan w:val="3"/>
          </w:tcPr>
          <w:p>
            <w:pPr>
              <w:jc w:val="right"/>
              <w:ind w:right="1"/>
              <w:spacing w:after="0"/>
              <w:rPr>
                <w:sz w:val="20"/>
                <w:szCs w:val="20"/>
                <w:color w:val="auto"/>
              </w:rPr>
            </w:pPr>
            <w:r>
              <w:rPr>
                <w:rFonts w:ascii="Arial" w:cs="Arial" w:eastAsia="Arial" w:hAnsi="Arial"/>
                <w:sz w:val="18"/>
                <w:szCs w:val="18"/>
                <w:b w:val="1"/>
                <w:bCs w:val="1"/>
                <w:color w:val="auto"/>
              </w:rPr>
              <w:t>Total</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1"/>
        </w:trPr>
        <w:tc>
          <w:tcPr>
            <w:tcW w:w="39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ind w:left="160"/>
              <w:spacing w:after="0" w:line="191" w:lineRule="exact"/>
              <w:rPr>
                <w:sz w:val="20"/>
                <w:szCs w:val="20"/>
                <w:color w:val="auto"/>
              </w:rPr>
            </w:pPr>
            <w:r>
              <w:rPr>
                <w:rFonts w:ascii="Arial" w:cs="Arial" w:eastAsia="Arial" w:hAnsi="Arial"/>
                <w:sz w:val="18"/>
                <w:szCs w:val="18"/>
                <w:b w:val="1"/>
                <w:bCs w:val="1"/>
                <w:color w:val="auto"/>
              </w:rPr>
              <w:t>Fair</w:t>
            </w: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2"/>
              </w:rPr>
              <w:t>Unrealized</w:t>
            </w:r>
          </w:p>
        </w:tc>
        <w:tc>
          <w:tcPr>
            <w:tcW w:w="2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rPr>
              <w:t>Fair</w:t>
            </w:r>
          </w:p>
        </w:tc>
        <w:tc>
          <w:tcPr>
            <w:tcW w:w="100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92"/>
              </w:rPr>
              <w:t>Unrealized</w:t>
            </w: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jc w:val="center"/>
              <w:ind w:right="400"/>
              <w:spacing w:after="0" w:line="191" w:lineRule="exact"/>
              <w:rPr>
                <w:sz w:val="20"/>
                <w:szCs w:val="20"/>
                <w:color w:val="auto"/>
              </w:rPr>
            </w:pPr>
            <w:r>
              <w:rPr>
                <w:rFonts w:ascii="Arial" w:cs="Arial" w:eastAsia="Arial" w:hAnsi="Arial"/>
                <w:sz w:val="18"/>
                <w:szCs w:val="18"/>
                <w:b w:val="1"/>
                <w:bCs w:val="1"/>
                <w:color w:val="auto"/>
                <w:w w:val="96"/>
              </w:rPr>
              <w:t>Fair</w:t>
            </w:r>
          </w:p>
        </w:tc>
        <w:tc>
          <w:tcPr>
            <w:tcW w:w="100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6"/>
                <w:szCs w:val="16"/>
                <w:color w:val="auto"/>
              </w:rPr>
            </w:pPr>
          </w:p>
        </w:tc>
      </w:tr>
      <w:tr>
        <w:trPr>
          <w:trHeight w:val="234"/>
        </w:trPr>
        <w:tc>
          <w:tcPr>
            <w:tcW w:w="3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ind w:left="100"/>
              <w:spacing w:after="0"/>
              <w:rPr>
                <w:sz w:val="20"/>
                <w:szCs w:val="20"/>
                <w:color w:val="auto"/>
              </w:rPr>
            </w:pPr>
            <w:r>
              <w:rPr>
                <w:rFonts w:ascii="Arial" w:cs="Arial" w:eastAsia="Arial" w:hAnsi="Arial"/>
                <w:sz w:val="18"/>
                <w:szCs w:val="18"/>
                <w:b w:val="1"/>
                <w:bCs w:val="1"/>
                <w:color w:val="auto"/>
              </w:rPr>
              <w:t>Value</w:t>
            </w:r>
          </w:p>
        </w:tc>
        <w:tc>
          <w:tcPr>
            <w:tcW w:w="100" w:type="dxa"/>
            <w:vAlign w:val="bottom"/>
          </w:tcPr>
          <w:p>
            <w:pPr>
              <w:spacing w:after="0"/>
              <w:rPr>
                <w:sz w:val="20"/>
                <w:szCs w:val="20"/>
                <w:color w:val="auto"/>
              </w:rPr>
            </w:pPr>
          </w:p>
        </w:tc>
        <w:tc>
          <w:tcPr>
            <w:tcW w:w="1160" w:type="dxa"/>
            <w:vAlign w:val="bottom"/>
            <w:gridSpan w:val="2"/>
          </w:tcPr>
          <w:p>
            <w:pPr>
              <w:jc w:val="center"/>
              <w:ind w:right="261"/>
              <w:spacing w:after="0"/>
              <w:rPr>
                <w:sz w:val="20"/>
                <w:szCs w:val="20"/>
                <w:color w:val="auto"/>
              </w:rPr>
            </w:pPr>
            <w:r>
              <w:rPr>
                <w:rFonts w:ascii="Arial" w:cs="Arial" w:eastAsia="Arial" w:hAnsi="Arial"/>
                <w:sz w:val="18"/>
                <w:szCs w:val="18"/>
                <w:b w:val="1"/>
                <w:bCs w:val="1"/>
                <w:color w:val="auto"/>
                <w:w w:val="80"/>
              </w:rPr>
              <w:t>Losses</w:t>
            </w:r>
          </w:p>
        </w:tc>
        <w:tc>
          <w:tcPr>
            <w:tcW w:w="140" w:type="dxa"/>
            <w:vAlign w:val="bottom"/>
          </w:tcPr>
          <w:p>
            <w:pPr>
              <w:spacing w:after="0"/>
              <w:rPr>
                <w:sz w:val="20"/>
                <w:szCs w:val="20"/>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Value</w:t>
            </w:r>
          </w:p>
        </w:tc>
        <w:tc>
          <w:tcPr>
            <w:tcW w:w="180" w:type="dxa"/>
            <w:vAlign w:val="bottom"/>
          </w:tcPr>
          <w:p>
            <w:pPr>
              <w:spacing w:after="0"/>
              <w:rPr>
                <w:sz w:val="20"/>
                <w:szCs w:val="20"/>
                <w:color w:val="auto"/>
              </w:rPr>
            </w:pPr>
          </w:p>
        </w:tc>
        <w:tc>
          <w:tcPr>
            <w:tcW w:w="1040" w:type="dxa"/>
            <w:vAlign w:val="bottom"/>
            <w:gridSpan w:val="2"/>
          </w:tcPr>
          <w:p>
            <w:pPr>
              <w:jc w:val="center"/>
              <w:ind w:right="301"/>
              <w:spacing w:after="0"/>
              <w:rPr>
                <w:sz w:val="20"/>
                <w:szCs w:val="20"/>
                <w:color w:val="auto"/>
              </w:rPr>
            </w:pPr>
            <w:r>
              <w:rPr>
                <w:rFonts w:ascii="Arial" w:cs="Arial" w:eastAsia="Arial" w:hAnsi="Arial"/>
                <w:sz w:val="18"/>
                <w:szCs w:val="18"/>
                <w:b w:val="1"/>
                <w:bCs w:val="1"/>
                <w:color w:val="auto"/>
                <w:w w:val="80"/>
              </w:rPr>
              <w:t>Losses</w:t>
            </w:r>
          </w:p>
        </w:tc>
        <w:tc>
          <w:tcPr>
            <w:tcW w:w="180" w:type="dxa"/>
            <w:vAlign w:val="bottom"/>
          </w:tcPr>
          <w:p>
            <w:pPr>
              <w:spacing w:after="0"/>
              <w:rPr>
                <w:sz w:val="20"/>
                <w:szCs w:val="20"/>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Value</w:t>
            </w:r>
          </w:p>
        </w:tc>
        <w:tc>
          <w:tcPr>
            <w:tcW w:w="160" w:type="dxa"/>
            <w:vAlign w:val="bottom"/>
          </w:tcPr>
          <w:p>
            <w:pPr>
              <w:spacing w:after="0"/>
              <w:rPr>
                <w:sz w:val="20"/>
                <w:szCs w:val="20"/>
                <w:color w:val="auto"/>
              </w:rPr>
            </w:pPr>
          </w:p>
        </w:tc>
        <w:tc>
          <w:tcPr>
            <w:tcW w:w="940" w:type="dxa"/>
            <w:vAlign w:val="bottom"/>
            <w:gridSpan w:val="2"/>
          </w:tcPr>
          <w:p>
            <w:pPr>
              <w:jc w:val="center"/>
              <w:ind w:right="201"/>
              <w:spacing w:after="0"/>
              <w:rPr>
                <w:sz w:val="20"/>
                <w:szCs w:val="20"/>
                <w:color w:val="auto"/>
              </w:rPr>
            </w:pPr>
            <w:r>
              <w:rPr>
                <w:rFonts w:ascii="Arial" w:cs="Arial" w:eastAsia="Arial" w:hAnsi="Arial"/>
                <w:sz w:val="18"/>
                <w:szCs w:val="18"/>
                <w:b w:val="1"/>
                <w:bCs w:val="1"/>
                <w:color w:val="auto"/>
                <w:w w:val="80"/>
              </w:rPr>
              <w:t>Losses</w:t>
            </w:r>
          </w:p>
        </w:tc>
      </w:tr>
      <w:tr>
        <w:trPr>
          <w:trHeight w:val="210"/>
        </w:trPr>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tcPr>
          <w:p>
            <w:pPr>
              <w:ind w:left="160"/>
              <w:spacing w:after="0"/>
              <w:rPr>
                <w:sz w:val="20"/>
                <w:szCs w:val="20"/>
                <w:color w:val="auto"/>
              </w:rPr>
            </w:pPr>
            <w:r>
              <w:rPr>
                <w:rFonts w:ascii="Arial" w:cs="Arial" w:eastAsia="Arial" w:hAnsi="Arial"/>
                <w:sz w:val="18"/>
                <w:szCs w:val="18"/>
                <w:color w:val="auto"/>
              </w:rPr>
              <w:t>U.S. Government and agencies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7,078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01"/>
              <w:spacing w:after="0"/>
              <w:rPr>
                <w:sz w:val="20"/>
                <w:szCs w:val="20"/>
                <w:color w:val="auto"/>
              </w:rPr>
            </w:pPr>
            <w:r>
              <w:rPr>
                <w:rFonts w:ascii="Arial" w:cs="Arial" w:eastAsia="Arial" w:hAnsi="Arial"/>
                <w:sz w:val="18"/>
                <w:szCs w:val="18"/>
                <w:color w:val="auto"/>
              </w:rPr>
              <w:t>(537)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2,587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1"/>
              <w:spacing w:after="0"/>
              <w:rPr>
                <w:sz w:val="20"/>
                <w:szCs w:val="20"/>
                <w:color w:val="auto"/>
              </w:rPr>
            </w:pPr>
            <w:r>
              <w:rPr>
                <w:rFonts w:ascii="Arial" w:cs="Arial" w:eastAsia="Arial" w:hAnsi="Arial"/>
                <w:sz w:val="18"/>
                <w:szCs w:val="18"/>
                <w:color w:val="auto"/>
              </w:rPr>
              <w:t>(471)</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9,665</w:t>
            </w:r>
          </w:p>
        </w:tc>
        <w:tc>
          <w:tcPr>
            <w:tcW w:w="160" w:type="dxa"/>
            <w:vAlign w:val="bottom"/>
          </w:tcPr>
          <w:p>
            <w:pPr>
              <w:jc w:val="right"/>
              <w:ind w:right="1"/>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(1,008)</w:t>
            </w:r>
          </w:p>
        </w:tc>
      </w:tr>
      <w:tr>
        <w:trPr>
          <w:trHeight w:val="216"/>
        </w:trPr>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Obligations of states and political subdivisions</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40,213</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(3,554)</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9,045</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(2,900)</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49,258</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(6,454)</w:t>
            </w:r>
          </w:p>
        </w:tc>
      </w:tr>
      <w:tr>
        <w:trPr>
          <w:trHeight w:val="216"/>
        </w:trPr>
        <w:tc>
          <w:tcPr>
            <w:tcW w:w="3940" w:type="dxa"/>
            <w:vAlign w:val="bottom"/>
          </w:tcPr>
          <w:p>
            <w:pPr>
              <w:ind w:left="160"/>
              <w:spacing w:after="0"/>
              <w:rPr>
                <w:sz w:val="20"/>
                <w:szCs w:val="20"/>
                <w:color w:val="auto"/>
              </w:rPr>
            </w:pPr>
            <w:r>
              <w:rPr>
                <w:rFonts w:ascii="Arial" w:cs="Arial" w:eastAsia="Arial" w:hAnsi="Arial"/>
                <w:sz w:val="18"/>
                <w:szCs w:val="18"/>
                <w:color w:val="auto"/>
              </w:rPr>
              <w:t>Corporate securities</w:t>
            </w:r>
          </w:p>
        </w:tc>
        <w:tc>
          <w:tcPr>
            <w:tcW w:w="2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76,645</w:t>
            </w:r>
          </w:p>
        </w:tc>
        <w:tc>
          <w:tcPr>
            <w:tcW w:w="100" w:type="dxa"/>
            <w:vAlign w:val="bottom"/>
          </w:tcPr>
          <w:p>
            <w:pPr>
              <w:spacing w:after="0"/>
              <w:rPr>
                <w:sz w:val="18"/>
                <w:szCs w:val="18"/>
                <w:color w:val="auto"/>
              </w:rPr>
            </w:pPr>
          </w:p>
        </w:tc>
        <w:tc>
          <w:tcPr>
            <w:tcW w:w="1160" w:type="dxa"/>
            <w:vAlign w:val="bottom"/>
            <w:gridSpan w:val="2"/>
          </w:tcPr>
          <w:p>
            <w:pPr>
              <w:jc w:val="right"/>
              <w:ind w:right="101"/>
              <w:spacing w:after="0"/>
              <w:rPr>
                <w:sz w:val="20"/>
                <w:szCs w:val="20"/>
                <w:color w:val="auto"/>
              </w:rPr>
            </w:pPr>
            <w:r>
              <w:rPr>
                <w:rFonts w:ascii="Arial" w:cs="Arial" w:eastAsia="Arial" w:hAnsi="Arial"/>
                <w:sz w:val="18"/>
                <w:szCs w:val="18"/>
                <w:color w:val="auto"/>
              </w:rPr>
              <w:t>(7,944)</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39,683</w:t>
            </w:r>
          </w:p>
        </w:tc>
        <w:tc>
          <w:tcPr>
            <w:tcW w:w="180" w:type="dxa"/>
            <w:vAlign w:val="bottom"/>
          </w:tcPr>
          <w:p>
            <w:pPr>
              <w:spacing w:after="0"/>
              <w:rPr>
                <w:sz w:val="18"/>
                <w:szCs w:val="18"/>
                <w:color w:val="auto"/>
              </w:rPr>
            </w:pPr>
          </w:p>
        </w:tc>
        <w:tc>
          <w:tcPr>
            <w:tcW w:w="1040" w:type="dxa"/>
            <w:vAlign w:val="bottom"/>
            <w:gridSpan w:val="2"/>
          </w:tcPr>
          <w:p>
            <w:pPr>
              <w:jc w:val="right"/>
              <w:ind w:right="81"/>
              <w:spacing w:after="0"/>
              <w:rPr>
                <w:sz w:val="20"/>
                <w:szCs w:val="20"/>
                <w:color w:val="auto"/>
              </w:rPr>
            </w:pPr>
            <w:r>
              <w:rPr>
                <w:rFonts w:ascii="Arial" w:cs="Arial" w:eastAsia="Arial" w:hAnsi="Arial"/>
                <w:sz w:val="18"/>
                <w:szCs w:val="18"/>
                <w:color w:val="auto"/>
              </w:rPr>
              <w:t>(7,843)</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116,328</w:t>
            </w:r>
          </w:p>
        </w:tc>
        <w:tc>
          <w:tcPr>
            <w:tcW w:w="1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(15,787)</w:t>
            </w:r>
          </w:p>
        </w:tc>
      </w:tr>
      <w:tr>
        <w:trPr>
          <w:trHeight w:val="216"/>
        </w:trPr>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mortgage-backed securities</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21,017</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(1,805)</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18,519</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(4,041)</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39,536</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(5,846)</w:t>
            </w:r>
          </w:p>
        </w:tc>
      </w:tr>
      <w:tr>
        <w:trPr>
          <w:trHeight w:val="216"/>
        </w:trPr>
        <w:tc>
          <w:tcPr>
            <w:tcW w:w="3940" w:type="dxa"/>
            <w:vAlign w:val="bottom"/>
          </w:tcPr>
          <w:p>
            <w:pPr>
              <w:ind w:left="160"/>
              <w:spacing w:after="0"/>
              <w:rPr>
                <w:sz w:val="20"/>
                <w:szCs w:val="20"/>
                <w:color w:val="auto"/>
              </w:rPr>
            </w:pPr>
            <w:r>
              <w:rPr>
                <w:rFonts w:ascii="Arial" w:cs="Arial" w:eastAsia="Arial" w:hAnsi="Arial"/>
                <w:sz w:val="18"/>
                <w:szCs w:val="18"/>
                <w:color w:val="auto"/>
              </w:rPr>
              <w:t>Commercial mortgage-backed securities</w:t>
            </w:r>
          </w:p>
        </w:tc>
        <w:tc>
          <w:tcPr>
            <w:tcW w:w="2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18,932</w:t>
            </w:r>
          </w:p>
        </w:tc>
        <w:tc>
          <w:tcPr>
            <w:tcW w:w="100" w:type="dxa"/>
            <w:vAlign w:val="bottom"/>
          </w:tcPr>
          <w:p>
            <w:pPr>
              <w:spacing w:after="0"/>
              <w:rPr>
                <w:sz w:val="18"/>
                <w:szCs w:val="18"/>
                <w:color w:val="auto"/>
              </w:rPr>
            </w:pPr>
          </w:p>
        </w:tc>
        <w:tc>
          <w:tcPr>
            <w:tcW w:w="1160" w:type="dxa"/>
            <w:vAlign w:val="bottom"/>
            <w:gridSpan w:val="2"/>
          </w:tcPr>
          <w:p>
            <w:pPr>
              <w:jc w:val="right"/>
              <w:ind w:right="101"/>
              <w:spacing w:after="0"/>
              <w:rPr>
                <w:sz w:val="20"/>
                <w:szCs w:val="20"/>
                <w:color w:val="auto"/>
              </w:rPr>
            </w:pPr>
            <w:r>
              <w:rPr>
                <w:rFonts w:ascii="Arial" w:cs="Arial" w:eastAsia="Arial" w:hAnsi="Arial"/>
                <w:sz w:val="18"/>
                <w:szCs w:val="18"/>
                <w:color w:val="auto"/>
              </w:rPr>
              <w:t>(2,674)</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7,204</w:t>
            </w:r>
          </w:p>
        </w:tc>
        <w:tc>
          <w:tcPr>
            <w:tcW w:w="180" w:type="dxa"/>
            <w:vAlign w:val="bottom"/>
          </w:tcPr>
          <w:p>
            <w:pPr>
              <w:spacing w:after="0"/>
              <w:rPr>
                <w:sz w:val="18"/>
                <w:szCs w:val="18"/>
                <w:color w:val="auto"/>
              </w:rPr>
            </w:pPr>
          </w:p>
        </w:tc>
        <w:tc>
          <w:tcPr>
            <w:tcW w:w="1040" w:type="dxa"/>
            <w:vAlign w:val="bottom"/>
            <w:gridSpan w:val="2"/>
          </w:tcPr>
          <w:p>
            <w:pPr>
              <w:jc w:val="right"/>
              <w:ind w:right="81"/>
              <w:spacing w:after="0"/>
              <w:rPr>
                <w:sz w:val="20"/>
                <w:szCs w:val="20"/>
                <w:color w:val="auto"/>
              </w:rPr>
            </w:pPr>
            <w:r>
              <w:rPr>
                <w:rFonts w:ascii="Arial" w:cs="Arial" w:eastAsia="Arial" w:hAnsi="Arial"/>
                <w:sz w:val="18"/>
                <w:szCs w:val="18"/>
                <w:color w:val="auto"/>
              </w:rPr>
              <w:t>(2,028)</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26,136</w:t>
            </w:r>
          </w:p>
        </w:tc>
        <w:tc>
          <w:tcPr>
            <w:tcW w:w="1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(4,702)</w:t>
            </w:r>
          </w:p>
        </w:tc>
      </w:tr>
      <w:tr>
        <w:trPr>
          <w:trHeight w:val="216"/>
        </w:trPr>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Asset-backed securities</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18,904</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(1,522)</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21,809</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(3,539)</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40,713</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(5,061)</w:t>
            </w:r>
          </w:p>
        </w:tc>
      </w:tr>
      <w:tr>
        <w:trPr>
          <w:trHeight w:val="230"/>
        </w:trPr>
        <w:tc>
          <w:tcPr>
            <w:tcW w:w="3940" w:type="dxa"/>
            <w:vAlign w:val="bottom"/>
          </w:tcPr>
          <w:p>
            <w:pPr>
              <w:ind w:left="160"/>
              <w:spacing w:after="0"/>
              <w:rPr>
                <w:sz w:val="20"/>
                <w:szCs w:val="20"/>
                <w:color w:val="auto"/>
              </w:rPr>
            </w:pPr>
            <w:r>
              <w:rPr>
                <w:rFonts w:ascii="Arial" w:cs="Arial" w:eastAsia="Arial" w:hAnsi="Arial"/>
                <w:sz w:val="18"/>
                <w:szCs w:val="18"/>
                <w:color w:val="auto"/>
              </w:rPr>
              <w:t>Redeemable preferred stocks</w:t>
            </w:r>
          </w:p>
        </w:tc>
        <w:tc>
          <w:tcPr>
            <w:tcW w:w="20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3,015</w:t>
            </w:r>
          </w:p>
        </w:tc>
        <w:tc>
          <w:tcPr>
            <w:tcW w:w="100" w:type="dxa"/>
            <w:vAlign w:val="bottom"/>
          </w:tcPr>
          <w:p>
            <w:pPr>
              <w:spacing w:after="0"/>
              <w:rPr>
                <w:sz w:val="19"/>
                <w:szCs w:val="19"/>
                <w:color w:val="auto"/>
              </w:rPr>
            </w:pPr>
          </w:p>
        </w:tc>
        <w:tc>
          <w:tcPr>
            <w:tcW w:w="1160" w:type="dxa"/>
            <w:vAlign w:val="bottom"/>
            <w:gridSpan w:val="2"/>
          </w:tcPr>
          <w:p>
            <w:pPr>
              <w:jc w:val="right"/>
              <w:ind w:right="101"/>
              <w:spacing w:after="0"/>
              <w:rPr>
                <w:sz w:val="20"/>
                <w:szCs w:val="20"/>
                <w:color w:val="auto"/>
              </w:rPr>
            </w:pPr>
            <w:r>
              <w:rPr>
                <w:rFonts w:ascii="Arial" w:cs="Arial" w:eastAsia="Arial" w:hAnsi="Arial"/>
                <w:sz w:val="18"/>
                <w:szCs w:val="18"/>
                <w:color w:val="auto"/>
              </w:rPr>
              <w:t>(732)</w:t>
            </w:r>
          </w:p>
        </w:tc>
        <w:tc>
          <w:tcPr>
            <w:tcW w:w="1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705</w:t>
            </w:r>
          </w:p>
        </w:tc>
        <w:tc>
          <w:tcPr>
            <w:tcW w:w="180" w:type="dxa"/>
            <w:vAlign w:val="bottom"/>
          </w:tcPr>
          <w:p>
            <w:pPr>
              <w:spacing w:after="0"/>
              <w:rPr>
                <w:sz w:val="19"/>
                <w:szCs w:val="19"/>
                <w:color w:val="auto"/>
              </w:rPr>
            </w:pPr>
          </w:p>
        </w:tc>
        <w:tc>
          <w:tcPr>
            <w:tcW w:w="1040" w:type="dxa"/>
            <w:vAlign w:val="bottom"/>
            <w:gridSpan w:val="2"/>
          </w:tcPr>
          <w:p>
            <w:pPr>
              <w:jc w:val="right"/>
              <w:ind w:right="81"/>
              <w:spacing w:after="0"/>
              <w:rPr>
                <w:sz w:val="20"/>
                <w:szCs w:val="20"/>
                <w:color w:val="auto"/>
              </w:rPr>
            </w:pPr>
            <w:r>
              <w:rPr>
                <w:rFonts w:ascii="Arial" w:cs="Arial" w:eastAsia="Arial" w:hAnsi="Arial"/>
                <w:sz w:val="18"/>
                <w:szCs w:val="18"/>
                <w:color w:val="auto"/>
              </w:rPr>
              <w:t>(296)</w:t>
            </w:r>
          </w:p>
        </w:tc>
        <w:tc>
          <w:tcPr>
            <w:tcW w:w="18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3,720</w:t>
            </w:r>
          </w:p>
        </w:tc>
        <w:tc>
          <w:tcPr>
            <w:tcW w:w="16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(1,028)</w:t>
            </w:r>
          </w:p>
        </w:tc>
      </w:tr>
      <w:tr>
        <w:trPr>
          <w:trHeight w:val="210"/>
        </w:trPr>
        <w:tc>
          <w:tcPr>
            <w:tcW w:w="394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fixed income securities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185,804</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(18,768</w:t>
            </w:r>
          </w:p>
        </w:tc>
        <w:tc>
          <w:tcPr>
            <w:tcW w:w="240" w:type="dxa"/>
            <w:vAlign w:val="bottom"/>
            <w:tcBorders>
              <w:top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99,552</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(21,118</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285,356</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(39,886</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along with our investment advisors, frequently review our investment portfolio for declines in fair value that could be indicative of credit losses. Beginning on December 31, 2022, credit losses are recognized through an allowance account. We consider a number of factors when determining if an allowance for credit losses is necessary, including payment and default history, credit spreads, credit ratings and rating actions, and probability of default. We determine the credit loss component of fixed maturity investments by utilizing discounted cash flow modeling to determine the present value of the security and comparing the present value with the amortized cost of the security. We did not recognize any credit losses for fixed income securities at the time of adoption of the new credit loss accounting standard, or during the three months ended March 31, 2023. Therefore, there was no beginning or ending balance of credit losses for the quarter, or activity during the year ended December 31, 2022. See Item II, Part 8, Note 3 “Summary of Significant Accounting Policies” section of the 2022 Annual Report for additional information.</w:t>
      </w:r>
    </w:p>
    <w:p>
      <w:pPr>
        <w:spacing w:after="0" w:line="13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9"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Net investment income consisted of the following:</w:t>
            </w:r>
          </w:p>
        </w:tc>
        <w:tc>
          <w:tcPr>
            <w:tcW w:w="28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51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3240" w:type="dxa"/>
            <w:vAlign w:val="bottom"/>
            <w:gridSpan w:val="7"/>
          </w:tcPr>
          <w:p>
            <w:pPr>
              <w:jc w:val="right"/>
              <w:ind w:right="361"/>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5140" w:type="dxa"/>
            <w:vAlign w:val="bottom"/>
            <w:tcBorders>
              <w:bottom w:val="single" w:sz="8" w:color="CCEEFF"/>
            </w:tcBorders>
          </w:tcPr>
          <w:p>
            <w:pPr>
              <w:spacing w:after="0"/>
              <w:rPr>
                <w:sz w:val="19"/>
                <w:szCs w:val="19"/>
                <w:color w:val="auto"/>
              </w:rPr>
            </w:pPr>
          </w:p>
        </w:tc>
        <w:tc>
          <w:tcPr>
            <w:tcW w:w="2860" w:type="dxa"/>
            <w:vAlign w:val="bottom"/>
            <w:tcBorders>
              <w:bottom w:val="single" w:sz="8" w:color="CCEEFF"/>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28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Equity securities</w:t>
            </w:r>
          </w:p>
        </w:tc>
        <w:tc>
          <w:tcPr>
            <w:tcW w:w="28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320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28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29"/>
        </w:trPr>
        <w:tc>
          <w:tcPr>
            <w:tcW w:w="51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8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2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514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gross investment income</w:t>
            </w:r>
          </w:p>
        </w:tc>
        <w:tc>
          <w:tcPr>
            <w:tcW w:w="28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3,152</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40" w:type="dxa"/>
            <w:vAlign w:val="bottom"/>
          </w:tcPr>
          <w:p>
            <w:pPr>
              <w:spacing w:after="0"/>
              <w:rPr>
                <w:sz w:val="20"/>
                <w:szCs w:val="20"/>
                <w:color w:val="auto"/>
              </w:rPr>
            </w:pPr>
            <w:r>
              <w:rPr>
                <w:rFonts w:ascii="Arial" w:cs="Arial" w:eastAsia="Arial" w:hAnsi="Arial"/>
                <w:sz w:val="18"/>
                <w:szCs w:val="18"/>
                <w:color w:val="auto"/>
              </w:rPr>
              <w:t>Investment expenses</w:t>
            </w:r>
          </w:p>
        </w:tc>
        <w:tc>
          <w:tcPr>
            <w:tcW w:w="28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913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21"/>
              <w:spacing w:after="0"/>
              <w:rPr>
                <w:sz w:val="20"/>
                <w:szCs w:val="20"/>
                <w:color w:val="auto"/>
              </w:rPr>
            </w:pPr>
            <w:r>
              <w:rPr>
                <w:rFonts w:ascii="Arial" w:cs="Arial" w:eastAsia="Arial" w:hAnsi="Arial"/>
                <w:sz w:val="18"/>
                <w:szCs w:val="18"/>
                <w:color w:val="auto"/>
              </w:rPr>
              <w:t>1,005</w:t>
            </w:r>
          </w:p>
        </w:tc>
        <w:tc>
          <w:tcPr>
            <w:tcW w:w="0" w:type="dxa"/>
            <w:vAlign w:val="bottom"/>
          </w:tcPr>
          <w:p>
            <w:pPr>
              <w:spacing w:after="0"/>
              <w:rPr>
                <w:sz w:val="1"/>
                <w:szCs w:val="1"/>
                <w:color w:val="auto"/>
              </w:rPr>
            </w:pPr>
          </w:p>
        </w:tc>
      </w:tr>
      <w:tr>
        <w:trPr>
          <w:trHeight w:val="223"/>
        </w:trPr>
        <w:tc>
          <w:tcPr>
            <w:tcW w:w="514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Net investment income</w:t>
            </w:r>
          </w:p>
        </w:tc>
        <w:tc>
          <w:tcPr>
            <w:tcW w:w="286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40" w:type="dxa"/>
            <w:vAlign w:val="bottom"/>
            <w:vMerge w:val="restart"/>
          </w:tcPr>
          <w:p>
            <w:pPr>
              <w:spacing w:after="0"/>
              <w:rPr>
                <w:sz w:val="20"/>
                <w:szCs w:val="20"/>
                <w:color w:val="auto"/>
              </w:rPr>
            </w:pPr>
            <w:r>
              <w:rPr>
                <w:rFonts w:ascii="Arial" w:cs="Arial" w:eastAsia="Arial" w:hAnsi="Arial"/>
                <w:sz w:val="18"/>
                <w:szCs w:val="18"/>
                <w:color w:val="auto"/>
              </w:rPr>
              <w:t>Net investment gains (losses) consisted of the following:</w:t>
            </w:r>
          </w:p>
        </w:tc>
        <w:tc>
          <w:tcPr>
            <w:tcW w:w="28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140" w:type="dxa"/>
            <w:vAlign w:val="bottom"/>
            <w:vMerge w:val="continue"/>
          </w:tcPr>
          <w:p>
            <w:pPr>
              <w:spacing w:after="0"/>
              <w:rPr>
                <w:sz w:val="24"/>
                <w:szCs w:val="24"/>
                <w:color w:val="auto"/>
              </w:rPr>
            </w:pPr>
          </w:p>
        </w:tc>
        <w:tc>
          <w:tcPr>
            <w:tcW w:w="2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51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3240" w:type="dxa"/>
            <w:vAlign w:val="bottom"/>
            <w:gridSpan w:val="7"/>
          </w:tcPr>
          <w:p>
            <w:pPr>
              <w:jc w:val="right"/>
              <w:ind w:right="361"/>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5140" w:type="dxa"/>
            <w:vAlign w:val="bottom"/>
            <w:tcBorders>
              <w:bottom w:val="single" w:sz="8" w:color="CCEEFF"/>
            </w:tcBorders>
          </w:tcPr>
          <w:p>
            <w:pPr>
              <w:spacing w:after="0"/>
              <w:rPr>
                <w:sz w:val="19"/>
                <w:szCs w:val="19"/>
                <w:color w:val="auto"/>
              </w:rPr>
            </w:pPr>
          </w:p>
        </w:tc>
        <w:tc>
          <w:tcPr>
            <w:tcW w:w="2860" w:type="dxa"/>
            <w:vAlign w:val="bottom"/>
            <w:tcBorders>
              <w:bottom w:val="single" w:sz="8" w:color="CCEEFF"/>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Gross realized gains:</w:t>
            </w:r>
          </w:p>
        </w:tc>
        <w:tc>
          <w:tcPr>
            <w:tcW w:w="28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140"/>
              <w:spacing w:after="0"/>
              <w:rPr>
                <w:sz w:val="20"/>
                <w:szCs w:val="20"/>
                <w:color w:val="auto"/>
              </w:rPr>
            </w:pPr>
            <w:r>
              <w:rPr>
                <w:rFonts w:ascii="Arial" w:cs="Arial" w:eastAsia="Arial" w:hAnsi="Arial"/>
                <w:sz w:val="18"/>
                <w:szCs w:val="18"/>
                <w:color w:val="auto"/>
              </w:rPr>
              <w:t>Fixed income securities</w:t>
            </w:r>
          </w:p>
        </w:tc>
        <w:tc>
          <w:tcPr>
            <w:tcW w:w="3780" w:type="dxa"/>
            <w:vAlign w:val="bottom"/>
            <w:gridSpan w:val="2"/>
          </w:tcPr>
          <w:p>
            <w:pPr>
              <w:jc w:val="right"/>
              <w:ind w:right="73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1"/>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 securities</w:t>
            </w:r>
          </w:p>
        </w:tc>
        <w:tc>
          <w:tcPr>
            <w:tcW w:w="28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12,731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1,073</w:t>
            </w:r>
          </w:p>
        </w:tc>
        <w:tc>
          <w:tcPr>
            <w:tcW w:w="0" w:type="dxa"/>
            <w:vAlign w:val="bottom"/>
          </w:tcPr>
          <w:p>
            <w:pPr>
              <w:spacing w:after="0"/>
              <w:rPr>
                <w:sz w:val="1"/>
                <w:szCs w:val="1"/>
                <w:color w:val="auto"/>
              </w:rPr>
            </w:pPr>
          </w:p>
        </w:tc>
      </w:tr>
      <w:tr>
        <w:trPr>
          <w:trHeight w:val="209"/>
        </w:trPr>
        <w:tc>
          <w:tcPr>
            <w:tcW w:w="5140" w:type="dxa"/>
            <w:vAlign w:val="bottom"/>
          </w:tcPr>
          <w:p>
            <w:pPr>
              <w:ind w:left="260"/>
              <w:spacing w:after="0"/>
              <w:rPr>
                <w:sz w:val="20"/>
                <w:szCs w:val="20"/>
                <w:color w:val="auto"/>
              </w:rPr>
            </w:pPr>
            <w:r>
              <w:rPr>
                <w:rFonts w:ascii="Arial" w:cs="Arial" w:eastAsia="Arial" w:hAnsi="Arial"/>
                <w:sz w:val="18"/>
                <w:szCs w:val="18"/>
                <w:color w:val="auto"/>
              </w:rPr>
              <w:t>Total gross realized gains</w:t>
            </w:r>
          </w:p>
        </w:tc>
        <w:tc>
          <w:tcPr>
            <w:tcW w:w="286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12,731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Gross realized losses, excluding credit impairment losses:</w:t>
            </w:r>
          </w:p>
        </w:tc>
        <w:tc>
          <w:tcPr>
            <w:tcW w:w="28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Fixed income securities</w:t>
            </w:r>
          </w:p>
        </w:tc>
        <w:tc>
          <w:tcPr>
            <w:tcW w:w="28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5140" w:type="dxa"/>
            <w:vAlign w:val="bottom"/>
          </w:tcPr>
          <w:p>
            <w:pPr>
              <w:ind w:left="140"/>
              <w:spacing w:after="0"/>
              <w:rPr>
                <w:sz w:val="20"/>
                <w:szCs w:val="20"/>
                <w:color w:val="auto"/>
              </w:rPr>
            </w:pPr>
            <w:r>
              <w:rPr>
                <w:rFonts w:ascii="Arial" w:cs="Arial" w:eastAsia="Arial" w:hAnsi="Arial"/>
                <w:sz w:val="18"/>
                <w:szCs w:val="18"/>
                <w:color w:val="auto"/>
              </w:rPr>
              <w:t>Equity securities</w:t>
            </w:r>
          </w:p>
        </w:tc>
        <w:tc>
          <w:tcPr>
            <w:tcW w:w="28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(846)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09"/>
        </w:trPr>
        <w:tc>
          <w:tcPr>
            <w:tcW w:w="514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w w:val="97"/>
              </w:rPr>
              <w:t>Total gross realized losses, excluding credit impairment losses</w:t>
            </w:r>
          </w:p>
        </w:tc>
        <w:tc>
          <w:tcPr>
            <w:tcW w:w="28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(1,145)</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4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8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1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realized gains</w:t>
            </w:r>
          </w:p>
        </w:tc>
        <w:tc>
          <w:tcPr>
            <w:tcW w:w="28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11,586</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Change in net unrealized gains on equity securities</w:t>
            </w:r>
          </w:p>
        </w:tc>
        <w:tc>
          <w:tcPr>
            <w:tcW w:w="28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(10,170)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(6,466)</w:t>
            </w:r>
          </w:p>
        </w:tc>
        <w:tc>
          <w:tcPr>
            <w:tcW w:w="0" w:type="dxa"/>
            <w:vAlign w:val="bottom"/>
          </w:tcPr>
          <w:p>
            <w:pPr>
              <w:spacing w:after="0"/>
              <w:rPr>
                <w:sz w:val="1"/>
                <w:szCs w:val="1"/>
                <w:color w:val="auto"/>
              </w:rPr>
            </w:pPr>
          </w:p>
        </w:tc>
      </w:tr>
      <w:tr>
        <w:trPr>
          <w:trHeight w:val="223"/>
        </w:trPr>
        <w:tc>
          <w:tcPr>
            <w:tcW w:w="5140" w:type="dxa"/>
            <w:vAlign w:val="bottom"/>
          </w:tcPr>
          <w:p>
            <w:pPr>
              <w:ind w:left="340"/>
              <w:spacing w:after="0"/>
              <w:rPr>
                <w:sz w:val="20"/>
                <w:szCs w:val="20"/>
                <w:color w:val="auto"/>
              </w:rPr>
            </w:pPr>
            <w:r>
              <w:rPr>
                <w:rFonts w:ascii="Arial" w:cs="Arial" w:eastAsia="Arial" w:hAnsi="Arial"/>
                <w:sz w:val="18"/>
                <w:szCs w:val="18"/>
                <w:color w:val="auto"/>
              </w:rPr>
              <w:t>Net investment gains (losses)</w:t>
            </w:r>
          </w:p>
        </w:tc>
        <w:tc>
          <w:tcPr>
            <w:tcW w:w="286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(5,528</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860" w:type="dxa"/>
            <w:vAlign w:val="bottom"/>
            <w:vMerge w:val="restart"/>
          </w:tcPr>
          <w:p>
            <w:pPr>
              <w:jc w:val="right"/>
              <w:ind w:right="2210"/>
              <w:spacing w:after="0"/>
              <w:rPr>
                <w:sz w:val="20"/>
                <w:szCs w:val="20"/>
                <w:color w:val="auto"/>
              </w:rPr>
            </w:pPr>
            <w:r>
              <w:rPr>
                <w:rFonts w:ascii="Arial" w:cs="Arial" w:eastAsia="Arial" w:hAnsi="Arial"/>
                <w:sz w:val="18"/>
                <w:szCs w:val="18"/>
                <w:color w:val="auto"/>
              </w:rPr>
              <w:t>12</w:t>
            </w: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514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vMerge w:val="continue"/>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3"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NI Holdings, Inc.</w:t>
      </w:r>
    </w:p>
    <w:p>
      <w:pPr>
        <w:spacing w:after="0" w:line="9"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left="20" w:right="60"/>
        <w:spacing w:after="0" w:line="275" w:lineRule="auto"/>
        <w:rPr>
          <w:sz w:val="20"/>
          <w:szCs w:val="20"/>
          <w:color w:val="auto"/>
        </w:rPr>
      </w:pPr>
      <w:r>
        <w:rPr>
          <w:rFonts w:ascii="Arial" w:cs="Arial" w:eastAsia="Arial" w:hAnsi="Arial"/>
          <w:sz w:val="17"/>
          <w:szCs w:val="17"/>
          <w:color w:val="auto"/>
        </w:rPr>
        <w:t>The Company uses fair value measurements to record fair value adjustments to certain assets to determine fair value disclosures. Investment securities available for sale are recorded at fair value on a recurring basis. Additionally, from time to time, we may be required to record other assets or liabilities at fair value on a nonrecurring basis. These nonrecurring fair value adjustments typically involve application of lower-of-cost-or-market accounting or write-downs of individual assets. Accounting guidance on fair value measurements and disclosures establishes a fair value hierarchy that prioritizes the inputs to valuation methods used to measure fair value. The three levels of the fair value hierarchy are as follows:</w:t>
      </w:r>
    </w:p>
    <w:p>
      <w:pPr>
        <w:spacing w:after="0" w:line="136" w:lineRule="exact"/>
        <w:rPr>
          <w:sz w:val="20"/>
          <w:szCs w:val="20"/>
          <w:color w:val="auto"/>
        </w:rPr>
      </w:pPr>
    </w:p>
    <w:p>
      <w:pPr>
        <w:ind w:left="360"/>
        <w:spacing w:after="0"/>
        <w:tabs>
          <w:tab w:leader="none" w:pos="1280" w:val="left"/>
        </w:tabs>
        <w:rPr>
          <w:sz w:val="20"/>
          <w:szCs w:val="20"/>
          <w:color w:val="auto"/>
        </w:rPr>
      </w:pPr>
      <w:r>
        <w:rPr>
          <w:rFonts w:ascii="Arial" w:cs="Arial" w:eastAsia="Arial" w:hAnsi="Arial"/>
          <w:sz w:val="18"/>
          <w:szCs w:val="18"/>
          <w:i w:val="1"/>
          <w:iCs w:val="1"/>
          <w:color w:val="auto"/>
        </w:rPr>
        <w:t>Level 1:</w:t>
      </w:r>
      <w:r>
        <w:rPr>
          <w:sz w:val="20"/>
          <w:szCs w:val="20"/>
          <w:color w:val="auto"/>
        </w:rPr>
        <w:tab/>
      </w:r>
      <w:r>
        <w:rPr>
          <w:rFonts w:ascii="Arial" w:cs="Arial" w:eastAsia="Arial" w:hAnsi="Arial"/>
          <w:sz w:val="16"/>
          <w:szCs w:val="16"/>
          <w:color w:val="auto"/>
        </w:rPr>
        <w:t>Unadjusted quoted prices in active markets that are accessible at the measurement date for identical, unrestricted assets or liabilities.</w:t>
      </w:r>
    </w:p>
    <w:p>
      <w:pPr>
        <w:spacing w:after="0" w:line="185" w:lineRule="exact"/>
        <w:rPr>
          <w:sz w:val="20"/>
          <w:szCs w:val="20"/>
          <w:color w:val="auto"/>
        </w:rPr>
      </w:pPr>
    </w:p>
    <w:p>
      <w:pPr>
        <w:ind w:left="1300" w:right="40" w:hanging="934"/>
        <w:spacing w:after="0" w:line="257" w:lineRule="auto"/>
        <w:tabs>
          <w:tab w:leader="none" w:pos="1280" w:val="left"/>
        </w:tabs>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Quoted prices in markets that are not active, or inputs that are observable either directly or indirectly, for substantially the full term of the asset or liability. Level 2 includes fixed income securities with quoted prices that are traded less frequently than exchange traded instruments. Valuation techniques include matrix pricing which is a mathematical technique used widely in the industry to value fixed income securities without relying exclusively on quoted market prices for the specific securities but rather by relying on the securities’ relationship to other benchmark quoted prices.</w:t>
      </w:r>
    </w:p>
    <w:p>
      <w:pPr>
        <w:spacing w:after="0" w:line="161" w:lineRule="exact"/>
        <w:rPr>
          <w:sz w:val="20"/>
          <w:szCs w:val="20"/>
          <w:color w:val="auto"/>
        </w:rPr>
      </w:pPr>
    </w:p>
    <w:p>
      <w:pPr>
        <w:ind w:left="1300" w:right="40" w:hanging="939"/>
        <w:spacing w:after="0" w:line="277" w:lineRule="auto"/>
        <w:tabs>
          <w:tab w:leader="none" w:pos="1280" w:val="left"/>
        </w:tabs>
        <w:rPr>
          <w:sz w:val="20"/>
          <w:szCs w:val="20"/>
          <w:color w:val="auto"/>
        </w:rPr>
      </w:pPr>
      <w:r>
        <w:rPr>
          <w:rFonts w:ascii="Arial" w:cs="Arial" w:eastAsia="Arial" w:hAnsi="Arial"/>
          <w:sz w:val="18"/>
          <w:szCs w:val="18"/>
          <w:i w:val="1"/>
          <w:iCs w:val="1"/>
          <w:color w:val="auto"/>
        </w:rPr>
        <w:t>Level 3:</w:t>
      </w:r>
      <w:r>
        <w:rPr>
          <w:sz w:val="20"/>
          <w:szCs w:val="20"/>
          <w:color w:val="auto"/>
        </w:rPr>
        <w:tab/>
      </w:r>
      <w:r>
        <w:rPr>
          <w:rFonts w:ascii="Arial" w:cs="Arial" w:eastAsia="Arial" w:hAnsi="Arial"/>
          <w:sz w:val="18"/>
          <w:szCs w:val="18"/>
          <w:color w:val="auto"/>
        </w:rPr>
        <w:t>Prices or valuation techniques that require inputs that are both significant to the fair value measurement and unobservable (i.e., supported with little or no market activity).</w:t>
      </w:r>
    </w:p>
    <w:p>
      <w:pPr>
        <w:spacing w:after="0" w:line="130" w:lineRule="exact"/>
        <w:rPr>
          <w:sz w:val="20"/>
          <w:szCs w:val="20"/>
          <w:color w:val="auto"/>
        </w:rPr>
      </w:pPr>
    </w:p>
    <w:p>
      <w:pPr>
        <w:ind w:left="20" w:right="20"/>
        <w:spacing w:after="0" w:line="287" w:lineRule="auto"/>
        <w:rPr>
          <w:sz w:val="20"/>
          <w:szCs w:val="20"/>
          <w:color w:val="auto"/>
        </w:rPr>
      </w:pPr>
      <w:r>
        <w:rPr>
          <w:rFonts w:ascii="Arial" w:cs="Arial" w:eastAsia="Arial" w:hAnsi="Arial"/>
          <w:sz w:val="16"/>
          <w:szCs w:val="16"/>
          <w:color w:val="auto"/>
        </w:rPr>
        <w:t>The Company bases its fair values on the price that would be received to sell an asset or paid to transfer a liability in an orderly transaction between market participants at the measurement date. It is our policy to maximize the use of observable inputs and minimize the use of unobservable inputs when developing fair value measurements, in accordance with the fair value hierarchy. Fair value measurements for assets where there exists limited or no observable market data and, therefore, are based primarily upon the estimates of the Company or other third-parties, are often calculated based on the characteristics of the asset, the economic and competitive environment, and other such factors. Management uses its best judgment in estimating the fair value of the Company’s financial instruments; however, there are inherent limitations in any estimation technique. Therefore, for substantially all financial instruments, the fair value estimates herein are not necessarily indicative of the amounts which could have been realized in a sale transaction on the dates indicated. The estimated fair value amounts have been measured as of their respective period-end and have not been re-evaluated or updated for purposes of our consolidated financial statements subsequent to those respective dates. As such, the estimated fair values of these financial instruments subsequent to the respective reporting dates may be different than the amounts reported at each period-end. Additionally, changes in the underlying assumptions used, including discount rates and estimates of future cash flows, could significantly affect the results of current or future valuations.</w:t>
      </w:r>
    </w:p>
    <w:p>
      <w:pPr>
        <w:spacing w:after="0" w:line="131" w:lineRule="exact"/>
        <w:rPr>
          <w:sz w:val="20"/>
          <w:szCs w:val="20"/>
          <w:color w:val="auto"/>
        </w:rPr>
      </w:pPr>
    </w:p>
    <w:p>
      <w:pPr>
        <w:ind w:left="20"/>
        <w:spacing w:after="0" w:line="270" w:lineRule="auto"/>
        <w:rPr>
          <w:sz w:val="20"/>
          <w:szCs w:val="20"/>
          <w:color w:val="auto"/>
        </w:rPr>
      </w:pPr>
      <w:r>
        <w:rPr>
          <w:rFonts w:ascii="Arial" w:cs="Arial" w:eastAsia="Arial" w:hAnsi="Arial"/>
          <w:sz w:val="17"/>
          <w:szCs w:val="17"/>
          <w:color w:val="auto"/>
        </w:rPr>
        <w:t>The Company uses quoted values and other data provided by an independent pricing service in its process for determining fair values of its investments. The evaluations of such pricing services represent an exit price and a good faith opinion as to what a buyer in the marketplace would pay for a security in a current sale. This pricing service provides us with one quote per instrument. For fixed income securities that have quoted prices in active markets, market quotations are provided. For fixed income securities that do not trade on a daily basis, the independent pricing service prepares estimates of fair value using a wide array of observable inputs including relevant market information, benchmark curves, benchmarking of like securities, sector groupings, and matrix pricing. The observable market inputs that the Company’s independent pricing service utilizes may include (listed in order of priority for use) benchmark yields, reported trades, broker-dealer quotes, issuer spreads, two-sided markets, benchmark securities, market bids/offers, and other reference data on markets, industry, and the economy. Additionally, the independent pricing service uses an option-adjusted spread model to develop prepayment and interest rate scenarios.</w:t>
      </w:r>
    </w:p>
    <w:p>
      <w:pPr>
        <w:spacing w:after="0" w:line="154" w:lineRule="exact"/>
        <w:rPr>
          <w:sz w:val="20"/>
          <w:szCs w:val="20"/>
          <w:color w:val="auto"/>
        </w:rPr>
      </w:pPr>
    </w:p>
    <w:p>
      <w:pPr>
        <w:ind w:left="20" w:right="180"/>
        <w:spacing w:after="0" w:line="272" w:lineRule="auto"/>
        <w:rPr>
          <w:sz w:val="20"/>
          <w:szCs w:val="20"/>
          <w:color w:val="auto"/>
        </w:rPr>
      </w:pPr>
      <w:r>
        <w:rPr>
          <w:rFonts w:ascii="Arial" w:cs="Arial" w:eastAsia="Arial" w:hAnsi="Arial"/>
          <w:sz w:val="17"/>
          <w:szCs w:val="17"/>
          <w:color w:val="auto"/>
        </w:rPr>
        <w:t>Should the independent pricing service be unable to provide a fair value estimate, we would attempt to obtain a non-binding fair value estimate from a number of broker-dealers and would review this estimate in conjunction with a fair value estimate reported by an independent business news service or other sources. In instances where only one broker-dealer provides a fair value for a fixed income security, we would use that estimate. In instances where the Company would be able to obtain fair value estimates from more than one broker-dealer, we would review the range of estimates and select the most appropriate value based on the facts and circumstances. Should neither the independent pricing service nor a broker-dealer provide a fair value estimate, we would develop a fair value estimate based on cash flow analyses and other valuation techniques that utilize certain unobservable inputs. Accordingly, the Company classifies such a security as a Level 3 investment.</w:t>
      </w:r>
    </w:p>
    <w:p>
      <w:pPr>
        <w:spacing w:after="0" w:line="137" w:lineRule="exact"/>
        <w:rPr>
          <w:sz w:val="20"/>
          <w:szCs w:val="20"/>
          <w:color w:val="auto"/>
        </w:rPr>
      </w:pPr>
    </w:p>
    <w:p>
      <w:pPr>
        <w:ind w:left="20" w:right="580"/>
        <w:spacing w:after="0" w:line="277" w:lineRule="auto"/>
        <w:rPr>
          <w:sz w:val="20"/>
          <w:szCs w:val="20"/>
          <w:color w:val="auto"/>
        </w:rPr>
      </w:pPr>
      <w:r>
        <w:rPr>
          <w:rFonts w:ascii="Arial" w:cs="Arial" w:eastAsia="Arial" w:hAnsi="Arial"/>
          <w:sz w:val="18"/>
          <w:szCs w:val="18"/>
          <w:color w:val="auto"/>
        </w:rPr>
        <w:t>The fair value estimates of our investments provided by the independent pricing service at each period-end were utilized, among other resources, in reaching a conclusion as to the fair value of its investments.</w:t>
      </w:r>
    </w:p>
    <w:p>
      <w:pPr>
        <w:spacing w:after="0" w:line="13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9"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386" w:lineRule="exact"/>
        <w:rPr>
          <w:sz w:val="20"/>
          <w:szCs w:val="20"/>
          <w:color w:val="auto"/>
        </w:rPr>
      </w:pPr>
    </w:p>
    <w:p>
      <w:pPr>
        <w:ind w:left="20" w:right="20"/>
        <w:spacing w:after="0" w:line="290" w:lineRule="auto"/>
        <w:rPr>
          <w:sz w:val="20"/>
          <w:szCs w:val="20"/>
          <w:color w:val="auto"/>
        </w:rPr>
      </w:pPr>
      <w:r>
        <w:rPr>
          <w:rFonts w:ascii="Arial" w:cs="Arial" w:eastAsia="Arial" w:hAnsi="Arial"/>
          <w:sz w:val="16"/>
          <w:szCs w:val="16"/>
          <w:color w:val="auto"/>
        </w:rPr>
        <w:t>Management reviews the reasonableness of the pricing provided by the independent pricing service by employing various analytical procedures. Management reviews all securities to identify recent downgrades, significant changes in pricing, and pricing anomalies on individual securities relative to other similar securities. This will include looking for relative consistency across securities in common sectors, durations, and credit ratings. This review will also include all fixed income securities rated lower than “A” by Moody’s Investors Service, Inc. or Standard &amp; Poor’s Financial Services LLC. If, after this review, management does not believe the pricing for any security is a reasonable estimate of fair value, then it will seek to resolve the discrepancy through discussions with the independent pricing service. In its review, management did not identify any such discrepancies and no adjustments were made to the estimates provided by the independent pricing service for the three-month period ended March 31, 2023, or the year ended December 31, 2022. The classification within the fair value hierarchy is then confirmed based on the final conclusions from the pricing review.</w:t>
      </w:r>
    </w:p>
    <w:p>
      <w:pPr>
        <w:spacing w:after="0" w:line="138" w:lineRule="exact"/>
        <w:rPr>
          <w:sz w:val="20"/>
          <w:szCs w:val="20"/>
          <w:color w:val="auto"/>
        </w:rPr>
      </w:pPr>
    </w:p>
    <w:p>
      <w:pPr>
        <w:ind w:left="20" w:right="200"/>
        <w:spacing w:after="0" w:line="279" w:lineRule="auto"/>
        <w:rPr>
          <w:sz w:val="20"/>
          <w:szCs w:val="20"/>
          <w:color w:val="auto"/>
        </w:rPr>
      </w:pPr>
      <w:r>
        <w:rPr>
          <w:rFonts w:ascii="Arial" w:cs="Arial" w:eastAsia="Arial" w:hAnsi="Arial"/>
          <w:sz w:val="17"/>
          <w:szCs w:val="17"/>
          <w:color w:val="auto"/>
        </w:rPr>
        <w:t>The valuation of cash equivalents and equity securities are generally based on Level 1 inputs, which use the market-approach valuation technique. The valuation of our fixed income securities generally incorporates significant Level 2 inputs using the market and income approach techniques. We may assign a lower level to inputs typically considered to be Level 2 based on our assessment of liquidity and relative level of uncertainty surrounding inputs. There were no assets or liabilities classified at Level 3 at March 31, 2023, or December 31, 2022.</w:t>
      </w:r>
    </w:p>
    <w:p>
      <w:pPr>
        <w:spacing w:after="0" w:line="131" w:lineRule="exact"/>
        <w:rPr>
          <w:sz w:val="20"/>
          <w:szCs w:val="20"/>
          <w:color w:val="auto"/>
        </w:rPr>
      </w:pPr>
    </w:p>
    <w:p>
      <w:pPr>
        <w:ind w:left="20" w:right="900"/>
        <w:spacing w:after="0" w:line="277" w:lineRule="auto"/>
        <w:rPr>
          <w:sz w:val="20"/>
          <w:szCs w:val="20"/>
          <w:color w:val="auto"/>
        </w:rPr>
      </w:pPr>
      <w:r>
        <w:rPr>
          <w:rFonts w:ascii="Arial" w:cs="Arial" w:eastAsia="Arial" w:hAnsi="Arial"/>
          <w:sz w:val="18"/>
          <w:szCs w:val="18"/>
          <w:color w:val="auto"/>
        </w:rPr>
        <w:t>The following tables set forth our assets which are measured on a recurring basis by the level within the fair value hierarchy in which fair value measurements fall:</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5"/>
          </w:tcPr>
          <w:p>
            <w:pPr>
              <w:ind w:left="340"/>
              <w:spacing w:after="0"/>
              <w:rPr>
                <w:sz w:val="20"/>
                <w:szCs w:val="20"/>
                <w:color w:val="auto"/>
              </w:rPr>
            </w:pPr>
            <w:r>
              <w:rPr>
                <w:rFonts w:ascii="Arial" w:cs="Arial" w:eastAsia="Arial" w:hAnsi="Arial"/>
                <w:sz w:val="18"/>
                <w:szCs w:val="18"/>
                <w:b w:val="1"/>
                <w:bCs w:val="1"/>
                <w:color w:val="auto"/>
              </w:rPr>
              <w:t>March 31, 2023</w:t>
            </w: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5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Level 1</w:t>
            </w:r>
          </w:p>
        </w:tc>
        <w:tc>
          <w:tcPr>
            <w:tcW w:w="160" w:type="dxa"/>
            <w:vAlign w:val="bottom"/>
          </w:tcPr>
          <w:p>
            <w:pPr>
              <w:spacing w:after="0"/>
              <w:rPr>
                <w:sz w:val="19"/>
                <w:szCs w:val="19"/>
                <w:color w:val="auto"/>
              </w:rPr>
            </w:pPr>
          </w:p>
        </w:tc>
        <w:tc>
          <w:tcPr>
            <w:tcW w:w="1060" w:type="dxa"/>
            <w:vAlign w:val="bottom"/>
            <w:gridSpan w:val="2"/>
          </w:tcPr>
          <w:p>
            <w:pPr>
              <w:ind w:left="60"/>
              <w:spacing w:after="0"/>
              <w:rPr>
                <w:sz w:val="20"/>
                <w:szCs w:val="20"/>
                <w:color w:val="auto"/>
              </w:rPr>
            </w:pPr>
            <w:r>
              <w:rPr>
                <w:rFonts w:ascii="Arial" w:cs="Arial" w:eastAsia="Arial" w:hAnsi="Arial"/>
                <w:sz w:val="18"/>
                <w:szCs w:val="18"/>
                <w:b w:val="1"/>
                <w:bCs w:val="1"/>
                <w:color w:val="auto"/>
              </w:rPr>
              <w:t>Level 2</w:t>
            </w:r>
          </w:p>
        </w:tc>
        <w:tc>
          <w:tcPr>
            <w:tcW w:w="140" w:type="dxa"/>
            <w:vAlign w:val="bottom"/>
          </w:tcPr>
          <w:p>
            <w:pPr>
              <w:spacing w:after="0"/>
              <w:rPr>
                <w:sz w:val="19"/>
                <w:szCs w:val="19"/>
                <w:color w:val="auto"/>
              </w:rPr>
            </w:pPr>
          </w:p>
        </w:tc>
        <w:tc>
          <w:tcPr>
            <w:tcW w:w="860" w:type="dxa"/>
            <w:vAlign w:val="bottom"/>
          </w:tcPr>
          <w:p>
            <w:pPr>
              <w:ind w:left="80"/>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19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180"/>
              <w:spacing w:after="0"/>
              <w:rPr>
                <w:sz w:val="20"/>
                <w:szCs w:val="20"/>
                <w:color w:val="auto"/>
              </w:rPr>
            </w:pPr>
            <w:r>
              <w:rPr>
                <w:rFonts w:ascii="Arial" w:cs="Arial" w:eastAsia="Arial" w:hAnsi="Arial"/>
                <w:sz w:val="18"/>
                <w:szCs w:val="18"/>
                <w:color w:val="auto"/>
              </w:rPr>
              <w:t>U.S. Government and agencies</w:t>
            </w:r>
          </w:p>
        </w:tc>
        <w:tc>
          <w:tcPr>
            <w:tcW w:w="21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9,463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9,463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Obligations of states and political subdivisions</w:t>
            </w:r>
          </w:p>
        </w:tc>
        <w:tc>
          <w:tcPr>
            <w:tcW w:w="1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52,918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52,918</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20" w:type="dxa"/>
            <w:vAlign w:val="bottom"/>
          </w:tcPr>
          <w:p>
            <w:pPr>
              <w:ind w:left="180"/>
              <w:spacing w:after="0"/>
              <w:rPr>
                <w:sz w:val="20"/>
                <w:szCs w:val="20"/>
                <w:color w:val="auto"/>
              </w:rPr>
            </w:pPr>
            <w:r>
              <w:rPr>
                <w:rFonts w:ascii="Arial" w:cs="Arial" w:eastAsia="Arial" w:hAnsi="Arial"/>
                <w:sz w:val="18"/>
                <w:szCs w:val="18"/>
                <w:color w:val="auto"/>
              </w:rPr>
              <w:t>Corporate securities</w:t>
            </w:r>
          </w:p>
        </w:tc>
        <w:tc>
          <w:tcPr>
            <w:tcW w:w="1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125,126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125,126</w:t>
            </w:r>
          </w:p>
        </w:tc>
        <w:tc>
          <w:tcPr>
            <w:tcW w:w="140" w:type="dxa"/>
            <w:vAlign w:val="bottom"/>
          </w:tcPr>
          <w:p>
            <w:pPr>
              <w:spacing w:after="0"/>
              <w:rPr>
                <w:sz w:val="18"/>
                <w:szCs w:val="18"/>
                <w:color w:val="auto"/>
              </w:rPr>
            </w:pPr>
          </w:p>
        </w:tc>
        <w:tc>
          <w:tcPr>
            <w:tcW w:w="9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 mortgage-backed securities</w:t>
            </w:r>
          </w:p>
        </w:tc>
        <w:tc>
          <w:tcPr>
            <w:tcW w:w="1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52,536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52,536</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20" w:type="dxa"/>
            <w:vAlign w:val="bottom"/>
          </w:tcPr>
          <w:p>
            <w:pPr>
              <w:ind w:left="180"/>
              <w:spacing w:after="0"/>
              <w:rPr>
                <w:sz w:val="20"/>
                <w:szCs w:val="20"/>
                <w:color w:val="auto"/>
              </w:rPr>
            </w:pPr>
            <w:r>
              <w:rPr>
                <w:rFonts w:ascii="Arial" w:cs="Arial" w:eastAsia="Arial" w:hAnsi="Arial"/>
                <w:sz w:val="18"/>
                <w:szCs w:val="18"/>
                <w:color w:val="auto"/>
              </w:rPr>
              <w:t>Commercial mortgage-backed securities</w:t>
            </w:r>
          </w:p>
        </w:tc>
        <w:tc>
          <w:tcPr>
            <w:tcW w:w="1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26,401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26,401</w:t>
            </w:r>
          </w:p>
        </w:tc>
        <w:tc>
          <w:tcPr>
            <w:tcW w:w="140" w:type="dxa"/>
            <w:vAlign w:val="bottom"/>
          </w:tcPr>
          <w:p>
            <w:pPr>
              <w:spacing w:after="0"/>
              <w:rPr>
                <w:sz w:val="18"/>
                <w:szCs w:val="18"/>
                <w:color w:val="auto"/>
              </w:rPr>
            </w:pPr>
          </w:p>
        </w:tc>
        <w:tc>
          <w:tcPr>
            <w:tcW w:w="9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Asset-backed securities</w:t>
            </w:r>
          </w:p>
        </w:tc>
        <w:tc>
          <w:tcPr>
            <w:tcW w:w="1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46,359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46,359</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20" w:type="dxa"/>
            <w:vAlign w:val="bottom"/>
          </w:tcPr>
          <w:p>
            <w:pPr>
              <w:ind w:left="180"/>
              <w:spacing w:after="0"/>
              <w:rPr>
                <w:sz w:val="20"/>
                <w:szCs w:val="20"/>
                <w:color w:val="auto"/>
              </w:rPr>
            </w:pPr>
            <w:r>
              <w:rPr>
                <w:rFonts w:ascii="Arial" w:cs="Arial" w:eastAsia="Arial" w:hAnsi="Arial"/>
                <w:sz w:val="18"/>
                <w:szCs w:val="18"/>
                <w:color w:val="auto"/>
              </w:rPr>
              <w:t>Redeemable preferred stock</w:t>
            </w:r>
          </w:p>
        </w:tc>
        <w:tc>
          <w:tcPr>
            <w:tcW w:w="1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4,062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4,062</w:t>
            </w:r>
          </w:p>
        </w:tc>
        <w:tc>
          <w:tcPr>
            <w:tcW w:w="140" w:type="dxa"/>
            <w:vAlign w:val="bottom"/>
          </w:tcPr>
          <w:p>
            <w:pPr>
              <w:spacing w:after="0"/>
              <w:rPr>
                <w:sz w:val="19"/>
                <w:szCs w:val="19"/>
                <w:color w:val="auto"/>
              </w:rPr>
            </w:pPr>
          </w:p>
        </w:tc>
        <w:tc>
          <w:tcPr>
            <w:tcW w:w="9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5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fixed income securities</w:t>
            </w:r>
          </w:p>
        </w:tc>
        <w:tc>
          <w:tcPr>
            <w:tcW w:w="19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316,865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316,865</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1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180"/>
              <w:spacing w:after="0"/>
              <w:rPr>
                <w:sz w:val="20"/>
                <w:szCs w:val="20"/>
                <w:color w:val="auto"/>
              </w:rPr>
            </w:pPr>
            <w:r>
              <w:rPr>
                <w:rFonts w:ascii="Arial" w:cs="Arial" w:eastAsia="Arial" w:hAnsi="Arial"/>
                <w:sz w:val="18"/>
                <w:szCs w:val="18"/>
                <w:color w:val="auto"/>
              </w:rPr>
              <w:t>Common stock</w:t>
            </w:r>
          </w:p>
        </w:tc>
        <w:tc>
          <w:tcPr>
            <w:tcW w:w="1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24,481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24,481</w:t>
            </w: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Non-redeemable preferred stock</w:t>
            </w:r>
          </w:p>
        </w:tc>
        <w:tc>
          <w:tcPr>
            <w:tcW w:w="1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1,855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1,855</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5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equity securities</w:t>
            </w:r>
          </w:p>
        </w:tc>
        <w:tc>
          <w:tcPr>
            <w:tcW w:w="19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26,336</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26,336</w:t>
            </w:r>
          </w:p>
        </w:tc>
        <w:tc>
          <w:tcPr>
            <w:tcW w:w="2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Cash equivalents</w:t>
            </w:r>
          </w:p>
        </w:tc>
        <w:tc>
          <w:tcPr>
            <w:tcW w:w="1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43,987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43,987</w:t>
            </w:r>
          </w:p>
        </w:tc>
        <w:tc>
          <w:tcPr>
            <w:tcW w:w="16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5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assets at fair value</w:t>
            </w:r>
          </w:p>
        </w:tc>
        <w:tc>
          <w:tcPr>
            <w:tcW w:w="19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387,188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70,323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316,865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900" w:type="dxa"/>
            <w:vAlign w:val="bottom"/>
            <w:vMerge w:val="restart"/>
          </w:tcPr>
          <w:p>
            <w:pPr>
              <w:jc w:val="right"/>
              <w:ind w:right="630"/>
              <w:spacing w:after="0"/>
              <w:rPr>
                <w:sz w:val="20"/>
                <w:szCs w:val="20"/>
                <w:color w:val="auto"/>
              </w:rPr>
            </w:pPr>
            <w:r>
              <w:rPr>
                <w:rFonts w:ascii="Arial" w:cs="Arial" w:eastAsia="Arial" w:hAnsi="Arial"/>
                <w:sz w:val="18"/>
                <w:szCs w:val="18"/>
                <w:color w:val="auto"/>
              </w:rPr>
              <w:t>14</w:t>
            </w: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9"/>
        </w:trPr>
        <w:tc>
          <w:tcPr>
            <w:tcW w:w="45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3"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9"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5"/>
          </w:tcPr>
          <w:p>
            <w:pPr>
              <w:ind w:left="200"/>
              <w:spacing w:after="0"/>
              <w:rPr>
                <w:sz w:val="20"/>
                <w:szCs w:val="20"/>
                <w:color w:val="auto"/>
              </w:rPr>
            </w:pPr>
            <w:r>
              <w:rPr>
                <w:rFonts w:ascii="Arial" w:cs="Arial" w:eastAsia="Arial" w:hAnsi="Arial"/>
                <w:sz w:val="18"/>
                <w:szCs w:val="18"/>
                <w:b w:val="1"/>
                <w:bCs w:val="1"/>
                <w:color w:val="auto"/>
              </w:rPr>
              <w:t>December 31, 2022</w:t>
            </w: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9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Level 1</w:t>
            </w:r>
          </w:p>
        </w:tc>
        <w:tc>
          <w:tcPr>
            <w:tcW w:w="160" w:type="dxa"/>
            <w:vAlign w:val="bottom"/>
          </w:tcPr>
          <w:p>
            <w:pPr>
              <w:spacing w:after="0"/>
              <w:rPr>
                <w:sz w:val="19"/>
                <w:szCs w:val="19"/>
                <w:color w:val="auto"/>
              </w:rPr>
            </w:pPr>
          </w:p>
        </w:tc>
        <w:tc>
          <w:tcPr>
            <w:tcW w:w="1060" w:type="dxa"/>
            <w:vAlign w:val="bottom"/>
            <w:gridSpan w:val="2"/>
          </w:tcPr>
          <w:p>
            <w:pPr>
              <w:ind w:left="60"/>
              <w:spacing w:after="0"/>
              <w:rPr>
                <w:sz w:val="20"/>
                <w:szCs w:val="20"/>
                <w:color w:val="auto"/>
              </w:rPr>
            </w:pPr>
            <w:r>
              <w:rPr>
                <w:rFonts w:ascii="Arial" w:cs="Arial" w:eastAsia="Arial" w:hAnsi="Arial"/>
                <w:sz w:val="18"/>
                <w:szCs w:val="18"/>
                <w:b w:val="1"/>
                <w:bCs w:val="1"/>
                <w:color w:val="auto"/>
              </w:rPr>
              <w:t>Level 2</w:t>
            </w:r>
          </w:p>
        </w:tc>
        <w:tc>
          <w:tcPr>
            <w:tcW w:w="140" w:type="dxa"/>
            <w:vAlign w:val="bottom"/>
          </w:tcPr>
          <w:p>
            <w:pPr>
              <w:spacing w:after="0"/>
              <w:rPr>
                <w:sz w:val="19"/>
                <w:szCs w:val="19"/>
                <w:color w:val="auto"/>
              </w:rPr>
            </w:pPr>
          </w:p>
        </w:tc>
        <w:tc>
          <w:tcPr>
            <w:tcW w:w="860" w:type="dxa"/>
            <w:vAlign w:val="bottom"/>
          </w:tcPr>
          <w:p>
            <w:pPr>
              <w:ind w:left="80"/>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19"/>
                <w:szCs w:val="19"/>
                <w:color w:val="auto"/>
              </w:rPr>
            </w:pPr>
          </w:p>
        </w:tc>
      </w:tr>
      <w:tr>
        <w:trPr>
          <w:trHeight w:val="209"/>
        </w:trPr>
        <w:tc>
          <w:tcPr>
            <w:tcW w:w="4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14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980" w:type="dxa"/>
            <w:vAlign w:val="bottom"/>
          </w:tcPr>
          <w:p>
            <w:pPr>
              <w:ind w:left="180"/>
              <w:spacing w:after="0"/>
              <w:rPr>
                <w:sz w:val="20"/>
                <w:szCs w:val="20"/>
                <w:color w:val="auto"/>
              </w:rPr>
            </w:pPr>
            <w:r>
              <w:rPr>
                <w:rFonts w:ascii="Arial" w:cs="Arial" w:eastAsia="Arial" w:hAnsi="Arial"/>
                <w:sz w:val="18"/>
                <w:szCs w:val="18"/>
                <w:color w:val="auto"/>
              </w:rPr>
              <w:t>U.S. Government and agencies</w:t>
            </w:r>
          </w:p>
        </w:tc>
        <w:tc>
          <w:tcPr>
            <w:tcW w:w="16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10,167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10,167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ind w:left="680"/>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Obligations of states and political subdivisions</w:t>
            </w: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53,926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53,926</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tcPr>
          <w:p>
            <w:pPr>
              <w:ind w:left="180"/>
              <w:spacing w:after="0"/>
              <w:rPr>
                <w:sz w:val="20"/>
                <w:szCs w:val="20"/>
                <w:color w:val="auto"/>
              </w:rPr>
            </w:pPr>
            <w:r>
              <w:rPr>
                <w:rFonts w:ascii="Arial" w:cs="Arial" w:eastAsia="Arial" w:hAnsi="Arial"/>
                <w:sz w:val="18"/>
                <w:szCs w:val="18"/>
                <w:color w:val="auto"/>
              </w:rPr>
              <w:t>Corporate securities</w:t>
            </w: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121,159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121,159</w:t>
            </w:r>
          </w:p>
        </w:tc>
        <w:tc>
          <w:tcPr>
            <w:tcW w:w="140" w:type="dxa"/>
            <w:vAlign w:val="bottom"/>
          </w:tcPr>
          <w:p>
            <w:pPr>
              <w:spacing w:after="0"/>
              <w:rPr>
                <w:sz w:val="18"/>
                <w:szCs w:val="18"/>
                <w:color w:val="auto"/>
              </w:rPr>
            </w:pPr>
          </w:p>
        </w:tc>
        <w:tc>
          <w:tcPr>
            <w:tcW w:w="960" w:type="dxa"/>
            <w:vAlign w:val="bottom"/>
            <w:gridSpan w:val="2"/>
          </w:tcPr>
          <w:p>
            <w:pPr>
              <w:ind w:left="680"/>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 mortgage-backed securities</w:t>
            </w: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47,493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47,493</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tcPr>
          <w:p>
            <w:pPr>
              <w:ind w:left="180"/>
              <w:spacing w:after="0"/>
              <w:rPr>
                <w:sz w:val="20"/>
                <w:szCs w:val="20"/>
                <w:color w:val="auto"/>
              </w:rPr>
            </w:pPr>
            <w:r>
              <w:rPr>
                <w:rFonts w:ascii="Arial" w:cs="Arial" w:eastAsia="Arial" w:hAnsi="Arial"/>
                <w:sz w:val="18"/>
                <w:szCs w:val="18"/>
                <w:color w:val="auto"/>
              </w:rPr>
              <w:t>Commercial mortgage-backed securities</w:t>
            </w: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26,135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26,135</w:t>
            </w:r>
          </w:p>
        </w:tc>
        <w:tc>
          <w:tcPr>
            <w:tcW w:w="140" w:type="dxa"/>
            <w:vAlign w:val="bottom"/>
          </w:tcPr>
          <w:p>
            <w:pPr>
              <w:spacing w:after="0"/>
              <w:rPr>
                <w:sz w:val="18"/>
                <w:szCs w:val="18"/>
                <w:color w:val="auto"/>
              </w:rPr>
            </w:pPr>
          </w:p>
        </w:tc>
        <w:tc>
          <w:tcPr>
            <w:tcW w:w="960" w:type="dxa"/>
            <w:vAlign w:val="bottom"/>
            <w:gridSpan w:val="2"/>
          </w:tcPr>
          <w:p>
            <w:pPr>
              <w:ind w:left="680"/>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Asset-backed securities</w:t>
            </w: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40,725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40,725</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r>
      <w:tr>
        <w:trPr>
          <w:trHeight w:val="230"/>
        </w:trPr>
        <w:tc>
          <w:tcPr>
            <w:tcW w:w="4980" w:type="dxa"/>
            <w:vAlign w:val="bottom"/>
          </w:tcPr>
          <w:p>
            <w:pPr>
              <w:ind w:left="180"/>
              <w:spacing w:after="0"/>
              <w:rPr>
                <w:sz w:val="20"/>
                <w:szCs w:val="20"/>
                <w:color w:val="auto"/>
              </w:rPr>
            </w:pPr>
            <w:r>
              <w:rPr>
                <w:rFonts w:ascii="Arial" w:cs="Arial" w:eastAsia="Arial" w:hAnsi="Arial"/>
                <w:sz w:val="18"/>
                <w:szCs w:val="18"/>
                <w:color w:val="auto"/>
              </w:rPr>
              <w:t>Redeemable preferred stock</w:t>
            </w: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3,719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3,719</w:t>
            </w:r>
          </w:p>
        </w:tc>
        <w:tc>
          <w:tcPr>
            <w:tcW w:w="140" w:type="dxa"/>
            <w:vAlign w:val="bottom"/>
          </w:tcPr>
          <w:p>
            <w:pPr>
              <w:spacing w:after="0"/>
              <w:rPr>
                <w:sz w:val="19"/>
                <w:szCs w:val="19"/>
                <w:color w:val="auto"/>
              </w:rPr>
            </w:pPr>
          </w:p>
        </w:tc>
        <w:tc>
          <w:tcPr>
            <w:tcW w:w="960" w:type="dxa"/>
            <w:vAlign w:val="bottom"/>
            <w:gridSpan w:val="2"/>
          </w:tcPr>
          <w:p>
            <w:pPr>
              <w:ind w:left="680"/>
              <w:spacing w:after="0"/>
              <w:rPr>
                <w:sz w:val="20"/>
                <w:szCs w:val="20"/>
                <w:color w:val="auto"/>
              </w:rPr>
            </w:pPr>
            <w:r>
              <w:rPr>
                <w:rFonts w:ascii="Arial" w:cs="Arial" w:eastAsia="Arial" w:hAnsi="Arial"/>
                <w:sz w:val="18"/>
                <w:szCs w:val="18"/>
                <w:color w:val="auto"/>
              </w:rPr>
              <w:t>—</w:t>
            </w:r>
          </w:p>
        </w:tc>
      </w:tr>
      <w:tr>
        <w:trPr>
          <w:trHeight w:val="209"/>
        </w:trPr>
        <w:tc>
          <w:tcPr>
            <w:tcW w:w="49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fixed income securities</w:t>
            </w:r>
          </w:p>
        </w:tc>
        <w:tc>
          <w:tcPr>
            <w:tcW w:w="14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303,324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303,324</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49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80" w:type="dxa"/>
            <w:vAlign w:val="bottom"/>
          </w:tcPr>
          <w:p>
            <w:pPr>
              <w:ind w:left="180"/>
              <w:spacing w:after="0"/>
              <w:rPr>
                <w:sz w:val="20"/>
                <w:szCs w:val="20"/>
                <w:color w:val="auto"/>
              </w:rPr>
            </w:pPr>
            <w:r>
              <w:rPr>
                <w:rFonts w:ascii="Arial" w:cs="Arial" w:eastAsia="Arial" w:hAnsi="Arial"/>
                <w:sz w:val="18"/>
                <w:szCs w:val="18"/>
                <w:color w:val="auto"/>
              </w:rPr>
              <w:t>Common stock</w:t>
            </w: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50,699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50,699</w:t>
            </w: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ind w:left="680"/>
              <w:spacing w:after="0"/>
              <w:rPr>
                <w:sz w:val="20"/>
                <w:szCs w:val="20"/>
                <w:color w:val="auto"/>
              </w:rPr>
            </w:pPr>
            <w:r>
              <w:rPr>
                <w:rFonts w:ascii="Arial" w:cs="Arial" w:eastAsia="Arial" w:hAnsi="Arial"/>
                <w:sz w:val="18"/>
                <w:szCs w:val="18"/>
                <w:color w:val="auto"/>
              </w:rPr>
              <w:t>—</w:t>
            </w:r>
          </w:p>
        </w:tc>
      </w:tr>
      <w:tr>
        <w:trPr>
          <w:trHeight w:val="229"/>
        </w:trPr>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Non-redeemable preferred stock</w:t>
            </w:r>
          </w:p>
        </w:tc>
        <w:tc>
          <w:tcPr>
            <w:tcW w:w="1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1,694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1,694</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r>
      <w:tr>
        <w:trPr>
          <w:trHeight w:val="210"/>
        </w:trPr>
        <w:tc>
          <w:tcPr>
            <w:tcW w:w="49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equity securities</w:t>
            </w:r>
          </w:p>
        </w:tc>
        <w:tc>
          <w:tcPr>
            <w:tcW w:w="14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52,393</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52,393</w:t>
            </w:r>
          </w:p>
        </w:tc>
        <w:tc>
          <w:tcPr>
            <w:tcW w:w="2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CCEEFF"/>
            </w:tcBorders>
          </w:tcPr>
          <w:p>
            <w:pPr>
              <w:spacing w:after="0"/>
              <w:rPr>
                <w:sz w:val="18"/>
                <w:szCs w:val="18"/>
                <w:color w:val="auto"/>
              </w:rPr>
            </w:pPr>
          </w:p>
        </w:tc>
      </w:tr>
      <w:tr>
        <w:trPr>
          <w:trHeight w:val="209"/>
        </w:trPr>
        <w:tc>
          <w:tcPr>
            <w:tcW w:w="49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4980" w:type="dxa"/>
            <w:vAlign w:val="bottom"/>
          </w:tcPr>
          <w:p>
            <w:pPr>
              <w:spacing w:after="0"/>
              <w:rPr>
                <w:sz w:val="20"/>
                <w:szCs w:val="20"/>
                <w:color w:val="auto"/>
              </w:rPr>
            </w:pPr>
            <w:r>
              <w:rPr>
                <w:rFonts w:ascii="Arial" w:cs="Arial" w:eastAsia="Arial" w:hAnsi="Arial"/>
                <w:sz w:val="18"/>
                <w:szCs w:val="18"/>
                <w:color w:val="auto"/>
              </w:rPr>
              <w:t>Cash equivalents</w:t>
            </w: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27,255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27,255</w:t>
            </w:r>
          </w:p>
        </w:tc>
        <w:tc>
          <w:tcPr>
            <w:tcW w:w="16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ind w:left="680"/>
              <w:spacing w:after="0"/>
              <w:rPr>
                <w:sz w:val="20"/>
                <w:szCs w:val="20"/>
                <w:color w:val="auto"/>
              </w:rPr>
            </w:pPr>
            <w:r>
              <w:rPr>
                <w:rFonts w:ascii="Arial" w:cs="Arial" w:eastAsia="Arial" w:hAnsi="Arial"/>
                <w:sz w:val="18"/>
                <w:szCs w:val="18"/>
                <w:color w:val="auto"/>
              </w:rPr>
              <w:t>—</w:t>
            </w:r>
          </w:p>
        </w:tc>
      </w:tr>
      <w:tr>
        <w:trPr>
          <w:trHeight w:val="223"/>
        </w:trPr>
        <w:tc>
          <w:tcPr>
            <w:tcW w:w="49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assets at fair value</w:t>
            </w:r>
          </w:p>
        </w:tc>
        <w:tc>
          <w:tcPr>
            <w:tcW w:w="14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382,972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79,648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303,324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9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There were no liabilities measured at fair value on a recurring basis at March 31, 2023, or December 31, 2022.</w:t>
      </w:r>
    </w:p>
    <w:p>
      <w:pPr>
        <w:spacing w:after="0" w:line="200" w:lineRule="exact"/>
        <w:rPr>
          <w:sz w:val="20"/>
          <w:szCs w:val="20"/>
          <w:color w:val="auto"/>
        </w:rPr>
      </w:pPr>
    </w:p>
    <w:p>
      <w:pPr>
        <w:spacing w:after="0" w:line="237"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Reinsurance</w:t>
      </w:r>
    </w:p>
    <w:p>
      <w:pPr>
        <w:spacing w:after="0" w:line="229" w:lineRule="exact"/>
        <w:rPr>
          <w:sz w:val="20"/>
          <w:szCs w:val="20"/>
          <w:color w:val="auto"/>
        </w:rPr>
      </w:pPr>
    </w:p>
    <w:p>
      <w:pPr>
        <w:ind w:right="360"/>
        <w:spacing w:after="0" w:line="293" w:lineRule="auto"/>
        <w:rPr>
          <w:sz w:val="20"/>
          <w:szCs w:val="20"/>
          <w:color w:val="auto"/>
        </w:rPr>
      </w:pPr>
      <w:r>
        <w:rPr>
          <w:rFonts w:ascii="Arial" w:cs="Arial" w:eastAsia="Arial" w:hAnsi="Arial"/>
          <w:sz w:val="16"/>
          <w:szCs w:val="16"/>
          <w:color w:val="auto"/>
        </w:rPr>
        <w:t>The Company’s consolidated financial statements reflect the effects of assumed and ceded reinsurance transactions. Assumed reinsurance refers to the acceptance of certain insurance risks that other insurance companies have underwritten. Ceded reinsurance involves transferring certain insurance risks (along with the related written and earned premiums) the Company has underwritten to other insurance companies who agree to share these risks. The primary purpose of these agreements is to protect the Company, at a cost, from losses in excess of the amount it is prepared to accept and to protect the Company’s capital. Our ceded reinsurance is placed either on an automatic basis under general reinsurance contracts known as treaties or through facultative contracts placed on substantial individual risks. These contracts do not relieve the Company from its obligations to policyholders.</w:t>
      </w:r>
    </w:p>
    <w:p>
      <w:pPr>
        <w:spacing w:after="0" w:line="16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During the three-month period ended March 31, 2023, the Company maintained property catastrophe reinsurance protection covering $133,000 in excess of a $20,000 retention. Additionally, per risk excess of loss treaties provided coverage of $4,000 in excess of $1,000 for property risks and $11,000 in excess of $1,000 for casualty risks, with facultative contracts in place to provide coverage up to $20,000 in excess of $5,000 per property. Aggregate stop loss reinsurance agreements were placed for both crop hail and multi-peril crop coverage. The crop hail aggregate attached at a 100% net loss ratio providing 50 points of cover. The multi-peril crop aggregate attached at a 105% net loss ratio providing 45 points of cover. In addition to the aggregate covers, underlying multi-peril crop reinsurance was provided through the Federal Crop Insurance Corporation (“FCIC”).</w:t>
      </w:r>
    </w:p>
    <w:p>
      <w:pPr>
        <w:spacing w:after="0" w:line="17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During the year ended December 31, 2022, the Company maintained property catastrophe reinsurance protection covering $125,000 in excess of a $15,000 retention. Additionally, per risk excess of loss treaties provided coverage of $4,000 in excess of $1,000 for property risks and $11,000 in excess of $1,000 for casualty risks, with facultative contracts in place to provide coverage up to $20,000 in excess of $5,000 per property. Aggregate stop loss reinsurance agreements were placed for both crop hail and multi-peril crop coverage. The crop hail aggregate attached at a 100% net loss ratio providing 50 points of cover. The multi-peril crop aggregate attached at a 105% net loss ratio providing 45 points of cover. In addition to the aggregate covers, underlying multi-peril crop reinsurance was provided through the FCIC.</w:t>
      </w:r>
    </w:p>
    <w:p>
      <w:pPr>
        <w:spacing w:after="0" w:line="19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Company actively monitors and evaluates the financial condition of the reinsurers and develops estimates of the uncollectible amounts due from reinsurers. Beginning on December 31, 2022, credit losses are recognized through an allowance account developed using a new credit loss model (current expected credit losses or “CECL”). See the Part II, Item 8, Note 2 “Recent Accounting Pronouncements” section of the 2022 Annual Report for additional information. Credit loss estimates are made based on periodic evaluation of balances due from reinsurers, changes in reinsurer credit standing, judgments regarding reinsurers’ solvency, known disputes, reporting characteristics of the underlying reinsured business, historical experience, current economic conditions, and the</w:t>
      </w:r>
    </w:p>
    <w:p>
      <w:pPr>
        <w:sectPr>
          <w:pgSz w:w="11900" w:h="16838" w:orient="portrait"/>
          <w:cols w:equalWidth="0" w:num="1">
            <w:col w:w="11240"/>
          </w:cols>
          <w:pgMar w:left="320" w:top="233" w:right="339" w:bottom="1440" w:gutter="0" w:footer="0" w:header="0"/>
        </w:sectPr>
      </w:pPr>
    </w:p>
    <w:p>
      <w:pPr>
        <w:spacing w:after="0" w:line="15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NI Holdings, Inc.</w:t>
      </w:r>
    </w:p>
    <w:p>
      <w:pPr>
        <w:spacing w:after="0" w:line="9"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31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state of reinsurer relations in general. Collection risk is mitigated by entering into reinsurance arrangements only with reinsurers that have strong credit ratings and statutory surplus above certain levels. At March 31, 2023, and December 31, 2022, management has concluded that it is not necessary to record an allowance for expected credit losses related to reinsurance recoverables. All of our significant reinsurance partners are rated “A-” (Excellent) or better by AM Best, and there is no history of write-offs.</w:t>
      </w:r>
    </w:p>
    <w:p>
      <w:pPr>
        <w:sectPr>
          <w:pgSz w:w="11900" w:h="16838" w:orient="portrait"/>
          <w:cols w:equalWidth="0" w:num="1">
            <w:col w:w="11200"/>
          </w:cols>
          <w:pgMar w:left="320" w:top="233" w:right="379" w:bottom="1440" w:gutter="0" w:footer="0" w:header="0"/>
        </w:sectPr>
      </w:pP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A reconciliation of direct to net premiums on both a written and an earned basis is as follows: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Direct premium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5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Assumed premium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Ceded premium</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Net premiums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Direct premium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Assumed premium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Ceded premium</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Net premiums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1"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Three Months Ended March 31, 2023</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640" w:type="dxa"/>
            <w:vAlign w:val="bottom"/>
            <w:tcBorders>
              <w:top w:val="single" w:sz="8" w:color="auto"/>
            </w:tcBorders>
            <w:gridSpan w:val="4"/>
          </w:tcPr>
          <w:p>
            <w:pPr>
              <w:spacing w:after="0"/>
              <w:rPr>
                <w:sz w:val="20"/>
                <w:szCs w:val="20"/>
                <w:color w:val="auto"/>
              </w:rPr>
            </w:pPr>
            <w:r>
              <w:rPr>
                <w:rFonts w:ascii="Arial" w:cs="Arial" w:eastAsia="Arial" w:hAnsi="Arial"/>
                <w:sz w:val="18"/>
                <w:szCs w:val="18"/>
                <w:b w:val="1"/>
                <w:bCs w:val="1"/>
                <w:color w:val="auto"/>
              </w:rPr>
              <w:t>Premiums Written</w:t>
            </w:r>
          </w:p>
        </w:tc>
        <w:tc>
          <w:tcPr>
            <w:tcW w:w="1440" w:type="dxa"/>
            <w:vAlign w:val="bottom"/>
            <w:tcBorders>
              <w:top w:val="single" w:sz="8" w:color="auto"/>
            </w:tcBorders>
            <w:gridSpan w:val="5"/>
          </w:tcPr>
          <w:p>
            <w:pPr>
              <w:spacing w:after="0"/>
              <w:rPr>
                <w:sz w:val="20"/>
                <w:szCs w:val="20"/>
                <w:color w:val="auto"/>
              </w:rPr>
            </w:pPr>
            <w:r>
              <w:rPr>
                <w:rFonts w:ascii="Arial" w:cs="Arial" w:eastAsia="Arial" w:hAnsi="Arial"/>
                <w:sz w:val="18"/>
                <w:szCs w:val="18"/>
                <w:b w:val="1"/>
                <w:bCs w:val="1"/>
                <w:color w:val="auto"/>
                <w:w w:val="92"/>
              </w:rPr>
              <w:t>Premiums Earned</w:t>
            </w:r>
          </w:p>
        </w:tc>
        <w:tc>
          <w:tcPr>
            <w:tcW w:w="20" w:type="dxa"/>
            <w:vAlign w:val="bottom"/>
          </w:tcPr>
          <w:p>
            <w:pPr>
              <w:spacing w:after="0"/>
              <w:rPr>
                <w:sz w:val="19"/>
                <w:szCs w:val="19"/>
                <w:color w:val="auto"/>
              </w:rPr>
            </w:pPr>
          </w:p>
        </w:tc>
      </w:tr>
      <w:tr>
        <w:trPr>
          <w:trHeight w:val="195"/>
        </w:trPr>
        <w:tc>
          <w:tcPr>
            <w:tcW w:w="20" w:type="dxa"/>
            <w:vAlign w:val="bottom"/>
          </w:tcPr>
          <w:p>
            <w:pPr>
              <w:spacing w:after="0"/>
              <w:rPr>
                <w:sz w:val="16"/>
                <w:szCs w:val="16"/>
                <w:color w:val="auto"/>
              </w:rPr>
            </w:pPr>
          </w:p>
        </w:tc>
        <w:tc>
          <w:tcPr>
            <w:tcW w:w="4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90,556</w:t>
            </w:r>
          </w:p>
        </w:tc>
        <w:tc>
          <w:tcPr>
            <w:tcW w:w="220" w:type="dxa"/>
            <w:vAlign w:val="bottom"/>
          </w:tcPr>
          <w:p>
            <w:pPr>
              <w:spacing w:after="0"/>
              <w:rPr>
                <w:sz w:val="16"/>
                <w:szCs w:val="16"/>
                <w:color w:val="auto"/>
              </w:rPr>
            </w:pPr>
          </w:p>
        </w:tc>
        <w:tc>
          <w:tcPr>
            <w:tcW w:w="50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gridSpan w:val="2"/>
          </w:tcPr>
          <w:p>
            <w:pPr>
              <w:jc w:val="right"/>
              <w:ind w:right="20"/>
              <w:spacing w:after="0" w:line="195" w:lineRule="exact"/>
              <w:rPr>
                <w:sz w:val="20"/>
                <w:szCs w:val="20"/>
                <w:color w:val="auto"/>
              </w:rPr>
            </w:pPr>
            <w:r>
              <w:rPr>
                <w:rFonts w:ascii="Arial" w:cs="Arial" w:eastAsia="Arial" w:hAnsi="Arial"/>
                <w:sz w:val="18"/>
                <w:szCs w:val="18"/>
                <w:color w:val="auto"/>
              </w:rPr>
              <w:t>85,474</w:t>
            </w:r>
          </w:p>
        </w:tc>
        <w:tc>
          <w:tcPr>
            <w:tcW w:w="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399</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576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4"/>
        </w:trPr>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(8,459)</w:t>
            </w: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(8,423)</w:t>
            </w:r>
          </w:p>
        </w:tc>
      </w:tr>
      <w:tr>
        <w:trPr>
          <w:trHeight w:val="223"/>
        </w:trPr>
        <w:tc>
          <w:tcPr>
            <w:tcW w:w="20" w:type="dxa"/>
            <w:vAlign w:val="bottom"/>
          </w:tcPr>
          <w:p>
            <w:pPr>
              <w:spacing w:after="0"/>
              <w:rPr>
                <w:sz w:val="19"/>
                <w:szCs w:val="19"/>
                <w:color w:val="auto"/>
              </w:rPr>
            </w:pPr>
          </w:p>
        </w:tc>
        <w:tc>
          <w:tcPr>
            <w:tcW w:w="4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82,496</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77,627</w:t>
            </w:r>
          </w:p>
        </w:tc>
        <w:tc>
          <w:tcPr>
            <w:tcW w:w="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42"/>
        </w:trPr>
        <w:tc>
          <w:tcPr>
            <w:tcW w:w="20" w:type="dxa"/>
            <w:vAlign w:val="bottom"/>
          </w:tcPr>
          <w:p>
            <w:pPr>
              <w:spacing w:after="0"/>
              <w:rPr>
                <w:sz w:val="24"/>
                <w:szCs w:val="24"/>
                <w:color w:val="auto"/>
              </w:rPr>
            </w:pPr>
          </w:p>
        </w:tc>
        <w:tc>
          <w:tcPr>
            <w:tcW w:w="3080" w:type="dxa"/>
            <w:vAlign w:val="bottom"/>
            <w:gridSpan w:val="9"/>
          </w:tcPr>
          <w:p>
            <w:pPr>
              <w:jc w:val="right"/>
              <w:ind w:right="160"/>
              <w:spacing w:after="0"/>
              <w:rPr>
                <w:sz w:val="20"/>
                <w:szCs w:val="20"/>
                <w:color w:val="auto"/>
              </w:rPr>
            </w:pPr>
            <w:r>
              <w:rPr>
                <w:rFonts w:ascii="Arial" w:cs="Arial" w:eastAsia="Arial" w:hAnsi="Arial"/>
                <w:sz w:val="18"/>
                <w:szCs w:val="18"/>
                <w:b w:val="1"/>
                <w:bCs w:val="1"/>
                <w:color w:val="auto"/>
                <w:w w:val="93"/>
              </w:rPr>
              <w:t>Three Months Ended March 31, 2022</w:t>
            </w:r>
          </w:p>
        </w:tc>
      </w:tr>
      <w:tr>
        <w:trPr>
          <w:trHeight w:val="223"/>
        </w:trPr>
        <w:tc>
          <w:tcPr>
            <w:tcW w:w="20" w:type="dxa"/>
            <w:vAlign w:val="bottom"/>
          </w:tcPr>
          <w:p>
            <w:pPr>
              <w:spacing w:after="0"/>
              <w:rPr>
                <w:sz w:val="19"/>
                <w:szCs w:val="19"/>
                <w:color w:val="auto"/>
              </w:rPr>
            </w:pPr>
          </w:p>
        </w:tc>
        <w:tc>
          <w:tcPr>
            <w:tcW w:w="162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Premiums Written</w:t>
            </w:r>
          </w:p>
        </w:tc>
        <w:tc>
          <w:tcPr>
            <w:tcW w:w="140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w w:val="90"/>
              </w:rPr>
              <w:t>Premiums Earned</w:t>
            </w:r>
          </w:p>
        </w:tc>
        <w:tc>
          <w:tcPr>
            <w:tcW w:w="60" w:type="dxa"/>
            <w:vAlign w:val="bottom"/>
            <w:gridSpan w:val="3"/>
          </w:tcPr>
          <w:p>
            <w:pPr>
              <w:spacing w:after="0"/>
              <w:rPr>
                <w:sz w:val="19"/>
                <w:szCs w:val="19"/>
                <w:color w:val="auto"/>
              </w:rPr>
            </w:pPr>
          </w:p>
        </w:tc>
      </w:tr>
      <w:tr>
        <w:trPr>
          <w:trHeight w:val="195"/>
        </w:trPr>
        <w:tc>
          <w:tcPr>
            <w:tcW w:w="20" w:type="dxa"/>
            <w:vAlign w:val="bottom"/>
          </w:tcPr>
          <w:p>
            <w:pPr>
              <w:spacing w:after="0"/>
              <w:rPr>
                <w:sz w:val="16"/>
                <w:szCs w:val="16"/>
                <w:color w:val="auto"/>
              </w:rPr>
            </w:pPr>
          </w:p>
        </w:tc>
        <w:tc>
          <w:tcPr>
            <w:tcW w:w="4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75,533</w:t>
            </w:r>
          </w:p>
        </w:tc>
        <w:tc>
          <w:tcPr>
            <w:tcW w:w="220" w:type="dxa"/>
            <w:vAlign w:val="bottom"/>
          </w:tcPr>
          <w:p>
            <w:pPr>
              <w:spacing w:after="0"/>
              <w:rPr>
                <w:sz w:val="16"/>
                <w:szCs w:val="16"/>
                <w:color w:val="auto"/>
              </w:rPr>
            </w:pPr>
          </w:p>
        </w:tc>
        <w:tc>
          <w:tcPr>
            <w:tcW w:w="50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gridSpan w:val="2"/>
          </w:tcPr>
          <w:p>
            <w:pPr>
              <w:jc w:val="right"/>
              <w:ind w:right="20"/>
              <w:spacing w:after="0" w:line="195" w:lineRule="exact"/>
              <w:rPr>
                <w:sz w:val="20"/>
                <w:szCs w:val="20"/>
                <w:color w:val="auto"/>
              </w:rPr>
            </w:pPr>
            <w:r>
              <w:rPr>
                <w:rFonts w:ascii="Arial" w:cs="Arial" w:eastAsia="Arial" w:hAnsi="Arial"/>
                <w:sz w:val="18"/>
                <w:szCs w:val="18"/>
                <w:color w:val="auto"/>
              </w:rPr>
              <w:t>73,399</w:t>
            </w:r>
          </w:p>
        </w:tc>
        <w:tc>
          <w:tcPr>
            <w:tcW w:w="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1,861</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1,861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4"/>
        </w:trPr>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(5,660)</w:t>
            </w: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(5,673)</w:t>
            </w:r>
          </w:p>
        </w:tc>
      </w:tr>
      <w:tr>
        <w:trPr>
          <w:trHeight w:val="223"/>
        </w:trPr>
        <w:tc>
          <w:tcPr>
            <w:tcW w:w="20" w:type="dxa"/>
            <w:vAlign w:val="bottom"/>
          </w:tcPr>
          <w:p>
            <w:pPr>
              <w:spacing w:after="0"/>
              <w:rPr>
                <w:sz w:val="19"/>
                <w:szCs w:val="19"/>
                <w:color w:val="auto"/>
              </w:rPr>
            </w:pPr>
          </w:p>
        </w:tc>
        <w:tc>
          <w:tcPr>
            <w:tcW w:w="4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71,734</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69,587</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380" w:space="720"/>
            <w:col w:w="3100"/>
          </w:cols>
          <w:pgMar w:left="320" w:top="233" w:right="379" w:bottom="1440" w:gutter="0" w:footer="0" w:header="0"/>
          <w:type w:val="continuous"/>
        </w:sect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A reconciliation of direct to net losses and loss adjustment expenses is as follows:</w:t>
      </w:r>
    </w:p>
    <w:p>
      <w:pPr>
        <w:sectPr>
          <w:pgSz w:w="11900" w:h="16838" w:orient="portrait"/>
          <w:cols w:equalWidth="0" w:num="1">
            <w:col w:w="11200"/>
          </w:cols>
          <w:pgMar w:left="320" w:top="233"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7"/>
          <w:szCs w:val="17"/>
          <w:color w:val="auto"/>
        </w:rPr>
        <w:t>Direct losses and loss adjustment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146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Assumed losses and loss adjustment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146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Ceded losses and loss adjustment expenses</w:t>
      </w:r>
    </w:p>
    <w:p>
      <w:pPr>
        <w:spacing w:after="0" w:line="32" w:lineRule="exact"/>
        <w:rPr>
          <w:sz w:val="20"/>
          <w:szCs w:val="20"/>
          <w:color w:val="auto"/>
        </w:rPr>
      </w:pPr>
    </w:p>
    <w:p>
      <w:pPr>
        <w:ind w:left="260"/>
        <w:spacing w:after="0"/>
        <w:rPr>
          <w:sz w:val="20"/>
          <w:szCs w:val="20"/>
          <w:color w:val="auto"/>
        </w:rPr>
      </w:pPr>
      <w:r>
        <w:rPr>
          <w:rFonts w:ascii="Arial" w:cs="Arial" w:eastAsia="Arial" w:hAnsi="Arial"/>
          <w:sz w:val="16"/>
          <w:szCs w:val="16"/>
          <w:color w:val="auto"/>
        </w:rPr>
        <w:t>Net losses and loss adjustment expenses</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Three Months Ended March 31,</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95"/>
        </w:trPr>
        <w:tc>
          <w:tcPr>
            <w:tcW w:w="20" w:type="dxa"/>
            <w:vAlign w:val="bottom"/>
          </w:tcPr>
          <w:p>
            <w:pPr>
              <w:spacing w:after="0"/>
              <w:rPr>
                <w:sz w:val="16"/>
                <w:szCs w:val="16"/>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line="195" w:lineRule="exact"/>
              <w:rPr>
                <w:sz w:val="20"/>
                <w:szCs w:val="20"/>
                <w:color w:val="auto"/>
              </w:rPr>
            </w:pPr>
            <w:r>
              <w:rPr>
                <w:rFonts w:ascii="Arial" w:cs="Arial" w:eastAsia="Arial" w:hAnsi="Arial"/>
                <w:sz w:val="18"/>
                <w:szCs w:val="18"/>
                <w:color w:val="auto"/>
              </w:rPr>
              <w:t>70,861</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line="195" w:lineRule="exact"/>
              <w:rPr>
                <w:sz w:val="20"/>
                <w:szCs w:val="20"/>
                <w:color w:val="auto"/>
              </w:rPr>
            </w:pPr>
            <w:r>
              <w:rPr>
                <w:rFonts w:ascii="Arial" w:cs="Arial" w:eastAsia="Arial" w:hAnsi="Arial"/>
                <w:sz w:val="18"/>
                <w:szCs w:val="18"/>
                <w:color w:val="auto"/>
              </w:rPr>
              <w:t>45,495</w:t>
            </w: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4"/>
        </w:trPr>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(12,126)</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(5,376)</w:t>
            </w:r>
          </w:p>
        </w:tc>
      </w:tr>
      <w:tr>
        <w:trPr>
          <w:trHeight w:val="223"/>
        </w:trPr>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58,825</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40,129</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720" w:space="720"/>
            <w:col w:w="2760"/>
          </w:cols>
          <w:pgMar w:left="320" w:top="233" w:right="379" w:bottom="1440" w:gutter="0" w:footer="0" w:header="0"/>
          <w:type w:val="continuous"/>
        </w:sectPr>
      </w:pPr>
    </w:p>
    <w:p>
      <w:pPr>
        <w:spacing w:after="0" w:line="218" w:lineRule="exact"/>
        <w:rPr>
          <w:sz w:val="20"/>
          <w:szCs w:val="20"/>
          <w:color w:val="auto"/>
        </w:rPr>
      </w:pPr>
    </w:p>
    <w:p>
      <w:pPr>
        <w:ind w:left="20" w:right="360"/>
        <w:spacing w:after="0" w:line="277" w:lineRule="auto"/>
        <w:rPr>
          <w:sz w:val="20"/>
          <w:szCs w:val="20"/>
          <w:color w:val="auto"/>
        </w:rPr>
      </w:pPr>
      <w:r>
        <w:rPr>
          <w:rFonts w:ascii="Arial" w:cs="Arial" w:eastAsia="Arial" w:hAnsi="Arial"/>
          <w:sz w:val="18"/>
          <w:szCs w:val="18"/>
          <w:color w:val="auto"/>
        </w:rPr>
        <w:t>If 100% of our ceded reinsurance was cancelled as of March 31, 2023, or December 31, 2022, no ceded commissions would need to be returned to the reinsurers. Reinsurance contracts are typically effective from January 1 through December 31 each year.</w:t>
      </w:r>
    </w:p>
    <w:p>
      <w:pPr>
        <w:spacing w:after="0" w:line="200" w:lineRule="exact"/>
        <w:rPr>
          <w:sz w:val="20"/>
          <w:szCs w:val="20"/>
          <w:color w:val="auto"/>
        </w:rPr>
      </w:pPr>
    </w:p>
    <w:p>
      <w:pPr>
        <w:spacing w:after="0" w:line="331"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Deferred Policy Acquisition Costs</w:t>
      </w:r>
    </w:p>
    <w:p>
      <w:pPr>
        <w:spacing w:after="0" w:line="189" w:lineRule="exact"/>
        <w:rPr>
          <w:sz w:val="20"/>
          <w:szCs w:val="20"/>
          <w:color w:val="auto"/>
        </w:rPr>
      </w:pPr>
    </w:p>
    <w:p>
      <w:pPr>
        <w:ind w:left="20" w:right="20"/>
        <w:spacing w:after="0" w:line="263" w:lineRule="auto"/>
        <w:rPr>
          <w:sz w:val="20"/>
          <w:szCs w:val="20"/>
          <w:color w:val="auto"/>
        </w:rPr>
      </w:pPr>
      <w:r>
        <w:rPr>
          <w:rFonts w:ascii="Arial" w:cs="Arial" w:eastAsia="Arial" w:hAnsi="Arial"/>
          <w:sz w:val="18"/>
          <w:szCs w:val="18"/>
          <w:color w:val="auto"/>
        </w:rPr>
        <w:t>Expenses directly related to successfully acquire insurance policies, primarily commissions, premium taxes and underwriting costs, are deferred and amortized over the terms of the policies. We update our acquisition cost assumptions periodically to reflect actual experience, and we evaluate the costs for recoverability. The table below shows the deferred policy acquisition costs and asset reconciliation:</w:t>
      </w:r>
    </w:p>
    <w:p>
      <w:pPr>
        <w:sectPr>
          <w:pgSz w:w="11900" w:h="16838" w:orient="portrait"/>
          <w:cols w:equalWidth="0" w:num="1">
            <w:col w:w="11200"/>
          </w:cols>
          <w:pgMar w:left="320" w:top="233"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Balance,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6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Deferral of policy acquisition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Amortization of deferred policy acquisition costs</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Balance, end of period</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Three Months Ended March 31,</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95"/>
        </w:trPr>
        <w:tc>
          <w:tcPr>
            <w:tcW w:w="20" w:type="dxa"/>
            <w:vAlign w:val="bottom"/>
          </w:tcPr>
          <w:p>
            <w:pPr>
              <w:spacing w:after="0"/>
              <w:rPr>
                <w:sz w:val="16"/>
                <w:szCs w:val="16"/>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Pr>
          <w:p>
            <w:pPr>
              <w:ind w:left="480"/>
              <w:spacing w:after="0" w:line="195" w:lineRule="exact"/>
              <w:rPr>
                <w:sz w:val="20"/>
                <w:szCs w:val="20"/>
                <w:color w:val="auto"/>
              </w:rPr>
            </w:pPr>
            <w:r>
              <w:rPr>
                <w:rFonts w:ascii="Arial" w:cs="Arial" w:eastAsia="Arial" w:hAnsi="Arial"/>
                <w:sz w:val="18"/>
                <w:szCs w:val="18"/>
                <w:color w:val="auto"/>
                <w:w w:val="83"/>
              </w:rPr>
              <w:t>29,768</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line="195" w:lineRule="exact"/>
              <w:rPr>
                <w:sz w:val="20"/>
                <w:szCs w:val="20"/>
                <w:color w:val="auto"/>
              </w:rPr>
            </w:pPr>
            <w:r>
              <w:rPr>
                <w:rFonts w:ascii="Arial" w:cs="Arial" w:eastAsia="Arial" w:hAnsi="Arial"/>
                <w:sz w:val="18"/>
                <w:szCs w:val="18"/>
                <w:color w:val="auto"/>
              </w:rPr>
              <w:t>24,947</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ind w:left="480"/>
              <w:spacing w:after="0"/>
              <w:rPr>
                <w:sz w:val="20"/>
                <w:szCs w:val="20"/>
                <w:color w:val="auto"/>
              </w:rPr>
            </w:pPr>
            <w:r>
              <w:rPr>
                <w:rFonts w:ascii="Arial" w:cs="Arial" w:eastAsia="Arial" w:hAnsi="Arial"/>
                <w:sz w:val="18"/>
                <w:szCs w:val="18"/>
                <w:color w:val="auto"/>
              </w:rPr>
              <w:t>20,170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16,948</w:t>
            </w:r>
          </w:p>
        </w:tc>
        <w:tc>
          <w:tcPr>
            <w:tcW w:w="40" w:type="dxa"/>
            <w:vAlign w:val="bottom"/>
          </w:tcPr>
          <w:p>
            <w:pPr>
              <w:spacing w:after="0"/>
              <w:rPr>
                <w:sz w:val="18"/>
                <w:szCs w:val="18"/>
                <w:color w:val="auto"/>
              </w:rPr>
            </w:pPr>
          </w:p>
        </w:tc>
      </w:tr>
      <w:tr>
        <w:trPr>
          <w:trHeight w:val="244"/>
        </w:trPr>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(18,588)</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(15,623)</w:t>
            </w:r>
          </w:p>
        </w:tc>
      </w:tr>
      <w:tr>
        <w:trPr>
          <w:trHeight w:val="223"/>
        </w:trPr>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8"/>
                <w:szCs w:val="18"/>
                <w:color w:val="auto"/>
                <w:w w:val="83"/>
              </w:rPr>
              <w:t>31,350</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26,272</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720" w:space="720"/>
            <w:col w:w="2760"/>
          </w:cols>
          <w:pgMar w:left="320" w:top="233" w:right="379" w:bottom="1440" w:gutter="0" w:footer="0" w:header="0"/>
          <w:type w:val="continuous"/>
        </w:sectPr>
      </w:pP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9"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Unpaid Losses and Loss Adjustment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Activity in the liability for unpaid losses and loss adjustment expenses is summarized as follows:</w:t>
      </w:r>
    </w:p>
    <w:p>
      <w:pPr>
        <w:spacing w:after="0" w:line="194" w:lineRule="exact"/>
        <w:rPr>
          <w:sz w:val="20"/>
          <w:szCs w:val="20"/>
          <w:color w:val="auto"/>
        </w:rPr>
      </w:pPr>
    </w:p>
    <w:p>
      <w:pPr>
        <w:jc w:val="center"/>
        <w:ind w:left="832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31750</wp:posOffset>
            </wp:positionV>
            <wp:extent cx="170561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705610" cy="8255"/>
                    </a:xfrm>
                    <a:prstGeom prst="rect">
                      <a:avLst/>
                    </a:prstGeom>
                    <a:noFill/>
                  </pic:spPr>
                </pic:pic>
              </a:graphicData>
            </a:graphic>
          </wp:anchor>
        </w:drawing>
      </w:r>
    </w:p>
    <w:p>
      <w:pPr>
        <w:spacing w:after="0" w:line="39" w:lineRule="exact"/>
        <w:rPr>
          <w:sz w:val="20"/>
          <w:szCs w:val="20"/>
          <w:color w:val="auto"/>
        </w:rPr>
      </w:pPr>
    </w:p>
    <w:p>
      <w:pPr>
        <w:ind w:left="8880"/>
        <w:spacing w:after="0"/>
        <w:tabs>
          <w:tab w:leader="none" w:pos="10320" w:val="left"/>
        </w:tabs>
        <w:rPr>
          <w:sz w:val="20"/>
          <w:szCs w:val="20"/>
          <w:color w:val="auto"/>
        </w:rPr>
      </w:pPr>
      <w:r>
        <w:rPr>
          <w:rFonts w:ascii="Arial" w:cs="Arial" w:eastAsia="Arial" w:hAnsi="Arial"/>
          <w:sz w:val="18"/>
          <w:szCs w:val="18"/>
          <w:b w:val="1"/>
          <w:bCs w:val="1"/>
          <w:color w:val="auto"/>
        </w:rPr>
        <w:t>2023</w:t>
      </w:r>
      <w:r>
        <w:rPr>
          <w:sz w:val="20"/>
          <w:szCs w:val="20"/>
          <w:color w:val="auto"/>
        </w:rPr>
        <w:tab/>
      </w:r>
      <w:r>
        <w:rPr>
          <w:rFonts w:ascii="Arial" w:cs="Arial" w:eastAsia="Arial" w:hAnsi="Arial"/>
          <w:sz w:val="18"/>
          <w:szCs w:val="18"/>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54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Balance, beginning of period:</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Liability for unpaid losses and loss adjustment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454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Reinsurance recoverables on losses</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Net balance, beginning of period</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190,459</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139,662</w:t>
            </w:r>
          </w:p>
        </w:tc>
      </w:tr>
      <w:tr>
        <w:trPr>
          <w:trHeight w:val="230"/>
        </w:trPr>
        <w:tc>
          <w:tcPr>
            <w:tcW w:w="38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37,575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21,200</w:t>
            </w:r>
          </w:p>
        </w:tc>
      </w:tr>
      <w:tr>
        <w:trPr>
          <w:trHeight w:val="210"/>
        </w:trPr>
        <w:tc>
          <w:tcPr>
            <w:tcW w:w="3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152,884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118,462</w:t>
            </w:r>
          </w:p>
        </w:tc>
      </w:tr>
    </w:tbl>
    <w:p>
      <w:pPr>
        <w:spacing w:after="0" w:line="20" w:lineRule="exact"/>
        <w:rPr>
          <w:sz w:val="20"/>
          <w:szCs w:val="20"/>
          <w:color w:val="auto"/>
        </w:rPr>
      </w:pPr>
    </w:p>
    <w:p>
      <w:pPr>
        <w:sectPr>
          <w:pgSz w:w="11900" w:h="16838" w:orient="portrait"/>
          <w:cols w:equalWidth="0" w:num="2">
            <w:col w:w="7720" w:space="720"/>
            <w:col w:w="2800"/>
          </w:cols>
          <w:pgMar w:left="320" w:top="233"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84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Incurred related to:</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year</w:t>
            </w:r>
          </w:p>
        </w:tc>
        <w:tc>
          <w:tcPr>
            <w:tcW w:w="14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48,854</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42,116</w:t>
            </w:r>
          </w:p>
        </w:tc>
      </w:tr>
      <w:tr>
        <w:trPr>
          <w:trHeight w:val="229"/>
        </w:trPr>
        <w:tc>
          <w:tcPr>
            <w:tcW w:w="8440" w:type="dxa"/>
            <w:vAlign w:val="bottom"/>
          </w:tcPr>
          <w:p>
            <w:pPr>
              <w:ind w:left="140"/>
              <w:spacing w:after="0"/>
              <w:rPr>
                <w:sz w:val="20"/>
                <w:szCs w:val="20"/>
                <w:color w:val="auto"/>
              </w:rPr>
            </w:pPr>
            <w:r>
              <w:rPr>
                <w:rFonts w:ascii="Arial" w:cs="Arial" w:eastAsia="Arial" w:hAnsi="Arial"/>
                <w:sz w:val="18"/>
                <w:szCs w:val="18"/>
                <w:color w:val="auto"/>
              </w:rPr>
              <w:t>Prior years</w:t>
            </w:r>
          </w:p>
        </w:tc>
        <w:tc>
          <w:tcPr>
            <w:tcW w:w="1460" w:type="dxa"/>
            <w:vAlign w:val="bottom"/>
            <w:gridSpan w:val="2"/>
          </w:tcPr>
          <w:p>
            <w:pPr>
              <w:ind w:left="840"/>
              <w:spacing w:after="0"/>
              <w:rPr>
                <w:sz w:val="20"/>
                <w:szCs w:val="20"/>
                <w:color w:val="auto"/>
              </w:rPr>
            </w:pPr>
            <w:r>
              <w:rPr>
                <w:rFonts w:ascii="Arial" w:cs="Arial" w:eastAsia="Arial" w:hAnsi="Arial"/>
                <w:sz w:val="18"/>
                <w:szCs w:val="18"/>
                <w:color w:val="auto"/>
              </w:rPr>
              <w:t>9,971</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(1,987)</w:t>
            </w:r>
          </w:p>
        </w:tc>
      </w:tr>
      <w:tr>
        <w:trPr>
          <w:trHeight w:val="209"/>
        </w:trPr>
        <w:tc>
          <w:tcPr>
            <w:tcW w:w="844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incurred</w:t>
            </w:r>
          </w:p>
        </w:tc>
        <w:tc>
          <w:tcPr>
            <w:tcW w:w="1240" w:type="dxa"/>
            <w:vAlign w:val="bottom"/>
            <w:tcBorders>
              <w:top w:val="single" w:sz="8" w:color="auto"/>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w w:val="83"/>
              </w:rPr>
              <w:t>58,825</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40,129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8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Paid related to:</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ind w:left="140"/>
              <w:spacing w:after="0"/>
              <w:rPr>
                <w:sz w:val="20"/>
                <w:szCs w:val="20"/>
                <w:color w:val="auto"/>
              </w:rPr>
            </w:pPr>
            <w:r>
              <w:rPr>
                <w:rFonts w:ascii="Arial" w:cs="Arial" w:eastAsia="Arial" w:hAnsi="Arial"/>
                <w:sz w:val="18"/>
                <w:szCs w:val="18"/>
                <w:color w:val="auto"/>
              </w:rPr>
              <w:t>Current year</w:t>
            </w:r>
          </w:p>
        </w:tc>
        <w:tc>
          <w:tcPr>
            <w:tcW w:w="1460" w:type="dxa"/>
            <w:vAlign w:val="bottom"/>
            <w:gridSpan w:val="2"/>
          </w:tcPr>
          <w:p>
            <w:pPr>
              <w:ind w:left="760"/>
              <w:spacing w:after="0"/>
              <w:rPr>
                <w:sz w:val="20"/>
                <w:szCs w:val="20"/>
                <w:color w:val="auto"/>
              </w:rPr>
            </w:pPr>
            <w:r>
              <w:rPr>
                <w:rFonts w:ascii="Arial" w:cs="Arial" w:eastAsia="Arial" w:hAnsi="Arial"/>
                <w:sz w:val="18"/>
                <w:szCs w:val="18"/>
                <w:color w:val="auto"/>
              </w:rPr>
              <w:t>14,528</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13,512</w:t>
            </w:r>
          </w:p>
        </w:tc>
      </w:tr>
      <w:tr>
        <w:trPr>
          <w:trHeight w:val="229"/>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Prior years</w:t>
            </w:r>
          </w:p>
        </w:tc>
        <w:tc>
          <w:tcPr>
            <w:tcW w:w="14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38,033</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30,747</w:t>
            </w:r>
          </w:p>
        </w:tc>
      </w:tr>
      <w:tr>
        <w:trPr>
          <w:trHeight w:val="210"/>
        </w:trPr>
        <w:tc>
          <w:tcPr>
            <w:tcW w:w="844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Total paid</w:t>
            </w:r>
          </w:p>
        </w:tc>
        <w:tc>
          <w:tcPr>
            <w:tcW w:w="124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8"/>
                <w:szCs w:val="18"/>
                <w:color w:val="auto"/>
                <w:w w:val="83"/>
              </w:rPr>
              <w:t>52,561</w:t>
            </w:r>
          </w:p>
        </w:tc>
        <w:tc>
          <w:tcPr>
            <w:tcW w:w="2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44,259</w:t>
            </w:r>
          </w:p>
        </w:tc>
        <w:tc>
          <w:tcPr>
            <w:tcW w:w="100" w:type="dxa"/>
            <w:vAlign w:val="bottom"/>
            <w:tcBorders>
              <w:bottom w:val="single" w:sz="8" w:color="CCEEFF"/>
            </w:tcBorders>
          </w:tcPr>
          <w:p>
            <w:pPr>
              <w:spacing w:after="0"/>
              <w:rPr>
                <w:sz w:val="18"/>
                <w:szCs w:val="18"/>
                <w:color w:val="auto"/>
              </w:rPr>
            </w:pPr>
          </w:p>
        </w:tc>
      </w:tr>
      <w:tr>
        <w:trPr>
          <w:trHeight w:val="209"/>
        </w:trPr>
        <w:tc>
          <w:tcPr>
            <w:tcW w:w="84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233" w:right="339" w:bottom="1440" w:gutter="0" w:footer="0" w:header="0"/>
          <w:type w:val="continuous"/>
        </w:sectPr>
      </w:pPr>
    </w:p>
    <w:p>
      <w:pPr>
        <w:spacing w:after="0"/>
        <w:rPr>
          <w:sz w:val="20"/>
          <w:szCs w:val="20"/>
          <w:color w:val="auto"/>
        </w:rPr>
      </w:pPr>
      <w:r>
        <w:rPr>
          <w:rFonts w:ascii="Arial" w:cs="Arial" w:eastAsia="Arial" w:hAnsi="Arial"/>
          <w:sz w:val="18"/>
          <w:szCs w:val="18"/>
          <w:color w:val="auto"/>
        </w:rPr>
        <w:t>Balance,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40"/>
        <w:spacing w:after="0"/>
        <w:rPr>
          <w:sz w:val="20"/>
          <w:szCs w:val="20"/>
          <w:color w:val="auto"/>
        </w:rPr>
      </w:pPr>
      <w:r>
        <w:rPr>
          <w:rFonts w:ascii="Arial" w:cs="Arial" w:eastAsia="Arial" w:hAnsi="Arial"/>
          <w:sz w:val="16"/>
          <w:szCs w:val="16"/>
          <w:color w:val="auto"/>
        </w:rPr>
        <w:t>Liability for unpaid losses and loss adjustment expenses</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Reinsurance recoverables on losses</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Net balance,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31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16"/>
          <w:szCs w:val="16"/>
          <w:color w:val="auto"/>
        </w:rPr>
        <w:t>204,790</w:t>
      </w:r>
      <w:r>
        <w:rPr>
          <w:sz w:val="20"/>
          <w:szCs w:val="20"/>
          <w:color w:val="auto"/>
        </w:rPr>
        <w:tab/>
      </w:r>
      <w:r>
        <w:rPr>
          <w:rFonts w:ascii="Arial" w:cs="Arial" w:eastAsia="Arial" w:hAnsi="Arial"/>
          <w:sz w:val="16"/>
          <w:szCs w:val="16"/>
          <w:color w:val="auto"/>
        </w:rPr>
        <w:t>133,694</w:t>
      </w:r>
    </w:p>
    <w:p>
      <w:pPr>
        <w:spacing w:after="0" w:line="46" w:lineRule="exact"/>
        <w:rPr>
          <w:sz w:val="20"/>
          <w:szCs w:val="20"/>
          <w:color w:val="auto"/>
        </w:rPr>
      </w:pPr>
    </w:p>
    <w:p>
      <w:pPr>
        <w:jc w:val="both"/>
        <w:ind w:left="760"/>
        <w:spacing w:after="0"/>
        <w:tabs>
          <w:tab w:leader="none" w:pos="2180" w:val="left"/>
        </w:tabs>
        <w:rPr>
          <w:sz w:val="20"/>
          <w:szCs w:val="20"/>
          <w:color w:val="auto"/>
        </w:rPr>
      </w:pPr>
      <w:r>
        <w:rPr>
          <w:rFonts w:ascii="Arial" w:cs="Arial" w:eastAsia="Arial" w:hAnsi="Arial"/>
          <w:sz w:val="18"/>
          <w:szCs w:val="18"/>
          <w:color w:val="auto"/>
        </w:rPr>
        <w:t>45,642</w:t>
      </w:r>
      <w:r>
        <w:rPr>
          <w:sz w:val="20"/>
          <w:szCs w:val="20"/>
          <w:color w:val="auto"/>
        </w:rPr>
        <w:tab/>
      </w:r>
      <w:r>
        <w:rPr>
          <w:rFonts w:ascii="Arial" w:cs="Arial" w:eastAsia="Arial" w:hAnsi="Arial"/>
          <w:sz w:val="18"/>
          <w:szCs w:val="18"/>
          <w:color w:val="auto"/>
        </w:rPr>
        <w:t>19,362</w:t>
      </w:r>
    </w:p>
    <w:p>
      <w:pPr>
        <w:spacing w:after="0" w:line="35" w:lineRule="exact"/>
        <w:rPr>
          <w:sz w:val="20"/>
          <w:szCs w:val="20"/>
          <w:color w:val="auto"/>
        </w:rPr>
      </w:pPr>
    </w:p>
    <w:p>
      <w:pPr>
        <w:spacing w:after="0"/>
        <w:tabs>
          <w:tab w:leader="none" w:pos="640" w:val="left"/>
          <w:tab w:leader="none" w:pos="1440" w:val="left"/>
          <w:tab w:leader="none" w:pos="21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159,148</w:t>
        <w:tab/>
        <w:t>$</w:t>
      </w:r>
      <w:r>
        <w:rPr>
          <w:sz w:val="20"/>
          <w:szCs w:val="20"/>
          <w:color w:val="auto"/>
        </w:rPr>
        <w:tab/>
      </w:r>
      <w:r>
        <w:rPr>
          <w:rFonts w:ascii="Arial" w:cs="Arial" w:eastAsia="Arial" w:hAnsi="Arial"/>
          <w:sz w:val="16"/>
          <w:szCs w:val="16"/>
          <w:color w:val="auto"/>
        </w:rPr>
        <w:t>114,332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31750</wp:posOffset>
            </wp:positionV>
            <wp:extent cx="170561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70561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720" w:space="720"/>
            <w:col w:w="2800"/>
          </w:cols>
          <w:pgMar w:left="320" w:top="233" w:right="339" w:bottom="1440" w:gutter="0" w:footer="0" w:header="0"/>
          <w:type w:val="continuous"/>
        </w:sectPr>
      </w:pPr>
    </w:p>
    <w:p>
      <w:pPr>
        <w:spacing w:after="0" w:line="282" w:lineRule="exact"/>
        <w:rPr>
          <w:sz w:val="20"/>
          <w:szCs w:val="20"/>
          <w:color w:val="auto"/>
        </w:rPr>
      </w:pPr>
    </w:p>
    <w:p>
      <w:pPr>
        <w:ind w:left="20" w:right="140"/>
        <w:spacing w:after="0" w:line="259" w:lineRule="auto"/>
        <w:rPr>
          <w:sz w:val="20"/>
          <w:szCs w:val="20"/>
          <w:color w:val="auto"/>
        </w:rPr>
      </w:pPr>
      <w:r>
        <w:rPr>
          <w:rFonts w:ascii="Arial" w:cs="Arial" w:eastAsia="Arial" w:hAnsi="Arial"/>
          <w:sz w:val="18"/>
          <w:szCs w:val="18"/>
          <w:color w:val="auto"/>
        </w:rPr>
        <w:t>During the three months ended March 31, 2023, the Company’s incurred reported losses and loss adjustment expenses included $9,971 of net unfavorable development on prior accident years, primarily attributable to Direct Auto and Westminster. During the three months ended March 31, 2022, the Company’s incurred reported losses and loss adjustment expenses included $1,987 of net favorable development on prior accident years, primarily attributable to Battle Creek.</w:t>
      </w:r>
    </w:p>
    <w:p>
      <w:pPr>
        <w:spacing w:after="0" w:line="160" w:lineRule="exact"/>
        <w:rPr>
          <w:sz w:val="20"/>
          <w:szCs w:val="20"/>
          <w:color w:val="auto"/>
        </w:rPr>
      </w:pPr>
    </w:p>
    <w:p>
      <w:pPr>
        <w:ind w:left="20" w:right="20"/>
        <w:spacing w:after="0" w:line="277" w:lineRule="auto"/>
        <w:rPr>
          <w:sz w:val="20"/>
          <w:szCs w:val="20"/>
          <w:color w:val="auto"/>
        </w:rPr>
      </w:pPr>
      <w:r>
        <w:rPr>
          <w:rFonts w:ascii="Arial" w:cs="Arial" w:eastAsia="Arial" w:hAnsi="Arial"/>
          <w:sz w:val="18"/>
          <w:szCs w:val="18"/>
          <w:color w:val="auto"/>
        </w:rPr>
        <w:t>Changes in unpaid losses and loss adjustment expense reserves are generally the result of ongoing analysis of recent loss development trends. As additional information becomes known regarding individual claims, original estimates are increased or decreased accordingly.</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r>
              <w:rPr>
                <w:rFonts w:ascii="Arial" w:cs="Arial" w:eastAsia="Arial" w:hAnsi="Arial"/>
                <w:sz w:val="18"/>
                <w:szCs w:val="18"/>
                <w:b w:val="1"/>
                <w:bCs w:val="1"/>
                <w:color w:val="auto"/>
                <w:w w:val="92"/>
              </w:rPr>
              <w:t>8.</w:t>
            </w:r>
          </w:p>
        </w:tc>
        <w:tc>
          <w:tcPr>
            <w:tcW w:w="6080" w:type="dxa"/>
            <w:vAlign w:val="bottom"/>
          </w:tcPr>
          <w:p>
            <w:pPr>
              <w:ind w:left="500"/>
              <w:spacing w:after="0"/>
              <w:rPr>
                <w:sz w:val="20"/>
                <w:szCs w:val="20"/>
                <w:color w:val="auto"/>
              </w:rPr>
            </w:pPr>
            <w:r>
              <w:rPr>
                <w:rFonts w:ascii="Arial" w:cs="Arial" w:eastAsia="Arial" w:hAnsi="Arial"/>
                <w:sz w:val="18"/>
                <w:szCs w:val="18"/>
                <w:b w:val="1"/>
                <w:bCs w:val="1"/>
                <w:color w:val="auto"/>
              </w:rPr>
              <w:t>Property and Equipment</w:t>
            </w: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240" w:type="dxa"/>
            <w:vAlign w:val="bottom"/>
            <w:gridSpan w:val="2"/>
          </w:tcPr>
          <w:p>
            <w:pPr>
              <w:spacing w:after="0"/>
              <w:rPr>
                <w:sz w:val="20"/>
                <w:szCs w:val="20"/>
                <w:color w:val="auto"/>
              </w:rPr>
            </w:pPr>
            <w:r>
              <w:rPr>
                <w:rFonts w:ascii="Arial" w:cs="Arial" w:eastAsia="Arial" w:hAnsi="Arial"/>
                <w:sz w:val="18"/>
                <w:szCs w:val="18"/>
                <w:color w:val="auto"/>
              </w:rPr>
              <w:t>Property and equipment consisted of the following:</w:t>
            </w: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6240" w:type="dxa"/>
            <w:vAlign w:val="bottom"/>
            <w:gridSpan w:val="2"/>
            <w:vMerge w:val="restart"/>
          </w:tcPr>
          <w:p>
            <w:pPr>
              <w:spacing w:after="0"/>
              <w:rPr>
                <w:sz w:val="20"/>
                <w:szCs w:val="20"/>
                <w:color w:val="auto"/>
              </w:rPr>
            </w:pPr>
            <w:r>
              <w:rPr>
                <w:rFonts w:ascii="Arial" w:cs="Arial" w:eastAsia="Arial" w:hAnsi="Arial"/>
                <w:sz w:val="18"/>
                <w:szCs w:val="18"/>
                <w:color w:val="auto"/>
              </w:rPr>
              <w:t>Cost:</w:t>
            </w:r>
          </w:p>
        </w:tc>
        <w:tc>
          <w:tcPr>
            <w:tcW w:w="120" w:type="dxa"/>
            <w:vAlign w:val="bottom"/>
          </w:tcPr>
          <w:p>
            <w:pPr>
              <w:spacing w:after="0"/>
              <w:rPr>
                <w:sz w:val="24"/>
                <w:szCs w:val="24"/>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2"/>
              </w:rPr>
              <w:t>March 31, 2023</w:t>
            </w:r>
          </w:p>
        </w:tc>
        <w:tc>
          <w:tcPr>
            <w:tcW w:w="3420" w:type="dxa"/>
            <w:vAlign w:val="bottom"/>
            <w:gridSpan w:val="6"/>
          </w:tcPr>
          <w:p>
            <w:pPr>
              <w:ind w:left="80"/>
              <w:spacing w:after="0"/>
              <w:rPr>
                <w:sz w:val="20"/>
                <w:szCs w:val="20"/>
                <w:color w:val="auto"/>
              </w:rPr>
            </w:pPr>
            <w:r>
              <w:rPr>
                <w:rFonts w:ascii="Arial" w:cs="Arial" w:eastAsia="Arial" w:hAnsi="Arial"/>
                <w:sz w:val="18"/>
                <w:szCs w:val="18"/>
                <w:b w:val="1"/>
                <w:bCs w:val="1"/>
                <w:color w:val="auto"/>
                <w:w w:val="93"/>
              </w:rPr>
              <w:t>December 31, 2022  Estimated Useful Life</w:t>
            </w:r>
          </w:p>
        </w:tc>
        <w:tc>
          <w:tcPr>
            <w:tcW w:w="0" w:type="dxa"/>
            <w:vAlign w:val="bottom"/>
          </w:tcPr>
          <w:p>
            <w:pPr>
              <w:spacing w:after="0"/>
              <w:rPr>
                <w:sz w:val="1"/>
                <w:szCs w:val="1"/>
                <w:color w:val="auto"/>
              </w:rPr>
            </w:pPr>
          </w:p>
        </w:tc>
      </w:tr>
      <w:tr>
        <w:trPr>
          <w:trHeight w:val="210"/>
        </w:trPr>
        <w:tc>
          <w:tcPr>
            <w:tcW w:w="6240" w:type="dxa"/>
            <w:vAlign w:val="bottom"/>
            <w:gridSpan w:val="2"/>
            <w:vMerge w:val="continue"/>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1,403</w:t>
            </w:r>
          </w:p>
        </w:tc>
        <w:tc>
          <w:tcPr>
            <w:tcW w:w="5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1,403</w:t>
            </w:r>
          </w:p>
        </w:tc>
        <w:tc>
          <w:tcPr>
            <w:tcW w:w="16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6080" w:type="dxa"/>
            <w:vAlign w:val="bottom"/>
          </w:tcPr>
          <w:p>
            <w:pPr>
              <w:ind w:left="20"/>
              <w:spacing w:after="0"/>
              <w:rPr>
                <w:sz w:val="20"/>
                <w:szCs w:val="20"/>
                <w:color w:val="auto"/>
              </w:rPr>
            </w:pPr>
            <w:r>
              <w:rPr>
                <w:rFonts w:ascii="Arial" w:cs="Arial" w:eastAsia="Arial" w:hAnsi="Arial"/>
                <w:sz w:val="18"/>
                <w:szCs w:val="18"/>
                <w:color w:val="auto"/>
              </w:rPr>
              <w:t>Building and improvements</w:t>
            </w:r>
          </w:p>
        </w:tc>
        <w:tc>
          <w:tcPr>
            <w:tcW w:w="12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14,340</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14,271</w:t>
            </w:r>
          </w:p>
        </w:tc>
        <w:tc>
          <w:tcPr>
            <w:tcW w:w="560" w:type="dxa"/>
            <w:vAlign w:val="bottom"/>
          </w:tcPr>
          <w:p>
            <w:pPr>
              <w:jc w:val="right"/>
              <w:spacing w:after="0"/>
              <w:rPr>
                <w:sz w:val="20"/>
                <w:szCs w:val="20"/>
                <w:color w:val="auto"/>
              </w:rPr>
            </w:pPr>
            <w:r>
              <w:rPr>
                <w:rFonts w:ascii="Arial" w:cs="Arial" w:eastAsia="Arial" w:hAnsi="Arial"/>
                <w:sz w:val="18"/>
                <w:szCs w:val="18"/>
                <w:color w:val="auto"/>
              </w:rPr>
              <w:t>10</w:t>
            </w:r>
          </w:p>
        </w:tc>
        <w:tc>
          <w:tcPr>
            <w:tcW w:w="1120" w:type="dxa"/>
            <w:vAlign w:val="bottom"/>
          </w:tcPr>
          <w:p>
            <w:pPr>
              <w:ind w:left="20"/>
              <w:spacing w:after="0"/>
              <w:rPr>
                <w:sz w:val="20"/>
                <w:szCs w:val="20"/>
                <w:color w:val="auto"/>
              </w:rPr>
            </w:pPr>
            <w:r>
              <w:rPr>
                <w:rFonts w:ascii="Arial" w:cs="Arial" w:eastAsia="Arial" w:hAnsi="Arial"/>
                <w:sz w:val="18"/>
                <w:szCs w:val="18"/>
                <w:color w:val="auto"/>
              </w:rPr>
              <w:t>– 43 years</w:t>
            </w: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Electronic data processing equipment</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1,396</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1,310</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7 years</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608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12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2,919</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2,919</w:t>
            </w:r>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c>
          <w:tcPr>
            <w:tcW w:w="1120" w:type="dxa"/>
            <w:vAlign w:val="bottom"/>
          </w:tcPr>
          <w:p>
            <w:pPr>
              <w:ind w:left="20"/>
              <w:spacing w:after="0"/>
              <w:rPr>
                <w:sz w:val="20"/>
                <w:szCs w:val="20"/>
                <w:color w:val="auto"/>
              </w:rPr>
            </w:pPr>
            <w:r>
              <w:rPr>
                <w:rFonts w:ascii="Arial" w:cs="Arial" w:eastAsia="Arial" w:hAnsi="Arial"/>
                <w:sz w:val="18"/>
                <w:szCs w:val="18"/>
                <w:color w:val="auto"/>
              </w:rPr>
              <w:t>– 7 years</w:t>
            </w:r>
          </w:p>
        </w:tc>
        <w:tc>
          <w:tcPr>
            <w:tcW w:w="0" w:type="dxa"/>
            <w:vAlign w:val="bottom"/>
          </w:tcPr>
          <w:p>
            <w:pPr>
              <w:spacing w:after="0"/>
              <w:rPr>
                <w:sz w:val="1"/>
                <w:szCs w:val="1"/>
                <w:color w:val="auto"/>
              </w:rPr>
            </w:pPr>
          </w:p>
        </w:tc>
      </w:tr>
      <w:tr>
        <w:trPr>
          <w:trHeight w:val="230"/>
        </w:trPr>
        <w:tc>
          <w:tcPr>
            <w:tcW w:w="160" w:type="dxa"/>
            <w:vAlign w:val="bottom"/>
            <w:shd w:val="clear" w:color="auto" w:fill="CCEEFF"/>
          </w:tcPr>
          <w:p>
            <w:pPr>
              <w:spacing w:after="0"/>
              <w:rPr>
                <w:sz w:val="19"/>
                <w:szCs w:val="19"/>
                <w:color w:val="auto"/>
              </w:rPr>
            </w:pPr>
          </w:p>
        </w:tc>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Automobiles</w:t>
            </w:r>
          </w:p>
        </w:tc>
        <w:tc>
          <w:tcPr>
            <w:tcW w:w="1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1,330</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1,310</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3 years</w:t>
            </w:r>
          </w:p>
        </w:tc>
        <w:tc>
          <w:tcPr>
            <w:tcW w:w="0" w:type="dxa"/>
            <w:vAlign w:val="bottom"/>
          </w:tcPr>
          <w:p>
            <w:pPr>
              <w:spacing w:after="0"/>
              <w:rPr>
                <w:sz w:val="1"/>
                <w:szCs w:val="1"/>
                <w:color w:val="auto"/>
              </w:rPr>
            </w:pPr>
          </w:p>
        </w:tc>
      </w:tr>
      <w:tr>
        <w:trPr>
          <w:trHeight w:val="209"/>
        </w:trPr>
        <w:tc>
          <w:tcPr>
            <w:tcW w:w="160" w:type="dxa"/>
            <w:vAlign w:val="bottom"/>
          </w:tcPr>
          <w:p>
            <w:pPr>
              <w:spacing w:after="0"/>
              <w:rPr>
                <w:sz w:val="18"/>
                <w:szCs w:val="18"/>
                <w:color w:val="auto"/>
              </w:rPr>
            </w:pPr>
          </w:p>
        </w:tc>
        <w:tc>
          <w:tcPr>
            <w:tcW w:w="6080" w:type="dxa"/>
            <w:vAlign w:val="bottom"/>
          </w:tcPr>
          <w:p>
            <w:pPr>
              <w:ind w:left="180"/>
              <w:spacing w:after="0"/>
              <w:rPr>
                <w:sz w:val="20"/>
                <w:szCs w:val="20"/>
                <w:color w:val="auto"/>
              </w:rPr>
            </w:pPr>
            <w:r>
              <w:rPr>
                <w:rFonts w:ascii="Arial" w:cs="Arial" w:eastAsia="Arial" w:hAnsi="Arial"/>
                <w:sz w:val="18"/>
                <w:szCs w:val="18"/>
                <w:color w:val="auto"/>
              </w:rPr>
              <w:t>Gross cost</w:t>
            </w: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21,388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21,213</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40" w:type="dxa"/>
            <w:vAlign w:val="bottom"/>
            <w:gridSpan w:val="2"/>
          </w:tcPr>
          <w:p>
            <w:pPr>
              <w:spacing w:after="0"/>
              <w:rPr>
                <w:sz w:val="20"/>
                <w:szCs w:val="20"/>
                <w:color w:val="auto"/>
              </w:rPr>
            </w:pPr>
            <w:r>
              <w:rPr>
                <w:rFonts w:ascii="Arial" w:cs="Arial" w:eastAsia="Arial" w:hAnsi="Arial"/>
                <w:sz w:val="18"/>
                <w:szCs w:val="18"/>
                <w:color w:val="auto"/>
              </w:rPr>
              <w:t>Accumulated depreciation</w:t>
            </w:r>
          </w:p>
        </w:tc>
        <w:tc>
          <w:tcPr>
            <w:tcW w:w="120" w:type="dxa"/>
            <w:vAlign w:val="bottom"/>
          </w:tcPr>
          <w:p>
            <w:pPr>
              <w:spacing w:after="0"/>
              <w:rPr>
                <w:sz w:val="19"/>
                <w:szCs w:val="19"/>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(11,470)</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(11,370)</w:t>
            </w:r>
          </w:p>
        </w:tc>
        <w:tc>
          <w:tcPr>
            <w:tcW w:w="5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60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property and equipment, net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9,918</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$182 and $168 for the three months ended March 31, 2023 and 2022, respectively.</w:t>
      </w:r>
    </w:p>
    <w:p>
      <w:pPr>
        <w:sectPr>
          <w:pgSz w:w="11900" w:h="16838" w:orient="portrait"/>
          <w:cols w:equalWidth="0" w:num="1">
            <w:col w:w="11240"/>
          </w:cols>
          <w:pgMar w:left="320" w:top="233" w:right="339" w:bottom="1440" w:gutter="0" w:footer="0" w:header="0"/>
          <w:type w:val="continuous"/>
        </w:sectPr>
      </w:pPr>
    </w:p>
    <w:p>
      <w:pPr>
        <w:spacing w:after="0" w:line="18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9"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carrying amount of the Company’s goodwill by segment: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March 31, 2023</w:t>
            </w:r>
          </w:p>
        </w:tc>
        <w:tc>
          <w:tcPr>
            <w:tcW w:w="1660" w:type="dxa"/>
            <w:vAlign w:val="bottom"/>
            <w:gridSpan w:val="4"/>
          </w:tcPr>
          <w:p>
            <w:pPr>
              <w:ind w:left="100"/>
              <w:spacing w:after="0"/>
              <w:rPr>
                <w:sz w:val="20"/>
                <w:szCs w:val="20"/>
                <w:color w:val="auto"/>
              </w:rPr>
            </w:pPr>
            <w:r>
              <w:rPr>
                <w:rFonts w:ascii="Arial" w:cs="Arial" w:eastAsia="Arial" w:hAnsi="Arial"/>
                <w:sz w:val="18"/>
                <w:szCs w:val="18"/>
                <w:b w:val="1"/>
                <w:bCs w:val="1"/>
                <w:color w:val="auto"/>
                <w:w w:val="94"/>
              </w:rPr>
              <w:t>December 31, 2022</w:t>
            </w:r>
          </w:p>
        </w:tc>
        <w:tc>
          <w:tcPr>
            <w:tcW w:w="0" w:type="dxa"/>
            <w:vAlign w:val="bottom"/>
          </w:tcPr>
          <w:p>
            <w:pPr>
              <w:spacing w:after="0"/>
              <w:rPr>
                <w:sz w:val="1"/>
                <w:szCs w:val="1"/>
                <w:color w:val="auto"/>
              </w:rPr>
            </w:pPr>
          </w:p>
        </w:tc>
      </w:tr>
      <w:tr>
        <w:trPr>
          <w:trHeight w:val="209"/>
        </w:trPr>
        <w:tc>
          <w:tcPr>
            <w:tcW w:w="6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Non-standard auto from acquisition of Primero</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2,628</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Commercial from acquisition of Westminster</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6,756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6,756</w:t>
            </w:r>
          </w:p>
        </w:tc>
        <w:tc>
          <w:tcPr>
            <w:tcW w:w="0" w:type="dxa"/>
            <w:vAlign w:val="bottom"/>
          </w:tcPr>
          <w:p>
            <w:pPr>
              <w:spacing w:after="0"/>
              <w:rPr>
                <w:sz w:val="1"/>
                <w:szCs w:val="1"/>
                <w:color w:val="auto"/>
              </w:rPr>
            </w:pPr>
          </w:p>
        </w:tc>
      </w:tr>
      <w:tr>
        <w:trPr>
          <w:trHeight w:val="223"/>
        </w:trPr>
        <w:tc>
          <w:tcPr>
            <w:tcW w:w="62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Other Intangible Assets</w:t>
            </w: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62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000" w:type="dxa"/>
            <w:vAlign w:val="bottom"/>
            <w:gridSpan w:val="5"/>
          </w:tcPr>
          <w:p>
            <w:pPr>
              <w:spacing w:after="0"/>
              <w:rPr>
                <w:sz w:val="20"/>
                <w:szCs w:val="20"/>
                <w:color w:val="auto"/>
              </w:rPr>
            </w:pPr>
            <w:r>
              <w:rPr>
                <w:rFonts w:ascii="Arial" w:cs="Arial" w:eastAsia="Arial" w:hAnsi="Arial"/>
                <w:sz w:val="18"/>
                <w:szCs w:val="18"/>
                <w:color w:val="auto"/>
              </w:rPr>
              <w:t>The following table presents the carrying amount of the Company’s other intangible assets: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6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Gross Carrying</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200" w:type="dxa"/>
            <w:vAlign w:val="bottom"/>
          </w:tcPr>
          <w:p>
            <w:pPr>
              <w:spacing w:after="0"/>
              <w:rPr>
                <w:sz w:val="20"/>
                <w:szCs w:val="20"/>
                <w:color w:val="auto"/>
              </w:rPr>
            </w:pPr>
            <w:r>
              <w:rPr>
                <w:rFonts w:ascii="Arial" w:cs="Arial" w:eastAsia="Arial" w:hAnsi="Arial"/>
                <w:sz w:val="18"/>
                <w:szCs w:val="18"/>
                <w:b w:val="1"/>
                <w:bCs w:val="1"/>
                <w:color w:val="auto"/>
              </w:rPr>
              <w:t>March 31, 2023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Amount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Amortization</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gridSpan w:val="2"/>
          </w:tcPr>
          <w:p>
            <w:pPr>
              <w:ind w:left="260"/>
              <w:spacing w:after="0"/>
              <w:rPr>
                <w:sz w:val="20"/>
                <w:szCs w:val="20"/>
                <w:color w:val="auto"/>
              </w:rPr>
            </w:pPr>
            <w:r>
              <w:rPr>
                <w:rFonts w:ascii="Arial" w:cs="Arial" w:eastAsia="Arial" w:hAnsi="Arial"/>
                <w:sz w:val="18"/>
                <w:szCs w:val="18"/>
                <w:b w:val="1"/>
                <w:bCs w:val="1"/>
                <w:color w:val="auto"/>
              </w:rPr>
              <w:t>Net</w:t>
            </w:r>
          </w:p>
        </w:tc>
        <w:tc>
          <w:tcPr>
            <w:tcW w:w="0" w:type="dxa"/>
            <w:vAlign w:val="bottom"/>
          </w:tcPr>
          <w:p>
            <w:pPr>
              <w:spacing w:after="0"/>
              <w:rPr>
                <w:sz w:val="1"/>
                <w:szCs w:val="1"/>
                <w:color w:val="auto"/>
              </w:rPr>
            </w:pPr>
          </w:p>
        </w:tc>
      </w:tr>
      <w:tr>
        <w:trPr>
          <w:trHeight w:val="210"/>
        </w:trPr>
        <w:tc>
          <w:tcPr>
            <w:tcW w:w="6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Subject to amortization:</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180"/>
              <w:spacing w:after="0"/>
              <w:rPr>
                <w:sz w:val="20"/>
                <w:szCs w:val="20"/>
                <w:color w:val="auto"/>
              </w:rPr>
            </w:pPr>
            <w:r>
              <w:rPr>
                <w:rFonts w:ascii="Arial" w:cs="Arial" w:eastAsia="Arial" w:hAnsi="Arial"/>
                <w:sz w:val="18"/>
                <w:szCs w:val="18"/>
                <w:color w:val="auto"/>
              </w:rPr>
              <w:t>Trade names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748</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390</w:t>
            </w: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Distribution network</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6,700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5,490</w:t>
            </w:r>
          </w:p>
        </w:tc>
        <w:tc>
          <w:tcPr>
            <w:tcW w:w="0" w:type="dxa"/>
            <w:vAlign w:val="bottom"/>
          </w:tcPr>
          <w:p>
            <w:pPr>
              <w:spacing w:after="0"/>
              <w:rPr>
                <w:sz w:val="1"/>
                <w:szCs w:val="1"/>
                <w:color w:val="auto"/>
              </w:rPr>
            </w:pPr>
          </w:p>
        </w:tc>
      </w:tr>
      <w:tr>
        <w:trPr>
          <w:trHeight w:val="210"/>
        </w:trPr>
        <w:tc>
          <w:tcPr>
            <w:tcW w:w="6200" w:type="dxa"/>
            <w:vAlign w:val="bottom"/>
          </w:tcPr>
          <w:p>
            <w:pPr>
              <w:ind w:left="340"/>
              <w:spacing w:after="0"/>
              <w:rPr>
                <w:sz w:val="20"/>
                <w:szCs w:val="20"/>
                <w:color w:val="auto"/>
              </w:rPr>
            </w:pPr>
            <w:r>
              <w:rPr>
                <w:rFonts w:ascii="Arial" w:cs="Arial" w:eastAsia="Arial" w:hAnsi="Arial"/>
                <w:sz w:val="18"/>
                <w:szCs w:val="18"/>
                <w:color w:val="auto"/>
              </w:rPr>
              <w:t>Total subject to amortization</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7,448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Not subject to amortization:</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00" w:type="dxa"/>
            <w:vAlign w:val="bottom"/>
          </w:tcPr>
          <w:p>
            <w:pPr>
              <w:ind w:left="180"/>
              <w:spacing w:after="0"/>
              <w:rPr>
                <w:sz w:val="20"/>
                <w:szCs w:val="20"/>
                <w:color w:val="auto"/>
              </w:rPr>
            </w:pPr>
            <w:r>
              <w:rPr>
                <w:rFonts w:ascii="Arial" w:cs="Arial" w:eastAsia="Arial" w:hAnsi="Arial"/>
                <w:sz w:val="18"/>
                <w:szCs w:val="18"/>
                <w:color w:val="auto"/>
              </w:rPr>
              <w:t>State insurance licenses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1,900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1,900</w:t>
            </w:r>
          </w:p>
        </w:tc>
        <w:tc>
          <w:tcPr>
            <w:tcW w:w="0" w:type="dxa"/>
            <w:vAlign w:val="bottom"/>
          </w:tcPr>
          <w:p>
            <w:pPr>
              <w:spacing w:after="0"/>
              <w:rPr>
                <w:sz w:val="1"/>
                <w:szCs w:val="1"/>
                <w:color w:val="auto"/>
              </w:rPr>
            </w:pPr>
          </w:p>
        </w:tc>
      </w:tr>
      <w:tr>
        <w:trPr>
          <w:trHeight w:val="223"/>
        </w:trPr>
        <w:tc>
          <w:tcPr>
            <w:tcW w:w="62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0"/>
        </w:trPr>
        <w:tc>
          <w:tcPr>
            <w:tcW w:w="6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Gross Carrying</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200" w:type="dxa"/>
            <w:vAlign w:val="bottom"/>
          </w:tcPr>
          <w:p>
            <w:pPr>
              <w:spacing w:after="0"/>
              <w:rPr>
                <w:sz w:val="20"/>
                <w:szCs w:val="20"/>
                <w:color w:val="auto"/>
              </w:rPr>
            </w:pPr>
            <w:r>
              <w:rPr>
                <w:rFonts w:ascii="Arial" w:cs="Arial" w:eastAsia="Arial" w:hAnsi="Arial"/>
                <w:sz w:val="18"/>
                <w:szCs w:val="18"/>
                <w:b w:val="1"/>
                <w:bCs w:val="1"/>
                <w:color w:val="auto"/>
              </w:rPr>
              <w:t>December 31, 2022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Amount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Amortization</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gridSpan w:val="2"/>
          </w:tcPr>
          <w:p>
            <w:pPr>
              <w:ind w:left="260"/>
              <w:spacing w:after="0"/>
              <w:rPr>
                <w:sz w:val="20"/>
                <w:szCs w:val="20"/>
                <w:color w:val="auto"/>
              </w:rPr>
            </w:pPr>
            <w:r>
              <w:rPr>
                <w:rFonts w:ascii="Arial" w:cs="Arial" w:eastAsia="Arial" w:hAnsi="Arial"/>
                <w:sz w:val="18"/>
                <w:szCs w:val="18"/>
                <w:b w:val="1"/>
                <w:bCs w:val="1"/>
                <w:color w:val="auto"/>
              </w:rPr>
              <w:t>Net</w:t>
            </w:r>
          </w:p>
        </w:tc>
        <w:tc>
          <w:tcPr>
            <w:tcW w:w="0" w:type="dxa"/>
            <w:vAlign w:val="bottom"/>
          </w:tcPr>
          <w:p>
            <w:pPr>
              <w:spacing w:after="0"/>
              <w:rPr>
                <w:sz w:val="1"/>
                <w:szCs w:val="1"/>
                <w:color w:val="auto"/>
              </w:rPr>
            </w:pPr>
          </w:p>
        </w:tc>
      </w:tr>
      <w:tr>
        <w:trPr>
          <w:trHeight w:val="210"/>
        </w:trPr>
        <w:tc>
          <w:tcPr>
            <w:tcW w:w="6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Subject to amortization:</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180"/>
              <w:spacing w:after="0"/>
              <w:rPr>
                <w:sz w:val="20"/>
                <w:szCs w:val="20"/>
                <w:color w:val="auto"/>
              </w:rPr>
            </w:pPr>
            <w:r>
              <w:rPr>
                <w:rFonts w:ascii="Arial" w:cs="Arial" w:eastAsia="Arial" w:hAnsi="Arial"/>
                <w:sz w:val="18"/>
                <w:szCs w:val="18"/>
                <w:color w:val="auto"/>
              </w:rPr>
              <w:t>Trade names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748</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365</w:t>
            </w: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Distribution network</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6,700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5,583</w:t>
            </w:r>
          </w:p>
        </w:tc>
        <w:tc>
          <w:tcPr>
            <w:tcW w:w="0" w:type="dxa"/>
            <w:vAlign w:val="bottom"/>
          </w:tcPr>
          <w:p>
            <w:pPr>
              <w:spacing w:after="0"/>
              <w:rPr>
                <w:sz w:val="1"/>
                <w:szCs w:val="1"/>
                <w:color w:val="auto"/>
              </w:rPr>
            </w:pPr>
          </w:p>
        </w:tc>
      </w:tr>
      <w:tr>
        <w:trPr>
          <w:trHeight w:val="210"/>
        </w:trPr>
        <w:tc>
          <w:tcPr>
            <w:tcW w:w="6200" w:type="dxa"/>
            <w:vAlign w:val="bottom"/>
          </w:tcPr>
          <w:p>
            <w:pPr>
              <w:ind w:left="340"/>
              <w:spacing w:after="0"/>
              <w:rPr>
                <w:sz w:val="20"/>
                <w:szCs w:val="20"/>
                <w:color w:val="auto"/>
              </w:rPr>
            </w:pPr>
            <w:r>
              <w:rPr>
                <w:rFonts w:ascii="Arial" w:cs="Arial" w:eastAsia="Arial" w:hAnsi="Arial"/>
                <w:sz w:val="18"/>
                <w:szCs w:val="18"/>
                <w:color w:val="auto"/>
              </w:rPr>
              <w:t>Total subject to amortization</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7,448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Not subject to amortization:</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00" w:type="dxa"/>
            <w:vAlign w:val="bottom"/>
          </w:tcPr>
          <w:p>
            <w:pPr>
              <w:ind w:left="180"/>
              <w:spacing w:after="0"/>
              <w:rPr>
                <w:sz w:val="20"/>
                <w:szCs w:val="20"/>
                <w:color w:val="auto"/>
              </w:rPr>
            </w:pPr>
            <w:r>
              <w:rPr>
                <w:rFonts w:ascii="Arial" w:cs="Arial" w:eastAsia="Arial" w:hAnsi="Arial"/>
                <w:sz w:val="18"/>
                <w:szCs w:val="18"/>
                <w:color w:val="auto"/>
              </w:rPr>
              <w:t>State insurance license</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1,900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1,900</w:t>
            </w:r>
          </w:p>
        </w:tc>
        <w:tc>
          <w:tcPr>
            <w:tcW w:w="0" w:type="dxa"/>
            <w:vAlign w:val="bottom"/>
          </w:tcPr>
          <w:p>
            <w:pPr>
              <w:spacing w:after="0"/>
              <w:rPr>
                <w:sz w:val="1"/>
                <w:szCs w:val="1"/>
                <w:color w:val="auto"/>
              </w:rPr>
            </w:pPr>
          </w:p>
        </w:tc>
      </w:tr>
      <w:tr>
        <w:trPr>
          <w:trHeight w:val="223"/>
        </w:trPr>
        <w:tc>
          <w:tcPr>
            <w:tcW w:w="62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was $118 and $118 for the three months ended March 31, 2023 and 2022, respectively.</w:t>
      </w:r>
    </w:p>
    <w:p>
      <w:pPr>
        <w:spacing w:after="0" w:line="198" w:lineRule="exact"/>
        <w:rPr>
          <w:sz w:val="20"/>
          <w:szCs w:val="20"/>
          <w:color w:val="auto"/>
        </w:rPr>
      </w:pPr>
    </w:p>
    <w:p>
      <w:pPr>
        <w:jc w:val="both"/>
        <w:ind w:left="20" w:right="60"/>
        <w:spacing w:after="0" w:line="263" w:lineRule="auto"/>
        <w:rPr>
          <w:sz w:val="20"/>
          <w:szCs w:val="20"/>
          <w:color w:val="auto"/>
        </w:rPr>
      </w:pPr>
      <w:r>
        <w:rPr>
          <w:rFonts w:ascii="Arial" w:cs="Arial" w:eastAsia="Arial" w:hAnsi="Arial"/>
          <w:sz w:val="18"/>
          <w:szCs w:val="18"/>
          <w:color w:val="auto"/>
        </w:rPr>
        <w:t>Other intangible assets that have finite lives, including trade names and distribution networks, are amortized over their useful lives. As of March 31, 2023, the estimated amortization of other intangible assets with finite lives for each of the five years in the period ending December 31, 2027, and thereafter is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 ending December 31,</w:t>
            </w:r>
          </w:p>
        </w:tc>
        <w:tc>
          <w:tcPr>
            <w:tcW w:w="120" w:type="dxa"/>
            <w:vAlign w:val="bottom"/>
            <w:tcBorders>
              <w:bottom w:val="single" w:sz="8" w:color="CCEEFF"/>
            </w:tcBorders>
          </w:tcPr>
          <w:p>
            <w:pPr>
              <w:spacing w:after="0"/>
              <w:rPr>
                <w:sz w:val="20"/>
                <w:szCs w:val="20"/>
                <w:color w:val="auto"/>
              </w:rPr>
            </w:pPr>
          </w:p>
        </w:tc>
        <w:tc>
          <w:tcPr>
            <w:tcW w:w="580" w:type="dxa"/>
            <w:vAlign w:val="bottom"/>
            <w:tcBorders>
              <w:bottom w:val="single" w:sz="8" w:color="CCEEFF"/>
            </w:tcBorders>
          </w:tcPr>
          <w:p>
            <w:pPr>
              <w:spacing w:after="0"/>
              <w:rPr>
                <w:sz w:val="20"/>
                <w:szCs w:val="20"/>
                <w:color w:val="auto"/>
              </w:rPr>
            </w:pPr>
          </w:p>
        </w:tc>
        <w:tc>
          <w:tcPr>
            <w:tcW w:w="8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r>
      <w:tr>
        <w:trPr>
          <w:trHeight w:val="209"/>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2023 (nine months remaining)</w:t>
            </w:r>
          </w:p>
        </w:tc>
        <w:tc>
          <w:tcPr>
            <w:tcW w:w="700" w:type="dxa"/>
            <w:vAlign w:val="bottom"/>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w:t>
            </w: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422</w:t>
            </w: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w:t>
            </w: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2026</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422</w:t>
            </w: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w:t>
            </w:r>
          </w:p>
        </w:tc>
      </w:tr>
      <w:tr>
        <w:trPr>
          <w:trHeight w:val="229"/>
        </w:trPr>
        <w:tc>
          <w:tcPr>
            <w:tcW w:w="9560" w:type="dxa"/>
            <w:vAlign w:val="bottom"/>
          </w:tcPr>
          <w:p>
            <w:pPr>
              <w:spacing w:after="0"/>
              <w:rPr>
                <w:sz w:val="20"/>
                <w:szCs w:val="20"/>
                <w:color w:val="auto"/>
              </w:rPr>
            </w:pPr>
            <w:r>
              <w:rPr>
                <w:rFonts w:ascii="Arial" w:cs="Arial" w:eastAsia="Arial" w:hAnsi="Arial"/>
                <w:sz w:val="18"/>
                <w:szCs w:val="18"/>
                <w:color w:val="auto"/>
              </w:rPr>
              <w:t>Thereafter</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3,823</w:t>
            </w:r>
          </w:p>
        </w:tc>
      </w:tr>
      <w:tr>
        <w:trPr>
          <w:trHeight w:val="223"/>
        </w:trPr>
        <w:tc>
          <w:tcPr>
            <w:tcW w:w="95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other intangible assets with finite lives</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9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33" w:right="339" w:bottom="1440" w:gutter="0" w:footer="0" w:header="0"/>
        </w:sect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9"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Intercompany Reinsurance Pooling Arrangement</w:t>
      </w:r>
    </w:p>
    <w:p>
      <w:pPr>
        <w:spacing w:after="0" w:line="185" w:lineRule="exact"/>
        <w:rPr>
          <w:sz w:val="20"/>
          <w:szCs w:val="20"/>
          <w:color w:val="auto"/>
        </w:rPr>
      </w:pPr>
    </w:p>
    <w:p>
      <w:pPr>
        <w:ind w:left="20" w:right="100"/>
        <w:spacing w:after="0" w:line="255" w:lineRule="auto"/>
        <w:rPr>
          <w:sz w:val="20"/>
          <w:szCs w:val="20"/>
          <w:color w:val="auto"/>
        </w:rPr>
      </w:pPr>
      <w:r>
        <w:rPr>
          <w:rFonts w:ascii="Arial" w:cs="Arial" w:eastAsia="Arial" w:hAnsi="Arial"/>
          <w:sz w:val="18"/>
          <w:szCs w:val="18"/>
          <w:color w:val="auto"/>
        </w:rPr>
        <w:t>Effective January 1, 2020, all of our insurance subsidiary and affiliate companies entered into an intercompany reinsurance pooling agreement. Nodak Insurance is the lead company of the pool, and assumes the net premiums, net losses, and underwriting expenses from each of the other five companies. Nodak Insurance then retrocedes balances back to each company, while retaining its own share of the pool’s net underwriting results, based on individual pool percentages established in the respective pooling agreement. This arrangement allows each insurance company to rely upon the capacity of the pool’s total statutory capital and surplus. As a result, they are evaluated by AM Best on a group basis and hold a single combined financial strength rating, long-term issuer credit rating, and financial size category.</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For the three months ended March 31, 2023, and the year ended December 31, 2022, the pooling share percentages by insurance company were: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80" w:type="dxa"/>
            <w:vAlign w:val="bottom"/>
          </w:tcPr>
          <w:p>
            <w:pPr>
              <w:spacing w:after="0"/>
              <w:rPr>
                <w:sz w:val="20"/>
                <w:szCs w:val="20"/>
                <w:color w:val="auto"/>
              </w:rPr>
            </w:pPr>
          </w:p>
        </w:tc>
        <w:tc>
          <w:tcPr>
            <w:tcW w:w="1560" w:type="dxa"/>
            <w:vAlign w:val="bottom"/>
            <w:gridSpan w:val="2"/>
          </w:tcPr>
          <w:p>
            <w:pPr>
              <w:ind w:left="120"/>
              <w:spacing w:after="0"/>
              <w:rPr>
                <w:sz w:val="20"/>
                <w:szCs w:val="20"/>
                <w:color w:val="auto"/>
              </w:rPr>
            </w:pPr>
            <w:r>
              <w:rPr>
                <w:rFonts w:ascii="Arial" w:cs="Arial" w:eastAsia="Arial" w:hAnsi="Arial"/>
                <w:sz w:val="18"/>
                <w:szCs w:val="18"/>
                <w:b w:val="1"/>
                <w:bCs w:val="1"/>
                <w:color w:val="auto"/>
              </w:rPr>
              <w:t>Pool Percentage</w:t>
            </w:r>
          </w:p>
        </w:tc>
      </w:tr>
      <w:tr>
        <w:trPr>
          <w:trHeight w:val="209"/>
        </w:trPr>
        <w:tc>
          <w:tcPr>
            <w:tcW w:w="9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Nodak Insurance Company</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680" w:type="dxa"/>
            <w:vAlign w:val="bottom"/>
          </w:tcPr>
          <w:p>
            <w:pPr>
              <w:spacing w:after="0"/>
              <w:rPr>
                <w:sz w:val="20"/>
                <w:szCs w:val="20"/>
                <w:color w:val="auto"/>
              </w:rPr>
            </w:pPr>
            <w:r>
              <w:rPr>
                <w:rFonts w:ascii="Arial" w:cs="Arial" w:eastAsia="Arial" w:hAnsi="Arial"/>
                <w:sz w:val="18"/>
                <w:szCs w:val="18"/>
                <w:color w:val="auto"/>
              </w:rPr>
              <w:t>American West Insurance Company</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r>
      <w:tr>
        <w:trPr>
          <w:trHeight w:val="216"/>
        </w:trPr>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Primero Insurance Company</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r>
      <w:tr>
        <w:trPr>
          <w:trHeight w:val="216"/>
        </w:trPr>
        <w:tc>
          <w:tcPr>
            <w:tcW w:w="9680" w:type="dxa"/>
            <w:vAlign w:val="bottom"/>
          </w:tcPr>
          <w:p>
            <w:pPr>
              <w:spacing w:after="0"/>
              <w:rPr>
                <w:sz w:val="20"/>
                <w:szCs w:val="20"/>
                <w:color w:val="auto"/>
              </w:rPr>
            </w:pPr>
            <w:r>
              <w:rPr>
                <w:rFonts w:ascii="Arial" w:cs="Arial" w:eastAsia="Arial" w:hAnsi="Arial"/>
                <w:sz w:val="18"/>
                <w:szCs w:val="18"/>
                <w:color w:val="auto"/>
              </w:rPr>
              <w:t>Battle Creek Mutual Insurance Company</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r>
      <w:tr>
        <w:trPr>
          <w:trHeight w:val="216"/>
        </w:trPr>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Direct Auto Insurance Company</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w:t>
            </w:r>
          </w:p>
        </w:tc>
      </w:tr>
      <w:tr>
        <w:trPr>
          <w:trHeight w:val="229"/>
        </w:trPr>
        <w:tc>
          <w:tcPr>
            <w:tcW w:w="9680" w:type="dxa"/>
            <w:vAlign w:val="bottom"/>
          </w:tcPr>
          <w:p>
            <w:pPr>
              <w:spacing w:after="0"/>
              <w:rPr>
                <w:sz w:val="20"/>
                <w:szCs w:val="20"/>
                <w:color w:val="auto"/>
              </w:rPr>
            </w:pPr>
            <w:r>
              <w:rPr>
                <w:rFonts w:ascii="Arial" w:cs="Arial" w:eastAsia="Arial" w:hAnsi="Arial"/>
                <w:sz w:val="18"/>
                <w:szCs w:val="18"/>
                <w:color w:val="auto"/>
              </w:rPr>
              <w:t>Westminster American Insurance Company</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9.0%</w:t>
            </w:r>
          </w:p>
        </w:tc>
      </w:tr>
      <w:tr>
        <w:trPr>
          <w:trHeight w:val="223"/>
        </w:trPr>
        <w:tc>
          <w:tcPr>
            <w:tcW w:w="96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96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North Dakota Farm Bureau</w:t>
      </w:r>
    </w:p>
    <w:p>
      <w:pPr>
        <w:spacing w:after="0" w:line="198" w:lineRule="exact"/>
        <w:rPr>
          <w:sz w:val="20"/>
          <w:szCs w:val="20"/>
          <w:color w:val="auto"/>
        </w:rPr>
      </w:pPr>
    </w:p>
    <w:p>
      <w:pPr>
        <w:ind w:left="20" w:right="440"/>
        <w:spacing w:after="0" w:line="301" w:lineRule="auto"/>
        <w:rPr>
          <w:sz w:val="20"/>
          <w:szCs w:val="20"/>
          <w:color w:val="auto"/>
        </w:rPr>
      </w:pPr>
      <w:r>
        <w:rPr>
          <w:rFonts w:ascii="Arial" w:cs="Arial" w:eastAsia="Arial" w:hAnsi="Arial"/>
          <w:sz w:val="16"/>
          <w:szCs w:val="16"/>
          <w:color w:val="auto"/>
        </w:rPr>
        <w:t>Nodak Insurance was organized by the North Dakota Farm Bureau (“NDFB”) to provide insurance protection for its members. We have a royalty agreement with the NDFB that recognizes the use of their trademark and provides royalties to the NDFB based on the premiums written on Nodak Insurance’s policies. Royalties paid to the NDFB were $357 and $339 during the three months ended March 31, 2023 and 2022, respectively. Royalty amounts payable of $140 and $119 were accrued as a liability to the NDFB at March 31, 2023, and December 31, 2022,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85" w:lineRule="exact"/>
        <w:rPr>
          <w:sz w:val="20"/>
          <w:szCs w:val="20"/>
          <w:color w:val="auto"/>
        </w:rPr>
      </w:pPr>
    </w:p>
    <w:p>
      <w:pPr>
        <w:ind w:left="20" w:right="20"/>
        <w:spacing w:after="0" w:line="257" w:lineRule="auto"/>
        <w:rPr>
          <w:sz w:val="20"/>
          <w:szCs w:val="20"/>
          <w:color w:val="auto"/>
        </w:rPr>
      </w:pPr>
      <w:r>
        <w:rPr>
          <w:rFonts w:ascii="Arial" w:cs="Arial" w:eastAsia="Arial" w:hAnsi="Arial"/>
          <w:sz w:val="18"/>
          <w:szCs w:val="18"/>
          <w:color w:val="auto"/>
        </w:rPr>
        <w:t>State insurance laws require our insurance subsidiaries to maintain certain minimum capital and surplus amounts on a statutory basis. Our insurance subsidiaries are subject to regulations that restrict the payment of dividends from statutory surplus and may require prior approval from their domiciliary insurance regulatory authorities. Our insurance subsidiaries are also subject to risk-based capital requirements that may further affect their ability to pay dividends. Our insurance subsidiaries statutory capital and surplus at December 31, 2022, exceeded the amount of statutory capital and surplus necessary to satisfy risk-based capital requirements by a significant margin.</w:t>
      </w:r>
    </w:p>
    <w:p>
      <w:pPr>
        <w:spacing w:after="0" w:line="161"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For information regarding the availability of subsidiaries to pay dividends to NI Holdings during 2023, see Item II, Part 8, Note 12 “Related Party Transactions” section of the 2022 Annual Report.</w:t>
      </w:r>
    </w:p>
    <w:p>
      <w:pPr>
        <w:spacing w:after="0" w:line="13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9"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Battle Creek Mutual Insurance Company</w:t>
      </w:r>
    </w:p>
    <w:p>
      <w:pPr>
        <w:spacing w:after="0" w:line="185" w:lineRule="exact"/>
        <w:rPr>
          <w:sz w:val="20"/>
          <w:szCs w:val="20"/>
          <w:color w:val="auto"/>
        </w:rPr>
      </w:pPr>
    </w:p>
    <w:p>
      <w:pPr>
        <w:ind w:left="20" w:right="200"/>
        <w:spacing w:after="0" w:line="277" w:lineRule="auto"/>
        <w:rPr>
          <w:sz w:val="20"/>
          <w:szCs w:val="20"/>
          <w:color w:val="auto"/>
        </w:rPr>
      </w:pPr>
      <w:r>
        <w:rPr>
          <w:rFonts w:ascii="Arial" w:cs="Arial" w:eastAsia="Arial" w:hAnsi="Arial"/>
          <w:sz w:val="18"/>
          <w:szCs w:val="18"/>
          <w:color w:val="auto"/>
        </w:rPr>
        <w:t>The following tables disclose the standalone balance sheets and statements of operations of Battle Creek, prior to intercompany eliminations, to illustrate the impact of including Battle Creek in our Consolidated Balance Sheets and Statements of Operations: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ind w:left="20"/>
              <w:spacing w:after="0"/>
              <w:rPr>
                <w:sz w:val="20"/>
                <w:szCs w:val="20"/>
                <w:color w:val="auto"/>
              </w:rPr>
            </w:pPr>
            <w:r>
              <w:rPr>
                <w:rFonts w:ascii="Arial" w:cs="Arial" w:eastAsia="Arial" w:hAnsi="Arial"/>
                <w:sz w:val="18"/>
                <w:szCs w:val="18"/>
                <w:b w:val="1"/>
                <w:bCs w:val="1"/>
                <w:color w:val="auto"/>
              </w:rPr>
              <w:t>March 31, 2023</w:t>
            </w:r>
          </w:p>
        </w:tc>
        <w:tc>
          <w:tcPr>
            <w:tcW w:w="1660" w:type="dxa"/>
            <w:vAlign w:val="bottom"/>
            <w:gridSpan w:val="4"/>
          </w:tcPr>
          <w:p>
            <w:pPr>
              <w:ind w:left="100"/>
              <w:spacing w:after="0"/>
              <w:rPr>
                <w:sz w:val="20"/>
                <w:szCs w:val="20"/>
                <w:color w:val="auto"/>
              </w:rPr>
            </w:pPr>
            <w:r>
              <w:rPr>
                <w:rFonts w:ascii="Arial" w:cs="Arial" w:eastAsia="Arial" w:hAnsi="Arial"/>
                <w:sz w:val="18"/>
                <w:szCs w:val="18"/>
                <w:b w:val="1"/>
                <w:bCs w:val="1"/>
                <w:color w:val="auto"/>
                <w:w w:val="94"/>
              </w:rPr>
              <w:t>December 31, 2022</w:t>
            </w:r>
          </w:p>
        </w:tc>
      </w:tr>
      <w:tr>
        <w:trPr>
          <w:trHeight w:val="210"/>
        </w:trPr>
        <w:tc>
          <w:tcPr>
            <w:tcW w:w="8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3,559</w:t>
            </w:r>
          </w:p>
        </w:tc>
        <w:tc>
          <w:tcPr>
            <w:tcW w:w="6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5,008</w:t>
            </w:r>
          </w:p>
        </w:tc>
      </w:tr>
      <w:tr>
        <w:trPr>
          <w:trHeight w:val="216"/>
        </w:trPr>
        <w:tc>
          <w:tcPr>
            <w:tcW w:w="8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Investments</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14,001</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13,350</w:t>
            </w:r>
          </w:p>
        </w:tc>
      </w:tr>
      <w:tr>
        <w:trPr>
          <w:trHeight w:val="216"/>
        </w:trPr>
        <w:tc>
          <w:tcPr>
            <w:tcW w:w="8000" w:type="dxa"/>
            <w:vAlign w:val="bottom"/>
          </w:tcPr>
          <w:p>
            <w:pPr>
              <w:ind w:left="140"/>
              <w:spacing w:after="0"/>
              <w:rPr>
                <w:sz w:val="20"/>
                <w:szCs w:val="20"/>
                <w:color w:val="auto"/>
              </w:rPr>
            </w:pPr>
            <w:r>
              <w:rPr>
                <w:rFonts w:ascii="Arial" w:cs="Arial" w:eastAsia="Arial" w:hAnsi="Arial"/>
                <w:sz w:val="18"/>
                <w:szCs w:val="18"/>
                <w:color w:val="auto"/>
              </w:rPr>
              <w:t>Premiums and agents’ balances receivable</w:t>
            </w: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5,197</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5,422</w:t>
            </w:r>
          </w:p>
        </w:tc>
      </w:tr>
      <w:tr>
        <w:trPr>
          <w:trHeight w:val="216"/>
        </w:trPr>
        <w:tc>
          <w:tcPr>
            <w:tcW w:w="8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policy acquisition costs</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627</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595</w:t>
            </w:r>
          </w:p>
        </w:tc>
      </w:tr>
      <w:tr>
        <w:trPr>
          <w:trHeight w:val="257"/>
        </w:trPr>
        <w:tc>
          <w:tcPr>
            <w:tcW w:w="8000" w:type="dxa"/>
            <w:vAlign w:val="bottom"/>
          </w:tcPr>
          <w:p>
            <w:pPr>
              <w:ind w:left="140"/>
              <w:spacing w:after="0" w:line="256" w:lineRule="exact"/>
              <w:rPr>
                <w:sz w:val="20"/>
                <w:szCs w:val="20"/>
                <w:color w:val="auto"/>
              </w:rPr>
            </w:pPr>
            <w:r>
              <w:rPr>
                <w:rFonts w:ascii="Arial" w:cs="Arial" w:eastAsia="Arial" w:hAnsi="Arial"/>
                <w:sz w:val="18"/>
                <w:szCs w:val="18"/>
                <w:color w:val="auto"/>
              </w:rPr>
              <w:t xml:space="preserve">Reinsurance recoverables on losses </w:t>
            </w:r>
            <w:r>
              <w:rPr>
                <w:rFonts w:ascii="Arial" w:cs="Arial" w:eastAsia="Arial" w:hAnsi="Arial"/>
                <w:sz w:val="29"/>
                <w:szCs w:val="29"/>
                <w:color w:val="auto"/>
                <w:vertAlign w:val="superscript"/>
              </w:rPr>
              <w:t>(2)</w:t>
            </w:r>
          </w:p>
        </w:tc>
        <w:tc>
          <w:tcPr>
            <w:tcW w:w="120" w:type="dxa"/>
            <w:vAlign w:val="bottom"/>
          </w:tcPr>
          <w:p>
            <w:pPr>
              <w:spacing w:after="0"/>
              <w:rPr>
                <w:sz w:val="22"/>
                <w:szCs w:val="22"/>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10,440</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12,597</w:t>
            </w:r>
          </w:p>
        </w:tc>
      </w:tr>
      <w:tr>
        <w:trPr>
          <w:trHeight w:val="216"/>
        </w:trPr>
        <w:tc>
          <w:tcPr>
            <w:tcW w:w="8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investment income</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r>
      <w:tr>
        <w:trPr>
          <w:trHeight w:val="216"/>
        </w:trPr>
        <w:tc>
          <w:tcPr>
            <w:tcW w:w="8000" w:type="dxa"/>
            <w:vAlign w:val="bottom"/>
          </w:tcPr>
          <w:p>
            <w:pPr>
              <w:ind w:left="140"/>
              <w:spacing w:after="0"/>
              <w:rPr>
                <w:sz w:val="20"/>
                <w:szCs w:val="20"/>
                <w:color w:val="auto"/>
              </w:rPr>
            </w:pPr>
            <w:r>
              <w:rPr>
                <w:rFonts w:ascii="Arial" w:cs="Arial" w:eastAsia="Arial" w:hAnsi="Arial"/>
                <w:sz w:val="18"/>
                <w:szCs w:val="18"/>
                <w:color w:val="auto"/>
              </w:rPr>
              <w:t>Income tax recoverable</w:t>
            </w: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225</w:t>
            </w:r>
          </w:p>
        </w:tc>
      </w:tr>
      <w:tr>
        <w:trPr>
          <w:trHeight w:val="216"/>
        </w:trPr>
        <w:tc>
          <w:tcPr>
            <w:tcW w:w="8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income taxes</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735</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780</w:t>
            </w:r>
          </w:p>
        </w:tc>
      </w:tr>
      <w:tr>
        <w:trPr>
          <w:trHeight w:val="216"/>
        </w:trPr>
        <w:tc>
          <w:tcPr>
            <w:tcW w:w="8000" w:type="dxa"/>
            <w:vAlign w:val="bottom"/>
          </w:tcPr>
          <w:p>
            <w:pPr>
              <w:ind w:left="140"/>
              <w:spacing w:after="0"/>
              <w:rPr>
                <w:sz w:val="20"/>
                <w:szCs w:val="20"/>
                <w:color w:val="auto"/>
              </w:rPr>
            </w:pPr>
            <w:r>
              <w:rPr>
                <w:rFonts w:ascii="Arial" w:cs="Arial" w:eastAsia="Arial" w:hAnsi="Arial"/>
                <w:sz w:val="18"/>
                <w:szCs w:val="18"/>
                <w:color w:val="auto"/>
              </w:rPr>
              <w:t>Property and equipment</w:t>
            </w: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319</w:t>
            </w:r>
          </w:p>
        </w:tc>
      </w:tr>
      <w:tr>
        <w:trPr>
          <w:trHeight w:val="229"/>
        </w:trPr>
        <w:tc>
          <w:tcPr>
            <w:tcW w:w="8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w:t>
            </w:r>
          </w:p>
        </w:tc>
      </w:tr>
      <w:tr>
        <w:trPr>
          <w:trHeight w:val="263"/>
        </w:trPr>
        <w:tc>
          <w:tcPr>
            <w:tcW w:w="800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Total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34,999</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38,407</w:t>
            </w:r>
          </w:p>
        </w:tc>
        <w:tc>
          <w:tcPr>
            <w:tcW w:w="100" w:type="dxa"/>
            <w:vAlign w:val="bottom"/>
            <w:tcBorders>
              <w:bottom w:val="single" w:sz="8" w:color="CCEEFF"/>
            </w:tcBorders>
          </w:tcPr>
          <w:p>
            <w:pPr>
              <w:spacing w:after="0"/>
              <w:rPr>
                <w:sz w:val="22"/>
                <w:szCs w:val="22"/>
                <w:color w:val="auto"/>
              </w:rPr>
            </w:pPr>
          </w:p>
        </w:tc>
      </w:tr>
      <w:tr>
        <w:trPr>
          <w:trHeight w:val="197"/>
        </w:trPr>
        <w:tc>
          <w:tcPr>
            <w:tcW w:w="8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Liabilities:</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Unpaid losses and loss adjustment expenses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6,331</w:t>
            </w:r>
          </w:p>
        </w:tc>
        <w:tc>
          <w:tcPr>
            <w:tcW w:w="6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6,453</w:t>
            </w:r>
          </w:p>
        </w:tc>
      </w:tr>
      <w:tr>
        <w:trPr>
          <w:trHeight w:val="216"/>
        </w:trPr>
        <w:tc>
          <w:tcPr>
            <w:tcW w:w="8000" w:type="dxa"/>
            <w:vAlign w:val="bottom"/>
          </w:tcPr>
          <w:p>
            <w:pPr>
              <w:ind w:left="140"/>
              <w:spacing w:after="0"/>
              <w:rPr>
                <w:sz w:val="20"/>
                <w:szCs w:val="20"/>
                <w:color w:val="auto"/>
              </w:rPr>
            </w:pPr>
            <w:r>
              <w:rPr>
                <w:rFonts w:ascii="Arial" w:cs="Arial" w:eastAsia="Arial" w:hAnsi="Arial"/>
                <w:sz w:val="18"/>
                <w:szCs w:val="18"/>
                <w:color w:val="auto"/>
              </w:rPr>
              <w:t>Unearned premiums</w:t>
            </w: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3,056</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2,959</w:t>
            </w:r>
          </w:p>
        </w:tc>
      </w:tr>
      <w:tr>
        <w:trPr>
          <w:trHeight w:val="257"/>
        </w:trPr>
        <w:tc>
          <w:tcPr>
            <w:tcW w:w="8000" w:type="dxa"/>
            <w:vAlign w:val="bottom"/>
            <w:shd w:val="clear" w:color="auto" w:fill="CCEEFF"/>
          </w:tcPr>
          <w:p>
            <w:pPr>
              <w:ind w:left="140"/>
              <w:spacing w:after="0" w:line="256" w:lineRule="exact"/>
              <w:rPr>
                <w:sz w:val="20"/>
                <w:szCs w:val="20"/>
                <w:color w:val="auto"/>
              </w:rPr>
            </w:pPr>
            <w:r>
              <w:rPr>
                <w:rFonts w:ascii="Arial" w:cs="Arial" w:eastAsia="Arial" w:hAnsi="Arial"/>
                <w:sz w:val="18"/>
                <w:szCs w:val="18"/>
                <w:color w:val="auto"/>
              </w:rPr>
              <w:t xml:space="preserve">Notes payable </w:t>
            </w:r>
            <w:r>
              <w:rPr>
                <w:rFonts w:ascii="Arial" w:cs="Arial" w:eastAsia="Arial" w:hAnsi="Arial"/>
                <w:sz w:val="29"/>
                <w:szCs w:val="29"/>
                <w:color w:val="auto"/>
                <w:vertAlign w:val="superscript"/>
              </w:rPr>
              <w:t>(1)</w:t>
            </w:r>
          </w:p>
        </w:tc>
        <w:tc>
          <w:tcPr>
            <w:tcW w:w="12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w:t>
            </w:r>
          </w:p>
        </w:tc>
      </w:tr>
      <w:tr>
        <w:trPr>
          <w:trHeight w:val="256"/>
        </w:trPr>
        <w:tc>
          <w:tcPr>
            <w:tcW w:w="8000" w:type="dxa"/>
            <w:vAlign w:val="bottom"/>
          </w:tcPr>
          <w:p>
            <w:pPr>
              <w:ind w:left="140"/>
              <w:spacing w:after="0" w:line="256" w:lineRule="exact"/>
              <w:rPr>
                <w:sz w:val="20"/>
                <w:szCs w:val="20"/>
                <w:color w:val="auto"/>
              </w:rPr>
            </w:pPr>
            <w:r>
              <w:rPr>
                <w:rFonts w:ascii="Arial" w:cs="Arial" w:eastAsia="Arial" w:hAnsi="Arial"/>
                <w:sz w:val="18"/>
                <w:szCs w:val="18"/>
                <w:color w:val="auto"/>
              </w:rPr>
              <w:t xml:space="preserve">Pooling payable </w:t>
            </w:r>
            <w:r>
              <w:rPr>
                <w:rFonts w:ascii="Arial" w:cs="Arial" w:eastAsia="Arial" w:hAnsi="Arial"/>
                <w:sz w:val="29"/>
                <w:szCs w:val="29"/>
                <w:color w:val="auto"/>
                <w:vertAlign w:val="superscript"/>
              </w:rPr>
              <w:t>(1)</w:t>
            </w:r>
          </w:p>
        </w:tc>
        <w:tc>
          <w:tcPr>
            <w:tcW w:w="120" w:type="dxa"/>
            <w:vAlign w:val="bottom"/>
          </w:tcPr>
          <w:p>
            <w:pPr>
              <w:spacing w:after="0"/>
              <w:rPr>
                <w:sz w:val="22"/>
                <w:szCs w:val="22"/>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7,225</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8,337</w:t>
            </w:r>
          </w:p>
        </w:tc>
      </w:tr>
      <w:tr>
        <w:trPr>
          <w:trHeight w:val="257"/>
        </w:trPr>
        <w:tc>
          <w:tcPr>
            <w:tcW w:w="8000" w:type="dxa"/>
            <w:vAlign w:val="bottom"/>
            <w:shd w:val="clear" w:color="auto" w:fill="CCEEFF"/>
          </w:tcPr>
          <w:p>
            <w:pPr>
              <w:ind w:left="140"/>
              <w:spacing w:after="0" w:line="256" w:lineRule="exact"/>
              <w:rPr>
                <w:sz w:val="20"/>
                <w:szCs w:val="20"/>
                <w:color w:val="auto"/>
              </w:rPr>
            </w:pPr>
            <w:r>
              <w:rPr>
                <w:rFonts w:ascii="Arial" w:cs="Arial" w:eastAsia="Arial" w:hAnsi="Arial"/>
                <w:sz w:val="18"/>
                <w:szCs w:val="18"/>
                <w:color w:val="auto"/>
              </w:rPr>
              <w:t xml:space="preserve">Reinsurance losses payable </w:t>
            </w:r>
            <w:r>
              <w:rPr>
                <w:rFonts w:ascii="Arial" w:cs="Arial" w:eastAsia="Arial" w:hAnsi="Arial"/>
                <w:sz w:val="29"/>
                <w:szCs w:val="29"/>
                <w:color w:val="auto"/>
                <w:vertAlign w:val="superscript"/>
              </w:rPr>
              <w:t>(2)</w:t>
            </w:r>
          </w:p>
        </w:tc>
        <w:tc>
          <w:tcPr>
            <w:tcW w:w="12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12,952</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13,125</w:t>
            </w:r>
          </w:p>
        </w:tc>
      </w:tr>
      <w:tr>
        <w:trPr>
          <w:trHeight w:val="230"/>
        </w:trPr>
        <w:tc>
          <w:tcPr>
            <w:tcW w:w="8000" w:type="dxa"/>
            <w:vAlign w:val="bottom"/>
          </w:tcPr>
          <w:p>
            <w:pPr>
              <w:ind w:left="140"/>
              <w:spacing w:after="0"/>
              <w:rPr>
                <w:sz w:val="20"/>
                <w:szCs w:val="20"/>
                <w:color w:val="auto"/>
              </w:rPr>
            </w:pPr>
            <w:r>
              <w:rPr>
                <w:rFonts w:ascii="Arial" w:cs="Arial" w:eastAsia="Arial" w:hAnsi="Arial"/>
                <w:sz w:val="18"/>
                <w:szCs w:val="18"/>
                <w:color w:val="auto"/>
              </w:rPr>
              <w:t>Accrued expenses and other liabilities</w:t>
            </w:r>
          </w:p>
        </w:tc>
        <w:tc>
          <w:tcPr>
            <w:tcW w:w="120" w:type="dxa"/>
            <w:vAlign w:val="bottom"/>
          </w:tcPr>
          <w:p>
            <w:pPr>
              <w:spacing w:after="0"/>
              <w:rPr>
                <w:sz w:val="19"/>
                <w:szCs w:val="19"/>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2,303</w:t>
            </w:r>
          </w:p>
        </w:tc>
      </w:tr>
      <w:tr>
        <w:trPr>
          <w:trHeight w:val="209"/>
        </w:trPr>
        <w:tc>
          <w:tcPr>
            <w:tcW w:w="800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liabilities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32,844</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36,177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8000" w:type="dxa"/>
            <w:vAlign w:val="bottom"/>
          </w:tcPr>
          <w:p>
            <w:pPr>
              <w:ind w:left="140"/>
              <w:spacing w:after="0"/>
              <w:rPr>
                <w:sz w:val="20"/>
                <w:szCs w:val="20"/>
                <w:color w:val="auto"/>
              </w:rPr>
            </w:pPr>
            <w:r>
              <w:rPr>
                <w:rFonts w:ascii="Arial" w:cs="Arial" w:eastAsia="Arial" w:hAnsi="Arial"/>
                <w:sz w:val="18"/>
                <w:szCs w:val="18"/>
                <w:color w:val="auto"/>
              </w:rPr>
              <w:t>Non-controlling interest</w:t>
            </w:r>
          </w:p>
        </w:tc>
        <w:tc>
          <w:tcPr>
            <w:tcW w:w="120" w:type="dxa"/>
            <w:vAlign w:val="bottom"/>
          </w:tcPr>
          <w:p>
            <w:pPr>
              <w:spacing w:after="0"/>
              <w:rPr>
                <w:sz w:val="19"/>
                <w:szCs w:val="19"/>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2,155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2,230</w:t>
            </w:r>
          </w:p>
        </w:tc>
      </w:tr>
      <w:tr>
        <w:trPr>
          <w:trHeight w:val="210"/>
        </w:trPr>
        <w:tc>
          <w:tcPr>
            <w:tcW w:w="800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equity</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2,155</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80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liabilities and equity</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34,999</w:t>
            </w:r>
          </w:p>
        </w:tc>
        <w:tc>
          <w:tcPr>
            <w:tcW w:w="6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38,407</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87" w:lineRule="exact"/>
        <w:rPr>
          <w:sz w:val="20"/>
          <w:szCs w:val="20"/>
          <w:color w:val="auto"/>
        </w:rPr>
      </w:pPr>
    </w:p>
    <w:p>
      <w:pPr>
        <w:ind w:left="660" w:hanging="416"/>
        <w:spacing w:after="0"/>
        <w:tabs>
          <w:tab w:leader="none" w:pos="660" w:val="left"/>
        </w:tabs>
        <w:numPr>
          <w:ilvl w:val="0"/>
          <w:numId w:val="14"/>
        </w:numPr>
        <w:rPr>
          <w:rFonts w:ascii="Arial" w:cs="Arial" w:eastAsia="Arial" w:hAnsi="Arial"/>
          <w:sz w:val="30"/>
          <w:szCs w:val="30"/>
          <w:color w:val="auto"/>
          <w:vertAlign w:val="superscript"/>
        </w:rPr>
      </w:pPr>
      <w:r>
        <w:rPr>
          <w:rFonts w:ascii="Arial" w:cs="Arial" w:eastAsia="Arial" w:hAnsi="Arial"/>
          <w:sz w:val="18"/>
          <w:szCs w:val="18"/>
          <w:color w:val="auto"/>
        </w:rPr>
        <w:t>Amount fully eliminated in consolidation.</w:t>
      </w:r>
    </w:p>
    <w:p>
      <w:pPr>
        <w:spacing w:after="0" w:line="1" w:lineRule="exact"/>
        <w:rPr>
          <w:rFonts w:ascii="Arial" w:cs="Arial" w:eastAsia="Arial" w:hAnsi="Arial"/>
          <w:sz w:val="30"/>
          <w:szCs w:val="30"/>
          <w:color w:val="auto"/>
          <w:vertAlign w:val="superscript"/>
        </w:rPr>
      </w:pPr>
    </w:p>
    <w:p>
      <w:pPr>
        <w:ind w:left="660" w:hanging="416"/>
        <w:spacing w:after="0" w:line="194" w:lineRule="auto"/>
        <w:tabs>
          <w:tab w:leader="none" w:pos="660" w:val="left"/>
        </w:tabs>
        <w:numPr>
          <w:ilvl w:val="0"/>
          <w:numId w:val="14"/>
        </w:numPr>
        <w:rPr>
          <w:rFonts w:ascii="Arial" w:cs="Arial" w:eastAsia="Arial" w:hAnsi="Arial"/>
          <w:sz w:val="23"/>
          <w:szCs w:val="23"/>
          <w:color w:val="auto"/>
          <w:vertAlign w:val="superscript"/>
        </w:rPr>
      </w:pPr>
      <w:r>
        <w:rPr>
          <w:rFonts w:ascii="Arial" w:cs="Arial" w:eastAsia="Arial" w:hAnsi="Arial"/>
          <w:sz w:val="15"/>
          <w:szCs w:val="15"/>
          <w:color w:val="auto"/>
        </w:rPr>
        <w:t>Amount partly eliminated in consolidation.</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3240" w:type="dxa"/>
            <w:vAlign w:val="bottom"/>
            <w:gridSpan w:val="7"/>
          </w:tcPr>
          <w:p>
            <w:pPr>
              <w:jc w:val="right"/>
              <w:ind w:right="440"/>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8000" w:type="dxa"/>
            <w:vAlign w:val="bottom"/>
            <w:vMerge w:val="restart"/>
          </w:tcPr>
          <w:p>
            <w:pPr>
              <w:spacing w:after="0"/>
              <w:rPr>
                <w:sz w:val="20"/>
                <w:szCs w:val="20"/>
                <w:color w:val="auto"/>
              </w:rPr>
            </w:pPr>
            <w:r>
              <w:rPr>
                <w:rFonts w:ascii="Arial" w:cs="Arial" w:eastAsia="Arial" w:hAnsi="Arial"/>
                <w:sz w:val="18"/>
                <w:szCs w:val="18"/>
                <w:color w:val="auto"/>
              </w:rPr>
              <w:t>Revenues:</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4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000" w:type="dxa"/>
            <w:vAlign w:val="bottom"/>
            <w:vMerge w:val="continue"/>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premiums earned</w:t>
            </w: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1,553</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1,392</w:t>
            </w:r>
          </w:p>
        </w:tc>
        <w:tc>
          <w:tcPr>
            <w:tcW w:w="0" w:type="dxa"/>
            <w:vAlign w:val="bottom"/>
          </w:tcPr>
          <w:p>
            <w:pPr>
              <w:spacing w:after="0"/>
              <w:rPr>
                <w:sz w:val="1"/>
                <w:szCs w:val="1"/>
                <w:color w:val="auto"/>
              </w:rPr>
            </w:pPr>
          </w:p>
        </w:tc>
      </w:tr>
      <w:tr>
        <w:trPr>
          <w:trHeight w:val="216"/>
        </w:trPr>
        <w:tc>
          <w:tcPr>
            <w:tcW w:w="8000" w:type="dxa"/>
            <w:vAlign w:val="bottom"/>
          </w:tcPr>
          <w:p>
            <w:pPr>
              <w:ind w:left="160"/>
              <w:spacing w:after="0"/>
              <w:rPr>
                <w:sz w:val="20"/>
                <w:szCs w:val="20"/>
                <w:color w:val="auto"/>
              </w:rPr>
            </w:pPr>
            <w:r>
              <w:rPr>
                <w:rFonts w:ascii="Arial" w:cs="Arial" w:eastAsia="Arial" w:hAnsi="Arial"/>
                <w:sz w:val="18"/>
                <w:szCs w:val="18"/>
                <w:color w:val="auto"/>
              </w:rPr>
              <w:t>Fee and other income (expense)</w:t>
            </w:r>
          </w:p>
        </w:tc>
        <w:tc>
          <w:tcPr>
            <w:tcW w:w="10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investment income</w:t>
            </w:r>
          </w:p>
        </w:tc>
        <w:tc>
          <w:tcPr>
            <w:tcW w:w="10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0"/>
        </w:trPr>
        <w:tc>
          <w:tcPr>
            <w:tcW w:w="800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revenues</w:t>
            </w:r>
          </w:p>
        </w:tc>
        <w:tc>
          <w:tcPr>
            <w:tcW w:w="100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1,630</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Expenses:</w:t>
            </w: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Losses and loss adjustment expenses</w:t>
            </w:r>
          </w:p>
        </w:tc>
        <w:tc>
          <w:tcPr>
            <w:tcW w:w="10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16"/>
        </w:trPr>
        <w:tc>
          <w:tcPr>
            <w:tcW w:w="8000" w:type="dxa"/>
            <w:vAlign w:val="bottom"/>
          </w:tcPr>
          <w:p>
            <w:pPr>
              <w:ind w:left="160"/>
              <w:spacing w:after="0"/>
              <w:rPr>
                <w:sz w:val="20"/>
                <w:szCs w:val="20"/>
                <w:color w:val="auto"/>
              </w:rPr>
            </w:pPr>
            <w:r>
              <w:rPr>
                <w:rFonts w:ascii="Arial" w:cs="Arial" w:eastAsia="Arial" w:hAnsi="Arial"/>
                <w:sz w:val="18"/>
                <w:szCs w:val="18"/>
                <w:color w:val="auto"/>
              </w:rPr>
              <w:t>Amortization of deferred policy acquisition costs</w:t>
            </w:r>
          </w:p>
        </w:tc>
        <w:tc>
          <w:tcPr>
            <w:tcW w:w="10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underwriting and general expenses</w:t>
            </w:r>
          </w:p>
        </w:tc>
        <w:tc>
          <w:tcPr>
            <w:tcW w:w="10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0"/>
        </w:trPr>
        <w:tc>
          <w:tcPr>
            <w:tcW w:w="800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expenses</w:t>
            </w:r>
          </w:p>
        </w:tc>
        <w:tc>
          <w:tcPr>
            <w:tcW w:w="100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1,712</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233" w:right="339" w:bottom="1440" w:gutter="0" w:footer="0" w:header="0"/>
        </w:sectPr>
      </w:pPr>
    </w:p>
    <w:p>
      <w:pPr>
        <w:spacing w:after="0"/>
        <w:rPr>
          <w:sz w:val="20"/>
          <w:szCs w:val="20"/>
          <w:color w:val="auto"/>
        </w:rPr>
      </w:pPr>
      <w:r>
        <w:rPr>
          <w:rFonts w:ascii="Arial" w:cs="Arial" w:eastAsia="Arial" w:hAnsi="Arial"/>
          <w:sz w:val="16"/>
          <w:szCs w:val="16"/>
          <w:color w:val="auto"/>
        </w:rPr>
        <w:t>Income (loss) before income taxes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income (loss)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620" w:type="dxa"/>
            <w:vAlign w:val="bottom"/>
          </w:tcPr>
          <w:p>
            <w:pPr>
              <w:spacing w:after="0"/>
              <w:rPr>
                <w:sz w:val="18"/>
                <w:szCs w:val="18"/>
                <w:color w:val="auto"/>
              </w:rPr>
            </w:pPr>
          </w:p>
        </w:tc>
        <w:tc>
          <w:tcPr>
            <w:tcW w:w="1060" w:type="dxa"/>
            <w:vAlign w:val="bottom"/>
            <w:gridSpan w:val="2"/>
          </w:tcPr>
          <w:p>
            <w:pPr>
              <w:jc w:val="right"/>
              <w:ind w:right="61"/>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168</w:t>
            </w:r>
          </w:p>
        </w:tc>
      </w:tr>
      <w:tr>
        <w:trPr>
          <w:trHeight w:val="230"/>
        </w:trPr>
        <w:tc>
          <w:tcPr>
            <w:tcW w:w="620" w:type="dxa"/>
            <w:vAlign w:val="bottom"/>
          </w:tcPr>
          <w:p>
            <w:pPr>
              <w:spacing w:after="0"/>
              <w:rPr>
                <w:sz w:val="20"/>
                <w:szCs w:val="20"/>
                <w:color w:val="auto"/>
              </w:rPr>
            </w:pPr>
          </w:p>
        </w:tc>
        <w:tc>
          <w:tcPr>
            <w:tcW w:w="1060" w:type="dxa"/>
            <w:vAlign w:val="bottom"/>
            <w:gridSpan w:val="2"/>
          </w:tcPr>
          <w:p>
            <w:pPr>
              <w:jc w:val="right"/>
              <w:ind w:right="121"/>
              <w:spacing w:after="0"/>
              <w:rPr>
                <w:sz w:val="20"/>
                <w:szCs w:val="20"/>
                <w:color w:val="auto"/>
              </w:rPr>
            </w:pPr>
            <w:r>
              <w:rPr>
                <w:rFonts w:ascii="Arial" w:cs="Arial" w:eastAsia="Arial" w:hAnsi="Arial"/>
                <w:sz w:val="18"/>
                <w:szCs w:val="18"/>
                <w:color w:val="auto"/>
              </w:rPr>
              <w:t>208</w:t>
            </w: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20"/>
                <w:szCs w:val="20"/>
                <w:color w:val="auto"/>
              </w:rPr>
            </w:pPr>
          </w:p>
        </w:tc>
      </w:tr>
      <w:tr>
        <w:trPr>
          <w:trHeight w:val="223"/>
        </w:trPr>
        <w:tc>
          <w:tcPr>
            <w:tcW w:w="62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220" w:type="dxa"/>
            <w:vAlign w:val="bottom"/>
            <w:gridSpan w:val="2"/>
          </w:tcPr>
          <w:p>
            <w:pPr>
              <w:jc w:val="right"/>
              <w:ind w:right="160"/>
              <w:spacing w:after="0"/>
              <w:rPr>
                <w:sz w:val="20"/>
                <w:szCs w:val="20"/>
                <w:color w:val="auto"/>
              </w:rPr>
            </w:pPr>
            <w:r>
              <w:rPr>
                <w:rFonts w:ascii="Arial" w:cs="Arial" w:eastAsia="Arial" w:hAnsi="Arial"/>
                <w:sz w:val="16"/>
                <w:szCs w:val="16"/>
                <w:color w:val="auto"/>
                <w:w w:val="74"/>
              </w:rPr>
              <w:t>)</w:t>
            </w:r>
          </w:p>
        </w:tc>
        <w:tc>
          <w:tcPr>
            <w:tcW w:w="620" w:type="dxa"/>
            <w:vAlign w:val="bottom"/>
            <w:tcBorders>
              <w:top w:val="single" w:sz="8" w:color="auto"/>
            </w:tcBorders>
          </w:tcPr>
          <w:p>
            <w:pPr>
              <w:jc w:val="right"/>
              <w:ind w:right="46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20" w:type="dxa"/>
            <w:vAlign w:val="bottom"/>
          </w:tcPr>
          <w:p>
            <w:pPr>
              <w:spacing w:after="0"/>
              <w:rPr>
                <w:sz w:val="19"/>
                <w:szCs w:val="19"/>
                <w:color w:val="auto"/>
              </w:rPr>
            </w:pPr>
          </w:p>
        </w:tc>
      </w:tr>
      <w:tr>
        <w:trPr>
          <w:trHeight w:val="20"/>
        </w:trPr>
        <w:tc>
          <w:tcPr>
            <w:tcW w:w="6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-5074285</wp:posOffset>
            </wp:positionH>
            <wp:positionV relativeFrom="paragraph">
              <wp:posOffset>-325120</wp:posOffset>
            </wp:positionV>
            <wp:extent cx="7132320" cy="1454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280" w:space="720"/>
            <w:col w:w="3240"/>
          </w:cols>
          <w:pgMar w:left="320" w:top="233" w:right="339" w:bottom="1440" w:gutter="0" w:footer="0" w:header="0"/>
          <w:type w:val="continuous"/>
        </w:sect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NI Holdings, Inc.</w:t>
      </w:r>
    </w:p>
    <w:p>
      <w:pPr>
        <w:spacing w:after="0" w:line="9"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Benefit Plans</w:t>
      </w:r>
    </w:p>
    <w:p>
      <w:pPr>
        <w:spacing w:after="0" w:line="229" w:lineRule="exact"/>
        <w:rPr>
          <w:sz w:val="20"/>
          <w:szCs w:val="20"/>
          <w:color w:val="auto"/>
        </w:rPr>
      </w:pPr>
    </w:p>
    <w:p>
      <w:pPr>
        <w:ind w:left="20" w:right="140"/>
        <w:spacing w:after="0" w:line="286" w:lineRule="auto"/>
        <w:rPr>
          <w:sz w:val="20"/>
          <w:szCs w:val="20"/>
          <w:color w:val="auto"/>
        </w:rPr>
      </w:pPr>
      <w:r>
        <w:rPr>
          <w:rFonts w:ascii="Arial" w:cs="Arial" w:eastAsia="Arial" w:hAnsi="Arial"/>
          <w:sz w:val="17"/>
          <w:szCs w:val="17"/>
          <w:color w:val="auto"/>
        </w:rPr>
        <w:t>Nodak Insurance sponsors a 401(k) plan with an automatic and matching contribution for eligible employees at Nodak Insurance, Primero, and Direct Auto. Westminster also sponsors a separate 401(k) plan. American West and Battle Creek have no employees. The Company reported expenses related to the 401(k) plans totaling $189 and $148 during the three months ended March 31, 2023 and 2022, respectively.</w:t>
      </w:r>
    </w:p>
    <w:p>
      <w:pPr>
        <w:spacing w:after="0" w:line="125" w:lineRule="exact"/>
        <w:rPr>
          <w:sz w:val="20"/>
          <w:szCs w:val="20"/>
          <w:color w:val="auto"/>
        </w:rPr>
      </w:pPr>
    </w:p>
    <w:p>
      <w:pPr>
        <w:ind w:left="20" w:right="220"/>
        <w:spacing w:after="0" w:line="263" w:lineRule="auto"/>
        <w:rPr>
          <w:sz w:val="20"/>
          <w:szCs w:val="20"/>
          <w:color w:val="auto"/>
        </w:rPr>
      </w:pPr>
      <w:r>
        <w:rPr>
          <w:rFonts w:ascii="Arial" w:cs="Arial" w:eastAsia="Arial" w:hAnsi="Arial"/>
          <w:sz w:val="18"/>
          <w:szCs w:val="18"/>
          <w:color w:val="auto"/>
        </w:rPr>
        <w:t>Nodak Insurance also contributes an additional elective amount of employee compensation as a profit-sharing contribution for eligible employees that is invested in a portfolio of investments directed by the Company. The reported expenses related to this profit-sharing contribution were $249 and $190 during the three months ended March 31, 2023 and 2022, respectively.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All fees associated with the plans are deducted from the eligible employee accounts.</w:t>
      </w:r>
    </w:p>
    <w:p>
      <w:pPr>
        <w:spacing w:after="0" w:line="185" w:lineRule="exact"/>
        <w:rPr>
          <w:sz w:val="20"/>
          <w:szCs w:val="20"/>
          <w:color w:val="auto"/>
        </w:rPr>
      </w:pPr>
    </w:p>
    <w:p>
      <w:pPr>
        <w:ind w:left="20" w:right="140"/>
        <w:spacing w:after="0" w:line="257" w:lineRule="auto"/>
        <w:rPr>
          <w:sz w:val="20"/>
          <w:szCs w:val="20"/>
          <w:color w:val="auto"/>
        </w:rPr>
      </w:pPr>
      <w:r>
        <w:rPr>
          <w:rFonts w:ascii="Arial" w:cs="Arial" w:eastAsia="Arial" w:hAnsi="Arial"/>
          <w:sz w:val="18"/>
          <w:szCs w:val="18"/>
          <w:color w:val="auto"/>
        </w:rPr>
        <w:t>The Company also offers a non-qualified deferred compensation plan to key executives of the Company (as designated by the Board of Directors). The Company’s policy is to fund the plan by amounts that represent the excess of the maximum contribution allowed by the Employee Retirement Income Security Act over the key executives’ allowable 401(k) contribution. The plan also allows employee-directed deferral of key executive’s compensation or incentive payments. The Company reported expenses related to this plan totaling $22 and $104 during the three months ended March 31, 2023 and 2022, respectively.</w:t>
      </w:r>
    </w:p>
    <w:p>
      <w:pPr>
        <w:spacing w:after="0" w:line="14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In connection with our initial public offering (“IPO”) in March 2017, the Company established its Employee Stock Ownership Plan (the “ESOP”). The ESOP is intended to be an employee stock ownership plan within the meaning of Internal Revenue Code Section 4975(e)(7) and invests solely in common stock of the Company.</w:t>
      </w:r>
    </w:p>
    <w:p>
      <w:pPr>
        <w:spacing w:after="0" w:line="15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Upon establishment of the plan, Nodak Insurance loaned $2,400 to the ESOP’s related trust (the “ESOP Trust”). The ESOP loan was for a period of ten years, bearing interest at the long-term Applicable Federal Rate effective on the closing date of the offering (2.79% annually). The ESOP Trust used the proceeds of the loan to purchase shares in our IPO, which resulted in the ESOP Trust owning approximately 1.0% of the Company’s authorized shares. The ESOP has purchased the shares for investment and not for resale.</w:t>
      </w:r>
    </w:p>
    <w:p>
      <w:pPr>
        <w:spacing w:after="0" w:line="14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shares purchased by the ESOP Trust in the offering are held in a suspense account as collateral for the ESOP loan. Nodak Insurance makes semi-annual cash contributions to the ESOP in amounts no smaller than the amounts required for the ESOP Trust to make its loan payments to Nodak Insurance. While the ESOP makes two loan payments per year, a pre-determined portion of the shares are released from the suspense account and allocated to participant accounts at the end of the calendar year. This release and allocation occurs on an annual basis over the ten-year term of the ESOP loan. Nodak Insurance has a lien on the shares of common stock of the Company held by the ESOP to secure repayment of the loan from the ESOP to Nodak Insurance. If the ESOP is terminated as a result of a change in control of the Company, the ESOP may be required to pay the costs of terminating the plan.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NI Holdings, Inc.</w:t>
      </w:r>
    </w:p>
    <w:p>
      <w:pPr>
        <w:spacing w:after="0" w:line="9"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386"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It is anticipated that the only assets held by the ESOP will be shares of the Company’s common stock. Participants in the ESOP cannot direct the investment of any assets allocated to their accounts. The ESOP participants are employees of Nodak Insurance. The employees of Primero, Direct Auto, and Westminster do not participate in the ESOP.</w:t>
      </w:r>
    </w:p>
    <w:p>
      <w:pPr>
        <w:spacing w:after="0" w:line="15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Each employee of Nodak Insurance automatically becomes a participant in the ESOP if such employee is at least 21 years old, has completed a minimum of one thousand hours of service with Nodak Insurance, and has completed an Eligibility Computation Period. Employees are not permitted to make any contributions to the ESOP. Participants in the ESOP receive annual reports from the Company showing the number of shares of common stock of the Company allocated to the participants’ accounts and the market value of those shares. The shares are allocated to participants based on compensation as provided for in the ESOP.</w:t>
      </w:r>
    </w:p>
    <w:p>
      <w:pPr>
        <w:spacing w:after="0" w:line="147"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In connection with the establishment of the ESOP, the Company created a contra-equity account on the Consolidated Balance Sheet equal to the ESOP’s basis in the shares. The basis of those shares was set at $10.00 per share as part of the IPO. As shares are released from the ESOP suspense account, the contra-equity account is credited, which reduces the impact of the contra-equity account on the Company’s Consolidated Balance Sheet over time. The Company records compensation expense related to the shares released, equal to the number of shares released from the suspense account multiplied by the average market value of the Company’s stock during the period.</w:t>
      </w:r>
    </w:p>
    <w:p>
      <w:pPr>
        <w:spacing w:after="0" w:line="13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Company recognized compensation expense of $82 and $109 during the three months ended March 31, 2023 and 2022, respectively, related to the ESOP.</w:t>
      </w:r>
    </w:p>
    <w:p>
      <w:pPr>
        <w:spacing w:after="0" w:line="143"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Through March 31, 2023, and December 31, 2022, the Company had released and allocated 145,890 ESOP shares to participants, with a remainder of 94,110 ESOP shares in suspense at March 31, 2023 and December 31, 2022. Using the Company’s quarter-end market price of $13.00 per share, the fair value of the unearned ESOP shares was $1,223 at March 31, 2023.</w:t>
      </w:r>
    </w:p>
    <w:p>
      <w:pPr>
        <w:spacing w:after="0" w:line="396" w:lineRule="exact"/>
        <w:rPr>
          <w:sz w:val="20"/>
          <w:szCs w:val="20"/>
          <w:color w:val="auto"/>
        </w:rPr>
      </w:pPr>
    </w:p>
    <w:p>
      <w:pPr>
        <w:ind w:left="540" w:hanging="532"/>
        <w:spacing w:after="0"/>
        <w:tabs>
          <w:tab w:leader="none" w:pos="5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Line of Credit</w:t>
      </w:r>
    </w:p>
    <w:p>
      <w:pPr>
        <w:spacing w:after="0" w:line="229" w:lineRule="exact"/>
        <w:rPr>
          <w:sz w:val="20"/>
          <w:szCs w:val="20"/>
          <w:color w:val="auto"/>
        </w:rPr>
      </w:pPr>
    </w:p>
    <w:p>
      <w:pPr>
        <w:jc w:val="both"/>
        <w:ind w:left="20"/>
        <w:spacing w:after="0" w:line="263" w:lineRule="auto"/>
        <w:rPr>
          <w:sz w:val="20"/>
          <w:szCs w:val="20"/>
          <w:color w:val="auto"/>
        </w:rPr>
      </w:pPr>
      <w:r>
        <w:rPr>
          <w:rFonts w:ascii="Arial" w:cs="Arial" w:eastAsia="Arial" w:hAnsi="Arial"/>
          <w:sz w:val="18"/>
          <w:szCs w:val="18"/>
          <w:color w:val="auto"/>
        </w:rPr>
        <w:t>Nodak Insurance has a $5,000 line of credit with Wells Fargo Bank, N.A. The terms of the line of credit include a floating interest rate of the bank’s Prime Rate with a floor rate of 3.25%. There were no outstanding amounts during the three months ended March 31, 2023, or the year ended December 31, 2022. This line of credit is scheduled to expire on March 31, 2024.</w:t>
      </w:r>
    </w:p>
    <w:p>
      <w:pPr>
        <w:spacing w:after="0" w:line="396" w:lineRule="exact"/>
        <w:rPr>
          <w:sz w:val="20"/>
          <w:szCs w:val="20"/>
          <w:color w:val="auto"/>
        </w:rPr>
      </w:pPr>
    </w:p>
    <w:p>
      <w:pPr>
        <w:ind w:left="540" w:hanging="532"/>
        <w:spacing w:after="0"/>
        <w:tabs>
          <w:tab w:leader="none" w:pos="5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left="20" w:right="460"/>
        <w:spacing w:after="0" w:line="342" w:lineRule="auto"/>
        <w:rPr>
          <w:sz w:val="20"/>
          <w:szCs w:val="20"/>
          <w:color w:val="auto"/>
        </w:rPr>
      </w:pPr>
      <w:r>
        <w:rPr>
          <w:rFonts w:ascii="Arial" w:cs="Arial" w:eastAsia="Arial" w:hAnsi="Arial"/>
          <w:sz w:val="16"/>
          <w:szCs w:val="16"/>
          <w:color w:val="auto"/>
        </w:rPr>
        <w:t>At March 31, 2023, and December 31, 2022, we had no unrecognized tax benefits, no accrued interest and penalties, and no significant uncertain tax positions. No interest and penalties were recognized during the three-month period ended March 31, 2023, or the year ended December 31, 2022.</w:t>
      </w:r>
    </w:p>
    <w:p>
      <w:pPr>
        <w:spacing w:after="0" w:line="83" w:lineRule="exact"/>
        <w:rPr>
          <w:sz w:val="20"/>
          <w:szCs w:val="20"/>
          <w:color w:val="auto"/>
        </w:rPr>
      </w:pPr>
    </w:p>
    <w:p>
      <w:pPr>
        <w:ind w:left="20" w:right="420"/>
        <w:spacing w:after="0" w:line="277" w:lineRule="auto"/>
        <w:rPr>
          <w:sz w:val="20"/>
          <w:szCs w:val="20"/>
          <w:color w:val="auto"/>
        </w:rPr>
      </w:pPr>
      <w:r>
        <w:rPr>
          <w:rFonts w:ascii="Arial" w:cs="Arial" w:eastAsia="Arial" w:hAnsi="Arial"/>
          <w:sz w:val="18"/>
          <w:szCs w:val="18"/>
          <w:color w:val="auto"/>
        </w:rPr>
        <w:t>At March 31, 2023, and December 31, 2022, the Company, other than Battle Creek and Westminster, had no income tax related carryforwards for net operating losses, alternative minimum tax credits, or capital losses.</w:t>
      </w:r>
    </w:p>
    <w:p>
      <w:pPr>
        <w:spacing w:after="0" w:line="130" w:lineRule="exact"/>
        <w:rPr>
          <w:sz w:val="20"/>
          <w:szCs w:val="20"/>
          <w:color w:val="auto"/>
        </w:rPr>
      </w:pPr>
    </w:p>
    <w:p>
      <w:pPr>
        <w:ind w:left="20" w:right="280"/>
        <w:spacing w:after="0" w:line="277" w:lineRule="auto"/>
        <w:rPr>
          <w:sz w:val="20"/>
          <w:szCs w:val="20"/>
          <w:color w:val="auto"/>
        </w:rPr>
      </w:pPr>
      <w:r>
        <w:rPr>
          <w:rFonts w:ascii="Arial" w:cs="Arial" w:eastAsia="Arial" w:hAnsi="Arial"/>
          <w:sz w:val="18"/>
          <w:szCs w:val="18"/>
          <w:color w:val="auto"/>
        </w:rPr>
        <w:t>Battle Creek, which files its income tax returns on a stand-alone basis, had net operating loss carryforwards of $3,963 at December 31, 2022. These net operating loss carryforwards expire through 2032.</w:t>
      </w:r>
    </w:p>
    <w:p>
      <w:pPr>
        <w:spacing w:after="0" w:line="143" w:lineRule="exact"/>
        <w:rPr>
          <w:sz w:val="20"/>
          <w:szCs w:val="20"/>
          <w:color w:val="auto"/>
        </w:rPr>
      </w:pPr>
    </w:p>
    <w:p>
      <w:pPr>
        <w:ind w:left="20" w:right="20"/>
        <w:spacing w:after="0" w:line="277" w:lineRule="auto"/>
        <w:rPr>
          <w:sz w:val="20"/>
          <w:szCs w:val="20"/>
          <w:color w:val="auto"/>
        </w:rPr>
      </w:pPr>
      <w:r>
        <w:rPr>
          <w:rFonts w:ascii="Arial" w:cs="Arial" w:eastAsia="Arial" w:hAnsi="Arial"/>
          <w:sz w:val="18"/>
          <w:szCs w:val="18"/>
          <w:color w:val="auto"/>
        </w:rPr>
        <w:t>Westminster, which became part of the Company’s consolidated federal income tax return beginning in 2020, had a $1,270 net operating loss carryforward at December 31, 2022. This net operating loss carryforward expires in 2023.</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2023, federal income tax years 2019 through 2021 remain open for examination.</w:t>
      </w:r>
    </w:p>
    <w:p>
      <w:pPr>
        <w:spacing w:after="0" w:line="185"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233" w:right="39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9"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40" w:hanging="532"/>
        <w:spacing w:after="0"/>
        <w:tabs>
          <w:tab w:leader="none" w:pos="5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Primero leases a facility in Spearfish, South Dakota under a non-cancellable operating lease expiring in 2023, and leases a facility in Las Vegas, Nevada on a month-to-month basis. Direct Auto leases a facility in Chicago, Illinois under a non-cancellable operating lease expiring in 2029. Nodak Insurance leases a facility in Fargo, North Dakota under a non-cancellable operating lease expiring in 2024.</w:t>
      </w:r>
    </w:p>
    <w:p>
      <w:pPr>
        <w:spacing w:after="0" w:line="143"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Effective for the year ended December 31, 2022, the Company adopted the updated guidance for leases. This guidance was adopted in the fourth quarter of 2022, and accordingly, the expense amounts for the period ended March 31, 2023, are not comparable to the period ended March 31, 2022. See Part II, Item 8, Note 2 “Recent Accounting Pronouncements” in the 2022 Annual Report for additional information. Under the new guidance, lease expense for these operating leases is recognized on a straight-line basis over the term of the lease, and a right-of-use asset and lease liability is recognized as part of other assets and other liabilities, respectively, in the Consolidated Balance Sheet at the origination of the lease. The Company currently does not have leases that include options to purchase or provisions that would automatically transfer ownership of the leased property to the Company.</w:t>
      </w:r>
    </w:p>
    <w:p>
      <w:pPr>
        <w:spacing w:after="0" w:line="137"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The Company determines whether a contract is or contains a lease at the inception of the contract. A contract will be deemed to be or contain a lease if the contract conveys the right to control and directs the use of identified property or equipment for a period of time in exchange for consideration. The Company generally must also have the right to obtain substantially all of the economic benefits from the use of the property and equipment. Operating lease assets and liabilities are recognized at the lease commencement date based on the present value of lease payments over the lease term. To determine the present value of lease payments not yet paid, the Company estimates incremental borrowing rates based on the floating interest rate on our Line of Credit with Wells Fargo Bank, N.A. at the lease commencement date, as rates are not implicitly stated in most leases.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00" w:type="dxa"/>
            <w:vAlign w:val="bottom"/>
          </w:tcPr>
          <w:p>
            <w:pPr>
              <w:spacing w:after="0"/>
              <w:rPr>
                <w:sz w:val="20"/>
                <w:szCs w:val="20"/>
                <w:color w:val="auto"/>
              </w:rPr>
            </w:pPr>
            <w:r>
              <w:rPr>
                <w:rFonts w:ascii="Arial" w:cs="Arial" w:eastAsia="Arial" w:hAnsi="Arial"/>
                <w:sz w:val="18"/>
                <w:szCs w:val="18"/>
                <w:color w:val="auto"/>
              </w:rPr>
              <w:t>Additional information regarding the Company’s operating leases are as follows:</w:t>
            </w:r>
          </w:p>
        </w:tc>
        <w:tc>
          <w:tcPr>
            <w:tcW w:w="1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05"/>
        </w:trPr>
        <w:tc>
          <w:tcPr>
            <w:tcW w:w="7300" w:type="dxa"/>
            <w:vAlign w:val="bottom"/>
          </w:tcPr>
          <w:p>
            <w:pPr>
              <w:spacing w:after="0"/>
              <w:rPr>
                <w:sz w:val="24"/>
                <w:szCs w:val="24"/>
                <w:color w:val="auto"/>
              </w:rPr>
            </w:pPr>
          </w:p>
        </w:tc>
        <w:tc>
          <w:tcPr>
            <w:tcW w:w="3940" w:type="dxa"/>
            <w:vAlign w:val="bottom"/>
            <w:gridSpan w:val="6"/>
          </w:tcPr>
          <w:p>
            <w:pPr>
              <w:spacing w:after="0"/>
              <w:rPr>
                <w:sz w:val="20"/>
                <w:szCs w:val="20"/>
                <w:color w:val="auto"/>
              </w:rPr>
            </w:pPr>
            <w:r>
              <w:rPr>
                <w:rFonts w:ascii="Arial" w:cs="Arial" w:eastAsia="Arial" w:hAnsi="Arial"/>
                <w:sz w:val="18"/>
                <w:szCs w:val="18"/>
                <w:b w:val="1"/>
                <w:bCs w:val="1"/>
                <w:color w:val="auto"/>
                <w:w w:val="93"/>
              </w:rPr>
              <w:t>As of and For the Three Months Ended March 31,</w:t>
            </w:r>
          </w:p>
        </w:tc>
      </w:tr>
      <w:tr>
        <w:trPr>
          <w:trHeight w:val="223"/>
        </w:trPr>
        <w:tc>
          <w:tcPr>
            <w:tcW w:w="7300" w:type="dxa"/>
            <w:vAlign w:val="bottom"/>
            <w:tcBorders>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68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r>
      <w:tr>
        <w:trPr>
          <w:trHeight w:val="210"/>
        </w:trPr>
        <w:tc>
          <w:tcPr>
            <w:tcW w:w="7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lease expense</w:t>
            </w: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8"/>
                <w:szCs w:val="18"/>
                <w:color w:val="auto"/>
              </w:rPr>
            </w:pPr>
          </w:p>
        </w:tc>
      </w:tr>
      <w:tr>
        <w:trPr>
          <w:trHeight w:val="216"/>
        </w:trPr>
        <w:tc>
          <w:tcPr>
            <w:tcW w:w="7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information on operating leases:</w:t>
            </w:r>
          </w:p>
        </w:tc>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00" w:type="dxa"/>
            <w:vAlign w:val="bottom"/>
          </w:tcPr>
          <w:p>
            <w:pPr>
              <w:ind w:left="340"/>
              <w:spacing w:after="0"/>
              <w:rPr>
                <w:sz w:val="20"/>
                <w:szCs w:val="20"/>
                <w:color w:val="auto"/>
              </w:rPr>
            </w:pPr>
            <w:r>
              <w:rPr>
                <w:rFonts w:ascii="Arial" w:cs="Arial" w:eastAsia="Arial" w:hAnsi="Arial"/>
                <w:sz w:val="18"/>
                <w:szCs w:val="18"/>
                <w:color w:val="auto"/>
              </w:rPr>
              <w:t>Operating cash outflow from operating leases</w:t>
            </w:r>
          </w:p>
        </w:tc>
        <w:tc>
          <w:tcPr>
            <w:tcW w:w="11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101</w:t>
            </w:r>
          </w:p>
        </w:tc>
        <w:tc>
          <w:tcPr>
            <w:tcW w:w="42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68</w:t>
            </w:r>
          </w:p>
        </w:tc>
      </w:tr>
      <w:tr>
        <w:trPr>
          <w:trHeight w:val="216"/>
        </w:trPr>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Right-of-use assets obtained in exchange for new lease liabilities</w:t>
            </w:r>
          </w:p>
        </w:tc>
        <w:tc>
          <w:tcPr>
            <w:tcW w:w="1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00" w:type="dxa"/>
            <w:vAlign w:val="bottom"/>
          </w:tcPr>
          <w:p>
            <w:pPr>
              <w:ind w:left="340"/>
              <w:spacing w:after="0"/>
              <w:rPr>
                <w:sz w:val="20"/>
                <w:szCs w:val="20"/>
                <w:color w:val="auto"/>
              </w:rPr>
            </w:pPr>
            <w:r>
              <w:rPr>
                <w:rFonts w:ascii="Arial" w:cs="Arial" w:eastAsia="Arial" w:hAnsi="Arial"/>
                <w:sz w:val="18"/>
                <w:szCs w:val="18"/>
                <w:color w:val="auto"/>
              </w:rPr>
              <w:t>Weighted average discount rate</w:t>
            </w:r>
          </w:p>
        </w:tc>
        <w:tc>
          <w:tcPr>
            <w:tcW w:w="11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3.25%</w:t>
            </w:r>
          </w:p>
        </w:tc>
        <w:tc>
          <w:tcPr>
            <w:tcW w:w="42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3.25%</w:t>
            </w:r>
          </w:p>
        </w:tc>
      </w:tr>
      <w:tr>
        <w:trPr>
          <w:trHeight w:val="216"/>
        </w:trPr>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Weighted average remaining lease term in years</w:t>
            </w:r>
          </w:p>
        </w:tc>
        <w:tc>
          <w:tcPr>
            <w:tcW w:w="1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6.1 years</w:t>
            </w:r>
          </w:p>
        </w:tc>
        <w:tc>
          <w:tcPr>
            <w:tcW w:w="4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99"/>
              </w:rPr>
              <w:t>6.8 years</w:t>
            </w:r>
          </w:p>
        </w:tc>
      </w:tr>
    </w:tbl>
    <w:p>
      <w:pPr>
        <w:spacing w:after="0" w:line="200" w:lineRule="exact"/>
        <w:rPr>
          <w:sz w:val="20"/>
          <w:szCs w:val="20"/>
          <w:color w:val="auto"/>
        </w:rPr>
      </w:pPr>
    </w:p>
    <w:p>
      <w:pPr>
        <w:spacing w:after="0" w:line="21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following table presents the contractual maturities of the Company’s operating leases for each of the five years in the period ending December 31, 2027, and thereafter, reconciled to the Company’s operating lease liability at March 31, 2023:</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 ending December 31,</w:t>
            </w:r>
          </w:p>
        </w:tc>
        <w:tc>
          <w:tcPr>
            <w:tcW w:w="120" w:type="dxa"/>
            <w:vAlign w:val="bottom"/>
            <w:tcBorders>
              <w:bottom w:val="single" w:sz="8" w:color="CCEEFF"/>
            </w:tcBorders>
          </w:tcPr>
          <w:p>
            <w:pPr>
              <w:spacing w:after="0"/>
              <w:rPr>
                <w:sz w:val="20"/>
                <w:szCs w:val="20"/>
                <w:color w:val="auto"/>
              </w:rPr>
            </w:pPr>
          </w:p>
        </w:tc>
        <w:tc>
          <w:tcPr>
            <w:tcW w:w="580" w:type="dxa"/>
            <w:vAlign w:val="bottom"/>
            <w:tcBorders>
              <w:bottom w:val="single" w:sz="8" w:color="CCEEFF"/>
            </w:tcBorders>
          </w:tcPr>
          <w:p>
            <w:pPr>
              <w:spacing w:after="0"/>
              <w:rPr>
                <w:sz w:val="20"/>
                <w:szCs w:val="20"/>
                <w:color w:val="auto"/>
              </w:rPr>
            </w:pPr>
          </w:p>
        </w:tc>
        <w:tc>
          <w:tcPr>
            <w:tcW w:w="8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r>
      <w:tr>
        <w:trPr>
          <w:trHeight w:val="210"/>
        </w:trPr>
        <w:tc>
          <w:tcPr>
            <w:tcW w:w="9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2023 (nine months remaining)</w:t>
            </w:r>
          </w:p>
        </w:tc>
        <w:tc>
          <w:tcPr>
            <w:tcW w:w="700" w:type="dxa"/>
            <w:vAlign w:val="bottom"/>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w:t>
            </w:r>
          </w:p>
        </w:tc>
      </w:tr>
      <w:tr>
        <w:trPr>
          <w:trHeight w:val="216"/>
        </w:trPr>
        <w:tc>
          <w:tcPr>
            <w:tcW w:w="9560" w:type="dxa"/>
            <w:vAlign w:val="bottom"/>
          </w:tcPr>
          <w:p>
            <w:pPr>
              <w:ind w:left="160"/>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321</w:t>
            </w:r>
          </w:p>
        </w:tc>
      </w:tr>
      <w:tr>
        <w:trPr>
          <w:trHeight w:val="216"/>
        </w:trPr>
        <w:tc>
          <w:tcPr>
            <w:tcW w:w="9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2025</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w:t>
            </w:r>
          </w:p>
        </w:tc>
      </w:tr>
      <w:tr>
        <w:trPr>
          <w:trHeight w:val="216"/>
        </w:trPr>
        <w:tc>
          <w:tcPr>
            <w:tcW w:w="9560" w:type="dxa"/>
            <w:vAlign w:val="bottom"/>
          </w:tcPr>
          <w:p>
            <w:pPr>
              <w:ind w:left="160"/>
              <w:spacing w:after="0"/>
              <w:rPr>
                <w:sz w:val="20"/>
                <w:szCs w:val="20"/>
                <w:color w:val="auto"/>
              </w:rPr>
            </w:pPr>
            <w:r>
              <w:rPr>
                <w:rFonts w:ascii="Arial" w:cs="Arial" w:eastAsia="Arial" w:hAnsi="Arial"/>
                <w:sz w:val="18"/>
                <w:szCs w:val="18"/>
                <w:color w:val="auto"/>
              </w:rPr>
              <w:t>2026</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291</w:t>
            </w:r>
          </w:p>
        </w:tc>
      </w:tr>
      <w:tr>
        <w:trPr>
          <w:trHeight w:val="216"/>
        </w:trPr>
        <w:tc>
          <w:tcPr>
            <w:tcW w:w="9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2027</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w:t>
            </w:r>
          </w:p>
        </w:tc>
      </w:tr>
      <w:tr>
        <w:trPr>
          <w:trHeight w:val="229"/>
        </w:trPr>
        <w:tc>
          <w:tcPr>
            <w:tcW w:w="9560" w:type="dxa"/>
            <w:vAlign w:val="bottom"/>
          </w:tcPr>
          <w:p>
            <w:pPr>
              <w:ind w:left="160"/>
              <w:spacing w:after="0"/>
              <w:rPr>
                <w:sz w:val="20"/>
                <w:szCs w:val="20"/>
                <w:color w:val="auto"/>
              </w:rPr>
            </w:pPr>
            <w:r>
              <w:rPr>
                <w:rFonts w:ascii="Arial" w:cs="Arial" w:eastAsia="Arial" w:hAnsi="Arial"/>
                <w:sz w:val="18"/>
                <w:szCs w:val="18"/>
                <w:color w:val="auto"/>
              </w:rPr>
              <w:t>Thereafter</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479</w:t>
            </w:r>
          </w:p>
        </w:tc>
      </w:tr>
      <w:tr>
        <w:trPr>
          <w:trHeight w:val="210"/>
        </w:trPr>
        <w:tc>
          <w:tcPr>
            <w:tcW w:w="956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undiscounted lease payments</w:t>
            </w: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1,935</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9560" w:type="dxa"/>
            <w:vAlign w:val="bottom"/>
          </w:tcPr>
          <w:p>
            <w:pPr>
              <w:ind w:left="160"/>
              <w:spacing w:after="0"/>
              <w:rPr>
                <w:sz w:val="20"/>
                <w:szCs w:val="20"/>
                <w:color w:val="auto"/>
              </w:rPr>
            </w:pPr>
            <w:r>
              <w:rPr>
                <w:rFonts w:ascii="Arial" w:cs="Arial" w:eastAsia="Arial" w:hAnsi="Arial"/>
                <w:sz w:val="18"/>
                <w:szCs w:val="18"/>
                <w:color w:val="auto"/>
              </w:rPr>
              <w:t>Less: present value adjustment</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179</w:t>
            </w:r>
          </w:p>
        </w:tc>
      </w:tr>
      <w:tr>
        <w:trPr>
          <w:trHeight w:val="223"/>
        </w:trPr>
        <w:tc>
          <w:tcPr>
            <w:tcW w:w="9560" w:type="dxa"/>
            <w:vAlign w:val="bottom"/>
            <w:tcBorders>
              <w:top w:val="single" w:sz="8" w:color="CCEEFF"/>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Operating lease liability at March 31, 2023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9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229" w:lineRule="exact"/>
        <w:rPr>
          <w:sz w:val="20"/>
          <w:szCs w:val="20"/>
          <w:color w:val="auto"/>
        </w:rPr>
      </w:pPr>
    </w:p>
    <w:p>
      <w:pPr>
        <w:ind w:left="20" w:right="20"/>
        <w:spacing w:after="0" w:line="277" w:lineRule="auto"/>
        <w:rPr>
          <w:sz w:val="20"/>
          <w:szCs w:val="20"/>
          <w:color w:val="auto"/>
        </w:rPr>
      </w:pPr>
      <w:r>
        <w:rPr>
          <w:rFonts w:ascii="Arial" w:cs="Arial" w:eastAsia="Arial" w:hAnsi="Arial"/>
          <w:sz w:val="18"/>
          <w:szCs w:val="18"/>
          <w:color w:val="auto"/>
        </w:rPr>
        <w:t>We have been named as a defendant in various lawsuits relating to our insurance operations. Contingent liabilities arising from litigation, income taxes, and other matters are not considered to be material to our financial position.</w:t>
      </w:r>
    </w:p>
    <w:p>
      <w:pPr>
        <w:sectPr>
          <w:pgSz w:w="11900" w:h="16838" w:orient="portrait"/>
          <w:cols w:equalWidth="0" w:num="1">
            <w:col w:w="11240"/>
          </w:cols>
          <w:pgMar w:left="320" w:top="233" w:right="339" w:bottom="1440" w:gutter="0" w:footer="0" w:header="0"/>
        </w:sectPr>
      </w:pPr>
    </w:p>
    <w:p>
      <w:pPr>
        <w:spacing w:after="0" w:line="14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3" w:lineRule="exact"/>
        <w:rPr>
          <w:sz w:val="20"/>
          <w:szCs w:val="20"/>
          <w:color w:val="auto"/>
        </w:rPr>
      </w:pPr>
    </w:p>
    <w:p>
      <w:pPr>
        <w:jc w:val="center"/>
        <w:ind w:left="3460"/>
        <w:spacing w:after="0"/>
        <w:rPr>
          <w:sz w:val="20"/>
          <w:szCs w:val="20"/>
          <w:color w:val="auto"/>
        </w:rPr>
      </w:pPr>
      <w:r>
        <w:rPr>
          <w:rFonts w:ascii="Arial" w:cs="Arial" w:eastAsia="Arial" w:hAnsi="Arial"/>
          <w:sz w:val="18"/>
          <w:szCs w:val="18"/>
          <w:b w:val="1"/>
          <w:bCs w:val="1"/>
          <w:color w:val="auto"/>
        </w:rPr>
        <w:t>NI Holdings, Inc.</w:t>
      </w:r>
    </w:p>
    <w:p>
      <w:pPr>
        <w:spacing w:after="0" w:line="9" w:lineRule="exact"/>
        <w:rPr>
          <w:sz w:val="20"/>
          <w:szCs w:val="20"/>
          <w:color w:val="auto"/>
        </w:rPr>
      </w:pPr>
    </w:p>
    <w:p>
      <w:pPr>
        <w:ind w:left="3460"/>
        <w:spacing w:after="0"/>
        <w:rPr>
          <w:sz w:val="20"/>
          <w:szCs w:val="20"/>
          <w:color w:val="auto"/>
        </w:rPr>
      </w:pPr>
      <w:r>
        <w:rPr>
          <w:rFonts w:ascii="Arial" w:cs="Arial" w:eastAsia="Arial" w:hAnsi="Arial"/>
          <w:sz w:val="16"/>
          <w:szCs w:val="16"/>
          <w:b w:val="1"/>
          <w:bCs w:val="1"/>
          <w:color w:val="auto"/>
        </w:rPr>
        <w:t>Notes to Consolidated Financial Statements (Unaudited)</w:t>
      </w:r>
    </w:p>
    <w:p>
      <w:pPr>
        <w:spacing w:after="0" w:line="32" w:lineRule="exact"/>
        <w:rPr>
          <w:sz w:val="20"/>
          <w:szCs w:val="20"/>
          <w:color w:val="auto"/>
        </w:rPr>
      </w:pPr>
    </w:p>
    <w:p>
      <w:pPr>
        <w:ind w:left="3420"/>
        <w:spacing w:after="0"/>
        <w:rPr>
          <w:sz w:val="20"/>
          <w:szCs w:val="20"/>
          <w:color w:val="auto"/>
        </w:rPr>
      </w:pPr>
      <w:r>
        <w:rPr>
          <w:rFonts w:ascii="Arial" w:cs="Arial" w:eastAsia="Arial" w:hAnsi="Arial"/>
          <w:sz w:val="15"/>
          <w:szCs w:val="15"/>
          <w:b w:val="1"/>
          <w:bCs w:val="1"/>
          <w:color w:val="auto"/>
        </w:rPr>
        <w:t>(dollar 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Common and Preferred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number of common stock shares outstanding were as follows: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Shares outstanding,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54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Treasury shares repurchased through stock repurchase authorization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140"/>
        <w:spacing w:after="0"/>
        <w:rPr>
          <w:sz w:val="20"/>
          <w:szCs w:val="20"/>
          <w:color w:val="auto"/>
        </w:rPr>
      </w:pPr>
      <w:r>
        <w:rPr>
          <w:rFonts w:ascii="Arial" w:cs="Arial" w:eastAsia="Arial" w:hAnsi="Arial"/>
          <w:sz w:val="18"/>
          <w:szCs w:val="18"/>
          <w:color w:val="auto"/>
        </w:rPr>
        <w:t>Issuance of treasury shares for vesting of restricted stock units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Shares outstanding, end of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Three Months Ended March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4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200" w:type="dxa"/>
            <w:vAlign w:val="bottom"/>
            <w:tcBorders>
              <w:top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95"/>
        </w:trPr>
        <w:tc>
          <w:tcPr>
            <w:tcW w:w="1480" w:type="dxa"/>
            <w:vAlign w:val="bottom"/>
          </w:tcPr>
          <w:p>
            <w:pPr>
              <w:jc w:val="right"/>
              <w:spacing w:after="0" w:line="195" w:lineRule="exact"/>
              <w:rPr>
                <w:sz w:val="20"/>
                <w:szCs w:val="20"/>
                <w:color w:val="auto"/>
              </w:rPr>
            </w:pPr>
            <w:r>
              <w:rPr>
                <w:rFonts w:ascii="Arial" w:cs="Arial" w:eastAsia="Arial" w:hAnsi="Arial"/>
                <w:sz w:val="18"/>
                <w:szCs w:val="18"/>
                <w:color w:val="auto"/>
              </w:rPr>
              <w:t>21,076,255</w:t>
            </w:r>
          </w:p>
        </w:tc>
        <w:tc>
          <w:tcPr>
            <w:tcW w:w="200" w:type="dxa"/>
            <w:vAlign w:val="bottom"/>
          </w:tcPr>
          <w:p>
            <w:pPr>
              <w:spacing w:after="0"/>
              <w:rPr>
                <w:sz w:val="16"/>
                <w:szCs w:val="16"/>
                <w:color w:val="auto"/>
              </w:rPr>
            </w:pPr>
          </w:p>
        </w:tc>
        <w:tc>
          <w:tcPr>
            <w:tcW w:w="1460" w:type="dxa"/>
            <w:vAlign w:val="bottom"/>
          </w:tcPr>
          <w:p>
            <w:pPr>
              <w:jc w:val="right"/>
              <w:spacing w:after="0" w:line="195" w:lineRule="exact"/>
              <w:rPr>
                <w:sz w:val="20"/>
                <w:szCs w:val="20"/>
                <w:color w:val="auto"/>
              </w:rPr>
            </w:pPr>
            <w:r>
              <w:rPr>
                <w:rFonts w:ascii="Arial" w:cs="Arial" w:eastAsia="Arial" w:hAnsi="Arial"/>
                <w:sz w:val="18"/>
                <w:szCs w:val="18"/>
                <w:color w:val="auto"/>
              </w:rPr>
              <w:t>21,219,808</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29"/>
        </w:trPr>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(46,099)</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(54,872)</w:t>
            </w:r>
          </w:p>
        </w:tc>
      </w:tr>
      <w:tr>
        <w:trPr>
          <w:trHeight w:val="230"/>
        </w:trPr>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32,199</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90,704</w:t>
            </w:r>
          </w:p>
        </w:tc>
        <w:tc>
          <w:tcPr>
            <w:tcW w:w="40" w:type="dxa"/>
            <w:vAlign w:val="bottom"/>
          </w:tcPr>
          <w:p>
            <w:pPr>
              <w:spacing w:after="0"/>
              <w:rPr>
                <w:sz w:val="20"/>
                <w:szCs w:val="20"/>
                <w:color w:val="auto"/>
              </w:rPr>
            </w:pPr>
          </w:p>
        </w:tc>
      </w:tr>
      <w:tr>
        <w:trPr>
          <w:trHeight w:val="223"/>
        </w:trPr>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21,062,355</w:t>
            </w:r>
          </w:p>
        </w:tc>
        <w:tc>
          <w:tcPr>
            <w:tcW w:w="200" w:type="dxa"/>
            <w:vAlign w:val="bottom"/>
          </w:tcPr>
          <w:p>
            <w:pPr>
              <w:spacing w:after="0"/>
              <w:rPr>
                <w:sz w:val="19"/>
                <w:szCs w:val="19"/>
                <w:color w:val="auto"/>
              </w:rPr>
            </w:pPr>
          </w:p>
        </w:tc>
        <w:tc>
          <w:tcPr>
            <w:tcW w:w="14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21,255,640</w:t>
            </w:r>
          </w:p>
        </w:tc>
        <w:tc>
          <w:tcPr>
            <w:tcW w:w="40" w:type="dxa"/>
            <w:vAlign w:val="bottom"/>
          </w:tcPr>
          <w:p>
            <w:pPr>
              <w:spacing w:after="0"/>
              <w:rPr>
                <w:sz w:val="19"/>
                <w:szCs w:val="19"/>
                <w:color w:val="auto"/>
              </w:rPr>
            </w:pPr>
          </w:p>
        </w:tc>
      </w:tr>
      <w:tr>
        <w:trPr>
          <w:trHeight w:val="20"/>
        </w:trPr>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780" w:space="220"/>
            <w:col w:w="3240"/>
          </w:cols>
          <w:pgMar w:left="320" w:top="233" w:right="339" w:bottom="1440" w:gutter="0" w:footer="0" w:header="0"/>
        </w:sectPr>
      </w:pPr>
    </w:p>
    <w:p>
      <w:pPr>
        <w:spacing w:after="0" w:line="21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changes in the number of common shares outstanding excludes certain non-forfeitable stock award shares that are included in the weighted average common shares outstanding used in basic earnings per common share calculations. In addition, the net loss per diluted common share for the three-month period ended March 31, 2023, excluded the weighted average effects of 61,290 shares of stock awards, since the impacts of these potential shares of common stock were anti-dilutive.</w:t>
      </w:r>
    </w:p>
    <w:p>
      <w:pPr>
        <w:spacing w:after="0" w:line="146"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On August 11, 2021, our Board of Directors approved an authorization for the repurchase of up to approximately $5,000 of the Company’s outstanding common stock. During the six months ended December 31, 2021, we completed the repurchase of 81,095 shares of our common stock for $1,554 under this new authorization. During the year ended December 31, 2022, we completed the repurchase of 214,937 shares of our common stock for $3,446 to close out this authorization. Of these amounts, 54,872 shares were repurchased for $997 during the three months ended March 31, 2022.</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May 9, 2022, our Board of Directors approved an authorization for the repurchase of up to approximately $10,000 of the Company’s outstanding common stock. During the year ended December 31, 2022, we completed the repurchase of 54,223 shares of our common stock for $734 under this authorization. During the three months ended March 31, 2023, we completed the repurchase of 46,099 shares of our common stock for $621. At March 31, 2023, $8,645 remains outstanding under this authorization.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The cost of this treasury stock is a reduction of shareholders’ equity within our Consolidated Balance Sheets.</w:t>
      </w:r>
    </w:p>
    <w:p>
      <w:pPr>
        <w:spacing w:after="0" w:line="18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On August 16, 2022, the U.S. government enacted the Inflation Reduction Act (“IRA”) which, among other changes, created a new corporate alternative minimum tax (“AMT”) based on adjusted financial statement income and imposes a 1% excise tax on corporate stock repurchases. The effective date of these provisions was January 1, 2023. The Company is not currently subject to the AMT based on our reported GAAP earnings for the past three years. For periods subsequent to the effective date of the IRA, the cost of treasury stock acquired, less the fair market value of any stock issued, will include the 1% excise tax imposed by the IRA.</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98"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The Company’s Articles of Incorporation provide authority to issue up to five million shares of preferred stock. No preferred shares are issued or outstanding.</w:t>
      </w:r>
    </w:p>
    <w:p>
      <w:pPr>
        <w:spacing w:after="0" w:line="382"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229"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At its 2020 Annual Shareholders’ Meeting, the NI Holdings, Inc. 2020 Stock and Incentive Plan (the “Plan”) was approved by shareholders. The purpose of the Plan is to promote the interests of the Company and its shareholders by aiding the Company in attracting and retaining employees, officers, consultants, independent contractors, advisors, and non-employee directors capable of assuring the future success of the Company, to offer such persons incentives to put forth maximum efforts for the success of the Company’s business and to afford such persons an opportunity to acquire an ownership interest in the Company, thereby aligning the interests of such persons with the Company’s shareholders.</w:t>
      </w:r>
    </w:p>
    <w:p>
      <w:pPr>
        <w:spacing w:after="0" w:line="136"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The Plan provides for the grant of nonqualified stock options, incentive stock options, restricted stock units (“RSUs”), stock appreciation rights, dividend equivalents, and performance share units (“PSUs”) to employees, officers, consultants, advisors, non-employee directors, and independent contractors designated by the Compensation Committee of the Board of Directors (the “Compensation Committee”). Awards made under the Plan are based upon, among other things, a participant’s level of responsibility and performance within the Company.</w:t>
      </w:r>
    </w:p>
    <w:p>
      <w:pPr>
        <w:spacing w:after="0" w:line="131"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The total aggregate number of shares of common stock that may be issued under the Plan shall not exceed 1,000,000 shares, subject to adjustments as provided in the Plan. No eligible participant may be granted any awards for more than 100,000 shares in the aggregate</w:t>
      </w:r>
    </w:p>
    <w:p>
      <w:pPr>
        <w:sectPr>
          <w:pgSz w:w="11900" w:h="16838" w:orient="portrait"/>
          <w:cols w:equalWidth="0" w:num="1">
            <w:col w:w="11240"/>
          </w:cols>
          <w:pgMar w:left="320" w:top="233" w:right="339" w:bottom="1440" w:gutter="0" w:footer="0" w:header="0"/>
          <w:type w:val="continuous"/>
        </w:sectPr>
      </w:pPr>
    </w:p>
    <w:p>
      <w:pPr>
        <w:spacing w:after="0" w:line="11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NI Holdings, Inc.</w:t>
      </w:r>
    </w:p>
    <w:p>
      <w:pPr>
        <w:spacing w:after="0" w:line="9"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31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in any calendar year, subject to adjustment in accordance with the Plan. The aggregate amount payable pursuant to all performance awards denominated in cash to any eligible person in any calendar year is limited to $1,000 in value. Directors who are not also employees of the Company may not be granted awards denominated in shares that exceed $150 in any calendar year.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98"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Compensation Committee has awarded RSUs to non-employee directors and select executives. RSUs are promises to issue actual shares of common stock at the end of a vesting period. The RSUs granted to executives under the Plan were based on salary and vest 20% per year over a five-year period, while RSUs granted to non-employee directors vest 100% on the date of the next annual meeting of shareholders following the grant date. Dividend equivalents on RSUs are accrued during the vesting period and paid in cash at the end of the vesting period, but are subject to forfeiture until the underlying shares become vested. Participants do not have voting rights with respect to RSUs.</w:t>
      </w:r>
    </w:p>
    <w:p>
      <w:pPr>
        <w:spacing w:after="0" w:line="13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recognizes stock-based compensation costs for RSUs based on the grant date fair value. The compensation costs are normally expensed over the vesting periods to each vesting date; however, the cost of RSUs granted to executives are expensed immediately if the executive has met certain retirement criteria and the RSUs become non-forfeitable. Estimated forfeitures are included in the determination of compensation costs. No forfeitures are currently estimated.</w:t>
      </w:r>
    </w:p>
    <w:p>
      <w:pPr>
        <w:sectPr>
          <w:pgSz w:w="11900" w:h="16838" w:orient="portrait"/>
          <w:cols w:equalWidth="0" w:num="1">
            <w:col w:w="11240"/>
          </w:cols>
          <w:pgMar w:left="320" w:top="233" w:right="339" w:bottom="1440" w:gutter="0" w:footer="0" w:header="0"/>
        </w:sectPr>
      </w:pP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A summary of the Company’s outstanding and unearned RSUs is presented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Units outstanding and unearned at January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54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RSUs granted during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140"/>
        <w:spacing w:after="0"/>
        <w:rPr>
          <w:sz w:val="20"/>
          <w:szCs w:val="20"/>
          <w:color w:val="auto"/>
        </w:rPr>
      </w:pPr>
      <w:r>
        <w:rPr>
          <w:rFonts w:ascii="Arial" w:cs="Arial" w:eastAsia="Arial" w:hAnsi="Arial"/>
          <w:sz w:val="18"/>
          <w:szCs w:val="18"/>
          <w:color w:val="auto"/>
        </w:rPr>
        <w:t>RSUs earned during 2022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Units outstanding and unearned at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46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3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RSUs granted during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RSUs earned during 2023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Units outstanding and unearned at March 31, 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9"/>
              </w:rPr>
              <w:t>Weighted-Average</w:t>
            </w:r>
          </w:p>
        </w:tc>
      </w:tr>
      <w:tr>
        <w:trPr>
          <w:trHeight w:val="216"/>
        </w:trPr>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Grant-Date</w:t>
            </w:r>
          </w:p>
        </w:tc>
      </w:tr>
      <w:tr>
        <w:trPr>
          <w:trHeight w:val="216"/>
        </w:trPr>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Fair Value</w:t>
            </w:r>
          </w:p>
        </w:tc>
      </w:tr>
      <w:tr>
        <w:trPr>
          <w:trHeight w:val="248"/>
        </w:trPr>
        <w:tc>
          <w:tcPr>
            <w:tcW w:w="1600" w:type="dxa"/>
            <w:vAlign w:val="bottom"/>
            <w:gridSpan w:val="3"/>
          </w:tcPr>
          <w:p>
            <w:pPr>
              <w:jc w:val="right"/>
              <w:ind w:right="640"/>
              <w:spacing w:after="0"/>
              <w:rPr>
                <w:sz w:val="20"/>
                <w:szCs w:val="20"/>
                <w:color w:val="auto"/>
              </w:rPr>
            </w:pPr>
            <w:r>
              <w:rPr>
                <w:rFonts w:ascii="Arial" w:cs="Arial" w:eastAsia="Arial" w:hAnsi="Arial"/>
                <w:sz w:val="18"/>
                <w:szCs w:val="18"/>
                <w:b w:val="1"/>
                <w:bCs w:val="1"/>
                <w:color w:val="auto"/>
              </w:rPr>
              <w:t>RSUs</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Per Share</w:t>
            </w:r>
          </w:p>
        </w:tc>
      </w:tr>
      <w:tr>
        <w:trPr>
          <w:trHeight w:val="195"/>
        </w:trPr>
        <w:tc>
          <w:tcPr>
            <w:tcW w:w="14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108,380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top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16.86</w:t>
            </w:r>
          </w:p>
        </w:tc>
        <w:tc>
          <w:tcPr>
            <w:tcW w:w="20" w:type="dxa"/>
            <w:vAlign w:val="bottom"/>
          </w:tcPr>
          <w:p>
            <w:pPr>
              <w:spacing w:after="0"/>
              <w:rPr>
                <w:sz w:val="16"/>
                <w:szCs w:val="16"/>
                <w:color w:val="auto"/>
              </w:rPr>
            </w:pPr>
          </w:p>
        </w:tc>
      </w:tr>
      <w:tr>
        <w:trPr>
          <w:trHeight w:val="216"/>
        </w:trPr>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59,600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17.61</w:t>
            </w:r>
          </w:p>
        </w:tc>
      </w:tr>
      <w:tr>
        <w:trPr>
          <w:trHeight w:val="244"/>
        </w:trPr>
        <w:tc>
          <w:tcPr>
            <w:tcW w:w="1600" w:type="dxa"/>
            <w:vAlign w:val="bottom"/>
            <w:gridSpan w:val="3"/>
          </w:tcPr>
          <w:p>
            <w:pPr>
              <w:jc w:val="right"/>
              <w:ind w:right="60"/>
              <w:spacing w:after="0"/>
              <w:rPr>
                <w:sz w:val="20"/>
                <w:szCs w:val="20"/>
                <w:color w:val="auto"/>
              </w:rPr>
            </w:pPr>
            <w:r>
              <w:rPr>
                <w:rFonts w:ascii="Arial" w:cs="Arial" w:eastAsia="Arial" w:hAnsi="Arial"/>
                <w:sz w:val="18"/>
                <w:szCs w:val="18"/>
                <w:color w:val="auto"/>
              </w:rPr>
              <w:t>(52,620)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17.39</w:t>
            </w:r>
          </w:p>
        </w:tc>
      </w:tr>
      <w:tr>
        <w:trPr>
          <w:trHeight w:val="210"/>
        </w:trPr>
        <w:tc>
          <w:tcPr>
            <w:tcW w:w="15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115,360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17.00</w:t>
            </w:r>
          </w:p>
        </w:tc>
      </w:tr>
      <w:tr>
        <w:trPr>
          <w:trHeight w:val="411"/>
        </w:trPr>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58,400</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13.85</w:t>
            </w:r>
          </w:p>
        </w:tc>
      </w:tr>
      <w:tr>
        <w:trPr>
          <w:trHeight w:val="244"/>
        </w:trPr>
        <w:tc>
          <w:tcPr>
            <w:tcW w:w="1600" w:type="dxa"/>
            <w:vAlign w:val="bottom"/>
            <w:gridSpan w:val="3"/>
          </w:tcPr>
          <w:p>
            <w:pPr>
              <w:jc w:val="right"/>
              <w:ind w:right="60"/>
              <w:spacing w:after="0"/>
              <w:rPr>
                <w:sz w:val="20"/>
                <w:szCs w:val="20"/>
                <w:color w:val="auto"/>
              </w:rPr>
            </w:pPr>
            <w:r>
              <w:rPr>
                <w:rFonts w:ascii="Arial" w:cs="Arial" w:eastAsia="Arial" w:hAnsi="Arial"/>
                <w:sz w:val="18"/>
                <w:szCs w:val="18"/>
                <w:color w:val="auto"/>
              </w:rPr>
              <w:t>(35,180)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16.22</w:t>
            </w:r>
          </w:p>
        </w:tc>
      </w:tr>
      <w:tr>
        <w:trPr>
          <w:trHeight w:val="223"/>
        </w:trPr>
        <w:tc>
          <w:tcPr>
            <w:tcW w:w="15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138,580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15.87</w:t>
            </w:r>
          </w:p>
        </w:tc>
      </w:tr>
      <w:tr>
        <w:trPr>
          <w:trHeight w:val="20"/>
        </w:trPr>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280" w:space="720"/>
            <w:col w:w="3240"/>
          </w:cols>
          <w:pgMar w:left="320" w:top="233" w:right="339" w:bottom="1440" w:gutter="0" w:footer="0" w:header="0"/>
          <w:type w:val="continuous"/>
        </w:sect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The following table shows the impact of RSU activity to the Company’s financial results:</w:t>
            </w:r>
          </w:p>
        </w:tc>
        <w:tc>
          <w:tcPr>
            <w:tcW w:w="10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05"/>
        </w:trPr>
        <w:tc>
          <w:tcPr>
            <w:tcW w:w="8000" w:type="dxa"/>
            <w:vAlign w:val="bottom"/>
          </w:tcPr>
          <w:p>
            <w:pPr>
              <w:spacing w:after="0"/>
              <w:rPr>
                <w:sz w:val="24"/>
                <w:szCs w:val="24"/>
                <w:color w:val="auto"/>
              </w:rPr>
            </w:pPr>
          </w:p>
        </w:tc>
        <w:tc>
          <w:tcPr>
            <w:tcW w:w="284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Three Months Ended March 31,</w:t>
            </w:r>
          </w:p>
        </w:tc>
        <w:tc>
          <w:tcPr>
            <w:tcW w:w="3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8000" w:type="dxa"/>
            <w:vAlign w:val="bottom"/>
          </w:tcPr>
          <w:p>
            <w:pPr>
              <w:spacing w:after="0"/>
              <w:rPr>
                <w:sz w:val="19"/>
                <w:szCs w:val="19"/>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2023</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2022</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8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RSU compensation expense</w:t>
            </w:r>
          </w:p>
        </w:tc>
        <w:tc>
          <w:tcPr>
            <w:tcW w:w="1060" w:type="dxa"/>
            <w:vAlign w:val="bottom"/>
            <w:tcBorders>
              <w:top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970"/>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273</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Income tax benefit</w:t>
            </w:r>
          </w:p>
        </w:tc>
        <w:tc>
          <w:tcPr>
            <w:tcW w:w="1060" w:type="dxa"/>
            <w:vAlign w:val="bottom"/>
          </w:tcPr>
          <w:p>
            <w:pPr>
              <w:spacing w:after="0"/>
              <w:rPr>
                <w:sz w:val="19"/>
                <w:szCs w:val="19"/>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(69)</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(62)</w:t>
            </w:r>
          </w:p>
        </w:tc>
      </w:tr>
      <w:tr>
        <w:trPr>
          <w:trHeight w:val="223"/>
        </w:trPr>
        <w:tc>
          <w:tcPr>
            <w:tcW w:w="80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RSU compensation expense, net of income taxes</w:t>
            </w:r>
          </w:p>
        </w:tc>
        <w:tc>
          <w:tcPr>
            <w:tcW w:w="1060" w:type="dxa"/>
            <w:vAlign w:val="bottom"/>
            <w:tcBorders>
              <w:top w:val="single" w:sz="8" w:color="auto"/>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ind w:right="970"/>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At March 31, 2023, there was $1,322 of unrecognized compensation cost related to outstanding RSUs. That cost is expected to be recognized over a weighted-average period of 2.22 years.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Share Units</w:t>
      </w:r>
    </w:p>
    <w:p>
      <w:pPr>
        <w:spacing w:after="0" w:line="198"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Compensation Committee has awarded PSUs to select executives. PSUs are promises to issue actual shares of common stock at the end of a vesting period, if certain performance conditions are met. The PSUs granted to employees under the Plan were based on salary and include a three-year book value cumulative growth target with threshold and stretch goals. They will vest on the third anniversary of the grant date, subject to the participant’s continuous employment through the vesting date and the level of performance achieved. Dividend equivalents on PSUs are accrued and paid in cash at the end of the performance period in accordance with the level of performance achieved, but are subject to forfeiture until the underlying shares become vested. Participants do not have voting rights with respect to PSUs.</w:t>
      </w:r>
    </w:p>
    <w:p>
      <w:pPr>
        <w:spacing w:after="0" w:line="13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Company recognizes stock-based compensation costs for PSUs based on the grant date fair value over the performance period of the awards. Estimated forfeitures are included in the determination of compensation costs. The current cost estimates represent the Company’s forecasted performance against cumulative growth targets.</w:t>
      </w:r>
    </w:p>
    <w:p>
      <w:pPr>
        <w:sectPr>
          <w:pgSz w:w="11900" w:h="16838" w:orient="portrait"/>
          <w:cols w:equalWidth="0" w:num="1">
            <w:col w:w="11240"/>
          </w:cols>
          <w:pgMar w:left="320" w:top="233" w:right="339" w:bottom="1440" w:gutter="0" w:footer="0" w:header="0"/>
          <w:type w:val="continuous"/>
        </w:sectPr>
      </w:pPr>
    </w:p>
    <w:p>
      <w:pPr>
        <w:spacing w:after="0" w:line="14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9"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A summary of the Company’s outstanding PSUs is presented below:</w:t>
            </w: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73"/>
        </w:trPr>
        <w:tc>
          <w:tcPr>
            <w:tcW w:w="80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Weighted-Average</w:t>
            </w:r>
          </w:p>
        </w:tc>
      </w:tr>
      <w:tr>
        <w:trPr>
          <w:trHeight w:val="216"/>
        </w:trPr>
        <w:tc>
          <w:tcPr>
            <w:tcW w:w="80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6"/>
              </w:rPr>
              <w:t>Grant-Date</w:t>
            </w:r>
          </w:p>
        </w:tc>
      </w:tr>
      <w:tr>
        <w:trPr>
          <w:trHeight w:val="216"/>
        </w:trPr>
        <w:tc>
          <w:tcPr>
            <w:tcW w:w="80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Fair Value</w:t>
            </w:r>
          </w:p>
        </w:tc>
      </w:tr>
      <w:tr>
        <w:trPr>
          <w:trHeight w:val="248"/>
        </w:trPr>
        <w:tc>
          <w:tcPr>
            <w:tcW w:w="8000" w:type="dxa"/>
            <w:vAlign w:val="bottom"/>
          </w:tcPr>
          <w:p>
            <w:pPr>
              <w:spacing w:after="0"/>
              <w:rPr>
                <w:sz w:val="21"/>
                <w:szCs w:val="21"/>
                <w:color w:val="auto"/>
              </w:rPr>
            </w:pPr>
          </w:p>
        </w:tc>
        <w:tc>
          <w:tcPr>
            <w:tcW w:w="1600" w:type="dxa"/>
            <w:vAlign w:val="bottom"/>
            <w:gridSpan w:val="3"/>
          </w:tcPr>
          <w:p>
            <w:pPr>
              <w:jc w:val="right"/>
              <w:ind w:right="660"/>
              <w:spacing w:after="0"/>
              <w:rPr>
                <w:sz w:val="20"/>
                <w:szCs w:val="20"/>
                <w:color w:val="auto"/>
              </w:rPr>
            </w:pPr>
            <w:r>
              <w:rPr>
                <w:rFonts w:ascii="Arial" w:cs="Arial" w:eastAsia="Arial" w:hAnsi="Arial"/>
                <w:sz w:val="18"/>
                <w:szCs w:val="18"/>
                <w:b w:val="1"/>
                <w:bCs w:val="1"/>
                <w:color w:val="auto"/>
              </w:rPr>
              <w:t>PSUs</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Per Share</w:t>
            </w:r>
          </w:p>
        </w:tc>
      </w:tr>
      <w:tr>
        <w:trPr>
          <w:trHeight w:val="209"/>
        </w:trPr>
        <w:tc>
          <w:tcPr>
            <w:tcW w:w="8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Units outstanding at January 1, 2022</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190,600</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tcPr>
          <w:p>
            <w:pPr>
              <w:ind w:left="140"/>
              <w:spacing w:after="0"/>
              <w:rPr>
                <w:sz w:val="20"/>
                <w:szCs w:val="20"/>
                <w:color w:val="auto"/>
              </w:rPr>
            </w:pPr>
            <w:r>
              <w:rPr>
                <w:rFonts w:ascii="Arial" w:cs="Arial" w:eastAsia="Arial" w:hAnsi="Arial"/>
                <w:sz w:val="18"/>
                <w:szCs w:val="18"/>
                <w:color w:val="auto"/>
              </w:rPr>
              <w:t>PSUs granted during 2022 (at target)</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61,800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18.10</w:t>
            </w:r>
          </w:p>
        </w:tc>
      </w:tr>
      <w:tr>
        <w:trPr>
          <w:trHeight w:val="216"/>
        </w:trPr>
        <w:tc>
          <w:tcPr>
            <w:tcW w:w="8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PSUs earned during 2022</w:t>
            </w:r>
          </w:p>
        </w:tc>
        <w:tc>
          <w:tcPr>
            <w:tcW w:w="16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(86,684)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15.21</w:t>
            </w:r>
          </w:p>
        </w:tc>
      </w:tr>
      <w:tr>
        <w:trPr>
          <w:trHeight w:val="257"/>
        </w:trPr>
        <w:tc>
          <w:tcPr>
            <w:tcW w:w="8000" w:type="dxa"/>
            <w:vAlign w:val="bottom"/>
          </w:tcPr>
          <w:p>
            <w:pPr>
              <w:ind w:left="140"/>
              <w:spacing w:after="0" w:line="256" w:lineRule="exact"/>
              <w:rPr>
                <w:sz w:val="20"/>
                <w:szCs w:val="20"/>
                <w:color w:val="auto"/>
              </w:rPr>
            </w:pPr>
            <w:r>
              <w:rPr>
                <w:rFonts w:ascii="Arial" w:cs="Arial" w:eastAsia="Arial" w:hAnsi="Arial"/>
                <w:sz w:val="18"/>
                <w:szCs w:val="18"/>
                <w:color w:val="auto"/>
              </w:rPr>
              <w:t xml:space="preserve">Performance adjustment </w:t>
            </w:r>
            <w:r>
              <w:rPr>
                <w:rFonts w:ascii="Arial" w:cs="Arial" w:eastAsia="Arial" w:hAnsi="Arial"/>
                <w:sz w:val="29"/>
                <w:szCs w:val="29"/>
                <w:color w:val="auto"/>
                <w:vertAlign w:val="superscript"/>
              </w:rPr>
              <w:t>(1)</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31,200</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15.21</w:t>
            </w:r>
          </w:p>
        </w:tc>
      </w:tr>
      <w:tr>
        <w:trPr>
          <w:trHeight w:val="229"/>
        </w:trPr>
        <w:tc>
          <w:tcPr>
            <w:tcW w:w="8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Forfeitures</w:t>
            </w:r>
          </w:p>
        </w:tc>
        <w:tc>
          <w:tcPr>
            <w:tcW w:w="16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(6,916)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15.21</w:t>
            </w:r>
          </w:p>
        </w:tc>
      </w:tr>
      <w:tr>
        <w:trPr>
          <w:trHeight w:val="209"/>
        </w:trPr>
        <w:tc>
          <w:tcPr>
            <w:tcW w:w="8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Units outstanding at December 31, 2022</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190,000</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36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17.00</w:t>
            </w:r>
          </w:p>
        </w:tc>
      </w:tr>
      <w:tr>
        <w:trPr>
          <w:trHeight w:val="210"/>
        </w:trPr>
        <w:tc>
          <w:tcPr>
            <w:tcW w:w="80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40"/>
              <w:spacing w:after="0"/>
              <w:rPr>
                <w:sz w:val="20"/>
                <w:szCs w:val="20"/>
                <w:color w:val="auto"/>
              </w:rPr>
            </w:pPr>
            <w:r>
              <w:rPr>
                <w:rFonts w:ascii="Arial" w:cs="Arial" w:eastAsia="Arial" w:hAnsi="Arial"/>
                <w:sz w:val="18"/>
                <w:szCs w:val="18"/>
                <w:color w:val="auto"/>
              </w:rPr>
              <w:t>PSUs granted during 2023 (at target)</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87,400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13.85</w:t>
            </w:r>
          </w:p>
        </w:tc>
      </w:tr>
      <w:tr>
        <w:trPr>
          <w:trHeight w:val="216"/>
        </w:trPr>
        <w:tc>
          <w:tcPr>
            <w:tcW w:w="8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PSUs earned during 2023</w:t>
            </w:r>
          </w:p>
        </w:tc>
        <w:tc>
          <w:tcPr>
            <w:tcW w:w="16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8000" w:type="dxa"/>
            <w:vAlign w:val="bottom"/>
          </w:tcPr>
          <w:p>
            <w:pPr>
              <w:ind w:left="140"/>
              <w:spacing w:after="0" w:line="256" w:lineRule="exact"/>
              <w:rPr>
                <w:sz w:val="20"/>
                <w:szCs w:val="20"/>
                <w:color w:val="auto"/>
              </w:rPr>
            </w:pPr>
            <w:r>
              <w:rPr>
                <w:rFonts w:ascii="Arial" w:cs="Arial" w:eastAsia="Arial" w:hAnsi="Arial"/>
                <w:sz w:val="18"/>
                <w:szCs w:val="18"/>
                <w:color w:val="auto"/>
              </w:rPr>
              <w:t xml:space="preserve">Performance adjustment </w:t>
            </w:r>
            <w:r>
              <w:rPr>
                <w:rFonts w:ascii="Arial" w:cs="Arial" w:eastAsia="Arial" w:hAnsi="Arial"/>
                <w:sz w:val="29"/>
                <w:szCs w:val="29"/>
                <w:color w:val="auto"/>
                <w:vertAlign w:val="superscript"/>
              </w:rPr>
              <w:t>(1)</w:t>
            </w:r>
          </w:p>
        </w:tc>
        <w:tc>
          <w:tcPr>
            <w:tcW w:w="1600" w:type="dxa"/>
            <w:vAlign w:val="bottom"/>
            <w:gridSpan w:val="3"/>
          </w:tcPr>
          <w:p>
            <w:pPr>
              <w:jc w:val="right"/>
              <w:ind w:right="60"/>
              <w:spacing w:after="0"/>
              <w:rPr>
                <w:sz w:val="20"/>
                <w:szCs w:val="20"/>
                <w:color w:val="auto"/>
              </w:rPr>
            </w:pPr>
            <w:r>
              <w:rPr>
                <w:rFonts w:ascii="Arial" w:cs="Arial" w:eastAsia="Arial" w:hAnsi="Arial"/>
                <w:sz w:val="18"/>
                <w:szCs w:val="18"/>
                <w:color w:val="auto"/>
              </w:rPr>
              <w:t>(63,600)</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14.26</w:t>
            </w:r>
          </w:p>
        </w:tc>
      </w:tr>
      <w:tr>
        <w:trPr>
          <w:trHeight w:val="229"/>
        </w:trPr>
        <w:tc>
          <w:tcPr>
            <w:tcW w:w="8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Forfeitures</w:t>
            </w:r>
          </w:p>
        </w:tc>
        <w:tc>
          <w:tcPr>
            <w:tcW w:w="16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000" w:type="dxa"/>
            <w:vAlign w:val="bottom"/>
          </w:tcPr>
          <w:p>
            <w:pPr>
              <w:spacing w:after="0"/>
              <w:rPr>
                <w:sz w:val="20"/>
                <w:szCs w:val="20"/>
                <w:color w:val="auto"/>
              </w:rPr>
            </w:pPr>
            <w:r>
              <w:rPr>
                <w:rFonts w:ascii="Arial" w:cs="Arial" w:eastAsia="Arial" w:hAnsi="Arial"/>
                <w:sz w:val="18"/>
                <w:szCs w:val="18"/>
                <w:color w:val="auto"/>
              </w:rPr>
              <w:t>Units outstanding at March 31, 2023</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213,800</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16.53</w:t>
            </w:r>
          </w:p>
        </w:tc>
      </w:tr>
      <w:tr>
        <w:trPr>
          <w:trHeight w:val="20"/>
        </w:trPr>
        <w:tc>
          <w:tcPr>
            <w:tcW w:w="80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620" w:firstLine="8"/>
        <w:spacing w:after="0" w:line="362" w:lineRule="auto"/>
        <w:tabs>
          <w:tab w:leader="none" w:pos="265" w:val="left"/>
        </w:tabs>
        <w:numPr>
          <w:ilvl w:val="0"/>
          <w:numId w:val="22"/>
        </w:numPr>
        <w:rPr>
          <w:rFonts w:ascii="Arial" w:cs="Arial" w:eastAsia="Arial" w:hAnsi="Arial"/>
          <w:sz w:val="30"/>
          <w:szCs w:val="30"/>
          <w:color w:val="auto"/>
          <w:vertAlign w:val="superscript"/>
        </w:rPr>
      </w:pPr>
      <w:r>
        <w:rPr>
          <w:rFonts w:ascii="Arial" w:cs="Arial" w:eastAsia="Arial" w:hAnsi="Arial"/>
          <w:sz w:val="18"/>
          <w:szCs w:val="18"/>
          <w:color w:val="auto"/>
        </w:rPr>
        <w:t>Represents the change in PSUs issued based upon the attainment of performance goals established by the Company. The following table shows the impact of PSU activity to the Company’s financial results:</w:t>
      </w: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284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Three Months Ended March 31,</w:t>
            </w:r>
          </w:p>
        </w:tc>
        <w:tc>
          <w:tcPr>
            <w:tcW w:w="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000" w:type="dxa"/>
            <w:vAlign w:val="bottom"/>
          </w:tcPr>
          <w:p>
            <w:pPr>
              <w:spacing w:after="0"/>
              <w:rPr>
                <w:sz w:val="19"/>
                <w:szCs w:val="19"/>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2023</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2022</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8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PSU compensation expense</w:t>
            </w:r>
          </w:p>
        </w:tc>
        <w:tc>
          <w:tcPr>
            <w:tcW w:w="1060" w:type="dxa"/>
            <w:vAlign w:val="bottom"/>
            <w:tcBorders>
              <w:top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970"/>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261</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Income tax benefit</w:t>
            </w:r>
          </w:p>
        </w:tc>
        <w:tc>
          <w:tcPr>
            <w:tcW w:w="1060" w:type="dxa"/>
            <w:vAlign w:val="bottom"/>
          </w:tcPr>
          <w:p>
            <w:pPr>
              <w:spacing w:after="0"/>
              <w:rPr>
                <w:sz w:val="19"/>
                <w:szCs w:val="19"/>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(59)</w:t>
            </w:r>
          </w:p>
        </w:tc>
      </w:tr>
      <w:tr>
        <w:trPr>
          <w:trHeight w:val="223"/>
        </w:trPr>
        <w:tc>
          <w:tcPr>
            <w:tcW w:w="80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PSU compensation expense, net of income taxes</w:t>
            </w:r>
          </w:p>
        </w:tc>
        <w:tc>
          <w:tcPr>
            <w:tcW w:w="1060" w:type="dxa"/>
            <w:vAlign w:val="bottom"/>
            <w:tcBorders>
              <w:top w:val="single" w:sz="8" w:color="auto"/>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ind w:right="970"/>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202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The cost estimates for PSU grants represent initial target awards until the Company can reasonably forecast the financial performance of each PSU award grant. At the end of the performance period, the Company will reflect a performance adjustment, which may be either an increase or decrease from the initial target awards. The actual number of shares to be issued at the end of the performance period will range from 0% to 150% of the initial target awards.</w:t>
      </w:r>
    </w:p>
    <w:p>
      <w:pPr>
        <w:spacing w:after="0" w:line="122"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At March 31, 2023, there was $1,455 of unrecognized compensation cost related to outstanding PSUs. That cost is expected to be recognized over a weighted-average period of 2.68 years.</w:t>
      </w:r>
    </w:p>
    <w:p>
      <w:pPr>
        <w:spacing w:after="0" w:line="13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NI Holdings, Inc.</w:t>
      </w:r>
    </w:p>
    <w:p>
      <w:pPr>
        <w:spacing w:after="0" w:line="9"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40" w:hanging="532"/>
        <w:spacing w:after="0"/>
        <w:tabs>
          <w:tab w:leader="none" w:pos="54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Allowance for Expected Credit Losses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Premiums Receivable</w:t>
      </w:r>
    </w:p>
    <w:p>
      <w:pPr>
        <w:spacing w:after="0" w:line="18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Beginning on December 31, 2022, credit losses are recognized through an allowance account developed using the new CECL model. This guidance was adopted in the fourth quarter of 2022, and accordingly, there was no allowance for expected credit losses as of March 31, 2022. See the Part II, Item 8, Note 2 “Recent Accounting Pronouncements” section of the 2022 Annual Report for additional information. The following table presents the balances of premiums and agents’ receivable balances, net of the allowance for expected credit losses as of March 31, 2023, and the changes in the allowance for expected credit losses for the three months ended March 31, 2023.</w:t>
      </w:r>
    </w:p>
    <w:p>
      <w:pPr>
        <w:spacing w:after="0" w:line="157" w:lineRule="exact"/>
        <w:rPr>
          <w:sz w:val="20"/>
          <w:szCs w:val="20"/>
          <w:color w:val="auto"/>
        </w:rPr>
      </w:pPr>
    </w:p>
    <w:p>
      <w:pPr>
        <w:ind w:left="6900"/>
        <w:spacing w:after="0"/>
        <w:rPr>
          <w:sz w:val="20"/>
          <w:szCs w:val="20"/>
          <w:color w:val="auto"/>
        </w:rPr>
      </w:pPr>
      <w:r>
        <w:rPr>
          <w:rFonts w:ascii="Arial" w:cs="Arial" w:eastAsia="Arial" w:hAnsi="Arial"/>
          <w:sz w:val="16"/>
          <w:szCs w:val="16"/>
          <w:b w:val="1"/>
          <w:bCs w:val="1"/>
          <w:u w:val="single" w:color="auto"/>
          <w:color w:val="auto"/>
        </w:rPr>
        <w:t>As of and For the Three Months Ended March 31, 2023</w:t>
      </w:r>
    </w:p>
    <w:p>
      <w:pPr>
        <w:spacing w:after="0" w:line="50" w:lineRule="exact"/>
        <w:rPr>
          <w:sz w:val="20"/>
          <w:szCs w:val="20"/>
          <w:color w:val="auto"/>
        </w:rPr>
      </w:pPr>
    </w:p>
    <w:p>
      <w:pPr>
        <w:ind w:left="7460"/>
        <w:spacing w:after="0"/>
        <w:rPr>
          <w:sz w:val="20"/>
          <w:szCs w:val="20"/>
          <w:color w:val="auto"/>
        </w:rPr>
      </w:pPr>
      <w:r>
        <w:rPr>
          <w:rFonts w:ascii="Arial" w:cs="Arial" w:eastAsia="Arial" w:hAnsi="Arial"/>
          <w:sz w:val="18"/>
          <w:szCs w:val="18"/>
          <w:b w:val="1"/>
          <w:bCs w:val="1"/>
          <w:color w:val="auto"/>
        </w:rPr>
        <w:t>Premiums</w:t>
      </w:r>
    </w:p>
    <w:p>
      <w:pPr>
        <w:sectPr>
          <w:pgSz w:w="11900" w:h="16838" w:orient="portrait"/>
          <w:cols w:equalWidth="0" w:num="1">
            <w:col w:w="11220"/>
          </w:cols>
          <w:pgMar w:left="320" w:top="23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Balance, beginning of period</w:t>
      </w:r>
    </w:p>
    <w:p>
      <w:pPr>
        <w:spacing w:after="0" w:line="293" w:lineRule="exact"/>
        <w:rPr>
          <w:sz w:val="20"/>
          <w:szCs w:val="20"/>
          <w:color w:val="auto"/>
        </w:rPr>
      </w:pPr>
    </w:p>
    <w:p>
      <w:pPr>
        <w:ind w:right="2720"/>
        <w:spacing w:after="0" w:line="342" w:lineRule="auto"/>
        <w:rPr>
          <w:sz w:val="20"/>
          <w:szCs w:val="20"/>
          <w:color w:val="auto"/>
        </w:rPr>
      </w:pPr>
      <w:r>
        <w:rPr>
          <w:rFonts w:ascii="Arial" w:cs="Arial" w:eastAsia="Arial" w:hAnsi="Arial"/>
          <w:sz w:val="16"/>
          <w:szCs w:val="16"/>
          <w:color w:val="auto"/>
        </w:rPr>
        <w:t>Current period charge for expected credit losses Write-offs of uncollectible premiums receivable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Balance, end of period</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Receivable, Net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Allowance for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Expected Credit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-4375785</wp:posOffset>
            </wp:positionH>
            <wp:positionV relativeFrom="paragraph">
              <wp:posOffset>5715</wp:posOffset>
            </wp:positionV>
            <wp:extent cx="7132320"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5" w:lineRule="exact"/>
        <w:rPr>
          <w:sz w:val="20"/>
          <w:szCs w:val="20"/>
          <w:color w:val="auto"/>
        </w:rPr>
      </w:pPr>
    </w:p>
    <w:p>
      <w:pPr>
        <w:spacing w:after="0"/>
        <w:tabs>
          <w:tab w:leader="none" w:pos="14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62,173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-4375785</wp:posOffset>
            </wp:positionH>
            <wp:positionV relativeFrom="paragraph">
              <wp:posOffset>192405</wp:posOffset>
            </wp:positionV>
            <wp:extent cx="713232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-4375785</wp:posOffset>
            </wp:positionH>
            <wp:positionV relativeFrom="paragraph">
              <wp:posOffset>466725</wp:posOffset>
            </wp:positionV>
            <wp:extent cx="7132320" cy="146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46355</wp:posOffset>
            </wp:positionV>
            <wp:extent cx="125158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tabs>
          <w:tab w:leader="none" w:pos="14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64,502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29210</wp:posOffset>
            </wp:positionV>
            <wp:extent cx="125158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5158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46355</wp:posOffset>
            </wp:positionV>
            <wp:extent cx="125158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Allowance for</w:t>
      </w:r>
    </w:p>
    <w:p>
      <w:pPr>
        <w:spacing w:after="0" w:line="2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Expected Credit</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Losses</w:t>
      </w:r>
    </w:p>
    <w:p>
      <w:pPr>
        <w:spacing w:after="0" w:line="9" w:lineRule="exact"/>
        <w:rPr>
          <w:sz w:val="20"/>
          <w:szCs w:val="20"/>
          <w:color w:val="auto"/>
        </w:rPr>
      </w:pPr>
    </w:p>
    <w:p>
      <w:pPr>
        <w:spacing w:after="0"/>
        <w:tabs>
          <w:tab w:leader="none" w:pos="168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425</w:t>
      </w:r>
    </w:p>
    <w:p>
      <w:pPr>
        <w:spacing w:after="0" w:line="315" w:lineRule="exact"/>
        <w:rPr>
          <w:sz w:val="20"/>
          <w:szCs w:val="20"/>
          <w:color w:val="auto"/>
        </w:rPr>
      </w:pPr>
    </w:p>
    <w:p>
      <w:pPr>
        <w:ind w:left="1800"/>
        <w:spacing w:after="0"/>
        <w:rPr>
          <w:sz w:val="20"/>
          <w:szCs w:val="20"/>
          <w:color w:val="auto"/>
        </w:rPr>
      </w:pPr>
      <w:r>
        <w:rPr>
          <w:rFonts w:ascii="Arial" w:cs="Arial" w:eastAsia="Arial" w:hAnsi="Arial"/>
          <w:sz w:val="16"/>
          <w:szCs w:val="16"/>
          <w:color w:val="auto"/>
        </w:rPr>
        <w:t>90</w:t>
      </w:r>
    </w:p>
    <w:p>
      <w:pPr>
        <w:spacing w:after="0" w:line="46" w:lineRule="exact"/>
        <w:rPr>
          <w:sz w:val="20"/>
          <w:szCs w:val="20"/>
          <w:color w:val="auto"/>
        </w:rPr>
      </w:pPr>
    </w:p>
    <w:p>
      <w:pPr>
        <w:ind w:left="1800"/>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166370</wp:posOffset>
            </wp:positionV>
            <wp:extent cx="125158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spacing w:after="0" w:line="254" w:lineRule="exact"/>
        <w:rPr>
          <w:sz w:val="20"/>
          <w:szCs w:val="20"/>
          <w:color w:val="auto"/>
        </w:rPr>
      </w:pPr>
    </w:p>
    <w:p>
      <w:pPr>
        <w:spacing w:after="0"/>
        <w:tabs>
          <w:tab w:leader="none" w:pos="168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445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29210</wp:posOffset>
            </wp:positionV>
            <wp:extent cx="125158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5158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46355</wp:posOffset>
            </wp:positionV>
            <wp:extent cx="125158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6180" w:space="720"/>
            <w:col w:w="1960" w:space="300"/>
            <w:col w:w="2060"/>
          </w:cols>
          <w:pgMar w:left="320" w:top="233" w:right="359" w:bottom="1440" w:gutter="0" w:footer="0" w:header="0"/>
          <w:type w:val="continuous"/>
        </w:sectPr>
      </w:pPr>
    </w:p>
    <w:p>
      <w:pPr>
        <w:spacing w:after="0" w:line="301"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have six reportable operating segments, which consist of private passenger auto insurance, non-standard auto insurance, home and farm insurance, crop insurance, commercial insurance, and all other (which primarily consists of assumed reinsurance and our excess liability business). We operate only in the U.S., and no single customer or agent provides 10 percent or more of our revenues. The following tables provide available information of these segments for the three-month periods ended March 31, 2023 and 2022.</w:t>
      </w:r>
    </w:p>
    <w:p>
      <w:pPr>
        <w:spacing w:after="0" w:line="160"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For purposes of evaluating profitability of the non-standard auto segment, management combines the policy fees paid by the insured with the underwriting gain or loss as its primary measure. As a result, these fees are allocated to the non-standard auto segment (included in fee and other income) in the tables below. The remaining fee and other income amounts are not allocated to any segment.</w:t>
      </w:r>
    </w:p>
    <w:p>
      <w:pPr>
        <w:spacing w:after="0" w:line="143"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We do not assign or allocate all line items in our Unaudited Consolidated Statement of Operations or Unaudited Consolidated Balance Sheet to our operating segments. Those line items include investment income, net investment gains (losses), other income excluding non-standard auto insurance fees, and income tax expense (benefit) within the Unaudited Consolidated Statement of Operations. For the Unaudited Consolidated Balance Sheet, those items include cash and investments, property and equipment, other assets, accrued expenses, income taxes recoverable or payable, and shareholders’ equity.</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9"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9"/>
          </w:tcPr>
          <w:p>
            <w:pPr>
              <w:jc w:val="right"/>
              <w:ind w:right="361"/>
              <w:spacing w:after="0"/>
              <w:rPr>
                <w:sz w:val="20"/>
                <w:szCs w:val="20"/>
                <w:color w:val="auto"/>
              </w:rPr>
            </w:pPr>
            <w:r>
              <w:rPr>
                <w:rFonts w:ascii="Arial" w:cs="Arial" w:eastAsia="Arial" w:hAnsi="Arial"/>
                <w:sz w:val="18"/>
                <w:szCs w:val="18"/>
                <w:b w:val="1"/>
                <w:bCs w:val="1"/>
                <w:color w:val="auto"/>
                <w:w w:val="92"/>
              </w:rPr>
              <w:t>Three Months Ended March 31, 2023</w:t>
            </w:r>
          </w:p>
        </w:tc>
        <w:tc>
          <w:tcPr>
            <w:tcW w:w="7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3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gridSpan w:val="2"/>
          </w:tcPr>
          <w:p>
            <w:pPr>
              <w:jc w:val="center"/>
              <w:ind w:right="181"/>
              <w:spacing w:after="0" w:line="191" w:lineRule="exact"/>
              <w:rPr>
                <w:sz w:val="20"/>
                <w:szCs w:val="20"/>
                <w:color w:val="auto"/>
              </w:rPr>
            </w:pPr>
            <w:r>
              <w:rPr>
                <w:rFonts w:ascii="Arial" w:cs="Arial" w:eastAsia="Arial" w:hAnsi="Arial"/>
                <w:sz w:val="18"/>
                <w:szCs w:val="18"/>
                <w:b w:val="1"/>
                <w:bCs w:val="1"/>
                <w:color w:val="auto"/>
                <w:w w:val="93"/>
              </w:rPr>
              <w:t>Private</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600" w:type="dxa"/>
            <w:vAlign w:val="bottom"/>
          </w:tcPr>
          <w:p>
            <w:pPr>
              <w:spacing w:after="0"/>
              <w:rPr>
                <w:sz w:val="18"/>
                <w:szCs w:val="18"/>
                <w:color w:val="auto"/>
              </w:rPr>
            </w:pPr>
          </w:p>
        </w:tc>
        <w:tc>
          <w:tcPr>
            <w:tcW w:w="1260" w:type="dxa"/>
            <w:vAlign w:val="bottom"/>
            <w:gridSpan w:val="3"/>
          </w:tcPr>
          <w:p>
            <w:pPr>
              <w:jc w:val="center"/>
              <w:spacing w:after="0"/>
              <w:rPr>
                <w:sz w:val="20"/>
                <w:szCs w:val="20"/>
                <w:color w:val="auto"/>
              </w:rPr>
            </w:pPr>
            <w:r>
              <w:rPr>
                <w:rFonts w:ascii="Arial" w:cs="Arial" w:eastAsia="Arial" w:hAnsi="Arial"/>
                <w:sz w:val="18"/>
                <w:szCs w:val="18"/>
                <w:b w:val="1"/>
                <w:bCs w:val="1"/>
                <w:color w:val="auto"/>
                <w:w w:val="85"/>
              </w:rPr>
              <w:t>Passenger</w:t>
            </w:r>
          </w:p>
        </w:tc>
        <w:tc>
          <w:tcPr>
            <w:tcW w:w="1180" w:type="dxa"/>
            <w:vAlign w:val="bottom"/>
            <w:gridSpan w:val="3"/>
          </w:tcPr>
          <w:p>
            <w:pPr>
              <w:spacing w:after="0"/>
              <w:rPr>
                <w:sz w:val="20"/>
                <w:szCs w:val="20"/>
                <w:color w:val="auto"/>
              </w:rPr>
            </w:pPr>
            <w:r>
              <w:rPr>
                <w:rFonts w:ascii="Arial" w:cs="Arial" w:eastAsia="Arial" w:hAnsi="Arial"/>
                <w:sz w:val="18"/>
                <w:szCs w:val="18"/>
                <w:b w:val="1"/>
                <w:bCs w:val="1"/>
                <w:color w:val="auto"/>
                <w:w w:val="97"/>
              </w:rPr>
              <w:t>Non-Standard</w:t>
            </w:r>
          </w:p>
        </w:tc>
        <w:tc>
          <w:tcPr>
            <w:tcW w:w="14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9"/>
              </w:rPr>
              <w:t>Home and</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gridSpan w:val="2"/>
          </w:tcPr>
          <w:p>
            <w:pPr>
              <w:jc w:val="center"/>
              <w:ind w:right="121"/>
              <w:spacing w:after="0"/>
              <w:rPr>
                <w:sz w:val="20"/>
                <w:szCs w:val="20"/>
                <w:color w:val="auto"/>
              </w:rPr>
            </w:pPr>
            <w:r>
              <w:rPr>
                <w:rFonts w:ascii="Arial" w:cs="Arial" w:eastAsia="Arial" w:hAnsi="Arial"/>
                <w:sz w:val="18"/>
                <w:szCs w:val="18"/>
                <w:b w:val="1"/>
                <w:bCs w:val="1"/>
                <w:color w:val="auto"/>
                <w:w w:val="92"/>
              </w:rPr>
              <w:t>Auto</w:t>
            </w:r>
          </w:p>
        </w:tc>
        <w:tc>
          <w:tcPr>
            <w:tcW w:w="240" w:type="dxa"/>
            <w:vAlign w:val="bottom"/>
          </w:tcPr>
          <w:p>
            <w:pPr>
              <w:spacing w:after="0"/>
              <w:rPr>
                <w:sz w:val="20"/>
                <w:szCs w:val="20"/>
                <w:color w:val="auto"/>
              </w:rPr>
            </w:pPr>
          </w:p>
        </w:tc>
        <w:tc>
          <w:tcPr>
            <w:tcW w:w="940" w:type="dxa"/>
            <w:vAlign w:val="bottom"/>
            <w:gridSpan w:val="2"/>
          </w:tcPr>
          <w:p>
            <w:pPr>
              <w:jc w:val="right"/>
              <w:ind w:right="361"/>
              <w:spacing w:after="0"/>
              <w:rPr>
                <w:sz w:val="20"/>
                <w:szCs w:val="20"/>
                <w:color w:val="auto"/>
              </w:rPr>
            </w:pPr>
            <w:r>
              <w:rPr>
                <w:rFonts w:ascii="Arial" w:cs="Arial" w:eastAsia="Arial" w:hAnsi="Arial"/>
                <w:sz w:val="18"/>
                <w:szCs w:val="18"/>
                <w:b w:val="1"/>
                <w:bCs w:val="1"/>
                <w:color w:val="auto"/>
              </w:rPr>
              <w:t>Auto</w:t>
            </w:r>
          </w:p>
        </w:tc>
        <w:tc>
          <w:tcPr>
            <w:tcW w:w="140" w:type="dxa"/>
            <w:vAlign w:val="bottom"/>
          </w:tcPr>
          <w:p>
            <w:pPr>
              <w:spacing w:after="0"/>
              <w:rPr>
                <w:sz w:val="20"/>
                <w:szCs w:val="20"/>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Farm</w:t>
            </w:r>
          </w:p>
        </w:tc>
        <w:tc>
          <w:tcPr>
            <w:tcW w:w="140" w:type="dxa"/>
            <w:vAlign w:val="bottom"/>
          </w:tcPr>
          <w:p>
            <w:pPr>
              <w:spacing w:after="0"/>
              <w:rPr>
                <w:sz w:val="20"/>
                <w:szCs w:val="20"/>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9"/>
              </w:rPr>
              <w:t>Crop</w:t>
            </w:r>
          </w:p>
        </w:tc>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Commercial</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4"/>
              </w:rPr>
              <w:t>All Other</w:t>
            </w:r>
          </w:p>
        </w:tc>
        <w:tc>
          <w:tcPr>
            <w:tcW w:w="80" w:type="dxa"/>
            <w:vAlign w:val="bottom"/>
          </w:tcPr>
          <w:p>
            <w:pPr>
              <w:spacing w:after="0"/>
              <w:rPr>
                <w:sz w:val="20"/>
                <w:szCs w:val="20"/>
                <w:color w:val="auto"/>
              </w:rPr>
            </w:pPr>
          </w:p>
        </w:tc>
        <w:tc>
          <w:tcPr>
            <w:tcW w:w="880" w:type="dxa"/>
            <w:vAlign w:val="bottom"/>
            <w:gridSpan w:val="2"/>
          </w:tcPr>
          <w:p>
            <w:pPr>
              <w:jc w:val="right"/>
              <w:ind w:right="221"/>
              <w:spacing w:after="0"/>
              <w:rPr>
                <w:sz w:val="20"/>
                <w:szCs w:val="20"/>
                <w:color w:val="auto"/>
              </w:rPr>
            </w:pPr>
            <w:r>
              <w:rPr>
                <w:rFonts w:ascii="Arial" w:cs="Arial" w:eastAsia="Arial" w:hAnsi="Arial"/>
                <w:sz w:val="18"/>
                <w:szCs w:val="18"/>
                <w:b w:val="1"/>
                <w:bCs w:val="1"/>
                <w:color w:val="auto"/>
              </w:rPr>
              <w:t>Total</w:t>
            </w:r>
          </w:p>
        </w:tc>
      </w:tr>
      <w:tr>
        <w:trPr>
          <w:trHeight w:val="209"/>
        </w:trPr>
        <w:tc>
          <w:tcPr>
            <w:tcW w:w="3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Direct premiums earned</w:t>
            </w:r>
          </w:p>
        </w:tc>
        <w:tc>
          <w:tcPr>
            <w:tcW w:w="2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20,541</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20,971</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22,433</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20,230</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1,309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85,474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Assumed premiums earned</w:t>
            </w:r>
          </w:p>
        </w:tc>
        <w:tc>
          <w:tcPr>
            <w:tcW w:w="280" w:type="dxa"/>
            <w:vAlign w:val="bottom"/>
          </w:tcPr>
          <w:p>
            <w:pPr>
              <w:spacing w:after="0"/>
              <w:rPr>
                <w:sz w:val="18"/>
                <w:szCs w:val="18"/>
                <w:color w:val="auto"/>
              </w:rPr>
            </w:pPr>
          </w:p>
        </w:tc>
        <w:tc>
          <w:tcPr>
            <w:tcW w:w="9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4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576</w:t>
            </w:r>
          </w:p>
        </w:tc>
        <w:tc>
          <w:tcPr>
            <w:tcW w:w="960" w:type="dxa"/>
            <w:vAlign w:val="bottom"/>
            <w:gridSpan w:val="3"/>
          </w:tcPr>
          <w:p>
            <w:pPr>
              <w:jc w:val="right"/>
              <w:ind w:right="21"/>
              <w:spacing w:after="0"/>
              <w:rPr>
                <w:sz w:val="20"/>
                <w:szCs w:val="20"/>
                <w:color w:val="auto"/>
              </w:rPr>
            </w:pPr>
            <w:r>
              <w:rPr>
                <w:rFonts w:ascii="Arial" w:cs="Arial" w:eastAsia="Arial" w:hAnsi="Arial"/>
                <w:sz w:val="18"/>
                <w:szCs w:val="18"/>
                <w:color w:val="auto"/>
              </w:rPr>
              <w:t>576</w:t>
            </w:r>
          </w:p>
        </w:tc>
      </w:tr>
      <w:tr>
        <w:trPr>
          <w:trHeight w:val="230"/>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Ceded premiums earned</w:t>
            </w:r>
          </w:p>
        </w:tc>
        <w:tc>
          <w:tcPr>
            <w:tcW w:w="1260" w:type="dxa"/>
            <w:vAlign w:val="bottom"/>
            <w:gridSpan w:val="3"/>
            <w:shd w:val="clear" w:color="auto" w:fill="CCEEFF"/>
          </w:tcPr>
          <w:p>
            <w:pPr>
              <w:jc w:val="right"/>
              <w:ind w:right="61"/>
              <w:spacing w:after="0"/>
              <w:rPr>
                <w:sz w:val="20"/>
                <w:szCs w:val="20"/>
                <w:color w:val="auto"/>
              </w:rPr>
            </w:pPr>
            <w:r>
              <w:rPr>
                <w:rFonts w:ascii="Arial" w:cs="Arial" w:eastAsia="Arial" w:hAnsi="Arial"/>
                <w:sz w:val="18"/>
                <w:szCs w:val="18"/>
                <w:color w:val="auto"/>
              </w:rPr>
              <w:t>(888)</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(2,442)</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(715)</w:t>
            </w: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(4,213)</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(8,423)</w:t>
            </w:r>
          </w:p>
        </w:tc>
      </w:tr>
      <w:tr>
        <w:trPr>
          <w:trHeight w:val="209"/>
        </w:trPr>
        <w:tc>
          <w:tcPr>
            <w:tcW w:w="3600" w:type="dxa"/>
            <w:vAlign w:val="bottom"/>
          </w:tcPr>
          <w:p>
            <w:pPr>
              <w:ind w:left="260"/>
              <w:spacing w:after="0"/>
              <w:rPr>
                <w:sz w:val="20"/>
                <w:szCs w:val="20"/>
                <w:color w:val="auto"/>
              </w:rPr>
            </w:pPr>
            <w:r>
              <w:rPr>
                <w:rFonts w:ascii="Arial" w:cs="Arial" w:eastAsia="Arial" w:hAnsi="Arial"/>
                <w:sz w:val="18"/>
                <w:szCs w:val="18"/>
                <w:color w:val="auto"/>
              </w:rPr>
              <w:t>Net premiums earned</w:t>
            </w:r>
          </w:p>
        </w:tc>
        <w:tc>
          <w:tcPr>
            <w:tcW w:w="28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19,653</w:t>
            </w: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20,879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19,991</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(725)</w:t>
            </w: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16,017</w:t>
            </w:r>
          </w:p>
        </w:tc>
        <w:tc>
          <w:tcPr>
            <w:tcW w:w="22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77,627</w:t>
            </w:r>
          </w:p>
        </w:tc>
        <w:tc>
          <w:tcPr>
            <w:tcW w:w="100" w:type="dxa"/>
            <w:vAlign w:val="bottom"/>
          </w:tcPr>
          <w:p>
            <w:pPr>
              <w:spacing w:after="0"/>
              <w:rPr>
                <w:sz w:val="18"/>
                <w:szCs w:val="18"/>
                <w:color w:val="auto"/>
              </w:rPr>
            </w:pPr>
          </w:p>
        </w:tc>
      </w:tr>
      <w:tr>
        <w:trPr>
          <w:trHeight w:val="216"/>
        </w:trPr>
        <w:tc>
          <w:tcPr>
            <w:tcW w:w="3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Direct losses and loss adjustment expenses</w:t>
            </w:r>
          </w:p>
        </w:tc>
        <w:tc>
          <w:tcPr>
            <w:tcW w:w="1260" w:type="dxa"/>
            <w:vAlign w:val="bottom"/>
            <w:gridSpan w:val="3"/>
          </w:tcPr>
          <w:p>
            <w:pPr>
              <w:jc w:val="right"/>
              <w:ind w:right="121"/>
              <w:spacing w:after="0"/>
              <w:rPr>
                <w:sz w:val="20"/>
                <w:szCs w:val="20"/>
                <w:color w:val="auto"/>
              </w:rPr>
            </w:pPr>
            <w:r>
              <w:rPr>
                <w:rFonts w:ascii="Arial" w:cs="Arial" w:eastAsia="Arial" w:hAnsi="Arial"/>
                <w:sz w:val="18"/>
                <w:szCs w:val="18"/>
                <w:color w:val="auto"/>
              </w:rPr>
              <w:t>15,624</w:t>
            </w:r>
          </w:p>
        </w:tc>
        <w:tc>
          <w:tcPr>
            <w:tcW w:w="240" w:type="dxa"/>
            <w:vAlign w:val="bottom"/>
          </w:tcPr>
          <w:p>
            <w:pPr>
              <w:spacing w:after="0"/>
              <w:rPr>
                <w:sz w:val="18"/>
                <w:szCs w:val="18"/>
                <w:color w:val="auto"/>
              </w:rPr>
            </w:pPr>
          </w:p>
        </w:tc>
        <w:tc>
          <w:tcPr>
            <w:tcW w:w="940" w:type="dxa"/>
            <w:vAlign w:val="bottom"/>
            <w:gridSpan w:val="2"/>
          </w:tcPr>
          <w:p>
            <w:pPr>
              <w:jc w:val="right"/>
              <w:ind w:right="1"/>
              <w:spacing w:after="0"/>
              <w:rPr>
                <w:sz w:val="20"/>
                <w:szCs w:val="20"/>
                <w:color w:val="auto"/>
              </w:rPr>
            </w:pPr>
            <w:r>
              <w:rPr>
                <w:rFonts w:ascii="Arial" w:cs="Arial" w:eastAsia="Arial" w:hAnsi="Arial"/>
                <w:sz w:val="18"/>
                <w:szCs w:val="18"/>
                <w:color w:val="auto"/>
              </w:rPr>
              <w:t>17,038</w:t>
            </w: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9,523</w:t>
            </w: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(669)</w:t>
            </w:r>
          </w:p>
        </w:tc>
        <w:tc>
          <w:tcPr>
            <w:tcW w:w="240" w:type="dxa"/>
            <w:vAlign w:val="bottom"/>
          </w:tcPr>
          <w:p>
            <w:pPr>
              <w:spacing w:after="0"/>
              <w:rPr>
                <w:sz w:val="18"/>
                <w:szCs w:val="18"/>
                <w:color w:val="auto"/>
              </w:rPr>
            </w:pPr>
          </w:p>
        </w:tc>
        <w:tc>
          <w:tcPr>
            <w:tcW w:w="920" w:type="dxa"/>
            <w:vAlign w:val="bottom"/>
            <w:gridSpan w:val="2"/>
          </w:tcPr>
          <w:p>
            <w:pPr>
              <w:jc w:val="right"/>
              <w:ind w:right="141"/>
              <w:spacing w:after="0"/>
              <w:rPr>
                <w:sz w:val="20"/>
                <w:szCs w:val="20"/>
                <w:color w:val="auto"/>
              </w:rPr>
            </w:pPr>
            <w:r>
              <w:rPr>
                <w:rFonts w:ascii="Arial" w:cs="Arial" w:eastAsia="Arial" w:hAnsi="Arial"/>
                <w:sz w:val="18"/>
                <w:szCs w:val="18"/>
                <w:color w:val="auto"/>
              </w:rPr>
              <w:t>29,322</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23</w:t>
            </w:r>
          </w:p>
        </w:tc>
        <w:tc>
          <w:tcPr>
            <w:tcW w:w="960" w:type="dxa"/>
            <w:vAlign w:val="bottom"/>
            <w:gridSpan w:val="3"/>
          </w:tcPr>
          <w:p>
            <w:pPr>
              <w:jc w:val="right"/>
              <w:ind w:right="21"/>
              <w:spacing w:after="0"/>
              <w:rPr>
                <w:sz w:val="20"/>
                <w:szCs w:val="20"/>
                <w:color w:val="auto"/>
              </w:rPr>
            </w:pPr>
            <w:r>
              <w:rPr>
                <w:rFonts w:ascii="Arial" w:cs="Arial" w:eastAsia="Arial" w:hAnsi="Arial"/>
                <w:sz w:val="18"/>
                <w:szCs w:val="18"/>
                <w:color w:val="auto"/>
              </w:rPr>
              <w:t>70,861</w:t>
            </w: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w w:val="94"/>
              </w:rPr>
              <w:t>Assumed losses and loss adjustment expenses</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w:t>
            </w:r>
          </w:p>
        </w:tc>
        <w:tc>
          <w:tcPr>
            <w:tcW w:w="960" w:type="dxa"/>
            <w:vAlign w:val="bottom"/>
            <w:gridSpan w:val="3"/>
            <w:shd w:val="clear" w:color="auto" w:fill="CCEEFF"/>
          </w:tcPr>
          <w:p>
            <w:pPr>
              <w:jc w:val="right"/>
              <w:ind w:right="21"/>
              <w:spacing w:after="0"/>
              <w:rPr>
                <w:sz w:val="20"/>
                <w:szCs w:val="20"/>
                <w:color w:val="auto"/>
              </w:rPr>
            </w:pPr>
            <w:r>
              <w:rPr>
                <w:rFonts w:ascii="Arial" w:cs="Arial" w:eastAsia="Arial" w:hAnsi="Arial"/>
                <w:sz w:val="18"/>
                <w:szCs w:val="18"/>
                <w:color w:val="auto"/>
              </w:rPr>
              <w:t>90</w:t>
            </w:r>
          </w:p>
        </w:tc>
      </w:tr>
      <w:tr>
        <w:trPr>
          <w:trHeight w:val="229"/>
        </w:trPr>
        <w:tc>
          <w:tcPr>
            <w:tcW w:w="3600" w:type="dxa"/>
            <w:vAlign w:val="bottom"/>
          </w:tcPr>
          <w:p>
            <w:pPr>
              <w:spacing w:after="0"/>
              <w:rPr>
                <w:sz w:val="20"/>
                <w:szCs w:val="20"/>
                <w:color w:val="auto"/>
              </w:rPr>
            </w:pPr>
            <w:r>
              <w:rPr>
                <w:rFonts w:ascii="Arial" w:cs="Arial" w:eastAsia="Arial" w:hAnsi="Arial"/>
                <w:sz w:val="18"/>
                <w:szCs w:val="18"/>
                <w:color w:val="auto"/>
              </w:rPr>
              <w:t>Ceded losses and loss adjustment expenses</w:t>
            </w:r>
          </w:p>
        </w:tc>
        <w:tc>
          <w:tcPr>
            <w:tcW w:w="1260" w:type="dxa"/>
            <w:vAlign w:val="bottom"/>
            <w:gridSpan w:val="3"/>
          </w:tcPr>
          <w:p>
            <w:pPr>
              <w:jc w:val="right"/>
              <w:ind w:right="121"/>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94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(804)</w:t>
            </w: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19"/>
                <w:szCs w:val="19"/>
                <w:color w:val="auto"/>
              </w:rPr>
            </w:pPr>
          </w:p>
        </w:tc>
        <w:tc>
          <w:tcPr>
            <w:tcW w:w="920" w:type="dxa"/>
            <w:vAlign w:val="bottom"/>
            <w:gridSpan w:val="2"/>
          </w:tcPr>
          <w:p>
            <w:pPr>
              <w:jc w:val="right"/>
              <w:ind w:right="81"/>
              <w:spacing w:after="0"/>
              <w:rPr>
                <w:sz w:val="20"/>
                <w:szCs w:val="20"/>
                <w:color w:val="auto"/>
              </w:rPr>
            </w:pPr>
            <w:r>
              <w:rPr>
                <w:rFonts w:ascii="Arial" w:cs="Arial" w:eastAsia="Arial" w:hAnsi="Arial"/>
                <w:sz w:val="18"/>
                <w:szCs w:val="18"/>
                <w:color w:val="auto"/>
              </w:rPr>
              <w:t>(11,208)</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(12,126)</w:t>
            </w:r>
          </w:p>
        </w:tc>
      </w:tr>
      <w:tr>
        <w:trPr>
          <w:trHeight w:val="209"/>
        </w:trPr>
        <w:tc>
          <w:tcPr>
            <w:tcW w:w="360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losses and loss adjustment expenses</w:t>
            </w:r>
          </w:p>
        </w:tc>
        <w:tc>
          <w:tcPr>
            <w:tcW w:w="2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15,625</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17,038</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8,719</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18,114</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58,825</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36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09"/>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2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4,028</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11,272</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(2,097</w:t>
            </w:r>
          </w:p>
        </w:tc>
        <w:tc>
          <w:tcPr>
            <w:tcW w:w="2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18,802</w:t>
            </w:r>
          </w:p>
        </w:tc>
        <w:tc>
          <w:tcPr>
            <w:tcW w:w="100" w:type="dxa"/>
            <w:vAlign w:val="bottom"/>
            <w:shd w:val="clear" w:color="auto" w:fill="CCEEFF"/>
          </w:tcPr>
          <w:p>
            <w:pPr>
              <w:spacing w:after="0"/>
              <w:rPr>
                <w:sz w:val="18"/>
                <w:szCs w:val="18"/>
                <w:color w:val="auto"/>
              </w:rPr>
            </w:pPr>
          </w:p>
        </w:tc>
      </w:tr>
      <w:tr>
        <w:trPr>
          <w:trHeight w:val="210"/>
        </w:trPr>
        <w:tc>
          <w:tcPr>
            <w:tcW w:w="3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Underwriting and general expenses</w:t>
            </w:r>
          </w:p>
        </w:tc>
        <w:tc>
          <w:tcPr>
            <w:tcW w:w="1260" w:type="dxa"/>
            <w:vAlign w:val="bottom"/>
            <w:gridSpan w:val="3"/>
            <w:shd w:val="clear" w:color="auto" w:fill="CCEEFF"/>
          </w:tcPr>
          <w:p>
            <w:pPr>
              <w:jc w:val="right"/>
              <w:ind w:right="121"/>
              <w:spacing w:after="0"/>
              <w:rPr>
                <w:sz w:val="20"/>
                <w:szCs w:val="20"/>
                <w:color w:val="auto"/>
              </w:rPr>
            </w:pPr>
            <w:r>
              <w:rPr>
                <w:rFonts w:ascii="Arial" w:cs="Arial" w:eastAsia="Arial" w:hAnsi="Arial"/>
                <w:sz w:val="18"/>
                <w:szCs w:val="18"/>
                <w:color w:val="auto"/>
              </w:rPr>
              <w:t>6,418</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8,994</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6,205</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w:t>
            </w: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6,086</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509</w:t>
            </w:r>
          </w:p>
        </w:tc>
        <w:tc>
          <w:tcPr>
            <w:tcW w:w="960" w:type="dxa"/>
            <w:vAlign w:val="bottom"/>
            <w:gridSpan w:val="3"/>
            <w:shd w:val="clear" w:color="auto" w:fill="CCEEFF"/>
          </w:tcPr>
          <w:p>
            <w:pPr>
              <w:jc w:val="right"/>
              <w:ind w:right="21"/>
              <w:spacing w:after="0"/>
              <w:rPr>
                <w:sz w:val="20"/>
                <w:szCs w:val="20"/>
                <w:color w:val="auto"/>
              </w:rPr>
            </w:pPr>
            <w:r>
              <w:rPr>
                <w:rFonts w:ascii="Arial" w:cs="Arial" w:eastAsia="Arial" w:hAnsi="Arial"/>
                <w:sz w:val="18"/>
                <w:szCs w:val="18"/>
                <w:color w:val="auto"/>
              </w:rPr>
              <w:t>28,244</w:t>
            </w:r>
          </w:p>
        </w:tc>
      </w:tr>
      <w:tr>
        <w:trPr>
          <w:trHeight w:val="209"/>
        </w:trPr>
        <w:tc>
          <w:tcPr>
            <w:tcW w:w="360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Underwriting gain (loss)</w:t>
            </w:r>
          </w:p>
        </w:tc>
        <w:tc>
          <w:tcPr>
            <w:tcW w:w="28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(2,390</w:t>
            </w:r>
          </w:p>
        </w:tc>
        <w:tc>
          <w:tcPr>
            <w:tcW w:w="200" w:type="dxa"/>
            <w:vAlign w:val="bottom"/>
            <w:tcBorders>
              <w:bottom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(5,153</w:t>
            </w:r>
          </w:p>
        </w:tc>
        <w:tc>
          <w:tcPr>
            <w:tcW w:w="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5,067</w:t>
            </w:r>
          </w:p>
        </w:tc>
        <w:tc>
          <w:tcPr>
            <w:tcW w:w="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(8,183</w:t>
            </w:r>
          </w:p>
        </w:tc>
        <w:tc>
          <w:tcPr>
            <w:tcW w:w="220" w:type="dxa"/>
            <w:vAlign w:val="bottom"/>
            <w:tcBorders>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1,201</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(9,442</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3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3600" w:type="dxa"/>
            <w:vAlign w:val="bottom"/>
          </w:tcPr>
          <w:p>
            <w:pPr>
              <w:spacing w:after="0"/>
              <w:rPr>
                <w:sz w:val="20"/>
                <w:szCs w:val="20"/>
                <w:color w:val="auto"/>
              </w:rPr>
            </w:pPr>
            <w:r>
              <w:rPr>
                <w:rFonts w:ascii="Arial" w:cs="Arial" w:eastAsia="Arial" w:hAnsi="Arial"/>
                <w:sz w:val="18"/>
                <w:szCs w:val="18"/>
                <w:color w:val="auto"/>
              </w:rPr>
              <w:t>Fee and other income</w:t>
            </w: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1"/>
              <w:spacing w:after="0"/>
              <w:rPr>
                <w:sz w:val="20"/>
                <w:szCs w:val="20"/>
                <w:color w:val="auto"/>
              </w:rPr>
            </w:pPr>
            <w:r>
              <w:rPr>
                <w:rFonts w:ascii="Arial" w:cs="Arial" w:eastAsia="Arial" w:hAnsi="Arial"/>
                <w:sz w:val="18"/>
                <w:szCs w:val="18"/>
                <w:color w:val="auto"/>
              </w:rPr>
              <w:t>232</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3"/>
          </w:tcPr>
          <w:p>
            <w:pPr>
              <w:jc w:val="right"/>
              <w:ind w:right="21"/>
              <w:spacing w:after="0"/>
              <w:rPr>
                <w:sz w:val="20"/>
                <w:szCs w:val="20"/>
                <w:color w:val="auto"/>
              </w:rPr>
            </w:pPr>
            <w:r>
              <w:rPr>
                <w:rFonts w:ascii="Arial" w:cs="Arial" w:eastAsia="Arial" w:hAnsi="Arial"/>
                <w:sz w:val="18"/>
                <w:szCs w:val="18"/>
                <w:color w:val="auto"/>
              </w:rPr>
              <w:t>274</w:t>
            </w:r>
          </w:p>
        </w:tc>
      </w:tr>
      <w:tr>
        <w:trPr>
          <w:trHeight w:val="209"/>
        </w:trPr>
        <w:tc>
          <w:tcPr>
            <w:tcW w:w="36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(4,921</w:t>
            </w:r>
          </w:p>
        </w:tc>
        <w:tc>
          <w:tcPr>
            <w:tcW w:w="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233" w:right="339" w:bottom="1440" w:gutter="0" w:footer="0" w:header="0"/>
        </w:sectPr>
      </w:pPr>
    </w:p>
    <w:p>
      <w:pPr>
        <w:spacing w:after="0"/>
        <w:rPr>
          <w:sz w:val="20"/>
          <w:szCs w:val="20"/>
          <w:color w:val="auto"/>
        </w:rPr>
      </w:pPr>
      <w:r>
        <w:rPr>
          <w:rFonts w:ascii="Arial" w:cs="Arial" w:eastAsia="Arial" w:hAnsi="Arial"/>
          <w:sz w:val="18"/>
          <w:szCs w:val="18"/>
          <w:color w:val="auto"/>
        </w:rPr>
        <w:t>Net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Net investment gains (losses)</w:t>
      </w:r>
    </w:p>
    <w:p>
      <w:pPr>
        <w:spacing w:after="0" w:line="2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Income (loss)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 (benefit)</w:t>
      </w:r>
    </w:p>
    <w:p>
      <w:pPr>
        <w:spacing w:after="0" w:line="2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825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28257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Net income (loss) attributable to non-controlling</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interest</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Net income (loss) attributable to NI Holdings,</w:t>
      </w:r>
    </w:p>
    <w:p>
      <w:pPr>
        <w:spacing w:after="0" w:line="4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Inc.</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Arial" w:cs="Arial" w:eastAsia="Arial" w:hAnsi="Arial"/>
          <w:sz w:val="18"/>
          <w:szCs w:val="18"/>
          <w:color w:val="auto"/>
        </w:rPr>
        <w:t>2,239</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1,416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48831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88315" cy="8890"/>
                    </a:xfrm>
                    <a:prstGeom prst="rect">
                      <a:avLst/>
                    </a:prstGeom>
                    <a:noFill/>
                  </pic:spPr>
                </pic:pic>
              </a:graphicData>
            </a:graphic>
          </wp:anchor>
        </w:drawing>
      </w:r>
    </w:p>
    <w:p>
      <w:pPr>
        <w:spacing w:after="0" w:line="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(5,513)</w:t>
      </w:r>
    </w:p>
    <w:p>
      <w:pPr>
        <w:spacing w:after="0" w:line="2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48831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(4,500)</w:t>
      </w:r>
    </w:p>
    <w:p>
      <w:pPr>
        <w:spacing w:after="0" w:line="224"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(290)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23495</wp:posOffset>
            </wp:positionV>
            <wp:extent cx="48831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19" w:lineRule="exact"/>
        <w:rPr>
          <w:sz w:val="20"/>
          <w:szCs w:val="20"/>
          <w:color w:val="auto"/>
        </w:rPr>
      </w:pPr>
    </w:p>
    <w:p>
      <w:pPr>
        <w:ind w:left="300" w:hanging="298"/>
        <w:spacing w:after="0"/>
        <w:tabs>
          <w:tab w:leader="none" w:pos="3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(4,210)</w:t>
      </w:r>
    </w:p>
    <w:p>
      <w:pPr>
        <w:spacing w:after="0" w:line="61" w:lineRule="exact"/>
        <w:rPr>
          <w:sz w:val="20"/>
          <w:szCs w:val="20"/>
          <w:color w:val="auto"/>
        </w:rPr>
      </w:pPr>
    </w:p>
    <w:p>
      <w:pPr>
        <w:sectPr>
          <w:pgSz w:w="11900" w:h="16838" w:orient="portrait"/>
          <w:cols w:equalWidth="0" w:num="2">
            <w:col w:w="9640" w:space="720"/>
            <w:col w:w="880"/>
          </w:cols>
          <w:pgMar w:left="320" w:top="233" w:right="3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3660" w:type="dxa"/>
            <w:vAlign w:val="bottom"/>
            <w:tcBorders>
              <w:top w:val="single" w:sz="8" w:color="CCEEFF"/>
            </w:tcBorders>
            <w:shd w:val="clear" w:color="auto" w:fill="CCEEFF"/>
          </w:tcPr>
          <w:p>
            <w:pPr>
              <w:spacing w:after="0"/>
              <w:rPr>
                <w:sz w:val="20"/>
                <w:szCs w:val="20"/>
                <w:color w:val="auto"/>
              </w:rPr>
            </w:pPr>
          </w:p>
        </w:tc>
        <w:tc>
          <w:tcPr>
            <w:tcW w:w="1100" w:type="dxa"/>
            <w:vAlign w:val="bottom"/>
            <w:tcBorders>
              <w:top w:val="single" w:sz="8" w:color="CCEEFF"/>
            </w:tcBorders>
            <w:shd w:val="clear" w:color="auto" w:fill="CCEEFF"/>
          </w:tcPr>
          <w:p>
            <w:pPr>
              <w:spacing w:after="0"/>
              <w:rPr>
                <w:sz w:val="20"/>
                <w:szCs w:val="20"/>
                <w:color w:val="auto"/>
              </w:rPr>
            </w:pPr>
          </w:p>
        </w:tc>
        <w:tc>
          <w:tcPr>
            <w:tcW w:w="420" w:type="dxa"/>
            <w:vAlign w:val="bottom"/>
            <w:tcBorders>
              <w:top w:val="single" w:sz="8" w:color="CCEEFF"/>
            </w:tcBorders>
            <w:shd w:val="clear" w:color="auto" w:fill="CCEEFF"/>
          </w:tcPr>
          <w:p>
            <w:pPr>
              <w:spacing w:after="0"/>
              <w:rPr>
                <w:sz w:val="20"/>
                <w:szCs w:val="20"/>
                <w:color w:val="auto"/>
              </w:rPr>
            </w:pPr>
          </w:p>
        </w:tc>
        <w:tc>
          <w:tcPr>
            <w:tcW w:w="88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74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CCEEFF"/>
            </w:tcBorders>
            <w:shd w:val="clear" w:color="auto" w:fill="CCEEFF"/>
          </w:tcPr>
          <w:p>
            <w:pPr>
              <w:spacing w:after="0"/>
              <w:rPr>
                <w:sz w:val="20"/>
                <w:szCs w:val="20"/>
                <w:color w:val="auto"/>
              </w:rPr>
            </w:pPr>
          </w:p>
        </w:tc>
        <w:tc>
          <w:tcPr>
            <w:tcW w:w="68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CCEEFF"/>
            </w:tcBorders>
            <w:shd w:val="clear" w:color="auto" w:fill="CCEEFF"/>
          </w:tcPr>
          <w:p>
            <w:pPr>
              <w:spacing w:after="0"/>
              <w:rPr>
                <w:sz w:val="20"/>
                <w:szCs w:val="20"/>
                <w:color w:val="auto"/>
              </w:rPr>
            </w:pPr>
          </w:p>
        </w:tc>
        <w:tc>
          <w:tcPr>
            <w:tcW w:w="80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CCEEFF"/>
            </w:tcBorders>
            <w:shd w:val="clear" w:color="auto" w:fill="CCEEFF"/>
          </w:tcPr>
          <w:p>
            <w:pPr>
              <w:spacing w:after="0"/>
              <w:rPr>
                <w:sz w:val="20"/>
                <w:szCs w:val="20"/>
                <w:color w:val="auto"/>
              </w:rPr>
            </w:pPr>
          </w:p>
        </w:tc>
        <w:tc>
          <w:tcPr>
            <w:tcW w:w="6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7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Operating Ratios:</w:t>
            </w: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Loss and loss adjustment expense ratio</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79.5%</w:t>
            </w: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81.6%</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43.6%</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n/a</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113.1%</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5.6%</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75.8%</w:t>
            </w:r>
          </w:p>
        </w:tc>
      </w:tr>
      <w:tr>
        <w:trPr>
          <w:trHeight w:val="216"/>
        </w:trPr>
        <w:tc>
          <w:tcPr>
            <w:tcW w:w="3660" w:type="dxa"/>
            <w:vAlign w:val="bottom"/>
          </w:tcPr>
          <w:p>
            <w:pPr>
              <w:ind w:left="260"/>
              <w:spacing w:after="0"/>
              <w:rPr>
                <w:sz w:val="20"/>
                <w:szCs w:val="20"/>
                <w:color w:val="auto"/>
              </w:rPr>
            </w:pPr>
            <w:r>
              <w:rPr>
                <w:rFonts w:ascii="Arial" w:cs="Arial" w:eastAsia="Arial" w:hAnsi="Arial"/>
                <w:sz w:val="18"/>
                <w:szCs w:val="18"/>
                <w:color w:val="auto"/>
              </w:rPr>
              <w:t>Expense ratio</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32.7%</w:t>
            </w:r>
          </w:p>
        </w:tc>
        <w:tc>
          <w:tcPr>
            <w:tcW w:w="42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43.1%</w:t>
            </w:r>
          </w:p>
        </w:tc>
        <w:tc>
          <w:tcPr>
            <w:tcW w:w="34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31.1%</w:t>
            </w:r>
          </w:p>
        </w:tc>
        <w:tc>
          <w:tcPr>
            <w:tcW w:w="280" w:type="dxa"/>
            <w:vAlign w:val="bottom"/>
          </w:tcPr>
          <w:p>
            <w:pPr>
              <w:spacing w:after="0"/>
              <w:rPr>
                <w:sz w:val="18"/>
                <w:szCs w:val="18"/>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n/a</w:t>
            </w:r>
          </w:p>
        </w:tc>
        <w:tc>
          <w:tcPr>
            <w:tcW w:w="36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38.0%</w:t>
            </w:r>
          </w:p>
        </w:tc>
        <w:tc>
          <w:tcPr>
            <w:tcW w:w="32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28.1%</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36.4%</w:t>
            </w:r>
          </w:p>
        </w:tc>
      </w:tr>
      <w:tr>
        <w:trPr>
          <w:trHeight w:val="216"/>
        </w:trPr>
        <w:tc>
          <w:tcPr>
            <w:tcW w:w="36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Combined ratio</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112.2%</w:t>
            </w: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124.7%</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74.7%</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n/a</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151.1%</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33.7%</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112.2%</w:t>
            </w:r>
          </w:p>
        </w:tc>
      </w:tr>
      <w:tr>
        <w:trPr>
          <w:trHeight w:val="216"/>
        </w:trPr>
        <w:tc>
          <w:tcPr>
            <w:tcW w:w="3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Balances at March 31, 2023:</w:t>
            </w: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8"/>
              </w:rPr>
              <w:t>Premiums and agents’ balances receivable</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  21,743</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16,642</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8,954</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16,301</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769</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64,502</w:t>
            </w:r>
          </w:p>
        </w:tc>
      </w:tr>
      <w:tr>
        <w:trPr>
          <w:trHeight w:val="216"/>
        </w:trPr>
        <w:tc>
          <w:tcPr>
            <w:tcW w:w="3660" w:type="dxa"/>
            <w:vAlign w:val="bottom"/>
          </w:tcPr>
          <w:p>
            <w:pPr>
              <w:ind w:left="260"/>
              <w:spacing w:after="0"/>
              <w:rPr>
                <w:sz w:val="20"/>
                <w:szCs w:val="20"/>
                <w:color w:val="auto"/>
              </w:rPr>
            </w:pPr>
            <w:r>
              <w:rPr>
                <w:rFonts w:ascii="Arial" w:cs="Arial" w:eastAsia="Arial" w:hAnsi="Arial"/>
                <w:sz w:val="18"/>
                <w:szCs w:val="18"/>
                <w:color w:val="auto"/>
              </w:rPr>
              <w:t>Deferred policy acquisition costs</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5,309</w:t>
            </w:r>
          </w:p>
        </w:tc>
        <w:tc>
          <w:tcPr>
            <w:tcW w:w="42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10,716</w:t>
            </w:r>
          </w:p>
        </w:tc>
        <w:tc>
          <w:tcPr>
            <w:tcW w:w="34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7,279</w:t>
            </w:r>
          </w:p>
        </w:tc>
        <w:tc>
          <w:tcPr>
            <w:tcW w:w="280" w:type="dxa"/>
            <w:vAlign w:val="bottom"/>
          </w:tcPr>
          <w:p>
            <w:pPr>
              <w:spacing w:after="0"/>
              <w:rPr>
                <w:sz w:val="18"/>
                <w:szCs w:val="18"/>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7,616</w:t>
            </w:r>
          </w:p>
        </w:tc>
        <w:tc>
          <w:tcPr>
            <w:tcW w:w="32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430</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31,350</w:t>
            </w:r>
          </w:p>
        </w:tc>
      </w:tr>
      <w:tr>
        <w:trPr>
          <w:trHeight w:val="216"/>
        </w:trPr>
        <w:tc>
          <w:tcPr>
            <w:tcW w:w="36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Reinsurance recoverables on losses</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1,280</w:t>
            </w: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5,845</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37,669</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797</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45,642</w:t>
            </w:r>
          </w:p>
        </w:tc>
      </w:tr>
      <w:tr>
        <w:trPr>
          <w:trHeight w:val="202"/>
        </w:trPr>
        <w:tc>
          <w:tcPr>
            <w:tcW w:w="3660" w:type="dxa"/>
            <w:vAlign w:val="bottom"/>
          </w:tcPr>
          <w:p>
            <w:pPr>
              <w:ind w:left="260"/>
              <w:spacing w:after="0" w:line="201" w:lineRule="exact"/>
              <w:rPr>
                <w:sz w:val="20"/>
                <w:szCs w:val="20"/>
                <w:color w:val="auto"/>
              </w:rPr>
            </w:pPr>
            <w:r>
              <w:rPr>
                <w:rFonts w:ascii="Arial" w:cs="Arial" w:eastAsia="Arial" w:hAnsi="Arial"/>
                <w:sz w:val="18"/>
                <w:szCs w:val="18"/>
                <w:color w:val="auto"/>
              </w:rPr>
              <w:t>Receivable from Federal Crop Insurance</w:t>
            </w: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660" w:type="dxa"/>
            <w:vAlign w:val="bottom"/>
          </w:tcPr>
          <w:p>
            <w:pPr>
              <w:ind w:left="260"/>
              <w:spacing w:after="0"/>
              <w:rPr>
                <w:sz w:val="20"/>
                <w:szCs w:val="20"/>
                <w:color w:val="auto"/>
              </w:rPr>
            </w:pPr>
            <w:r>
              <w:rPr>
                <w:rFonts w:ascii="Arial" w:cs="Arial" w:eastAsia="Arial" w:hAnsi="Arial"/>
                <w:sz w:val="18"/>
                <w:szCs w:val="18"/>
                <w:color w:val="auto"/>
              </w:rPr>
              <w:t>Corporation</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14,034</w:t>
            </w:r>
          </w:p>
        </w:tc>
        <w:tc>
          <w:tcPr>
            <w:tcW w:w="36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14,034</w:t>
            </w:r>
          </w:p>
        </w:tc>
      </w:tr>
      <w:tr>
        <w:trPr>
          <w:trHeight w:val="216"/>
        </w:trPr>
        <w:tc>
          <w:tcPr>
            <w:tcW w:w="36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Goodwill and other intangibles</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2,748</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14,384</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17,132</w:t>
            </w:r>
          </w:p>
        </w:tc>
      </w:tr>
      <w:tr>
        <w:trPr>
          <w:trHeight w:val="216"/>
        </w:trPr>
        <w:tc>
          <w:tcPr>
            <w:tcW w:w="3660" w:type="dxa"/>
            <w:vAlign w:val="bottom"/>
          </w:tcPr>
          <w:p>
            <w:pPr>
              <w:ind w:left="260"/>
              <w:spacing w:after="0"/>
              <w:rPr>
                <w:sz w:val="20"/>
                <w:szCs w:val="20"/>
                <w:color w:val="auto"/>
              </w:rPr>
            </w:pPr>
            <w:r>
              <w:rPr>
                <w:rFonts w:ascii="Arial" w:cs="Arial" w:eastAsia="Arial" w:hAnsi="Arial"/>
                <w:sz w:val="18"/>
                <w:szCs w:val="18"/>
                <w:color w:val="auto"/>
                <w:w w:val="93"/>
              </w:rPr>
              <w:t>Unpaid losses and loss adjustment expenses</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27,366</w:t>
            </w:r>
          </w:p>
        </w:tc>
        <w:tc>
          <w:tcPr>
            <w:tcW w:w="42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50,876</w:t>
            </w:r>
          </w:p>
        </w:tc>
        <w:tc>
          <w:tcPr>
            <w:tcW w:w="34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29,165</w:t>
            </w:r>
          </w:p>
        </w:tc>
        <w:tc>
          <w:tcPr>
            <w:tcW w:w="280" w:type="dxa"/>
            <w:vAlign w:val="bottom"/>
          </w:tcPr>
          <w:p>
            <w:pPr>
              <w:spacing w:after="0"/>
              <w:rPr>
                <w:sz w:val="18"/>
                <w:szCs w:val="18"/>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421</w:t>
            </w:r>
          </w:p>
        </w:tc>
        <w:tc>
          <w:tcPr>
            <w:tcW w:w="36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89,296</w:t>
            </w:r>
          </w:p>
        </w:tc>
        <w:tc>
          <w:tcPr>
            <w:tcW w:w="32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7,666</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204,790</w:t>
            </w:r>
          </w:p>
        </w:tc>
      </w:tr>
      <w:tr>
        <w:trPr>
          <w:trHeight w:val="216"/>
        </w:trPr>
        <w:tc>
          <w:tcPr>
            <w:tcW w:w="36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Unearned premiums</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32,378</w:t>
            </w: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33,711</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44,446</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39,975</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2,957</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153,467</w:t>
            </w:r>
          </w:p>
        </w:tc>
      </w:tr>
      <w:tr>
        <w:trPr>
          <w:trHeight w:val="628"/>
        </w:trPr>
        <w:tc>
          <w:tcPr>
            <w:tcW w:w="36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28</w:t>
            </w:r>
          </w:p>
        </w:tc>
        <w:tc>
          <w:tcPr>
            <w:tcW w:w="3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33" w:right="3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9"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gridSpan w:val="10"/>
          </w:tcPr>
          <w:p>
            <w:pPr>
              <w:jc w:val="right"/>
              <w:ind w:right="381"/>
              <w:spacing w:after="0"/>
              <w:rPr>
                <w:sz w:val="20"/>
                <w:szCs w:val="20"/>
                <w:color w:val="auto"/>
              </w:rPr>
            </w:pPr>
            <w:r>
              <w:rPr>
                <w:rFonts w:ascii="Arial" w:cs="Arial" w:eastAsia="Arial" w:hAnsi="Arial"/>
                <w:sz w:val="18"/>
                <w:szCs w:val="18"/>
                <w:b w:val="1"/>
                <w:bCs w:val="1"/>
                <w:color w:val="auto"/>
                <w:w w:val="93"/>
              </w:rPr>
              <w:t>Three Months Ended March 31, 2022</w:t>
            </w:r>
          </w:p>
        </w:tc>
        <w:tc>
          <w:tcPr>
            <w:tcW w:w="7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3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gridSpan w:val="2"/>
          </w:tcPr>
          <w:p>
            <w:pPr>
              <w:jc w:val="center"/>
              <w:ind w:right="81"/>
              <w:spacing w:after="0" w:line="191" w:lineRule="exact"/>
              <w:rPr>
                <w:sz w:val="20"/>
                <w:szCs w:val="20"/>
                <w:color w:val="auto"/>
              </w:rPr>
            </w:pPr>
            <w:r>
              <w:rPr>
                <w:rFonts w:ascii="Arial" w:cs="Arial" w:eastAsia="Arial" w:hAnsi="Arial"/>
                <w:sz w:val="18"/>
                <w:szCs w:val="18"/>
                <w:b w:val="1"/>
                <w:bCs w:val="1"/>
                <w:color w:val="auto"/>
                <w:w w:val="93"/>
              </w:rPr>
              <w:t>Private</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center"/>
              <w:ind w:right="61"/>
              <w:spacing w:after="0"/>
              <w:rPr>
                <w:sz w:val="20"/>
                <w:szCs w:val="20"/>
                <w:color w:val="auto"/>
              </w:rPr>
            </w:pPr>
            <w:r>
              <w:rPr>
                <w:rFonts w:ascii="Arial" w:cs="Arial" w:eastAsia="Arial" w:hAnsi="Arial"/>
                <w:sz w:val="18"/>
                <w:szCs w:val="18"/>
                <w:b w:val="1"/>
                <w:bCs w:val="1"/>
                <w:color w:val="auto"/>
                <w:w w:val="85"/>
              </w:rPr>
              <w:t>Passenger</w:t>
            </w:r>
          </w:p>
        </w:tc>
        <w:tc>
          <w:tcPr>
            <w:tcW w:w="80" w:type="dxa"/>
            <w:vAlign w:val="bottom"/>
          </w:tcPr>
          <w:p>
            <w:pPr>
              <w:spacing w:after="0"/>
              <w:rPr>
                <w:sz w:val="18"/>
                <w:szCs w:val="18"/>
                <w:color w:val="auto"/>
              </w:rPr>
            </w:pPr>
          </w:p>
        </w:tc>
        <w:tc>
          <w:tcPr>
            <w:tcW w:w="1260" w:type="dxa"/>
            <w:vAlign w:val="bottom"/>
            <w:gridSpan w:val="3"/>
          </w:tcPr>
          <w:p>
            <w:pPr>
              <w:ind w:left="20"/>
              <w:spacing w:after="0"/>
              <w:rPr>
                <w:sz w:val="20"/>
                <w:szCs w:val="20"/>
                <w:color w:val="auto"/>
              </w:rPr>
            </w:pPr>
            <w:r>
              <w:rPr>
                <w:rFonts w:ascii="Arial" w:cs="Arial" w:eastAsia="Arial" w:hAnsi="Arial"/>
                <w:sz w:val="18"/>
                <w:szCs w:val="18"/>
                <w:b w:val="1"/>
                <w:bCs w:val="1"/>
                <w:color w:val="auto"/>
              </w:rPr>
              <w:t>Non-Standard</w:t>
            </w:r>
          </w:p>
        </w:tc>
        <w:tc>
          <w:tcPr>
            <w:tcW w:w="8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9"/>
              </w:rPr>
              <w:t>Home and</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gridSpan w:val="2"/>
          </w:tcPr>
          <w:p>
            <w:pPr>
              <w:jc w:val="center"/>
              <w:ind w:right="61"/>
              <w:spacing w:after="0"/>
              <w:rPr>
                <w:sz w:val="20"/>
                <w:szCs w:val="20"/>
                <w:color w:val="auto"/>
              </w:rPr>
            </w:pPr>
            <w:r>
              <w:rPr>
                <w:rFonts w:ascii="Arial" w:cs="Arial" w:eastAsia="Arial" w:hAnsi="Arial"/>
                <w:sz w:val="18"/>
                <w:szCs w:val="18"/>
                <w:b w:val="1"/>
                <w:bCs w:val="1"/>
                <w:color w:val="auto"/>
                <w:w w:val="92"/>
              </w:rPr>
              <w:t>Auto</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416"/>
              <w:spacing w:after="0"/>
              <w:rPr>
                <w:sz w:val="20"/>
                <w:szCs w:val="20"/>
                <w:color w:val="auto"/>
              </w:rPr>
            </w:pPr>
            <w:r>
              <w:rPr>
                <w:rFonts w:ascii="Arial" w:cs="Arial" w:eastAsia="Arial" w:hAnsi="Arial"/>
                <w:sz w:val="18"/>
                <w:szCs w:val="18"/>
                <w:b w:val="1"/>
                <w:bCs w:val="1"/>
                <w:color w:val="auto"/>
              </w:rPr>
              <w:t>Auto</w:t>
            </w:r>
          </w:p>
        </w:tc>
        <w:tc>
          <w:tcPr>
            <w:tcW w:w="80" w:type="dxa"/>
            <w:vAlign w:val="bottom"/>
          </w:tcPr>
          <w:p>
            <w:pPr>
              <w:spacing w:after="0"/>
              <w:rPr>
                <w:sz w:val="20"/>
                <w:szCs w:val="20"/>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Farm</w:t>
            </w:r>
          </w:p>
        </w:tc>
        <w:tc>
          <w:tcPr>
            <w:tcW w:w="120" w:type="dxa"/>
            <w:vAlign w:val="bottom"/>
          </w:tcPr>
          <w:p>
            <w:pPr>
              <w:spacing w:after="0"/>
              <w:rPr>
                <w:sz w:val="20"/>
                <w:szCs w:val="20"/>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9"/>
              </w:rPr>
              <w:t>Crop</w:t>
            </w:r>
          </w:p>
        </w:tc>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Commercial</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4"/>
              </w:rPr>
              <w:t>All Other</w:t>
            </w:r>
          </w:p>
        </w:tc>
        <w:tc>
          <w:tcPr>
            <w:tcW w:w="80" w:type="dxa"/>
            <w:vAlign w:val="bottom"/>
          </w:tcPr>
          <w:p>
            <w:pPr>
              <w:spacing w:after="0"/>
              <w:rPr>
                <w:sz w:val="20"/>
                <w:szCs w:val="20"/>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Total</w:t>
            </w:r>
          </w:p>
        </w:tc>
      </w:tr>
      <w:tr>
        <w:trPr>
          <w:trHeight w:val="209"/>
        </w:trPr>
        <w:tc>
          <w:tcPr>
            <w:tcW w:w="3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Direct premiums earned</w:t>
            </w:r>
          </w:p>
        </w:tc>
        <w:tc>
          <w:tcPr>
            <w:tcW w:w="2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   19,301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14,442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21,179</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17,230</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1,264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73,399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Assumed premiums earned</w:t>
            </w:r>
          </w:p>
        </w:tc>
        <w:tc>
          <w:tcPr>
            <w:tcW w:w="260" w:type="dxa"/>
            <w:vAlign w:val="bottom"/>
          </w:tcPr>
          <w:p>
            <w:pPr>
              <w:spacing w:after="0"/>
              <w:rPr>
                <w:sz w:val="18"/>
                <w:szCs w:val="18"/>
                <w:color w:val="auto"/>
              </w:rPr>
            </w:pPr>
          </w:p>
        </w:tc>
        <w:tc>
          <w:tcPr>
            <w:tcW w:w="96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56"/>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1,861</w:t>
            </w: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1,861</w:t>
            </w:r>
          </w:p>
        </w:tc>
      </w:tr>
      <w:tr>
        <w:trPr>
          <w:trHeight w:val="230"/>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Ceded premiums earned</w:t>
            </w:r>
          </w:p>
        </w:tc>
        <w:tc>
          <w:tcPr>
            <w:tcW w:w="1220" w:type="dxa"/>
            <w:vAlign w:val="bottom"/>
            <w:gridSpan w:val="3"/>
            <w:shd w:val="clear" w:color="auto" w:fill="CCEEFF"/>
          </w:tcPr>
          <w:p>
            <w:pPr>
              <w:jc w:val="right"/>
              <w:ind w:right="1"/>
              <w:spacing w:after="0"/>
              <w:rPr>
                <w:sz w:val="20"/>
                <w:szCs w:val="20"/>
                <w:color w:val="auto"/>
              </w:rPr>
            </w:pPr>
            <w:r>
              <w:rPr>
                <w:rFonts w:ascii="Arial" w:cs="Arial" w:eastAsia="Arial" w:hAnsi="Arial"/>
                <w:sz w:val="18"/>
                <w:szCs w:val="18"/>
                <w:color w:val="auto"/>
              </w:rPr>
              <w:t>(559)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(1,967)</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2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(3,042)</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(5,673)</w:t>
            </w:r>
          </w:p>
        </w:tc>
      </w:tr>
      <w:tr>
        <w:trPr>
          <w:trHeight w:val="209"/>
        </w:trPr>
        <w:tc>
          <w:tcPr>
            <w:tcW w:w="3560" w:type="dxa"/>
            <w:vAlign w:val="bottom"/>
          </w:tcPr>
          <w:p>
            <w:pPr>
              <w:ind w:left="260"/>
              <w:spacing w:after="0"/>
              <w:rPr>
                <w:sz w:val="20"/>
                <w:szCs w:val="20"/>
                <w:color w:val="auto"/>
              </w:rPr>
            </w:pPr>
            <w:r>
              <w:rPr>
                <w:rFonts w:ascii="Arial" w:cs="Arial" w:eastAsia="Arial" w:hAnsi="Arial"/>
                <w:sz w:val="18"/>
                <w:szCs w:val="18"/>
                <w:color w:val="auto"/>
              </w:rPr>
              <w:t>Net premiums earned</w:t>
            </w:r>
          </w:p>
        </w:tc>
        <w:tc>
          <w:tcPr>
            <w:tcW w:w="26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18,742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14,378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19,212</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14,188</w:t>
            </w:r>
          </w:p>
        </w:tc>
        <w:tc>
          <w:tcPr>
            <w:tcW w:w="22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3,080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69,587</w:t>
            </w:r>
          </w:p>
        </w:tc>
        <w:tc>
          <w:tcPr>
            <w:tcW w:w="100" w:type="dxa"/>
            <w:vAlign w:val="bottom"/>
          </w:tcPr>
          <w:p>
            <w:pPr>
              <w:spacing w:after="0"/>
              <w:rPr>
                <w:sz w:val="18"/>
                <w:szCs w:val="18"/>
                <w:color w:val="auto"/>
              </w:rPr>
            </w:pPr>
          </w:p>
        </w:tc>
      </w:tr>
      <w:tr>
        <w:trPr>
          <w:trHeight w:val="216"/>
        </w:trPr>
        <w:tc>
          <w:tcPr>
            <w:tcW w:w="3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Direct losses and loss adjustment expenses</w:t>
            </w:r>
          </w:p>
        </w:tc>
        <w:tc>
          <w:tcPr>
            <w:tcW w:w="1220" w:type="dxa"/>
            <w:vAlign w:val="bottom"/>
            <w:gridSpan w:val="3"/>
          </w:tcPr>
          <w:p>
            <w:pPr>
              <w:jc w:val="right"/>
              <w:ind w:right="61"/>
              <w:spacing w:after="0"/>
              <w:rPr>
                <w:sz w:val="20"/>
                <w:szCs w:val="20"/>
                <w:color w:val="auto"/>
              </w:rPr>
            </w:pPr>
            <w:r>
              <w:rPr>
                <w:rFonts w:ascii="Arial" w:cs="Arial" w:eastAsia="Arial" w:hAnsi="Arial"/>
                <w:sz w:val="18"/>
                <w:szCs w:val="18"/>
                <w:color w:val="auto"/>
              </w:rPr>
              <w:t>14,526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56"/>
              <w:spacing w:after="0"/>
              <w:rPr>
                <w:sz w:val="20"/>
                <w:szCs w:val="20"/>
                <w:color w:val="auto"/>
              </w:rPr>
            </w:pPr>
            <w:r>
              <w:rPr>
                <w:rFonts w:ascii="Arial" w:cs="Arial" w:eastAsia="Arial" w:hAnsi="Arial"/>
                <w:sz w:val="18"/>
                <w:szCs w:val="18"/>
                <w:color w:val="auto"/>
              </w:rPr>
              <w:t>8,491</w:t>
            </w: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7,192</w:t>
            </w: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(103)</w:t>
            </w:r>
          </w:p>
        </w:tc>
        <w:tc>
          <w:tcPr>
            <w:tcW w:w="260" w:type="dxa"/>
            <w:vAlign w:val="bottom"/>
          </w:tcPr>
          <w:p>
            <w:pPr>
              <w:spacing w:after="0"/>
              <w:rPr>
                <w:sz w:val="18"/>
                <w:szCs w:val="18"/>
                <w:color w:val="auto"/>
              </w:rPr>
            </w:pPr>
          </w:p>
        </w:tc>
        <w:tc>
          <w:tcPr>
            <w:tcW w:w="900" w:type="dxa"/>
            <w:vAlign w:val="bottom"/>
            <w:gridSpan w:val="2"/>
          </w:tcPr>
          <w:p>
            <w:pPr>
              <w:jc w:val="right"/>
              <w:ind w:right="141"/>
              <w:spacing w:after="0"/>
              <w:rPr>
                <w:sz w:val="20"/>
                <w:szCs w:val="20"/>
                <w:color w:val="auto"/>
              </w:rPr>
            </w:pPr>
            <w:r>
              <w:rPr>
                <w:rFonts w:ascii="Arial" w:cs="Arial" w:eastAsia="Arial" w:hAnsi="Arial"/>
                <w:sz w:val="18"/>
                <w:szCs w:val="18"/>
                <w:color w:val="auto"/>
              </w:rPr>
              <w:t>15,063</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326</w:t>
            </w: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45,495</w:t>
            </w: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w w:val="93"/>
              </w:rPr>
              <w:t>Assumed losses and loss adjustment expenses</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w w:val="99"/>
              </w:rPr>
              <w:t>Ceded losses and loss adjustment expenses</w:t>
            </w:r>
          </w:p>
        </w:tc>
        <w:tc>
          <w:tcPr>
            <w:tcW w:w="1220" w:type="dxa"/>
            <w:vAlign w:val="bottom"/>
            <w:gridSpan w:val="3"/>
          </w:tcPr>
          <w:p>
            <w:pPr>
              <w:jc w:val="right"/>
              <w:ind w:right="61"/>
              <w:spacing w:after="0"/>
              <w:rPr>
                <w:sz w:val="20"/>
                <w:szCs w:val="20"/>
                <w:color w:val="auto"/>
              </w:rPr>
            </w:pPr>
            <w:r>
              <w:rPr>
                <w:rFonts w:ascii="Arial" w:cs="Arial" w:eastAsia="Arial" w:hAnsi="Arial"/>
                <w:sz w:val="18"/>
                <w:szCs w:val="18"/>
                <w:color w:val="auto"/>
              </w:rPr>
              <w:t>185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56"/>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(352)</w:t>
            </w: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(63)</w:t>
            </w:r>
          </w:p>
        </w:tc>
        <w:tc>
          <w:tcPr>
            <w:tcW w:w="260" w:type="dxa"/>
            <w:vAlign w:val="bottom"/>
          </w:tcPr>
          <w:p>
            <w:pPr>
              <w:spacing w:after="0"/>
              <w:rPr>
                <w:sz w:val="19"/>
                <w:szCs w:val="19"/>
                <w:color w:val="auto"/>
              </w:rPr>
            </w:pPr>
          </w:p>
        </w:tc>
        <w:tc>
          <w:tcPr>
            <w:tcW w:w="900" w:type="dxa"/>
            <w:vAlign w:val="bottom"/>
            <w:gridSpan w:val="2"/>
          </w:tcPr>
          <w:p>
            <w:pPr>
              <w:jc w:val="right"/>
              <w:ind w:right="81"/>
              <w:spacing w:after="0"/>
              <w:rPr>
                <w:sz w:val="20"/>
                <w:szCs w:val="20"/>
                <w:color w:val="auto"/>
              </w:rPr>
            </w:pPr>
            <w:r>
              <w:rPr>
                <w:rFonts w:ascii="Arial" w:cs="Arial" w:eastAsia="Arial" w:hAnsi="Arial"/>
                <w:sz w:val="18"/>
                <w:szCs w:val="18"/>
                <w:color w:val="auto"/>
              </w:rPr>
              <w:t>(5,046)</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(5,376)</w:t>
            </w:r>
          </w:p>
        </w:tc>
      </w:tr>
      <w:tr>
        <w:trPr>
          <w:trHeight w:val="209"/>
        </w:trPr>
        <w:tc>
          <w:tcPr>
            <w:tcW w:w="356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w w:val="99"/>
              </w:rPr>
              <w:t>Net losses and loss adjustment expenses</w:t>
            </w:r>
          </w:p>
        </w:tc>
        <w:tc>
          <w:tcPr>
            <w:tcW w:w="2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14,711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6,840</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10,017</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40,129</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356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09"/>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26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12,372</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4,171</w:t>
            </w:r>
          </w:p>
        </w:tc>
        <w:tc>
          <w:tcPr>
            <w:tcW w:w="2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29,458</w:t>
            </w:r>
          </w:p>
        </w:tc>
        <w:tc>
          <w:tcPr>
            <w:tcW w:w="100" w:type="dxa"/>
            <w:vAlign w:val="bottom"/>
            <w:shd w:val="clear" w:color="auto" w:fill="CCEEFF"/>
          </w:tcPr>
          <w:p>
            <w:pPr>
              <w:spacing w:after="0"/>
              <w:rPr>
                <w:sz w:val="18"/>
                <w:szCs w:val="18"/>
                <w:color w:val="auto"/>
              </w:rPr>
            </w:pPr>
          </w:p>
        </w:tc>
      </w:tr>
      <w:tr>
        <w:trPr>
          <w:trHeight w:val="209"/>
        </w:trPr>
        <w:tc>
          <w:tcPr>
            <w:tcW w:w="3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Underwriting and general expenses</w:t>
            </w:r>
          </w:p>
        </w:tc>
        <w:tc>
          <w:tcPr>
            <w:tcW w:w="1220" w:type="dxa"/>
            <w:vAlign w:val="bottom"/>
            <w:gridSpan w:val="3"/>
            <w:shd w:val="clear" w:color="auto" w:fill="CCEEFF"/>
          </w:tcPr>
          <w:p>
            <w:pPr>
              <w:jc w:val="right"/>
              <w:ind w:right="61"/>
              <w:spacing w:after="0"/>
              <w:rPr>
                <w:sz w:val="20"/>
                <w:szCs w:val="20"/>
                <w:color w:val="auto"/>
              </w:rPr>
            </w:pPr>
            <w:r>
              <w:rPr>
                <w:rFonts w:ascii="Arial" w:cs="Arial" w:eastAsia="Arial" w:hAnsi="Arial"/>
                <w:sz w:val="18"/>
                <w:szCs w:val="18"/>
                <w:color w:val="auto"/>
              </w:rPr>
              <w:t>5,768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56"/>
              <w:spacing w:after="0"/>
              <w:rPr>
                <w:sz w:val="20"/>
                <w:szCs w:val="20"/>
                <w:color w:val="auto"/>
              </w:rPr>
            </w:pPr>
            <w:r>
              <w:rPr>
                <w:rFonts w:ascii="Arial" w:cs="Arial" w:eastAsia="Arial" w:hAnsi="Arial"/>
                <w:sz w:val="18"/>
                <w:szCs w:val="18"/>
                <w:color w:val="auto"/>
              </w:rPr>
              <w:t>6,091</w:t>
            </w: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5,973</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(552)</w:t>
            </w:r>
          </w:p>
        </w:tc>
        <w:tc>
          <w:tcPr>
            <w:tcW w:w="2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5,336</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788</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23,404</w:t>
            </w:r>
          </w:p>
        </w:tc>
      </w:tr>
      <w:tr>
        <w:trPr>
          <w:trHeight w:val="209"/>
        </w:trPr>
        <w:tc>
          <w:tcPr>
            <w:tcW w:w="356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Underwriting gain (loss)</w:t>
            </w:r>
          </w:p>
        </w:tc>
        <w:tc>
          <w:tcPr>
            <w:tcW w:w="26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(1,737</w:t>
            </w:r>
          </w:p>
        </w:tc>
        <w:tc>
          <w:tcPr>
            <w:tcW w:w="14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6,399</w:t>
            </w:r>
          </w:p>
        </w:tc>
        <w:tc>
          <w:tcPr>
            <w:tcW w:w="2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705</w:t>
            </w: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(1,165</w:t>
            </w:r>
          </w:p>
        </w:tc>
        <w:tc>
          <w:tcPr>
            <w:tcW w:w="220" w:type="dxa"/>
            <w:vAlign w:val="bottom"/>
            <w:tcBorders>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2,056</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6,054</w:t>
            </w:r>
          </w:p>
        </w:tc>
        <w:tc>
          <w:tcPr>
            <w:tcW w:w="100" w:type="dxa"/>
            <w:vAlign w:val="bottom"/>
            <w:tcBorders>
              <w:bottom w:val="single" w:sz="8" w:color="CCEEFF"/>
            </w:tcBorders>
          </w:tcPr>
          <w:p>
            <w:pPr>
              <w:spacing w:after="0"/>
              <w:rPr>
                <w:sz w:val="18"/>
                <w:szCs w:val="18"/>
                <w:color w:val="auto"/>
              </w:rPr>
            </w:pPr>
          </w:p>
        </w:tc>
      </w:tr>
      <w:tr>
        <w:trPr>
          <w:trHeight w:val="209"/>
        </w:trPr>
        <w:tc>
          <w:tcPr>
            <w:tcW w:w="3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Fee and other income</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56"/>
              <w:spacing w:after="0"/>
              <w:rPr>
                <w:sz w:val="20"/>
                <w:szCs w:val="20"/>
                <w:color w:val="auto"/>
              </w:rPr>
            </w:pPr>
            <w:r>
              <w:rPr>
                <w:rFonts w:ascii="Arial" w:cs="Arial" w:eastAsia="Arial" w:hAnsi="Arial"/>
                <w:sz w:val="18"/>
                <w:szCs w:val="18"/>
                <w:color w:val="auto"/>
              </w:rPr>
              <w:t>388</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428</w:t>
            </w:r>
          </w:p>
        </w:tc>
      </w:tr>
      <w:tr>
        <w:trPr>
          <w:trHeight w:val="209"/>
        </w:trPr>
        <w:tc>
          <w:tcPr>
            <w:tcW w:w="35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233" w:right="339" w:bottom="1440" w:gutter="0" w:footer="0" w:header="0"/>
        </w:sectPr>
      </w:pPr>
    </w:p>
    <w:p>
      <w:pPr>
        <w:spacing w:after="0"/>
        <w:rPr>
          <w:sz w:val="20"/>
          <w:szCs w:val="20"/>
          <w:color w:val="auto"/>
        </w:rPr>
      </w:pPr>
      <w:r>
        <w:rPr>
          <w:rFonts w:ascii="Arial" w:cs="Arial" w:eastAsia="Arial" w:hAnsi="Arial"/>
          <w:sz w:val="18"/>
          <w:szCs w:val="18"/>
          <w:color w:val="auto"/>
        </w:rPr>
        <w:t>Net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Net investment gains (losses)</w:t>
      </w:r>
    </w:p>
    <w:p>
      <w:pPr>
        <w:spacing w:after="0" w:line="2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Income (loss)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 (benefit)</w:t>
      </w:r>
    </w:p>
    <w:p>
      <w:pPr>
        <w:spacing w:after="0" w:line="2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825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28257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Net income (loss) attributable to non-controlling</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interest</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Net income (loss) attributable to NI Holdings,</w:t>
      </w:r>
    </w:p>
    <w:p>
      <w:pPr>
        <w:spacing w:after="0" w:line="4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Inc.</w:t>
      </w:r>
    </w:p>
    <w:p>
      <w:pPr>
        <w:spacing w:after="0" w:line="20" w:lineRule="exact"/>
        <w:rPr>
          <w:sz w:val="20"/>
          <w:szCs w:val="20"/>
          <w:color w:val="auto"/>
        </w:rPr>
      </w:pPr>
      <w:r>
        <w:rPr>
          <w:sz w:val="20"/>
          <w:szCs w:val="20"/>
          <w:color w:val="auto"/>
        </w:rPr>
        <w:br w:type="column"/>
      </w:r>
    </w:p>
    <w:p>
      <w:pPr>
        <w:jc w:val="right"/>
        <w:ind w:right="100"/>
        <w:spacing w:after="0"/>
        <w:rPr>
          <w:sz w:val="20"/>
          <w:szCs w:val="20"/>
          <w:color w:val="auto"/>
        </w:rPr>
      </w:pPr>
      <w:r>
        <w:rPr>
          <w:rFonts w:ascii="Arial" w:cs="Arial" w:eastAsia="Arial" w:hAnsi="Arial"/>
          <w:sz w:val="18"/>
          <w:szCs w:val="18"/>
          <w:color w:val="auto"/>
        </w:rPr>
        <w:t>1,653</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(5,528)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48831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2,607</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568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48831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2,039</w:t>
      </w:r>
    </w:p>
    <w:p>
      <w:pPr>
        <w:spacing w:after="0" w:line="23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48831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88315" cy="8890"/>
                    </a:xfrm>
                    <a:prstGeom prst="rect">
                      <a:avLst/>
                    </a:prstGeom>
                    <a:noFill/>
                  </pic:spPr>
                </pic:pic>
              </a:graphicData>
            </a:graphic>
          </wp:anchor>
        </w:drawing>
      </w:r>
    </w:p>
    <w:p>
      <w:pPr>
        <w:spacing w:after="0" w:line="232" w:lineRule="exact"/>
        <w:rPr>
          <w:sz w:val="20"/>
          <w:szCs w:val="20"/>
          <w:color w:val="auto"/>
        </w:rPr>
      </w:pPr>
    </w:p>
    <w:p>
      <w:pPr>
        <w:ind w:left="360" w:hanging="358"/>
        <w:spacing w:after="0"/>
        <w:tabs>
          <w:tab w:leader="none" w:pos="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1,909</w:t>
      </w:r>
    </w:p>
    <w:p>
      <w:pPr>
        <w:spacing w:after="0" w:line="23" w:lineRule="exact"/>
        <w:rPr>
          <w:sz w:val="20"/>
          <w:szCs w:val="20"/>
          <w:color w:val="auto"/>
        </w:rPr>
      </w:pPr>
    </w:p>
    <w:p>
      <w:pPr>
        <w:sectPr>
          <w:pgSz w:w="11900" w:h="16838" w:orient="portrait"/>
          <w:cols w:equalWidth="0" w:num="2">
            <w:col w:w="9640" w:space="720"/>
            <w:col w:w="880"/>
          </w:cols>
          <w:pgMar w:left="320" w:top="233" w:right="339" w:bottom="1440" w:gutter="0" w:footer="0" w:header="0"/>
          <w:type w:val="continuous"/>
        </w:sectPr>
      </w:pPr>
    </w:p>
    <w:tbl>
      <w:tblPr>
        <w:tblLayout w:type="fixed"/>
        <w:tblInd w:w="0" w:type="dxa"/>
        <w:tblCellMar>
          <w:top w:w="0" w:type="dxa"/>
          <w:left w:w="0" w:type="dxa"/>
          <w:bottom w:w="0" w:type="dxa"/>
          <w:right w:w="0" w:type="dxa"/>
        </w:tblCellMar>
      </w:tblPr>
      <w:tr>
        <w:trPr>
          <w:trHeight w:val="236"/>
        </w:trPr>
        <w:tc>
          <w:tcPr>
            <w:tcW w:w="3740" w:type="dxa"/>
            <w:vAlign w:val="bottom"/>
            <w:tcBorders>
              <w:top w:val="single" w:sz="8" w:color="CCEEFF"/>
            </w:tcBorders>
            <w:shd w:val="clear" w:color="auto" w:fill="CCEEFF"/>
          </w:tcPr>
          <w:p>
            <w:pPr>
              <w:spacing w:after="0"/>
              <w:rPr>
                <w:sz w:val="20"/>
                <w:szCs w:val="20"/>
                <w:color w:val="auto"/>
              </w:rPr>
            </w:pPr>
          </w:p>
        </w:tc>
        <w:tc>
          <w:tcPr>
            <w:tcW w:w="1000" w:type="dxa"/>
            <w:vAlign w:val="bottom"/>
            <w:tcBorders>
              <w:top w:val="single" w:sz="8" w:color="CCEEFF"/>
            </w:tcBorders>
            <w:shd w:val="clear" w:color="auto" w:fill="CCEEFF"/>
          </w:tcPr>
          <w:p>
            <w:pPr>
              <w:spacing w:after="0"/>
              <w:rPr>
                <w:sz w:val="20"/>
                <w:szCs w:val="20"/>
                <w:color w:val="auto"/>
              </w:rPr>
            </w:pPr>
          </w:p>
        </w:tc>
        <w:tc>
          <w:tcPr>
            <w:tcW w:w="440" w:type="dxa"/>
            <w:vAlign w:val="bottom"/>
            <w:tcBorders>
              <w:top w:val="single" w:sz="8" w:color="CCEEFF"/>
            </w:tcBorders>
            <w:shd w:val="clear" w:color="auto" w:fill="CCEEFF"/>
          </w:tcPr>
          <w:p>
            <w:pPr>
              <w:spacing w:after="0"/>
              <w:rPr>
                <w:sz w:val="20"/>
                <w:szCs w:val="20"/>
                <w:color w:val="auto"/>
              </w:rPr>
            </w:pPr>
          </w:p>
        </w:tc>
        <w:tc>
          <w:tcPr>
            <w:tcW w:w="92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CCEEFF"/>
            </w:tcBorders>
            <w:shd w:val="clear" w:color="auto" w:fill="CCEEFF"/>
          </w:tcPr>
          <w:p>
            <w:pPr>
              <w:spacing w:after="0"/>
              <w:rPr>
                <w:sz w:val="20"/>
                <w:szCs w:val="20"/>
                <w:color w:val="auto"/>
              </w:rPr>
            </w:pPr>
          </w:p>
        </w:tc>
        <w:tc>
          <w:tcPr>
            <w:tcW w:w="74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CCEEFF"/>
            </w:tcBorders>
            <w:shd w:val="clear" w:color="auto" w:fill="CCEEFF"/>
          </w:tcPr>
          <w:p>
            <w:pPr>
              <w:spacing w:after="0"/>
              <w:rPr>
                <w:sz w:val="20"/>
                <w:szCs w:val="20"/>
                <w:color w:val="auto"/>
              </w:rPr>
            </w:pPr>
          </w:p>
        </w:tc>
        <w:tc>
          <w:tcPr>
            <w:tcW w:w="980" w:type="dxa"/>
            <w:vAlign w:val="bottom"/>
            <w:tcBorders>
              <w:top w:val="single" w:sz="8" w:color="CCEEFF"/>
            </w:tcBorders>
            <w:shd w:val="clear" w:color="auto" w:fill="CCEEFF"/>
          </w:tcPr>
          <w:p>
            <w:pPr>
              <w:spacing w:after="0"/>
              <w:rPr>
                <w:sz w:val="20"/>
                <w:szCs w:val="20"/>
                <w:color w:val="auto"/>
              </w:rPr>
            </w:pPr>
          </w:p>
        </w:tc>
        <w:tc>
          <w:tcPr>
            <w:tcW w:w="80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CCEEFF"/>
            </w:tcBorders>
            <w:shd w:val="clear" w:color="auto" w:fill="CCEEFF"/>
          </w:tcPr>
          <w:p>
            <w:pPr>
              <w:spacing w:after="0"/>
              <w:rPr>
                <w:sz w:val="20"/>
                <w:szCs w:val="20"/>
                <w:color w:val="auto"/>
              </w:rPr>
            </w:pPr>
          </w:p>
        </w:tc>
        <w:tc>
          <w:tcPr>
            <w:tcW w:w="6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7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Operating Ratios:</w:t>
            </w: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Loss and loss adjustment expense ratio</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78.5%</w:t>
            </w: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59.1%</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35.6%</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n/a</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70.6%</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7.7%</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57.7%</w:t>
            </w:r>
          </w:p>
        </w:tc>
      </w:tr>
      <w:tr>
        <w:trPr>
          <w:trHeight w:val="216"/>
        </w:trPr>
        <w:tc>
          <w:tcPr>
            <w:tcW w:w="3740" w:type="dxa"/>
            <w:vAlign w:val="bottom"/>
          </w:tcPr>
          <w:p>
            <w:pPr>
              <w:ind w:left="260"/>
              <w:spacing w:after="0"/>
              <w:rPr>
                <w:sz w:val="20"/>
                <w:szCs w:val="20"/>
                <w:color w:val="auto"/>
              </w:rPr>
            </w:pPr>
            <w:r>
              <w:rPr>
                <w:rFonts w:ascii="Arial" w:cs="Arial" w:eastAsia="Arial" w:hAnsi="Arial"/>
                <w:sz w:val="18"/>
                <w:szCs w:val="18"/>
                <w:color w:val="auto"/>
              </w:rPr>
              <w:t>Expense ratio</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30.8%</w:t>
            </w:r>
          </w:p>
        </w:tc>
        <w:tc>
          <w:tcPr>
            <w:tcW w:w="44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42.4%</w:t>
            </w:r>
          </w:p>
        </w:tc>
        <w:tc>
          <w:tcPr>
            <w:tcW w:w="32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31.1%</w:t>
            </w:r>
          </w:p>
        </w:tc>
        <w:tc>
          <w:tcPr>
            <w:tcW w:w="320" w:type="dxa"/>
            <w:vAlign w:val="bottom"/>
          </w:tcPr>
          <w:p>
            <w:pPr>
              <w:spacing w:after="0"/>
              <w:rPr>
                <w:sz w:val="18"/>
                <w:szCs w:val="18"/>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color w:val="auto"/>
              </w:rPr>
              <w:t>n/a</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37.6%</w:t>
            </w:r>
          </w:p>
        </w:tc>
        <w:tc>
          <w:tcPr>
            <w:tcW w:w="32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25.6%</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33.6%</w:t>
            </w:r>
          </w:p>
        </w:tc>
      </w:tr>
      <w:tr>
        <w:trPr>
          <w:trHeight w:val="216"/>
        </w:trPr>
        <w:tc>
          <w:tcPr>
            <w:tcW w:w="37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Combined ratio</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109.3%</w:t>
            </w: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101.4%</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66.7%</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n/a</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108.2%</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33.2%</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91.3%</w:t>
            </w:r>
          </w:p>
        </w:tc>
      </w:tr>
      <w:tr>
        <w:trPr>
          <w:trHeight w:val="216"/>
        </w:trPr>
        <w:tc>
          <w:tcPr>
            <w:tcW w:w="37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Balances at March 31, 2022:</w:t>
            </w: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Premiums and agents’ balances receivable</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   19,627</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12,098</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8,991</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   $</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13,442</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722</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54,880</w:t>
            </w:r>
          </w:p>
        </w:tc>
      </w:tr>
      <w:tr>
        <w:trPr>
          <w:trHeight w:val="216"/>
        </w:trPr>
        <w:tc>
          <w:tcPr>
            <w:tcW w:w="3740" w:type="dxa"/>
            <w:vAlign w:val="bottom"/>
          </w:tcPr>
          <w:p>
            <w:pPr>
              <w:ind w:left="260"/>
              <w:spacing w:after="0"/>
              <w:rPr>
                <w:sz w:val="20"/>
                <w:szCs w:val="20"/>
                <w:color w:val="auto"/>
              </w:rPr>
            </w:pPr>
            <w:r>
              <w:rPr>
                <w:rFonts w:ascii="Arial" w:cs="Arial" w:eastAsia="Arial" w:hAnsi="Arial"/>
                <w:sz w:val="18"/>
                <w:szCs w:val="18"/>
                <w:color w:val="auto"/>
              </w:rPr>
              <w:t>Deferred policy acquisition costs</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5,076</w:t>
            </w:r>
          </w:p>
        </w:tc>
        <w:tc>
          <w:tcPr>
            <w:tcW w:w="44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7,126</w:t>
            </w:r>
          </w:p>
        </w:tc>
        <w:tc>
          <w:tcPr>
            <w:tcW w:w="32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7,246</w:t>
            </w:r>
          </w:p>
        </w:tc>
        <w:tc>
          <w:tcPr>
            <w:tcW w:w="320" w:type="dxa"/>
            <w:vAlign w:val="bottom"/>
          </w:tcPr>
          <w:p>
            <w:pPr>
              <w:spacing w:after="0"/>
              <w:rPr>
                <w:sz w:val="18"/>
                <w:szCs w:val="18"/>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6,392</w:t>
            </w:r>
          </w:p>
        </w:tc>
        <w:tc>
          <w:tcPr>
            <w:tcW w:w="32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432</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26,272</w:t>
            </w:r>
          </w:p>
        </w:tc>
      </w:tr>
      <w:tr>
        <w:trPr>
          <w:trHeight w:val="216"/>
        </w:trPr>
        <w:tc>
          <w:tcPr>
            <w:tcW w:w="37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Reinsurance recoverables on losses</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817</w:t>
            </w: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3,559</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75</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14,184</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727</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19,362</w:t>
            </w:r>
          </w:p>
        </w:tc>
      </w:tr>
      <w:tr>
        <w:trPr>
          <w:trHeight w:val="216"/>
        </w:trPr>
        <w:tc>
          <w:tcPr>
            <w:tcW w:w="3740" w:type="dxa"/>
            <w:vAlign w:val="bottom"/>
          </w:tcPr>
          <w:p>
            <w:pPr>
              <w:ind w:left="260"/>
              <w:spacing w:after="0"/>
              <w:rPr>
                <w:sz w:val="20"/>
                <w:szCs w:val="20"/>
                <w:color w:val="auto"/>
              </w:rPr>
            </w:pPr>
            <w:r>
              <w:rPr>
                <w:rFonts w:ascii="Arial" w:cs="Arial" w:eastAsia="Arial" w:hAnsi="Arial"/>
                <w:sz w:val="18"/>
                <w:szCs w:val="18"/>
                <w:color w:val="auto"/>
              </w:rPr>
              <w:t>Goodwill and other intangibles</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2,798</w:t>
            </w:r>
          </w:p>
        </w:tc>
        <w:tc>
          <w:tcPr>
            <w:tcW w:w="32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14,806</w:t>
            </w:r>
          </w:p>
        </w:tc>
        <w:tc>
          <w:tcPr>
            <w:tcW w:w="32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17,604</w:t>
            </w:r>
          </w:p>
        </w:tc>
      </w:tr>
      <w:tr>
        <w:trPr>
          <w:trHeight w:val="216"/>
        </w:trPr>
        <w:tc>
          <w:tcPr>
            <w:tcW w:w="37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6"/>
              </w:rPr>
              <w:t>Unpaid losses and loss adjustment expenses</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26,340</w:t>
            </w: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41,948</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17,130</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421</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38,640</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9,215</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133,694</w:t>
            </w:r>
          </w:p>
        </w:tc>
      </w:tr>
      <w:tr>
        <w:trPr>
          <w:trHeight w:val="216"/>
        </w:trPr>
        <w:tc>
          <w:tcPr>
            <w:tcW w:w="3740" w:type="dxa"/>
            <w:vAlign w:val="bottom"/>
          </w:tcPr>
          <w:p>
            <w:pPr>
              <w:ind w:left="260"/>
              <w:spacing w:after="0"/>
              <w:rPr>
                <w:sz w:val="20"/>
                <w:szCs w:val="20"/>
                <w:color w:val="auto"/>
              </w:rPr>
            </w:pPr>
            <w:r>
              <w:rPr>
                <w:rFonts w:ascii="Arial" w:cs="Arial" w:eastAsia="Arial" w:hAnsi="Arial"/>
                <w:sz w:val="18"/>
                <w:szCs w:val="18"/>
                <w:color w:val="auto"/>
              </w:rPr>
              <w:t>Unearned premiums</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29,573</w:t>
            </w:r>
          </w:p>
        </w:tc>
        <w:tc>
          <w:tcPr>
            <w:tcW w:w="44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20,933</w:t>
            </w:r>
          </w:p>
        </w:tc>
        <w:tc>
          <w:tcPr>
            <w:tcW w:w="32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42,307</w:t>
            </w:r>
          </w:p>
        </w:tc>
        <w:tc>
          <w:tcPr>
            <w:tcW w:w="320" w:type="dxa"/>
            <w:vAlign w:val="bottom"/>
          </w:tcPr>
          <w:p>
            <w:pPr>
              <w:spacing w:after="0"/>
              <w:rPr>
                <w:sz w:val="18"/>
                <w:szCs w:val="18"/>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34,181</w:t>
            </w:r>
          </w:p>
        </w:tc>
        <w:tc>
          <w:tcPr>
            <w:tcW w:w="32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3,281</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130,275</w:t>
            </w:r>
          </w:p>
        </w:tc>
      </w:tr>
      <w:tr>
        <w:trPr>
          <w:trHeight w:val="216"/>
        </w:trPr>
        <w:tc>
          <w:tcPr>
            <w:tcW w:w="37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1"/>
              </w:rPr>
              <w:t>Payable to Federal Crop Insurance Corporation</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7,059</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7,059</w:t>
            </w:r>
          </w:p>
        </w:tc>
      </w:tr>
      <w:tr>
        <w:trPr>
          <w:trHeight w:val="804"/>
        </w:trPr>
        <w:tc>
          <w:tcPr>
            <w:tcW w:w="37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29</w:t>
            </w:r>
          </w:p>
        </w:tc>
        <w:tc>
          <w:tcPr>
            <w:tcW w:w="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33" w:right="3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 Management’s Discussion and Analysis of Financial Condition and Results of Operations</w:t>
      </w:r>
    </w:p>
    <w:p>
      <w:pPr>
        <w:spacing w:after="0" w:line="22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following discussion is intended to provide a more comprehensive review of our operating results and financial condition than can be obtained from reading the unaudited consolidated financial statements alone. This discussion should be read in conjunction with the unaudited consolidated financial statements and the notes thereto included in Part I, Item 1, “Financial Statements.” Some of the information contained in this discussion and analysis or set forth elsewhere in this Form 10-Q constitutes forward-looking statements that involve risks and uncertainties. Please see “Forward-Looking Statements” included elsewhere in this Form 10-Q. Part I, Item 1A, “Risk Factors” included in our 2022 Annual Report should also be reviewed for a discussion of important factors that could cause actual results to differ materially from the results described, or implied by, the forward-looking statements contained herein.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All dollar amounts included in Item 2 herein are in thousands.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Our consolidated net loss was $4,500 for the three months ended March 31, 2023, compared to net income of $2,039 for the three months ended March 31, 2022.</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The major components of revenues and net income (loss) are shown below:</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00" w:type="dxa"/>
            <w:vAlign w:val="bottom"/>
            <w:gridSpan w:val="6"/>
          </w:tcPr>
          <w:p>
            <w:pPr>
              <w:jc w:val="right"/>
              <w:ind w:right="220"/>
              <w:spacing w:after="0"/>
              <w:rPr>
                <w:sz w:val="20"/>
                <w:szCs w:val="20"/>
                <w:color w:val="auto"/>
              </w:rPr>
            </w:pPr>
            <w:r>
              <w:rPr>
                <w:rFonts w:ascii="Arial" w:cs="Arial" w:eastAsia="Arial" w:hAnsi="Arial"/>
                <w:sz w:val="18"/>
                <w:szCs w:val="18"/>
                <w:b w:val="1"/>
                <w:bCs w:val="1"/>
                <w:color w:val="auto"/>
                <w:w w:val="92"/>
              </w:rPr>
              <w:t>Three Months Ended March 31,</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0"/>
              <w:spacing w:after="0"/>
              <w:rPr>
                <w:sz w:val="20"/>
                <w:szCs w:val="20"/>
                <w:color w:val="auto"/>
              </w:rPr>
            </w:pPr>
            <w:r>
              <w:rPr>
                <w:rFonts w:ascii="Arial" w:cs="Arial" w:eastAsia="Arial" w:hAnsi="Arial"/>
                <w:sz w:val="18"/>
                <w:szCs w:val="18"/>
                <w:color w:val="auto"/>
              </w:rPr>
              <w:t>Net premiums earned</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1"/>
              <w:spacing w:after="0"/>
              <w:rPr>
                <w:sz w:val="20"/>
                <w:szCs w:val="20"/>
                <w:color w:val="auto"/>
              </w:rPr>
            </w:pPr>
            <w:r>
              <w:rPr>
                <w:rFonts w:ascii="Arial" w:cs="Arial" w:eastAsia="Arial" w:hAnsi="Arial"/>
                <w:sz w:val="18"/>
                <w:szCs w:val="18"/>
                <w:color w:val="auto"/>
              </w:rPr>
              <w:t>77,627</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69,587</w:t>
            </w: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Fee and other income</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274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16"/>
        </w:trPr>
        <w:tc>
          <w:tcPr>
            <w:tcW w:w="7720" w:type="dxa"/>
            <w:vAlign w:val="bottom"/>
          </w:tcPr>
          <w:p>
            <w:pPr>
              <w:ind w:left="200"/>
              <w:spacing w:after="0"/>
              <w:rPr>
                <w:sz w:val="20"/>
                <w:szCs w:val="20"/>
                <w:color w:val="auto"/>
              </w:rPr>
            </w:pPr>
            <w:r>
              <w:rPr>
                <w:rFonts w:ascii="Arial" w:cs="Arial" w:eastAsia="Arial" w:hAnsi="Arial"/>
                <w:sz w:val="18"/>
                <w:szCs w:val="18"/>
                <w:color w:val="auto"/>
              </w:rPr>
              <w:t>Net investment income</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1"/>
              <w:spacing w:after="0"/>
              <w:rPr>
                <w:sz w:val="20"/>
                <w:szCs w:val="20"/>
                <w:color w:val="auto"/>
              </w:rPr>
            </w:pPr>
            <w:r>
              <w:rPr>
                <w:rFonts w:ascii="Arial" w:cs="Arial" w:eastAsia="Arial" w:hAnsi="Arial"/>
                <w:sz w:val="18"/>
                <w:szCs w:val="18"/>
                <w:color w:val="auto"/>
              </w:rPr>
              <w:t>2,239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1,653</w:t>
            </w: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investment gains (losses)</w:t>
            </w: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1,416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(5,528)</w:t>
            </w:r>
          </w:p>
        </w:tc>
        <w:tc>
          <w:tcPr>
            <w:tcW w:w="0" w:type="dxa"/>
            <w:vAlign w:val="bottom"/>
          </w:tcPr>
          <w:p>
            <w:pPr>
              <w:spacing w:after="0"/>
              <w:rPr>
                <w:sz w:val="1"/>
                <w:szCs w:val="1"/>
                <w:color w:val="auto"/>
              </w:rPr>
            </w:pPr>
          </w:p>
        </w:tc>
      </w:tr>
      <w:tr>
        <w:trPr>
          <w:trHeight w:val="210"/>
        </w:trPr>
        <w:tc>
          <w:tcPr>
            <w:tcW w:w="772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Total revenues</w:t>
            </w:r>
          </w:p>
        </w:tc>
        <w:tc>
          <w:tcPr>
            <w:tcW w:w="7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81,556</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66,140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Components of net income (loss):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premiums earned</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77,627</w:t>
            </w: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69,587</w:t>
            </w:r>
          </w:p>
        </w:tc>
        <w:tc>
          <w:tcPr>
            <w:tcW w:w="0" w:type="dxa"/>
            <w:vAlign w:val="bottom"/>
          </w:tcPr>
          <w:p>
            <w:pPr>
              <w:spacing w:after="0"/>
              <w:rPr>
                <w:sz w:val="1"/>
                <w:szCs w:val="1"/>
                <w:color w:val="auto"/>
              </w:rPr>
            </w:pPr>
          </w:p>
        </w:tc>
      </w:tr>
      <w:tr>
        <w:trPr>
          <w:trHeight w:val="216"/>
        </w:trPr>
        <w:tc>
          <w:tcPr>
            <w:tcW w:w="7720" w:type="dxa"/>
            <w:vAlign w:val="bottom"/>
          </w:tcPr>
          <w:p>
            <w:pPr>
              <w:ind w:left="200"/>
              <w:spacing w:after="0"/>
              <w:rPr>
                <w:sz w:val="20"/>
                <w:szCs w:val="20"/>
                <w:color w:val="auto"/>
              </w:rPr>
            </w:pPr>
            <w:r>
              <w:rPr>
                <w:rFonts w:ascii="Arial" w:cs="Arial" w:eastAsia="Arial" w:hAnsi="Arial"/>
                <w:sz w:val="18"/>
                <w:szCs w:val="18"/>
                <w:color w:val="auto"/>
              </w:rPr>
              <w:t>Losses and loss adjustment expenses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1"/>
              <w:spacing w:after="0"/>
              <w:rPr>
                <w:sz w:val="20"/>
                <w:szCs w:val="20"/>
                <w:color w:val="auto"/>
              </w:rPr>
            </w:pPr>
            <w:r>
              <w:rPr>
                <w:rFonts w:ascii="Arial" w:cs="Arial" w:eastAsia="Arial" w:hAnsi="Arial"/>
                <w:sz w:val="18"/>
                <w:szCs w:val="18"/>
                <w:color w:val="auto"/>
              </w:rPr>
              <w:t>58,825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40,129</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 deferred policy acquisition costs and other underwriting and general expenses</w:t>
            </w: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28,244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23,404</w:t>
            </w:r>
          </w:p>
        </w:tc>
        <w:tc>
          <w:tcPr>
            <w:tcW w:w="0" w:type="dxa"/>
            <w:vAlign w:val="bottom"/>
          </w:tcPr>
          <w:p>
            <w:pPr>
              <w:spacing w:after="0"/>
              <w:rPr>
                <w:sz w:val="1"/>
                <w:szCs w:val="1"/>
                <w:color w:val="auto"/>
              </w:rPr>
            </w:pPr>
          </w:p>
        </w:tc>
      </w:tr>
      <w:tr>
        <w:trPr>
          <w:trHeight w:val="210"/>
        </w:trPr>
        <w:tc>
          <w:tcPr>
            <w:tcW w:w="772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Underwriting gain (loss)</w:t>
            </w:r>
          </w:p>
        </w:tc>
        <w:tc>
          <w:tcPr>
            <w:tcW w:w="7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(9,442</w:t>
            </w:r>
          </w:p>
        </w:tc>
        <w:tc>
          <w:tcPr>
            <w:tcW w:w="14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6,054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0"/>
              <w:spacing w:after="0"/>
              <w:rPr>
                <w:sz w:val="20"/>
                <w:szCs w:val="20"/>
                <w:color w:val="auto"/>
              </w:rPr>
            </w:pPr>
            <w:r>
              <w:rPr>
                <w:rFonts w:ascii="Arial" w:cs="Arial" w:eastAsia="Arial" w:hAnsi="Arial"/>
                <w:sz w:val="18"/>
                <w:szCs w:val="18"/>
                <w:color w:val="auto"/>
              </w:rPr>
              <w:t>Fee and other income</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1"/>
              <w:spacing w:after="0"/>
              <w:rPr>
                <w:sz w:val="20"/>
                <w:szCs w:val="20"/>
                <w:color w:val="auto"/>
              </w:rPr>
            </w:pPr>
            <w:r>
              <w:rPr>
                <w:rFonts w:ascii="Arial" w:cs="Arial" w:eastAsia="Arial" w:hAnsi="Arial"/>
                <w:sz w:val="18"/>
                <w:szCs w:val="18"/>
                <w:color w:val="auto"/>
              </w:rPr>
              <w:t>274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investment income</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2,239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1,653</w:t>
            </w:r>
          </w:p>
        </w:tc>
        <w:tc>
          <w:tcPr>
            <w:tcW w:w="0" w:type="dxa"/>
            <w:vAlign w:val="bottom"/>
          </w:tcPr>
          <w:p>
            <w:pPr>
              <w:spacing w:after="0"/>
              <w:rPr>
                <w:sz w:val="1"/>
                <w:szCs w:val="1"/>
                <w:color w:val="auto"/>
              </w:rPr>
            </w:pPr>
          </w:p>
        </w:tc>
      </w:tr>
      <w:tr>
        <w:trPr>
          <w:trHeight w:val="229"/>
        </w:trPr>
        <w:tc>
          <w:tcPr>
            <w:tcW w:w="7720" w:type="dxa"/>
            <w:vAlign w:val="bottom"/>
          </w:tcPr>
          <w:p>
            <w:pPr>
              <w:ind w:left="200"/>
              <w:spacing w:after="0"/>
              <w:rPr>
                <w:sz w:val="20"/>
                <w:szCs w:val="20"/>
                <w:color w:val="auto"/>
              </w:rPr>
            </w:pPr>
            <w:r>
              <w:rPr>
                <w:rFonts w:ascii="Arial" w:cs="Arial" w:eastAsia="Arial" w:hAnsi="Arial"/>
                <w:sz w:val="18"/>
                <w:szCs w:val="18"/>
                <w:color w:val="auto"/>
              </w:rPr>
              <w:t>Net investment gains (losses)</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61"/>
              <w:spacing w:after="0"/>
              <w:rPr>
                <w:sz w:val="20"/>
                <w:szCs w:val="20"/>
                <w:color w:val="auto"/>
              </w:rPr>
            </w:pPr>
            <w:r>
              <w:rPr>
                <w:rFonts w:ascii="Arial" w:cs="Arial" w:eastAsia="Arial" w:hAnsi="Arial"/>
                <w:sz w:val="18"/>
                <w:szCs w:val="18"/>
                <w:color w:val="auto"/>
              </w:rPr>
              <w:t>1,416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(5,528)</w:t>
            </w:r>
          </w:p>
        </w:tc>
        <w:tc>
          <w:tcPr>
            <w:tcW w:w="0" w:type="dxa"/>
            <w:vAlign w:val="bottom"/>
          </w:tcPr>
          <w:p>
            <w:pPr>
              <w:spacing w:after="0"/>
              <w:rPr>
                <w:sz w:val="1"/>
                <w:szCs w:val="1"/>
                <w:color w:val="auto"/>
              </w:rPr>
            </w:pPr>
          </w:p>
        </w:tc>
      </w:tr>
      <w:tr>
        <w:trPr>
          <w:trHeight w:val="210"/>
        </w:trPr>
        <w:tc>
          <w:tcPr>
            <w:tcW w:w="7720" w:type="dxa"/>
            <w:vAlign w:val="bottom"/>
            <w:tcBorders>
              <w:top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Income (loss) before income taxes</w:t>
            </w:r>
          </w:p>
        </w:tc>
        <w:tc>
          <w:tcPr>
            <w:tcW w:w="7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00"/>
              <w:spacing w:after="0"/>
              <w:rPr>
                <w:sz w:val="20"/>
                <w:szCs w:val="20"/>
                <w:color w:val="auto"/>
              </w:rPr>
            </w:pPr>
            <w:r>
              <w:rPr>
                <w:rFonts w:ascii="Arial" w:cs="Arial" w:eastAsia="Arial" w:hAnsi="Arial"/>
                <w:sz w:val="18"/>
                <w:szCs w:val="18"/>
                <w:color w:val="auto"/>
              </w:rPr>
              <w:t>Income tax expense (benefit)</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
              <w:spacing w:after="0"/>
              <w:rPr>
                <w:sz w:val="20"/>
                <w:szCs w:val="20"/>
                <w:color w:val="auto"/>
              </w:rPr>
            </w:pPr>
            <w:r>
              <w:rPr>
                <w:rFonts w:ascii="Arial" w:cs="Arial" w:eastAsia="Arial" w:hAnsi="Arial"/>
                <w:sz w:val="18"/>
                <w:szCs w:val="18"/>
                <w:color w:val="auto"/>
              </w:rPr>
              <w:t>(1,013)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23"/>
        </w:trPr>
        <w:tc>
          <w:tcPr>
            <w:tcW w:w="7720" w:type="dxa"/>
            <w:vAlign w:val="bottom"/>
            <w:tcBorders>
              <w:top w:val="single" w:sz="8" w:color="CCEEFF"/>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Net income (loss)</w:t>
            </w:r>
          </w:p>
        </w:tc>
        <w:tc>
          <w:tcPr>
            <w:tcW w:w="7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Net Premiums Earned</w:t>
            </w:r>
          </w:p>
        </w:tc>
        <w:tc>
          <w:tcPr>
            <w:tcW w:w="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4"/>
        </w:trPr>
        <w:tc>
          <w:tcPr>
            <w:tcW w:w="772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00" w:type="dxa"/>
            <w:vAlign w:val="bottom"/>
            <w:gridSpan w:val="6"/>
          </w:tcPr>
          <w:p>
            <w:pPr>
              <w:jc w:val="right"/>
              <w:ind w:right="220"/>
              <w:spacing w:after="0"/>
              <w:rPr>
                <w:sz w:val="20"/>
                <w:szCs w:val="20"/>
                <w:color w:val="auto"/>
              </w:rPr>
            </w:pPr>
            <w:r>
              <w:rPr>
                <w:rFonts w:ascii="Arial" w:cs="Arial" w:eastAsia="Arial" w:hAnsi="Arial"/>
                <w:sz w:val="18"/>
                <w:szCs w:val="18"/>
                <w:b w:val="1"/>
                <w:bCs w:val="1"/>
                <w:color w:val="auto"/>
                <w:w w:val="92"/>
              </w:rPr>
              <w:t>Three Months Ended March 31,</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Net premiums earned:</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0"/>
              <w:spacing w:after="0"/>
              <w:rPr>
                <w:sz w:val="20"/>
                <w:szCs w:val="20"/>
                <w:color w:val="auto"/>
              </w:rPr>
            </w:pPr>
            <w:r>
              <w:rPr>
                <w:rFonts w:ascii="Arial" w:cs="Arial" w:eastAsia="Arial" w:hAnsi="Arial"/>
                <w:sz w:val="18"/>
                <w:szCs w:val="18"/>
                <w:color w:val="auto"/>
              </w:rPr>
              <w:t>Direct premium</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1"/>
              <w:spacing w:after="0"/>
              <w:rPr>
                <w:sz w:val="20"/>
                <w:szCs w:val="20"/>
                <w:color w:val="auto"/>
              </w:rPr>
            </w:pPr>
            <w:r>
              <w:rPr>
                <w:rFonts w:ascii="Arial" w:cs="Arial" w:eastAsia="Arial" w:hAnsi="Arial"/>
                <w:sz w:val="18"/>
                <w:szCs w:val="18"/>
                <w:color w:val="auto"/>
              </w:rPr>
              <w:t>85,474</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73,399</w:t>
            </w: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Assumed premium</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576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1,861</w:t>
            </w:r>
          </w:p>
        </w:tc>
        <w:tc>
          <w:tcPr>
            <w:tcW w:w="0" w:type="dxa"/>
            <w:vAlign w:val="bottom"/>
          </w:tcPr>
          <w:p>
            <w:pPr>
              <w:spacing w:after="0"/>
              <w:rPr>
                <w:sz w:val="1"/>
                <w:szCs w:val="1"/>
                <w:color w:val="auto"/>
              </w:rPr>
            </w:pPr>
          </w:p>
        </w:tc>
      </w:tr>
      <w:tr>
        <w:trPr>
          <w:trHeight w:val="230"/>
        </w:trPr>
        <w:tc>
          <w:tcPr>
            <w:tcW w:w="7720" w:type="dxa"/>
            <w:vAlign w:val="bottom"/>
          </w:tcPr>
          <w:p>
            <w:pPr>
              <w:ind w:left="200"/>
              <w:spacing w:after="0"/>
              <w:rPr>
                <w:sz w:val="20"/>
                <w:szCs w:val="20"/>
                <w:color w:val="auto"/>
              </w:rPr>
            </w:pPr>
            <w:r>
              <w:rPr>
                <w:rFonts w:ascii="Arial" w:cs="Arial" w:eastAsia="Arial" w:hAnsi="Arial"/>
                <w:sz w:val="18"/>
                <w:szCs w:val="18"/>
                <w:color w:val="auto"/>
              </w:rPr>
              <w:t>Ceded premium</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
              <w:spacing w:after="0"/>
              <w:rPr>
                <w:sz w:val="20"/>
                <w:szCs w:val="20"/>
                <w:color w:val="auto"/>
              </w:rPr>
            </w:pPr>
            <w:r>
              <w:rPr>
                <w:rFonts w:ascii="Arial" w:cs="Arial" w:eastAsia="Arial" w:hAnsi="Arial"/>
                <w:sz w:val="18"/>
                <w:szCs w:val="18"/>
                <w:color w:val="auto"/>
              </w:rPr>
              <w:t>(8,423)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(5,673)</w:t>
            </w:r>
          </w:p>
        </w:tc>
        <w:tc>
          <w:tcPr>
            <w:tcW w:w="0" w:type="dxa"/>
            <w:vAlign w:val="bottom"/>
          </w:tcPr>
          <w:p>
            <w:pPr>
              <w:spacing w:after="0"/>
              <w:rPr>
                <w:sz w:val="1"/>
                <w:szCs w:val="1"/>
                <w:color w:val="auto"/>
              </w:rPr>
            </w:pPr>
          </w:p>
        </w:tc>
      </w:tr>
      <w:tr>
        <w:trPr>
          <w:trHeight w:val="223"/>
        </w:trPr>
        <w:tc>
          <w:tcPr>
            <w:tcW w:w="7720" w:type="dxa"/>
            <w:vAlign w:val="bottom"/>
            <w:tcBorders>
              <w:top w:val="single" w:sz="8" w:color="CCEEFF"/>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 net premiums earned</w:t>
            </w:r>
          </w:p>
        </w:tc>
        <w:tc>
          <w:tcPr>
            <w:tcW w:w="7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77,627</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69,587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ind w:left="5520"/>
              <w:spacing w:after="0"/>
              <w:rPr>
                <w:sz w:val="20"/>
                <w:szCs w:val="20"/>
                <w:color w:val="auto"/>
              </w:rPr>
            </w:pPr>
            <w:r>
              <w:rPr>
                <w:rFonts w:ascii="Arial" w:cs="Arial" w:eastAsia="Arial" w:hAnsi="Arial"/>
                <w:sz w:val="18"/>
                <w:szCs w:val="18"/>
                <w:color w:val="auto"/>
              </w:rPr>
              <w:t>30</w:t>
            </w:r>
          </w:p>
        </w:tc>
        <w:tc>
          <w:tcPr>
            <w:tcW w:w="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4"/>
        </w:trPr>
        <w:tc>
          <w:tcPr>
            <w:tcW w:w="7720" w:type="dxa"/>
            <w:vAlign w:val="bottom"/>
            <w:tcBorders>
              <w:bottom w:val="single" w:sz="8" w:color="auto"/>
            </w:tcBorders>
            <w:vMerge w:val="continue"/>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3"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color w:val="auto"/>
        </w:rPr>
        <w:t>Our net premiums earned for the three months ended March 31, 2023, increased $8,040, or 11.6%, compared to the three months ended March 31, 2022.</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gridSpan w:val="7"/>
          </w:tcPr>
          <w:p>
            <w:pPr>
              <w:jc w:val="right"/>
              <w:ind w:right="220"/>
              <w:spacing w:after="0"/>
              <w:rPr>
                <w:sz w:val="20"/>
                <w:szCs w:val="20"/>
                <w:color w:val="auto"/>
              </w:rPr>
            </w:pPr>
            <w:r>
              <w:rPr>
                <w:rFonts w:ascii="Arial" w:cs="Arial" w:eastAsia="Arial" w:hAnsi="Arial"/>
                <w:sz w:val="18"/>
                <w:szCs w:val="18"/>
                <w:b w:val="1"/>
                <w:bCs w:val="1"/>
                <w:color w:val="auto"/>
                <w:w w:val="92"/>
              </w:rPr>
              <w:t>Three Months Ended March 31,</w:t>
            </w:r>
          </w:p>
        </w:tc>
      </w:tr>
      <w:tr>
        <w:trPr>
          <w:trHeight w:val="223"/>
        </w:trPr>
        <w:tc>
          <w:tcPr>
            <w:tcW w:w="5380" w:type="dxa"/>
            <w:vAlign w:val="bottom"/>
            <w:tcBorders>
              <w:bottom w:val="single" w:sz="8" w:color="CCEEFF"/>
            </w:tcBorders>
          </w:tcPr>
          <w:p>
            <w:pPr>
              <w:spacing w:after="0"/>
              <w:rPr>
                <w:sz w:val="19"/>
                <w:szCs w:val="19"/>
                <w:color w:val="auto"/>
              </w:rPr>
            </w:pPr>
          </w:p>
        </w:tc>
        <w:tc>
          <w:tcPr>
            <w:tcW w:w="306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09"/>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Net premiums earned:</w:t>
            </w:r>
          </w:p>
        </w:tc>
        <w:tc>
          <w:tcPr>
            <w:tcW w:w="3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380" w:type="dxa"/>
            <w:vAlign w:val="bottom"/>
          </w:tcPr>
          <w:p>
            <w:pPr>
              <w:ind w:left="200"/>
              <w:spacing w:after="0"/>
              <w:rPr>
                <w:sz w:val="20"/>
                <w:szCs w:val="20"/>
                <w:color w:val="auto"/>
              </w:rPr>
            </w:pPr>
            <w:r>
              <w:rPr>
                <w:rFonts w:ascii="Arial" w:cs="Arial" w:eastAsia="Arial" w:hAnsi="Arial"/>
                <w:sz w:val="18"/>
                <w:szCs w:val="18"/>
                <w:color w:val="auto"/>
              </w:rPr>
              <w:t>Private passenger auto</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19,653</w:t>
            </w:r>
          </w:p>
        </w:tc>
        <w:tc>
          <w:tcPr>
            <w:tcW w:w="260" w:type="dxa"/>
            <w:vAlign w:val="bottom"/>
            <w:gridSpan w:val="2"/>
          </w:tcPr>
          <w:p>
            <w:pPr>
              <w:jc w:val="right"/>
              <w:ind w:right="87"/>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18,742</w:t>
            </w:r>
          </w:p>
        </w:tc>
        <w:tc>
          <w:tcPr>
            <w:tcW w:w="80" w:type="dxa"/>
            <w:vAlign w:val="bottom"/>
          </w:tcPr>
          <w:p>
            <w:pPr>
              <w:spacing w:after="0"/>
              <w:rPr>
                <w:sz w:val="18"/>
                <w:szCs w:val="18"/>
                <w:color w:val="auto"/>
              </w:rPr>
            </w:pPr>
          </w:p>
        </w:tc>
      </w:tr>
      <w:tr>
        <w:trPr>
          <w:trHeight w:val="216"/>
        </w:trPr>
        <w:tc>
          <w:tcPr>
            <w:tcW w:w="5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Non-standard auto</w:t>
            </w:r>
          </w:p>
        </w:tc>
        <w:tc>
          <w:tcPr>
            <w:tcW w:w="3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20,879</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14,378</w:t>
            </w:r>
          </w:p>
        </w:tc>
        <w:tc>
          <w:tcPr>
            <w:tcW w:w="80" w:type="dxa"/>
            <w:vAlign w:val="bottom"/>
            <w:shd w:val="clear" w:color="auto" w:fill="CCEEFF"/>
          </w:tcPr>
          <w:p>
            <w:pPr>
              <w:spacing w:after="0"/>
              <w:rPr>
                <w:sz w:val="18"/>
                <w:szCs w:val="18"/>
                <w:color w:val="auto"/>
              </w:rPr>
            </w:pPr>
          </w:p>
        </w:tc>
      </w:tr>
      <w:tr>
        <w:trPr>
          <w:trHeight w:val="216"/>
        </w:trPr>
        <w:tc>
          <w:tcPr>
            <w:tcW w:w="5380" w:type="dxa"/>
            <w:vAlign w:val="bottom"/>
          </w:tcPr>
          <w:p>
            <w:pPr>
              <w:ind w:left="200"/>
              <w:spacing w:after="0"/>
              <w:rPr>
                <w:sz w:val="20"/>
                <w:szCs w:val="20"/>
                <w:color w:val="auto"/>
              </w:rPr>
            </w:pPr>
            <w:r>
              <w:rPr>
                <w:rFonts w:ascii="Arial" w:cs="Arial" w:eastAsia="Arial" w:hAnsi="Arial"/>
                <w:sz w:val="18"/>
                <w:szCs w:val="18"/>
                <w:color w:val="auto"/>
              </w:rPr>
              <w:t>Home and farm</w:t>
            </w:r>
          </w:p>
        </w:tc>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19,991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19,212</w:t>
            </w:r>
          </w:p>
        </w:tc>
        <w:tc>
          <w:tcPr>
            <w:tcW w:w="80" w:type="dxa"/>
            <w:vAlign w:val="bottom"/>
          </w:tcPr>
          <w:p>
            <w:pPr>
              <w:spacing w:after="0"/>
              <w:rPr>
                <w:sz w:val="18"/>
                <w:szCs w:val="18"/>
                <w:color w:val="auto"/>
              </w:rPr>
            </w:pPr>
          </w:p>
        </w:tc>
      </w:tr>
      <w:tr>
        <w:trPr>
          <w:trHeight w:val="216"/>
        </w:trPr>
        <w:tc>
          <w:tcPr>
            <w:tcW w:w="5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Crop</w:t>
            </w:r>
          </w:p>
        </w:tc>
        <w:tc>
          <w:tcPr>
            <w:tcW w:w="3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(725)</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r>
      <w:tr>
        <w:trPr>
          <w:trHeight w:val="216"/>
        </w:trPr>
        <w:tc>
          <w:tcPr>
            <w:tcW w:w="5380" w:type="dxa"/>
            <w:vAlign w:val="bottom"/>
          </w:tcPr>
          <w:p>
            <w:pPr>
              <w:ind w:left="200"/>
              <w:spacing w:after="0"/>
              <w:rPr>
                <w:sz w:val="20"/>
                <w:szCs w:val="20"/>
                <w:color w:val="auto"/>
              </w:rPr>
            </w:pPr>
            <w:r>
              <w:rPr>
                <w:rFonts w:ascii="Arial" w:cs="Arial" w:eastAsia="Arial" w:hAnsi="Arial"/>
                <w:sz w:val="18"/>
                <w:szCs w:val="18"/>
                <w:color w:val="auto"/>
              </w:rPr>
              <w:t>Commercial</w:t>
            </w:r>
          </w:p>
        </w:tc>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16,017</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14,188</w:t>
            </w:r>
          </w:p>
        </w:tc>
        <w:tc>
          <w:tcPr>
            <w:tcW w:w="80" w:type="dxa"/>
            <w:vAlign w:val="bottom"/>
          </w:tcPr>
          <w:p>
            <w:pPr>
              <w:spacing w:after="0"/>
              <w:rPr>
                <w:sz w:val="18"/>
                <w:szCs w:val="18"/>
                <w:color w:val="auto"/>
              </w:rPr>
            </w:pPr>
          </w:p>
        </w:tc>
      </w:tr>
      <w:tr>
        <w:trPr>
          <w:trHeight w:val="229"/>
        </w:trPr>
        <w:tc>
          <w:tcPr>
            <w:tcW w:w="5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All other</w:t>
            </w:r>
          </w:p>
        </w:tc>
        <w:tc>
          <w:tcPr>
            <w:tcW w:w="3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1,812</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3,080</w:t>
            </w:r>
          </w:p>
        </w:tc>
        <w:tc>
          <w:tcPr>
            <w:tcW w:w="80" w:type="dxa"/>
            <w:vAlign w:val="bottom"/>
            <w:shd w:val="clear" w:color="auto" w:fill="CCEEFF"/>
          </w:tcPr>
          <w:p>
            <w:pPr>
              <w:spacing w:after="0"/>
              <w:rPr>
                <w:sz w:val="19"/>
                <w:szCs w:val="19"/>
                <w:color w:val="auto"/>
              </w:rPr>
            </w:pPr>
          </w:p>
        </w:tc>
      </w:tr>
      <w:tr>
        <w:trPr>
          <w:trHeight w:val="223"/>
        </w:trPr>
        <w:tc>
          <w:tcPr>
            <w:tcW w:w="5380" w:type="dxa"/>
            <w:vAlign w:val="bottom"/>
          </w:tcPr>
          <w:p>
            <w:pPr>
              <w:ind w:left="400"/>
              <w:spacing w:after="0"/>
              <w:rPr>
                <w:sz w:val="20"/>
                <w:szCs w:val="20"/>
                <w:color w:val="auto"/>
              </w:rPr>
            </w:pPr>
            <w:r>
              <w:rPr>
                <w:rFonts w:ascii="Arial" w:cs="Arial" w:eastAsia="Arial" w:hAnsi="Arial"/>
                <w:sz w:val="18"/>
                <w:szCs w:val="18"/>
                <w:color w:val="auto"/>
              </w:rPr>
              <w:t>Total net premiums earned</w:t>
            </w:r>
          </w:p>
        </w:tc>
        <w:tc>
          <w:tcPr>
            <w:tcW w:w="30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77,627</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69,587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3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auto"/>
        </w:rPr>
        <w:t>Below are comments regarding net premiums earned by business segment:</w:t>
      </w:r>
    </w:p>
    <w:p>
      <w:pPr>
        <w:spacing w:after="0" w:line="181"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i w:val="1"/>
          <w:iCs w:val="1"/>
          <w:color w:val="auto"/>
        </w:rPr>
        <w:t xml:space="preserve">Private passenger auto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Net premiums earned for the three months ended March 31, 2023, increased $911, or 4.9%, compared to the same period in 2022.</w:t>
      </w:r>
      <w:r>
        <w:rPr>
          <w:rFonts w:ascii="Arial" w:cs="Arial" w:eastAsia="Arial" w:hAnsi="Arial"/>
          <w:sz w:val="18"/>
          <w:szCs w:val="18"/>
          <w:i w:val="1"/>
          <w:iCs w:val="1"/>
          <w:color w:val="auto"/>
        </w:rPr>
        <w:t xml:space="preserve"> </w:t>
      </w:r>
      <w:r>
        <w:rPr>
          <w:rFonts w:ascii="Arial" w:cs="Arial" w:eastAsia="Arial" w:hAnsi="Arial"/>
          <w:sz w:val="18"/>
          <w:szCs w:val="18"/>
          <w:color w:val="auto"/>
        </w:rPr>
        <w:t>This increase was driven by significant rate increases in North Dakota, South Dakota, and Nebraska, offset by lower retention levels as a result of underwriting actions taken to improve profitability.</w:t>
      </w:r>
    </w:p>
    <w:p>
      <w:pPr>
        <w:spacing w:after="0" w:line="135"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i w:val="1"/>
          <w:iCs w:val="1"/>
          <w:color w:val="auto"/>
        </w:rPr>
        <w:t xml:space="preserve">Non-standard auto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Net premiums earned for the three months ended March 31, 2023, increased $6,501, or 45.2%, compared to the same period in 2022.</w:t>
      </w:r>
      <w:r>
        <w:rPr>
          <w:rFonts w:ascii="Arial" w:cs="Arial" w:eastAsia="Arial" w:hAnsi="Arial"/>
          <w:sz w:val="18"/>
          <w:szCs w:val="18"/>
          <w:i w:val="1"/>
          <w:iCs w:val="1"/>
          <w:color w:val="auto"/>
        </w:rPr>
        <w:t xml:space="preserve"> </w:t>
      </w:r>
      <w:r>
        <w:rPr>
          <w:rFonts w:ascii="Arial" w:cs="Arial" w:eastAsia="Arial" w:hAnsi="Arial"/>
          <w:sz w:val="18"/>
          <w:szCs w:val="18"/>
          <w:color w:val="auto"/>
        </w:rPr>
        <w:t>This increase was driven by new business growth, increased retention, and significant rate increases in the Chicago market where our non-standard auto business is concentrated.</w:t>
      </w:r>
    </w:p>
    <w:p>
      <w:pPr>
        <w:spacing w:after="0" w:line="149" w:lineRule="exact"/>
        <w:rPr>
          <w:sz w:val="20"/>
          <w:szCs w:val="20"/>
          <w:color w:val="auto"/>
        </w:rPr>
      </w:pPr>
    </w:p>
    <w:p>
      <w:pPr>
        <w:ind w:right="200"/>
        <w:spacing w:after="0" w:line="314" w:lineRule="auto"/>
        <w:rPr>
          <w:sz w:val="20"/>
          <w:szCs w:val="20"/>
          <w:color w:val="auto"/>
        </w:rPr>
      </w:pPr>
      <w:r>
        <w:rPr>
          <w:rFonts w:ascii="Arial" w:cs="Arial" w:eastAsia="Arial" w:hAnsi="Arial"/>
          <w:sz w:val="16"/>
          <w:szCs w:val="16"/>
          <w:i w:val="1"/>
          <w:iCs w:val="1"/>
          <w:color w:val="auto"/>
        </w:rPr>
        <w:t xml:space="preserve">Home and farm </w:t>
      </w:r>
      <w:r>
        <w:rPr>
          <w:rFonts w:ascii="Arial" w:cs="Arial" w:eastAsia="Arial" w:hAnsi="Arial"/>
          <w:sz w:val="16"/>
          <w:szCs w:val="16"/>
          <w:b w:val="1"/>
          <w:b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Net premiums earned for the three months ended March 31, 2023, increased $779, or 4.1%, compared to the same period in 2022. This</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was driven by rate increases along with increased insured property values, which were primarily the result of higher inflationary factors. These premium increases were partially offset by lower levels of new business as a result of underwriting actions taken to improve profitability.</w:t>
      </w:r>
    </w:p>
    <w:p>
      <w:pPr>
        <w:spacing w:after="0" w:line="101" w:lineRule="exact"/>
        <w:rPr>
          <w:sz w:val="20"/>
          <w:szCs w:val="20"/>
          <w:color w:val="auto"/>
        </w:rPr>
      </w:pPr>
    </w:p>
    <w:p>
      <w:pPr>
        <w:jc w:val="both"/>
        <w:ind w:right="220"/>
        <w:spacing w:after="0" w:line="266" w:lineRule="auto"/>
        <w:rPr>
          <w:sz w:val="20"/>
          <w:szCs w:val="20"/>
          <w:color w:val="auto"/>
        </w:rPr>
      </w:pPr>
      <w:r>
        <w:rPr>
          <w:rFonts w:ascii="Arial" w:cs="Arial" w:eastAsia="Arial" w:hAnsi="Arial"/>
          <w:sz w:val="18"/>
          <w:szCs w:val="18"/>
          <w:i w:val="1"/>
          <w:iCs w:val="1"/>
          <w:color w:val="auto"/>
        </w:rPr>
        <w:t xml:space="preserve">Crop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Net premiums earned for the first quarter of any year are the result of minor prior crop year premium adjustments which typically occur annually</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first quarter. The majority of crop insurance premiums are generally written in the second quarter and earned ratably over the remainder of the calendar year.</w:t>
      </w:r>
    </w:p>
    <w:p>
      <w:pPr>
        <w:spacing w:after="0" w:line="135"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i w:val="1"/>
          <w:iCs w:val="1"/>
          <w:color w:val="auto"/>
        </w:rPr>
        <w:t xml:space="preserve">Commercial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Net premiums earned for the three months ended March 31, 2023, increased $1,829, or 12.9%, compared to the same period in 2022. This</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was driven by increased insured values which were primarily the result of higher inflationary factors as well as continued increases in rate and new business premiums.</w:t>
      </w:r>
    </w:p>
    <w:p>
      <w:pPr>
        <w:spacing w:after="0" w:line="149"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i w:val="1"/>
          <w:iCs w:val="1"/>
          <w:color w:val="auto"/>
        </w:rPr>
        <w:t xml:space="preserve">All other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Net premiums earned for the three months ended March 31, 2023, decreased $1,268, or 41.2%, compared to the same period in 2022. This</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 was driven by the decision to non-renew our participation in an assumed domestic and international reinsurance pool of business as of January 1, 2022.</w:t>
      </w: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Losses and Loss Adjustment Expenses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Net losses and loss adjustment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6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0"/>
        <w:spacing w:after="0"/>
        <w:rPr>
          <w:sz w:val="20"/>
          <w:szCs w:val="20"/>
          <w:color w:val="auto"/>
        </w:rPr>
      </w:pPr>
      <w:r>
        <w:rPr>
          <w:rFonts w:ascii="Arial" w:cs="Arial" w:eastAsia="Arial" w:hAnsi="Arial"/>
          <w:sz w:val="17"/>
          <w:szCs w:val="17"/>
          <w:color w:val="auto"/>
        </w:rPr>
        <w:t>Direct losses and loss adjustment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Assumed losses and loss adjustment expenses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Ceded losses and loss adjustment expenses</w:t>
      </w:r>
    </w:p>
    <w:p>
      <w:pPr>
        <w:spacing w:after="0" w:line="21" w:lineRule="exact"/>
        <w:rPr>
          <w:sz w:val="20"/>
          <w:szCs w:val="20"/>
          <w:color w:val="auto"/>
        </w:rPr>
      </w:pPr>
    </w:p>
    <w:p>
      <w:pPr>
        <w:jc w:val="right"/>
        <w:ind w:right="4060"/>
        <w:spacing w:after="0"/>
        <w:rPr>
          <w:sz w:val="20"/>
          <w:szCs w:val="20"/>
          <w:color w:val="auto"/>
        </w:rPr>
      </w:pPr>
      <w:r>
        <w:rPr>
          <w:rFonts w:ascii="Arial" w:cs="Arial" w:eastAsia="Arial" w:hAnsi="Arial"/>
          <w:sz w:val="17"/>
          <w:szCs w:val="17"/>
          <w:color w:val="auto"/>
        </w:rPr>
        <w:t>Total net losses and loss adjustment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1625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Three Months Ended March 31,</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1"/>
        </w:trPr>
        <w:tc>
          <w:tcPr>
            <w:tcW w:w="280" w:type="dxa"/>
            <w:vAlign w:val="bottom"/>
            <w:gridSpan w:val="2"/>
          </w:tcPr>
          <w:p>
            <w:pPr>
              <w:jc w:val="right"/>
              <w:ind w:right="107"/>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70,861</w:t>
            </w:r>
          </w:p>
        </w:tc>
        <w:tc>
          <w:tcPr>
            <w:tcW w:w="260" w:type="dxa"/>
            <w:vAlign w:val="bottom"/>
            <w:gridSpan w:val="2"/>
          </w:tcPr>
          <w:p>
            <w:pPr>
              <w:jc w:val="right"/>
              <w:ind w:right="87"/>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45,495</w:t>
            </w:r>
          </w:p>
        </w:tc>
        <w:tc>
          <w:tcPr>
            <w:tcW w:w="4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44"/>
        </w:trPr>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(12,126)</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(5,376)</w:t>
            </w:r>
          </w:p>
        </w:tc>
      </w:tr>
      <w:tr>
        <w:trPr>
          <w:trHeight w:val="223"/>
        </w:trPr>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58,825</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40,129</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720" w:space="720"/>
            <w:col w:w="2800"/>
          </w:cols>
          <w:pgMar w:left="320" w:top="233" w:right="339" w:bottom="1440" w:gutter="0" w:footer="0" w:header="0"/>
          <w:type w:val="continuous"/>
        </w:sectPr>
      </w:pPr>
    </w:p>
    <w:p>
      <w:pPr>
        <w:spacing w:after="0" w:line="32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Our net losses and loss adjustment expenses for the three months ended March 31, 2023, increased $18,696, or 46.6%, compared to the three months ended March 31, 2022.</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gridSpan w:val="7"/>
          </w:tcPr>
          <w:p>
            <w:pPr>
              <w:jc w:val="right"/>
              <w:ind w:right="220"/>
              <w:spacing w:after="0"/>
              <w:rPr>
                <w:sz w:val="20"/>
                <w:szCs w:val="20"/>
                <w:color w:val="auto"/>
              </w:rPr>
            </w:pPr>
            <w:r>
              <w:rPr>
                <w:rFonts w:ascii="Arial" w:cs="Arial" w:eastAsia="Arial" w:hAnsi="Arial"/>
                <w:sz w:val="18"/>
                <w:szCs w:val="18"/>
                <w:b w:val="1"/>
                <w:bCs w:val="1"/>
                <w:color w:val="auto"/>
                <w:w w:val="92"/>
              </w:rPr>
              <w:t>Three Months Ended March 31,</w:t>
            </w:r>
          </w:p>
        </w:tc>
      </w:tr>
      <w:tr>
        <w:trPr>
          <w:trHeight w:val="223"/>
        </w:trPr>
        <w:tc>
          <w:tcPr>
            <w:tcW w:w="6060" w:type="dxa"/>
            <w:vAlign w:val="bottom"/>
            <w:tcBorders>
              <w:bottom w:val="single" w:sz="8" w:color="CCEEFF"/>
            </w:tcBorders>
          </w:tcPr>
          <w:p>
            <w:pPr>
              <w:spacing w:after="0"/>
              <w:rPr>
                <w:sz w:val="19"/>
                <w:szCs w:val="19"/>
                <w:color w:val="auto"/>
              </w:rPr>
            </w:pPr>
          </w:p>
        </w:tc>
        <w:tc>
          <w:tcPr>
            <w:tcW w:w="238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Net losses and loss adjustment expenses:</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060" w:type="dxa"/>
            <w:vAlign w:val="bottom"/>
          </w:tcPr>
          <w:p>
            <w:pPr>
              <w:ind w:left="200"/>
              <w:spacing w:after="0"/>
              <w:rPr>
                <w:sz w:val="20"/>
                <w:szCs w:val="20"/>
                <w:color w:val="auto"/>
              </w:rPr>
            </w:pPr>
            <w:r>
              <w:rPr>
                <w:rFonts w:ascii="Arial" w:cs="Arial" w:eastAsia="Arial" w:hAnsi="Arial"/>
                <w:sz w:val="18"/>
                <w:szCs w:val="18"/>
                <w:color w:val="auto"/>
              </w:rPr>
              <w:t>Private passenger auto</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15,625</w:t>
            </w:r>
          </w:p>
        </w:tc>
        <w:tc>
          <w:tcPr>
            <w:tcW w:w="260" w:type="dxa"/>
            <w:vAlign w:val="bottom"/>
            <w:gridSpan w:val="2"/>
          </w:tcPr>
          <w:p>
            <w:pPr>
              <w:jc w:val="right"/>
              <w:ind w:right="87"/>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14,711</w:t>
            </w:r>
          </w:p>
        </w:tc>
        <w:tc>
          <w:tcPr>
            <w:tcW w:w="80" w:type="dxa"/>
            <w:vAlign w:val="bottom"/>
          </w:tcPr>
          <w:p>
            <w:pPr>
              <w:spacing w:after="0"/>
              <w:rPr>
                <w:sz w:val="18"/>
                <w:szCs w:val="18"/>
                <w:color w:val="auto"/>
              </w:rPr>
            </w:pPr>
          </w:p>
        </w:tc>
      </w:tr>
      <w:tr>
        <w:trPr>
          <w:trHeight w:val="216"/>
        </w:trPr>
        <w:tc>
          <w:tcPr>
            <w:tcW w:w="6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Non-standard auto</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17,038</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8,491</w:t>
            </w:r>
          </w:p>
        </w:tc>
        <w:tc>
          <w:tcPr>
            <w:tcW w:w="80" w:type="dxa"/>
            <w:vAlign w:val="bottom"/>
            <w:shd w:val="clear" w:color="auto" w:fill="CCEEFF"/>
          </w:tcPr>
          <w:p>
            <w:pPr>
              <w:spacing w:after="0"/>
              <w:rPr>
                <w:sz w:val="18"/>
                <w:szCs w:val="18"/>
                <w:color w:val="auto"/>
              </w:rPr>
            </w:pPr>
          </w:p>
        </w:tc>
      </w:tr>
      <w:tr>
        <w:trPr>
          <w:trHeight w:val="216"/>
        </w:trPr>
        <w:tc>
          <w:tcPr>
            <w:tcW w:w="6060" w:type="dxa"/>
            <w:vAlign w:val="bottom"/>
          </w:tcPr>
          <w:p>
            <w:pPr>
              <w:ind w:left="200"/>
              <w:spacing w:after="0"/>
              <w:rPr>
                <w:sz w:val="20"/>
                <w:szCs w:val="20"/>
                <w:color w:val="auto"/>
              </w:rPr>
            </w:pPr>
            <w:r>
              <w:rPr>
                <w:rFonts w:ascii="Arial" w:cs="Arial" w:eastAsia="Arial" w:hAnsi="Arial"/>
                <w:sz w:val="18"/>
                <w:szCs w:val="18"/>
                <w:color w:val="auto"/>
              </w:rPr>
              <w:t>Home and farm</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8,719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6,840</w:t>
            </w:r>
          </w:p>
        </w:tc>
        <w:tc>
          <w:tcPr>
            <w:tcW w:w="80" w:type="dxa"/>
            <w:vAlign w:val="bottom"/>
          </w:tcPr>
          <w:p>
            <w:pPr>
              <w:spacing w:after="0"/>
              <w:rPr>
                <w:sz w:val="18"/>
                <w:szCs w:val="18"/>
                <w:color w:val="auto"/>
              </w:rPr>
            </w:pPr>
          </w:p>
        </w:tc>
      </w:tr>
      <w:tr>
        <w:trPr>
          <w:trHeight w:val="216"/>
        </w:trPr>
        <w:tc>
          <w:tcPr>
            <w:tcW w:w="6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Crop</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(166)</w:t>
            </w:r>
          </w:p>
        </w:tc>
      </w:tr>
      <w:tr>
        <w:trPr>
          <w:trHeight w:val="216"/>
        </w:trPr>
        <w:tc>
          <w:tcPr>
            <w:tcW w:w="6060" w:type="dxa"/>
            <w:vAlign w:val="bottom"/>
          </w:tcPr>
          <w:p>
            <w:pPr>
              <w:ind w:left="200"/>
              <w:spacing w:after="0"/>
              <w:rPr>
                <w:sz w:val="20"/>
                <w:szCs w:val="20"/>
                <w:color w:val="auto"/>
              </w:rPr>
            </w:pPr>
            <w:r>
              <w:rPr>
                <w:rFonts w:ascii="Arial" w:cs="Arial" w:eastAsia="Arial" w:hAnsi="Arial"/>
                <w:sz w:val="18"/>
                <w:szCs w:val="18"/>
                <w:color w:val="auto"/>
              </w:rPr>
              <w:t>Commercial</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18,114</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10,017</w:t>
            </w:r>
          </w:p>
        </w:tc>
        <w:tc>
          <w:tcPr>
            <w:tcW w:w="80" w:type="dxa"/>
            <w:vAlign w:val="bottom"/>
          </w:tcPr>
          <w:p>
            <w:pPr>
              <w:spacing w:after="0"/>
              <w:rPr>
                <w:sz w:val="18"/>
                <w:szCs w:val="18"/>
                <w:color w:val="auto"/>
              </w:rPr>
            </w:pPr>
          </w:p>
        </w:tc>
      </w:tr>
      <w:tr>
        <w:trPr>
          <w:trHeight w:val="230"/>
        </w:trPr>
        <w:tc>
          <w:tcPr>
            <w:tcW w:w="6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All other</w:t>
            </w:r>
          </w:p>
        </w:tc>
        <w:tc>
          <w:tcPr>
            <w:tcW w:w="2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236</w:t>
            </w:r>
          </w:p>
        </w:tc>
        <w:tc>
          <w:tcPr>
            <w:tcW w:w="80" w:type="dxa"/>
            <w:vAlign w:val="bottom"/>
            <w:shd w:val="clear" w:color="auto" w:fill="CCEEFF"/>
          </w:tcPr>
          <w:p>
            <w:pPr>
              <w:spacing w:after="0"/>
              <w:rPr>
                <w:sz w:val="19"/>
                <w:szCs w:val="19"/>
                <w:color w:val="auto"/>
              </w:rPr>
            </w:pPr>
          </w:p>
        </w:tc>
      </w:tr>
      <w:tr>
        <w:trPr>
          <w:trHeight w:val="223"/>
        </w:trPr>
        <w:tc>
          <w:tcPr>
            <w:tcW w:w="6060" w:type="dxa"/>
            <w:vAlign w:val="bottom"/>
          </w:tcPr>
          <w:p>
            <w:pPr>
              <w:ind w:left="400"/>
              <w:spacing w:after="0"/>
              <w:rPr>
                <w:sz w:val="20"/>
                <w:szCs w:val="20"/>
                <w:color w:val="auto"/>
              </w:rPr>
            </w:pPr>
            <w:r>
              <w:rPr>
                <w:rFonts w:ascii="Arial" w:cs="Arial" w:eastAsia="Arial" w:hAnsi="Arial"/>
                <w:sz w:val="18"/>
                <w:szCs w:val="18"/>
                <w:color w:val="auto"/>
              </w:rPr>
              <w:t>Total net losses and loss adjustment expenses</w:t>
            </w:r>
          </w:p>
        </w:tc>
        <w:tc>
          <w:tcPr>
            <w:tcW w:w="2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58,825</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40,129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0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p>
        </w:tc>
        <w:tc>
          <w:tcPr>
            <w:tcW w:w="2800" w:type="dxa"/>
            <w:vAlign w:val="bottom"/>
            <w:gridSpan w:val="5"/>
          </w:tcPr>
          <w:p>
            <w:pPr>
              <w:ind w:left="120"/>
              <w:spacing w:after="0"/>
              <w:rPr>
                <w:sz w:val="20"/>
                <w:szCs w:val="20"/>
                <w:color w:val="auto"/>
              </w:rPr>
            </w:pPr>
            <w:r>
              <w:rPr>
                <w:rFonts w:ascii="Arial" w:cs="Arial" w:eastAsia="Arial" w:hAnsi="Arial"/>
                <w:sz w:val="18"/>
                <w:szCs w:val="18"/>
                <w:b w:val="1"/>
                <w:bCs w:val="1"/>
                <w:color w:val="auto"/>
                <w:w w:val="99"/>
              </w:rPr>
              <w:t>Three Months Ended March 31,</w:t>
            </w:r>
          </w:p>
        </w:tc>
      </w:tr>
      <w:tr>
        <w:trPr>
          <w:trHeight w:val="223"/>
        </w:trPr>
        <w:tc>
          <w:tcPr>
            <w:tcW w:w="8440" w:type="dxa"/>
            <w:vAlign w:val="bottom"/>
            <w:tcBorders>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Loss and loss adjustment expense ratio:</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440" w:type="dxa"/>
            <w:vAlign w:val="bottom"/>
          </w:tcPr>
          <w:p>
            <w:pPr>
              <w:ind w:left="200"/>
              <w:spacing w:after="0"/>
              <w:rPr>
                <w:sz w:val="20"/>
                <w:szCs w:val="20"/>
                <w:color w:val="auto"/>
              </w:rPr>
            </w:pPr>
            <w:r>
              <w:rPr>
                <w:rFonts w:ascii="Arial" w:cs="Arial" w:eastAsia="Arial" w:hAnsi="Arial"/>
                <w:sz w:val="18"/>
                <w:szCs w:val="18"/>
                <w:color w:val="auto"/>
              </w:rPr>
              <w:t>Private passenger auto</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79.5%</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78.5%</w:t>
            </w:r>
          </w:p>
        </w:tc>
        <w:tc>
          <w:tcPr>
            <w:tcW w:w="80" w:type="dxa"/>
            <w:vAlign w:val="bottom"/>
          </w:tcPr>
          <w:p>
            <w:pPr>
              <w:spacing w:after="0"/>
              <w:rPr>
                <w:sz w:val="18"/>
                <w:szCs w:val="18"/>
                <w:color w:val="auto"/>
              </w:rPr>
            </w:pPr>
          </w:p>
        </w:tc>
      </w:tr>
      <w:tr>
        <w:trPr>
          <w:trHeight w:val="216"/>
        </w:trPr>
        <w:tc>
          <w:tcPr>
            <w:tcW w:w="8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Non-standard auto</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81.6%</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59.1%</w:t>
            </w:r>
          </w:p>
        </w:tc>
        <w:tc>
          <w:tcPr>
            <w:tcW w:w="80" w:type="dxa"/>
            <w:vAlign w:val="bottom"/>
            <w:shd w:val="clear" w:color="auto" w:fill="CCEEFF"/>
          </w:tcPr>
          <w:p>
            <w:pPr>
              <w:spacing w:after="0"/>
              <w:rPr>
                <w:sz w:val="18"/>
                <w:szCs w:val="18"/>
                <w:color w:val="auto"/>
              </w:rPr>
            </w:pPr>
          </w:p>
        </w:tc>
      </w:tr>
      <w:tr>
        <w:trPr>
          <w:trHeight w:val="216"/>
        </w:trPr>
        <w:tc>
          <w:tcPr>
            <w:tcW w:w="8440" w:type="dxa"/>
            <w:vAlign w:val="bottom"/>
          </w:tcPr>
          <w:p>
            <w:pPr>
              <w:ind w:left="200"/>
              <w:spacing w:after="0"/>
              <w:rPr>
                <w:sz w:val="20"/>
                <w:szCs w:val="20"/>
                <w:color w:val="auto"/>
              </w:rPr>
            </w:pPr>
            <w:r>
              <w:rPr>
                <w:rFonts w:ascii="Arial" w:cs="Arial" w:eastAsia="Arial" w:hAnsi="Arial"/>
                <w:sz w:val="18"/>
                <w:szCs w:val="18"/>
                <w:color w:val="auto"/>
              </w:rPr>
              <w:t>Home and farm</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43.6%</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35.6%</w:t>
            </w:r>
          </w:p>
        </w:tc>
        <w:tc>
          <w:tcPr>
            <w:tcW w:w="80" w:type="dxa"/>
            <w:vAlign w:val="bottom"/>
          </w:tcPr>
          <w:p>
            <w:pPr>
              <w:spacing w:after="0"/>
              <w:rPr>
                <w:sz w:val="18"/>
                <w:szCs w:val="18"/>
                <w:color w:val="auto"/>
              </w:rPr>
            </w:pPr>
          </w:p>
        </w:tc>
      </w:tr>
      <w:tr>
        <w:trPr>
          <w:trHeight w:val="216"/>
        </w:trPr>
        <w:tc>
          <w:tcPr>
            <w:tcW w:w="8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Crop</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1340" w:type="dxa"/>
            <w:vAlign w:val="bottom"/>
            <w:gridSpan w:val="3"/>
            <w:shd w:val="clear" w:color="auto" w:fill="CCEEFF"/>
          </w:tcPr>
          <w:p>
            <w:pPr>
              <w:ind w:left="1020"/>
              <w:spacing w:after="0"/>
              <w:rPr>
                <w:sz w:val="20"/>
                <w:szCs w:val="20"/>
                <w:color w:val="auto"/>
              </w:rPr>
            </w:pPr>
            <w:r>
              <w:rPr>
                <w:rFonts w:ascii="Arial" w:cs="Arial" w:eastAsia="Arial" w:hAnsi="Arial"/>
                <w:sz w:val="18"/>
                <w:szCs w:val="18"/>
                <w:color w:val="auto"/>
              </w:rPr>
              <w:t>n/a</w:t>
            </w:r>
          </w:p>
        </w:tc>
      </w:tr>
      <w:tr>
        <w:trPr>
          <w:trHeight w:val="216"/>
        </w:trPr>
        <w:tc>
          <w:tcPr>
            <w:tcW w:w="8440" w:type="dxa"/>
            <w:vAlign w:val="bottom"/>
          </w:tcPr>
          <w:p>
            <w:pPr>
              <w:ind w:left="200"/>
              <w:spacing w:after="0"/>
              <w:rPr>
                <w:sz w:val="20"/>
                <w:szCs w:val="20"/>
                <w:color w:val="auto"/>
              </w:rPr>
            </w:pPr>
            <w:r>
              <w:rPr>
                <w:rFonts w:ascii="Arial" w:cs="Arial" w:eastAsia="Arial" w:hAnsi="Arial"/>
                <w:sz w:val="18"/>
                <w:szCs w:val="18"/>
                <w:color w:val="auto"/>
              </w:rPr>
              <w:t>Commercial</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113.1%</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70.6%</w:t>
            </w:r>
          </w:p>
        </w:tc>
        <w:tc>
          <w:tcPr>
            <w:tcW w:w="80" w:type="dxa"/>
            <w:vAlign w:val="bottom"/>
          </w:tcPr>
          <w:p>
            <w:pPr>
              <w:spacing w:after="0"/>
              <w:rPr>
                <w:sz w:val="18"/>
                <w:szCs w:val="18"/>
                <w:color w:val="auto"/>
              </w:rPr>
            </w:pPr>
          </w:p>
        </w:tc>
      </w:tr>
      <w:tr>
        <w:trPr>
          <w:trHeight w:val="229"/>
        </w:trPr>
        <w:tc>
          <w:tcPr>
            <w:tcW w:w="8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All other</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w:t>
            </w: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7.7%</w:t>
            </w:r>
          </w:p>
        </w:tc>
      </w:tr>
      <w:tr>
        <w:trPr>
          <w:trHeight w:val="223"/>
        </w:trPr>
        <w:tc>
          <w:tcPr>
            <w:tcW w:w="8440" w:type="dxa"/>
            <w:vAlign w:val="bottom"/>
          </w:tcPr>
          <w:p>
            <w:pPr>
              <w:ind w:left="400"/>
              <w:spacing w:after="0"/>
              <w:rPr>
                <w:sz w:val="20"/>
                <w:szCs w:val="20"/>
                <w:color w:val="auto"/>
              </w:rPr>
            </w:pPr>
            <w:r>
              <w:rPr>
                <w:rFonts w:ascii="Arial" w:cs="Arial" w:eastAsia="Arial" w:hAnsi="Arial"/>
                <w:sz w:val="18"/>
                <w:szCs w:val="18"/>
                <w:color w:val="auto"/>
              </w:rPr>
              <w:t>Total loss and loss adjustment expense ratio</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75.8%</w:t>
            </w:r>
          </w:p>
        </w:tc>
        <w:tc>
          <w:tcPr>
            <w:tcW w:w="2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4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Below are comments regarding significant changes in the net losses and loss adjustment expenses, and the net loss and loss adjustment expense ratios, by business segment:</w:t>
      </w:r>
    </w:p>
    <w:p>
      <w:pPr>
        <w:spacing w:after="0" w:line="126" w:lineRule="exact"/>
        <w:rPr>
          <w:sz w:val="20"/>
          <w:szCs w:val="20"/>
          <w:color w:val="auto"/>
        </w:rPr>
      </w:pPr>
    </w:p>
    <w:p>
      <w:pPr>
        <w:jc w:val="both"/>
        <w:ind w:right="220"/>
        <w:spacing w:after="0" w:line="266" w:lineRule="auto"/>
        <w:rPr>
          <w:sz w:val="20"/>
          <w:szCs w:val="20"/>
          <w:color w:val="auto"/>
        </w:rPr>
      </w:pPr>
      <w:r>
        <w:rPr>
          <w:rFonts w:ascii="Arial" w:cs="Arial" w:eastAsia="Arial" w:hAnsi="Arial"/>
          <w:sz w:val="18"/>
          <w:szCs w:val="18"/>
          <w:i w:val="1"/>
          <w:iCs w:val="1"/>
          <w:color w:val="auto"/>
        </w:rPr>
        <w:t xml:space="preserve">Private passenger auto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net loss and loss adjustment expense ratio increased 1.0 percentage point in the three-month period ended March 31, 2023,</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same period in 2022. Both periods were affected by elevated loss costs due to continued high levels of inflation. Additionally, 2023 was impacted by elevated winter weather-related losses.</w:t>
      </w:r>
    </w:p>
    <w:p>
      <w:pPr>
        <w:spacing w:after="0" w:line="149" w:lineRule="exact"/>
        <w:rPr>
          <w:sz w:val="20"/>
          <w:szCs w:val="20"/>
          <w:color w:val="auto"/>
        </w:rPr>
      </w:pPr>
    </w:p>
    <w:p>
      <w:pPr>
        <w:ind w:right="140"/>
        <w:spacing w:after="0" w:line="314" w:lineRule="auto"/>
        <w:rPr>
          <w:sz w:val="20"/>
          <w:szCs w:val="20"/>
          <w:color w:val="auto"/>
        </w:rPr>
      </w:pPr>
      <w:r>
        <w:rPr>
          <w:rFonts w:ascii="Arial" w:cs="Arial" w:eastAsia="Arial" w:hAnsi="Arial"/>
          <w:sz w:val="16"/>
          <w:szCs w:val="16"/>
          <w:i w:val="1"/>
          <w:iCs w:val="1"/>
          <w:color w:val="auto"/>
        </w:rPr>
        <w:t xml:space="preserve">Non-standard auto </w:t>
      </w:r>
      <w:r>
        <w:rPr>
          <w:rFonts w:ascii="Arial" w:cs="Arial" w:eastAsia="Arial" w:hAnsi="Arial"/>
          <w:sz w:val="16"/>
          <w:szCs w:val="16"/>
          <w:b w:val="1"/>
          <w:b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The net loss and loss adjustment expense ratio increased 22.5 percentage points in the three-month period ended March 31, 2023,</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the same period in 2022. The increase was driven by elevated loss severity as a result of inflationary factors as well as unfavorable prior year development on loss reserves. We continue to take significant rate and underwriting actions as a result of the increased loss activity.</w:t>
      </w:r>
    </w:p>
    <w:p>
      <w:pPr>
        <w:spacing w:after="0" w:line="101" w:lineRule="exact"/>
        <w:rPr>
          <w:sz w:val="20"/>
          <w:szCs w:val="20"/>
          <w:color w:val="auto"/>
        </w:rPr>
      </w:pPr>
    </w:p>
    <w:p>
      <w:pPr>
        <w:ind w:right="280"/>
        <w:spacing w:after="0" w:line="266" w:lineRule="auto"/>
        <w:rPr>
          <w:sz w:val="20"/>
          <w:szCs w:val="20"/>
          <w:color w:val="auto"/>
        </w:rPr>
      </w:pPr>
      <w:r>
        <w:rPr>
          <w:rFonts w:ascii="Arial" w:cs="Arial" w:eastAsia="Arial" w:hAnsi="Arial"/>
          <w:sz w:val="18"/>
          <w:szCs w:val="18"/>
          <w:i w:val="1"/>
          <w:iCs w:val="1"/>
          <w:color w:val="auto"/>
        </w:rPr>
        <w:t xml:space="preserve">Home and farm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net loss and loss adjustment expense ratio increased 8.0 percentage points in the three-month period ended March 31, 2023,</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same period in 2022. This increase was driven by elevated winter weather-related property losses due to heavy snowfall in the Midwest that caused ice dams and roof collapses.</w:t>
      </w:r>
    </w:p>
    <w:p>
      <w:pPr>
        <w:spacing w:after="0" w:line="135"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i w:val="1"/>
          <w:iCs w:val="1"/>
          <w:color w:val="auto"/>
        </w:rPr>
        <w:t xml:space="preserve">Crop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net losses and loss adjustment expenses during the first quarter of any year are reflective of minor prior crop year adjustments which typically</w:t>
      </w:r>
      <w:r>
        <w:rPr>
          <w:rFonts w:ascii="Arial" w:cs="Arial" w:eastAsia="Arial" w:hAnsi="Arial"/>
          <w:sz w:val="18"/>
          <w:szCs w:val="18"/>
          <w:i w:val="1"/>
          <w:iCs w:val="1"/>
          <w:color w:val="auto"/>
        </w:rPr>
        <w:t xml:space="preserve"> </w:t>
      </w:r>
      <w:r>
        <w:rPr>
          <w:rFonts w:ascii="Arial" w:cs="Arial" w:eastAsia="Arial" w:hAnsi="Arial"/>
          <w:sz w:val="18"/>
          <w:szCs w:val="18"/>
          <w:color w:val="auto"/>
        </w:rPr>
        <w:t>occur annually during the first quarter.</w:t>
      </w:r>
    </w:p>
    <w:p>
      <w:pPr>
        <w:spacing w:after="0" w:line="135" w:lineRule="exact"/>
        <w:rPr>
          <w:sz w:val="20"/>
          <w:szCs w:val="20"/>
          <w:color w:val="auto"/>
        </w:rPr>
      </w:pPr>
    </w:p>
    <w:p>
      <w:pPr>
        <w:ind w:right="60"/>
        <w:spacing w:after="0" w:line="314" w:lineRule="auto"/>
        <w:rPr>
          <w:sz w:val="20"/>
          <w:szCs w:val="20"/>
          <w:color w:val="auto"/>
        </w:rPr>
      </w:pPr>
      <w:r>
        <w:rPr>
          <w:rFonts w:ascii="Arial" w:cs="Arial" w:eastAsia="Arial" w:hAnsi="Arial"/>
          <w:sz w:val="16"/>
          <w:szCs w:val="16"/>
          <w:i w:val="1"/>
          <w:iCs w:val="1"/>
          <w:color w:val="auto"/>
        </w:rPr>
        <w:t xml:space="preserve">Commercial </w:t>
      </w:r>
      <w:r>
        <w:rPr>
          <w:rFonts w:ascii="Arial" w:cs="Arial" w:eastAsia="Arial" w:hAnsi="Arial"/>
          <w:sz w:val="16"/>
          <w:szCs w:val="16"/>
          <w:b w:val="1"/>
          <w:b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The net loss and loss adjustment expense ratio increased 42.5 points in the three-month period ended March 31, 2023, compared to the same</w:t>
      </w:r>
      <w:r>
        <w:rPr>
          <w:rFonts w:ascii="Arial" w:cs="Arial" w:eastAsia="Arial" w:hAnsi="Arial"/>
          <w:sz w:val="16"/>
          <w:szCs w:val="16"/>
          <w:i w:val="1"/>
          <w:iCs w:val="1"/>
          <w:color w:val="auto"/>
        </w:rPr>
        <w:t xml:space="preserve"> </w:t>
      </w:r>
      <w:r>
        <w:rPr>
          <w:rFonts w:ascii="Arial" w:cs="Arial" w:eastAsia="Arial" w:hAnsi="Arial"/>
          <w:sz w:val="16"/>
          <w:szCs w:val="16"/>
          <w:color w:val="auto"/>
        </w:rPr>
        <w:t>period in 2022. This higher loss ratio was driven by unfavorable prior year reserve development attributable to freeze claims from Winter Storm Elliott as well as increased severity of liability losses. We are in the process of taking significant rate and underwriting actions to improve the segment’s profitability.</w:t>
      </w:r>
    </w:p>
    <w:p>
      <w:pPr>
        <w:spacing w:after="0" w:line="101" w:lineRule="exact"/>
        <w:rPr>
          <w:sz w:val="20"/>
          <w:szCs w:val="20"/>
          <w:color w:val="auto"/>
        </w:rPr>
      </w:pPr>
    </w:p>
    <w:p>
      <w:pPr>
        <w:ind w:right="220"/>
        <w:spacing w:after="0" w:line="312" w:lineRule="auto"/>
        <w:rPr>
          <w:sz w:val="20"/>
          <w:szCs w:val="20"/>
          <w:color w:val="auto"/>
        </w:rPr>
      </w:pPr>
      <w:r>
        <w:rPr>
          <w:rFonts w:ascii="Arial" w:cs="Arial" w:eastAsia="Arial" w:hAnsi="Arial"/>
          <w:sz w:val="17"/>
          <w:szCs w:val="17"/>
          <w:i w:val="1"/>
          <w:iCs w:val="1"/>
          <w:color w:val="auto"/>
        </w:rPr>
        <w:t xml:space="preserve">All other </w:t>
      </w:r>
      <w:r>
        <w:rPr>
          <w:rFonts w:ascii="Arial" w:cs="Arial" w:eastAsia="Arial" w:hAnsi="Arial"/>
          <w:sz w:val="17"/>
          <w:szCs w:val="17"/>
          <w:b w:val="1"/>
          <w:b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The net loss and loss adjustment expense ratio decreased 2.1 percentage points in the three-month period ended March 31, 2023, compared to</w:t>
      </w:r>
      <w:r>
        <w:rPr>
          <w:rFonts w:ascii="Arial" w:cs="Arial" w:eastAsia="Arial" w:hAnsi="Arial"/>
          <w:sz w:val="17"/>
          <w:szCs w:val="17"/>
          <w:i w:val="1"/>
          <w:iCs w:val="1"/>
          <w:color w:val="auto"/>
        </w:rPr>
        <w:t xml:space="preserve"> </w:t>
      </w:r>
      <w:r>
        <w:rPr>
          <w:rFonts w:ascii="Arial" w:cs="Arial" w:eastAsia="Arial" w:hAnsi="Arial"/>
          <w:sz w:val="17"/>
          <w:szCs w:val="17"/>
          <w:color w:val="auto"/>
        </w:rPr>
        <w:t>the same period in 2022. This decrease was driven by improved loss experience in the excess casualty line of business.</w:t>
      </w:r>
    </w:p>
    <w:p>
      <w:pPr>
        <w:spacing w:after="0" w:line="1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sz w:val="20"/>
                <w:szCs w:val="20"/>
                <w:color w:val="auto"/>
              </w:rPr>
            </w:pPr>
            <w:r>
              <w:rPr>
                <w:rFonts w:ascii="Arial" w:cs="Arial" w:eastAsia="Arial" w:hAnsi="Arial"/>
                <w:sz w:val="18"/>
                <w:szCs w:val="18"/>
                <w:i w:val="1"/>
                <w:iCs w:val="1"/>
                <w:color w:val="0000EE"/>
                <w:w w:val="88"/>
              </w:rPr>
              <w:t>Table of Contents</w:t>
            </w:r>
          </w:p>
        </w:tc>
        <w:tc>
          <w:tcPr>
            <w:tcW w:w="50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925"/>
        </w:trPr>
        <w:tc>
          <w:tcPr>
            <w:tcW w:w="63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Underwriting and General Expenses and Expense Ratio</w:t>
            </w:r>
          </w:p>
        </w:tc>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05"/>
        </w:trPr>
        <w:tc>
          <w:tcPr>
            <w:tcW w:w="128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00" w:type="dxa"/>
            <w:vAlign w:val="bottom"/>
            <w:gridSpan w:val="7"/>
          </w:tcPr>
          <w:p>
            <w:pPr>
              <w:ind w:left="20"/>
              <w:spacing w:after="0"/>
              <w:rPr>
                <w:sz w:val="20"/>
                <w:szCs w:val="20"/>
                <w:color w:val="auto"/>
              </w:rPr>
            </w:pPr>
            <w:r>
              <w:rPr>
                <w:rFonts w:ascii="Arial" w:cs="Arial" w:eastAsia="Arial" w:hAnsi="Arial"/>
                <w:sz w:val="18"/>
                <w:szCs w:val="18"/>
                <w:b w:val="1"/>
                <w:bCs w:val="1"/>
                <w:color w:val="auto"/>
                <w:w w:val="99"/>
              </w:rPr>
              <w:t>Three Months Ended March 31,</w:t>
            </w:r>
          </w:p>
        </w:tc>
      </w:tr>
      <w:tr>
        <w:trPr>
          <w:trHeight w:val="223"/>
        </w:trPr>
        <w:tc>
          <w:tcPr>
            <w:tcW w:w="1280" w:type="dxa"/>
            <w:vAlign w:val="bottom"/>
            <w:tcBorders>
              <w:bottom w:val="single" w:sz="8" w:color="CCEEFF"/>
            </w:tcBorders>
          </w:tcPr>
          <w:p>
            <w:pPr>
              <w:spacing w:after="0"/>
              <w:rPr>
                <w:sz w:val="19"/>
                <w:szCs w:val="19"/>
                <w:color w:val="auto"/>
              </w:rPr>
            </w:pPr>
          </w:p>
        </w:tc>
        <w:tc>
          <w:tcPr>
            <w:tcW w:w="5020" w:type="dxa"/>
            <w:vAlign w:val="bottom"/>
            <w:tcBorders>
              <w:bottom w:val="single" w:sz="8" w:color="CCEEFF"/>
            </w:tcBorders>
          </w:tcPr>
          <w:p>
            <w:pPr>
              <w:spacing w:after="0"/>
              <w:rPr>
                <w:sz w:val="19"/>
                <w:szCs w:val="19"/>
                <w:color w:val="auto"/>
              </w:rPr>
            </w:pPr>
          </w:p>
        </w:tc>
        <w:tc>
          <w:tcPr>
            <w:tcW w:w="214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09"/>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Underwriting and general expenses:</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300" w:type="dxa"/>
            <w:vAlign w:val="bottom"/>
            <w:gridSpan w:val="2"/>
          </w:tcPr>
          <w:p>
            <w:pPr>
              <w:ind w:left="200"/>
              <w:spacing w:after="0"/>
              <w:rPr>
                <w:sz w:val="20"/>
                <w:szCs w:val="20"/>
                <w:color w:val="auto"/>
              </w:rPr>
            </w:pPr>
            <w:r>
              <w:rPr>
                <w:rFonts w:ascii="Arial" w:cs="Arial" w:eastAsia="Arial" w:hAnsi="Arial"/>
                <w:sz w:val="18"/>
                <w:szCs w:val="18"/>
                <w:color w:val="auto"/>
              </w:rPr>
              <w:t>Amortization of deferred policy acquisition costs</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18,588</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15,623</w:t>
            </w:r>
          </w:p>
        </w:tc>
      </w:tr>
      <w:tr>
        <w:trPr>
          <w:trHeight w:val="230"/>
        </w:trPr>
        <w:tc>
          <w:tcPr>
            <w:tcW w:w="6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underwriting and general expenses</w:t>
            </w:r>
          </w:p>
        </w:tc>
        <w:tc>
          <w:tcPr>
            <w:tcW w:w="2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9,656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7,781</w:t>
            </w:r>
          </w:p>
        </w:tc>
        <w:tc>
          <w:tcPr>
            <w:tcW w:w="80" w:type="dxa"/>
            <w:vAlign w:val="bottom"/>
            <w:shd w:val="clear" w:color="auto" w:fill="CCEEFF"/>
          </w:tcPr>
          <w:p>
            <w:pPr>
              <w:spacing w:after="0"/>
              <w:rPr>
                <w:sz w:val="19"/>
                <w:szCs w:val="19"/>
                <w:color w:val="auto"/>
              </w:rPr>
            </w:pPr>
          </w:p>
        </w:tc>
      </w:tr>
      <w:tr>
        <w:trPr>
          <w:trHeight w:val="263"/>
        </w:trPr>
        <w:tc>
          <w:tcPr>
            <w:tcW w:w="630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Total underwriting and general expenses</w:t>
            </w:r>
          </w:p>
        </w:tc>
        <w:tc>
          <w:tcPr>
            <w:tcW w:w="214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28,244</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23,404</w:t>
            </w:r>
          </w:p>
        </w:tc>
        <w:tc>
          <w:tcPr>
            <w:tcW w:w="100" w:type="dxa"/>
            <w:vAlign w:val="bottom"/>
            <w:tcBorders>
              <w:bottom w:val="single" w:sz="8" w:color="CCEEFF"/>
            </w:tcBorders>
            <w:gridSpan w:val="2"/>
          </w:tcPr>
          <w:p>
            <w:pPr>
              <w:spacing w:after="0"/>
              <w:rPr>
                <w:sz w:val="22"/>
                <w:szCs w:val="22"/>
                <w:color w:val="auto"/>
              </w:rPr>
            </w:pPr>
          </w:p>
        </w:tc>
      </w:tr>
      <w:tr>
        <w:trPr>
          <w:trHeight w:val="197"/>
        </w:trPr>
        <w:tc>
          <w:tcPr>
            <w:tcW w:w="1280" w:type="dxa"/>
            <w:vAlign w:val="bottom"/>
            <w:shd w:val="clear" w:color="auto" w:fill="CCEEFF"/>
          </w:tcPr>
          <w:p>
            <w:pPr>
              <w:spacing w:after="0"/>
              <w:rPr>
                <w:sz w:val="17"/>
                <w:szCs w:val="17"/>
                <w:color w:val="auto"/>
              </w:rPr>
            </w:pPr>
          </w:p>
        </w:tc>
        <w:tc>
          <w:tcPr>
            <w:tcW w:w="502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43"/>
        </w:trPr>
        <w:tc>
          <w:tcPr>
            <w:tcW w:w="6300" w:type="dxa"/>
            <w:vAlign w:val="bottom"/>
            <w:gridSpan w:val="2"/>
          </w:tcPr>
          <w:p>
            <w:pPr>
              <w:ind w:left="400"/>
              <w:spacing w:after="0"/>
              <w:rPr>
                <w:sz w:val="20"/>
                <w:szCs w:val="20"/>
                <w:color w:val="auto"/>
              </w:rPr>
            </w:pPr>
            <w:r>
              <w:rPr>
                <w:rFonts w:ascii="Arial" w:cs="Arial" w:eastAsia="Arial" w:hAnsi="Arial"/>
                <w:sz w:val="18"/>
                <w:szCs w:val="18"/>
                <w:color w:val="auto"/>
              </w:rPr>
              <w:t>Expense ratio</w:t>
            </w:r>
          </w:p>
        </w:tc>
        <w:tc>
          <w:tcPr>
            <w:tcW w:w="2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33.6%</w:t>
            </w:r>
          </w:p>
        </w:tc>
        <w:tc>
          <w:tcPr>
            <w:tcW w:w="80" w:type="dxa"/>
            <w:vAlign w:val="bottom"/>
          </w:tcPr>
          <w:p>
            <w:pPr>
              <w:spacing w:after="0"/>
              <w:rPr>
                <w:sz w:val="21"/>
                <w:szCs w:val="21"/>
                <w:color w:val="auto"/>
              </w:rPr>
            </w:pPr>
          </w:p>
        </w:tc>
      </w:tr>
      <w:tr>
        <w:trPr>
          <w:trHeight w:val="20"/>
        </w:trPr>
        <w:tc>
          <w:tcPr>
            <w:tcW w:w="128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77"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 expense ratio is calculated by dividing other underwriting and general expenses and amortization of deferred policy acquisition costs by net premiums earned. The expense ratio measures a company’s operational efficiency in producing, underwriting, and administering its insurance business. The overall expense ratio increased 2.8 percentage points in the three-month period ended March 31, 2023, compared to the same period in 2022. The increase in the amortization of deferred policy acquisition costs is due to higher deferrable costs resulting from significant premium growth in the non-standard auto and commercial segments, which generally pay higher agent commissions than our other segments, compared to the prior year quarter. The primary drivers of the increase in other underwriting and general expenses were the impact of continued high levels of inflation and the favorable impact on the prior year quarter of the runout of the 2021 crop year multi-peril crop insurance business which reduced overall expenses for that period.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20"/>
                <w:szCs w:val="20"/>
                <w:color w:val="auto"/>
              </w:rPr>
            </w:pPr>
            <w:r>
              <w:rPr>
                <w:rFonts w:ascii="Arial" w:cs="Arial" w:eastAsia="Arial" w:hAnsi="Arial"/>
                <w:sz w:val="18"/>
                <w:szCs w:val="18"/>
                <w:b w:val="1"/>
                <w:bCs w:val="1"/>
                <w:i w:val="1"/>
                <w:iCs w:val="1"/>
                <w:color w:val="auto"/>
              </w:rPr>
              <w:t>Underwriting Gain (Loss) and Combined Ratio</w:t>
            </w:r>
          </w:p>
        </w:tc>
        <w:tc>
          <w:tcPr>
            <w:tcW w:w="2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05"/>
        </w:trPr>
        <w:tc>
          <w:tcPr>
            <w:tcW w:w="59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00" w:type="dxa"/>
            <w:vAlign w:val="bottom"/>
            <w:gridSpan w:val="7"/>
          </w:tcPr>
          <w:p>
            <w:pPr>
              <w:jc w:val="right"/>
              <w:ind w:right="220"/>
              <w:spacing w:after="0"/>
              <w:rPr>
                <w:sz w:val="20"/>
                <w:szCs w:val="20"/>
                <w:color w:val="auto"/>
              </w:rPr>
            </w:pPr>
            <w:r>
              <w:rPr>
                <w:rFonts w:ascii="Arial" w:cs="Arial" w:eastAsia="Arial" w:hAnsi="Arial"/>
                <w:sz w:val="18"/>
                <w:szCs w:val="18"/>
                <w:b w:val="1"/>
                <w:bCs w:val="1"/>
                <w:color w:val="auto"/>
                <w:w w:val="92"/>
              </w:rPr>
              <w:t>Three Months Ended March 31,</w:t>
            </w:r>
          </w:p>
        </w:tc>
      </w:tr>
      <w:tr>
        <w:trPr>
          <w:trHeight w:val="223"/>
        </w:trPr>
        <w:tc>
          <w:tcPr>
            <w:tcW w:w="5980" w:type="dxa"/>
            <w:vAlign w:val="bottom"/>
            <w:tcBorders>
              <w:bottom w:val="single" w:sz="8" w:color="CCEEFF"/>
            </w:tcBorders>
          </w:tcPr>
          <w:p>
            <w:pPr>
              <w:spacing w:after="0"/>
              <w:rPr>
                <w:sz w:val="19"/>
                <w:szCs w:val="19"/>
                <w:color w:val="auto"/>
              </w:rPr>
            </w:pPr>
          </w:p>
        </w:tc>
        <w:tc>
          <w:tcPr>
            <w:tcW w:w="246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Underwriting gain (loss):</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ind w:left="200"/>
              <w:spacing w:after="0"/>
              <w:rPr>
                <w:sz w:val="20"/>
                <w:szCs w:val="20"/>
                <w:color w:val="auto"/>
              </w:rPr>
            </w:pPr>
            <w:r>
              <w:rPr>
                <w:rFonts w:ascii="Arial" w:cs="Arial" w:eastAsia="Arial" w:hAnsi="Arial"/>
                <w:sz w:val="18"/>
                <w:szCs w:val="18"/>
                <w:color w:val="auto"/>
              </w:rPr>
              <w:t>Private passenger auto</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81"/>
              <w:spacing w:after="0"/>
              <w:rPr>
                <w:sz w:val="20"/>
                <w:szCs w:val="20"/>
                <w:color w:val="auto"/>
              </w:rPr>
            </w:pPr>
            <w:r>
              <w:rPr>
                <w:rFonts w:ascii="Arial" w:cs="Arial" w:eastAsia="Arial" w:hAnsi="Arial"/>
                <w:sz w:val="18"/>
                <w:szCs w:val="18"/>
                <w:color w:val="auto"/>
              </w:rPr>
              <w:t>(2,390)</w:t>
            </w:r>
          </w:p>
        </w:tc>
        <w:tc>
          <w:tcPr>
            <w:tcW w:w="260" w:type="dxa"/>
            <w:vAlign w:val="bottom"/>
            <w:gridSpan w:val="2"/>
          </w:tcPr>
          <w:p>
            <w:pPr>
              <w:jc w:val="right"/>
              <w:ind w:right="87"/>
              <w:spacing w:after="0"/>
              <w:rPr>
                <w:sz w:val="20"/>
                <w:szCs w:val="20"/>
                <w:color w:val="auto"/>
              </w:rPr>
            </w:pPr>
            <w:r>
              <w:rPr>
                <w:rFonts w:ascii="Arial" w:cs="Arial" w:eastAsia="Arial" w:hAnsi="Arial"/>
                <w:sz w:val="18"/>
                <w:szCs w:val="18"/>
                <w:color w:val="auto"/>
                <w:w w:val="79"/>
              </w:rPr>
              <w:t>$</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(1,737)</w:t>
            </w:r>
          </w:p>
        </w:tc>
      </w:tr>
      <w:tr>
        <w:trPr>
          <w:trHeight w:val="216"/>
        </w:trPr>
        <w:tc>
          <w:tcPr>
            <w:tcW w:w="5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Non-standard auto</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(5,153)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(204)</w:t>
            </w:r>
          </w:p>
        </w:tc>
      </w:tr>
      <w:tr>
        <w:trPr>
          <w:trHeight w:val="216"/>
        </w:trPr>
        <w:tc>
          <w:tcPr>
            <w:tcW w:w="5980" w:type="dxa"/>
            <w:vAlign w:val="bottom"/>
          </w:tcPr>
          <w:p>
            <w:pPr>
              <w:ind w:left="200"/>
              <w:spacing w:after="0"/>
              <w:rPr>
                <w:sz w:val="20"/>
                <w:szCs w:val="20"/>
                <w:color w:val="auto"/>
              </w:rPr>
            </w:pPr>
            <w:r>
              <w:rPr>
                <w:rFonts w:ascii="Arial" w:cs="Arial" w:eastAsia="Arial" w:hAnsi="Arial"/>
                <w:sz w:val="18"/>
                <w:szCs w:val="18"/>
                <w:color w:val="auto"/>
              </w:rPr>
              <w:t>Home and farm</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41"/>
              <w:spacing w:after="0"/>
              <w:rPr>
                <w:sz w:val="20"/>
                <w:szCs w:val="20"/>
                <w:color w:val="auto"/>
              </w:rPr>
            </w:pPr>
            <w:r>
              <w:rPr>
                <w:rFonts w:ascii="Arial" w:cs="Arial" w:eastAsia="Arial" w:hAnsi="Arial"/>
                <w:sz w:val="18"/>
                <w:szCs w:val="18"/>
                <w:color w:val="auto"/>
              </w:rPr>
              <w:t>5,067</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6,399</w:t>
            </w: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Crop</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16</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705</w:t>
            </w:r>
          </w:p>
        </w:tc>
      </w:tr>
      <w:tr>
        <w:trPr>
          <w:trHeight w:val="216"/>
        </w:trPr>
        <w:tc>
          <w:tcPr>
            <w:tcW w:w="5980" w:type="dxa"/>
            <w:vAlign w:val="bottom"/>
          </w:tcPr>
          <w:p>
            <w:pPr>
              <w:ind w:left="200"/>
              <w:spacing w:after="0"/>
              <w:rPr>
                <w:sz w:val="20"/>
                <w:szCs w:val="20"/>
                <w:color w:val="auto"/>
              </w:rPr>
            </w:pPr>
            <w:r>
              <w:rPr>
                <w:rFonts w:ascii="Arial" w:cs="Arial" w:eastAsia="Arial" w:hAnsi="Arial"/>
                <w:sz w:val="18"/>
                <w:szCs w:val="18"/>
                <w:color w:val="auto"/>
              </w:rPr>
              <w:t>Commercial</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81"/>
              <w:spacing w:after="0"/>
              <w:rPr>
                <w:sz w:val="20"/>
                <w:szCs w:val="20"/>
                <w:color w:val="auto"/>
              </w:rPr>
            </w:pPr>
            <w:r>
              <w:rPr>
                <w:rFonts w:ascii="Arial" w:cs="Arial" w:eastAsia="Arial" w:hAnsi="Arial"/>
                <w:sz w:val="18"/>
                <w:szCs w:val="18"/>
                <w:color w:val="auto"/>
              </w:rPr>
              <w:t>(8,183)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(1,165)</w:t>
            </w:r>
          </w:p>
        </w:tc>
      </w:tr>
      <w:tr>
        <w:trPr>
          <w:trHeight w:val="230"/>
        </w:trPr>
        <w:tc>
          <w:tcPr>
            <w:tcW w:w="5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All other</w:t>
            </w:r>
          </w:p>
        </w:tc>
        <w:tc>
          <w:tcPr>
            <w:tcW w:w="2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1,201</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2,056</w:t>
            </w:r>
          </w:p>
        </w:tc>
        <w:tc>
          <w:tcPr>
            <w:tcW w:w="80" w:type="dxa"/>
            <w:vAlign w:val="bottom"/>
            <w:shd w:val="clear" w:color="auto" w:fill="CCEEFF"/>
          </w:tcPr>
          <w:p>
            <w:pPr>
              <w:spacing w:after="0"/>
              <w:rPr>
                <w:sz w:val="19"/>
                <w:szCs w:val="19"/>
                <w:color w:val="auto"/>
              </w:rPr>
            </w:pPr>
          </w:p>
        </w:tc>
      </w:tr>
      <w:tr>
        <w:trPr>
          <w:trHeight w:val="223"/>
        </w:trPr>
        <w:tc>
          <w:tcPr>
            <w:tcW w:w="5980" w:type="dxa"/>
            <w:vAlign w:val="bottom"/>
          </w:tcPr>
          <w:p>
            <w:pPr>
              <w:ind w:left="400"/>
              <w:spacing w:after="0"/>
              <w:rPr>
                <w:sz w:val="20"/>
                <w:szCs w:val="20"/>
                <w:color w:val="auto"/>
              </w:rPr>
            </w:pPr>
            <w:r>
              <w:rPr>
                <w:rFonts w:ascii="Arial" w:cs="Arial" w:eastAsia="Arial" w:hAnsi="Arial"/>
                <w:sz w:val="18"/>
                <w:szCs w:val="18"/>
                <w:color w:val="auto"/>
              </w:rPr>
              <w:t>Total underwriting gain (loss)</w:t>
            </w:r>
          </w:p>
        </w:tc>
        <w:tc>
          <w:tcPr>
            <w:tcW w:w="2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(9,442</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6,054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p>
        </w:tc>
        <w:tc>
          <w:tcPr>
            <w:tcW w:w="2800" w:type="dxa"/>
            <w:vAlign w:val="bottom"/>
            <w:gridSpan w:val="5"/>
          </w:tcPr>
          <w:p>
            <w:pPr>
              <w:ind w:left="120"/>
              <w:spacing w:after="0"/>
              <w:rPr>
                <w:sz w:val="20"/>
                <w:szCs w:val="20"/>
                <w:color w:val="auto"/>
              </w:rPr>
            </w:pPr>
            <w:r>
              <w:rPr>
                <w:rFonts w:ascii="Arial" w:cs="Arial" w:eastAsia="Arial" w:hAnsi="Arial"/>
                <w:sz w:val="18"/>
                <w:szCs w:val="18"/>
                <w:b w:val="1"/>
                <w:bCs w:val="1"/>
                <w:color w:val="auto"/>
                <w:w w:val="99"/>
              </w:rPr>
              <w:t>Three Months Ended March 31,</w:t>
            </w:r>
          </w:p>
        </w:tc>
      </w:tr>
      <w:tr>
        <w:trPr>
          <w:trHeight w:val="223"/>
        </w:trPr>
        <w:tc>
          <w:tcPr>
            <w:tcW w:w="8440" w:type="dxa"/>
            <w:vAlign w:val="bottom"/>
            <w:tcBorders>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Combined ratio:</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440" w:type="dxa"/>
            <w:vAlign w:val="bottom"/>
          </w:tcPr>
          <w:p>
            <w:pPr>
              <w:ind w:left="200"/>
              <w:spacing w:after="0"/>
              <w:rPr>
                <w:sz w:val="20"/>
                <w:szCs w:val="20"/>
                <w:color w:val="auto"/>
              </w:rPr>
            </w:pPr>
            <w:r>
              <w:rPr>
                <w:rFonts w:ascii="Arial" w:cs="Arial" w:eastAsia="Arial" w:hAnsi="Arial"/>
                <w:sz w:val="18"/>
                <w:szCs w:val="18"/>
                <w:color w:val="auto"/>
              </w:rPr>
              <w:t>Private passenger auto</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112.2%</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109.3%</w:t>
            </w:r>
          </w:p>
        </w:tc>
      </w:tr>
      <w:tr>
        <w:trPr>
          <w:trHeight w:val="216"/>
        </w:trPr>
        <w:tc>
          <w:tcPr>
            <w:tcW w:w="8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Non-standard auto</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124.7%</w:t>
            </w: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101.4%</w:t>
            </w:r>
          </w:p>
        </w:tc>
      </w:tr>
      <w:tr>
        <w:trPr>
          <w:trHeight w:val="216"/>
        </w:trPr>
        <w:tc>
          <w:tcPr>
            <w:tcW w:w="8440" w:type="dxa"/>
            <w:vAlign w:val="bottom"/>
          </w:tcPr>
          <w:p>
            <w:pPr>
              <w:ind w:left="200"/>
              <w:spacing w:after="0"/>
              <w:rPr>
                <w:sz w:val="20"/>
                <w:szCs w:val="20"/>
                <w:color w:val="auto"/>
              </w:rPr>
            </w:pPr>
            <w:r>
              <w:rPr>
                <w:rFonts w:ascii="Arial" w:cs="Arial" w:eastAsia="Arial" w:hAnsi="Arial"/>
                <w:sz w:val="18"/>
                <w:szCs w:val="18"/>
                <w:color w:val="auto"/>
              </w:rPr>
              <w:t>Home and farm</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74.7%</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66.7%</w:t>
            </w:r>
          </w:p>
        </w:tc>
        <w:tc>
          <w:tcPr>
            <w:tcW w:w="80" w:type="dxa"/>
            <w:vAlign w:val="bottom"/>
          </w:tcPr>
          <w:p>
            <w:pPr>
              <w:spacing w:after="0"/>
              <w:rPr>
                <w:sz w:val="18"/>
                <w:szCs w:val="18"/>
                <w:color w:val="auto"/>
              </w:rPr>
            </w:pPr>
          </w:p>
        </w:tc>
      </w:tr>
      <w:tr>
        <w:trPr>
          <w:trHeight w:val="216"/>
        </w:trPr>
        <w:tc>
          <w:tcPr>
            <w:tcW w:w="8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Crop</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1340" w:type="dxa"/>
            <w:vAlign w:val="bottom"/>
            <w:gridSpan w:val="3"/>
            <w:shd w:val="clear" w:color="auto" w:fill="CCEEFF"/>
          </w:tcPr>
          <w:p>
            <w:pPr>
              <w:ind w:left="1020"/>
              <w:spacing w:after="0"/>
              <w:rPr>
                <w:sz w:val="20"/>
                <w:szCs w:val="20"/>
                <w:color w:val="auto"/>
              </w:rPr>
            </w:pPr>
            <w:r>
              <w:rPr>
                <w:rFonts w:ascii="Arial" w:cs="Arial" w:eastAsia="Arial" w:hAnsi="Arial"/>
                <w:sz w:val="18"/>
                <w:szCs w:val="18"/>
                <w:color w:val="auto"/>
              </w:rPr>
              <w:t>n/a</w:t>
            </w:r>
          </w:p>
        </w:tc>
      </w:tr>
      <w:tr>
        <w:trPr>
          <w:trHeight w:val="216"/>
        </w:trPr>
        <w:tc>
          <w:tcPr>
            <w:tcW w:w="8440" w:type="dxa"/>
            <w:vAlign w:val="bottom"/>
          </w:tcPr>
          <w:p>
            <w:pPr>
              <w:ind w:left="200"/>
              <w:spacing w:after="0"/>
              <w:rPr>
                <w:sz w:val="20"/>
                <w:szCs w:val="20"/>
                <w:color w:val="auto"/>
              </w:rPr>
            </w:pPr>
            <w:r>
              <w:rPr>
                <w:rFonts w:ascii="Arial" w:cs="Arial" w:eastAsia="Arial" w:hAnsi="Arial"/>
                <w:sz w:val="18"/>
                <w:szCs w:val="18"/>
                <w:color w:val="auto"/>
              </w:rPr>
              <w:t>Commercial</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151.1%</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108.2%</w:t>
            </w:r>
          </w:p>
        </w:tc>
      </w:tr>
      <w:tr>
        <w:trPr>
          <w:trHeight w:val="229"/>
        </w:trPr>
        <w:tc>
          <w:tcPr>
            <w:tcW w:w="8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All other</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33.7%</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33.2%</w:t>
            </w:r>
          </w:p>
        </w:tc>
        <w:tc>
          <w:tcPr>
            <w:tcW w:w="80" w:type="dxa"/>
            <w:vAlign w:val="bottom"/>
            <w:shd w:val="clear" w:color="auto" w:fill="CCEEFF"/>
          </w:tcPr>
          <w:p>
            <w:pPr>
              <w:spacing w:after="0"/>
              <w:rPr>
                <w:sz w:val="19"/>
                <w:szCs w:val="19"/>
                <w:color w:val="auto"/>
              </w:rPr>
            </w:pPr>
          </w:p>
        </w:tc>
      </w:tr>
      <w:tr>
        <w:trPr>
          <w:trHeight w:val="223"/>
        </w:trPr>
        <w:tc>
          <w:tcPr>
            <w:tcW w:w="8440" w:type="dxa"/>
            <w:vAlign w:val="bottom"/>
          </w:tcPr>
          <w:p>
            <w:pPr>
              <w:ind w:left="400"/>
              <w:spacing w:after="0"/>
              <w:rPr>
                <w:sz w:val="20"/>
                <w:szCs w:val="20"/>
                <w:color w:val="auto"/>
              </w:rPr>
            </w:pPr>
            <w:r>
              <w:rPr>
                <w:rFonts w:ascii="Arial" w:cs="Arial" w:eastAsia="Arial" w:hAnsi="Arial"/>
                <w:sz w:val="18"/>
                <w:szCs w:val="18"/>
                <w:color w:val="auto"/>
              </w:rPr>
              <w:t>Combined ratio</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112.2%</w:t>
            </w:r>
          </w:p>
        </w:tc>
        <w:tc>
          <w:tcPr>
            <w:tcW w:w="2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4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color w:val="auto"/>
        </w:rPr>
        <w:t>Underwriting gain (loss) measures the pre-tax profitability of our insurance operations. It is derived by subtracting losses and loss adjustment expenses, amortization of deferred policy acquisition costs, and other underwriting and general expenses from net premiums earned. The combined ratio represents the sum of these losses and expenses as a percentage of net premiums earned, and measures our overall underwriting profit.</w:t>
      </w:r>
    </w:p>
    <w:p>
      <w:pPr>
        <w:spacing w:after="0" w:line="108"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The total underwriting gain (loss) changed $15,496 to a loss of $9,442 for the three-month period ended March 31, 2023, from a gain of $6,054 for the three-month period ended March 31, 2022. These results were driven by the factors discussed in the Loss and Loss Adjustment Expenses section above.</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The overall combined ratio increased 20.9 percentage points in the three-month period ended March 31, 2023, compared to the same periods in 2022.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results were driven by the factors discussed in the Loss and Loss Adjustment Expenses section above.</w:t>
      </w:r>
    </w:p>
    <w:p>
      <w:pPr>
        <w:sectPr>
          <w:pgSz w:w="11900" w:h="16838" w:orient="portrait"/>
          <w:cols w:equalWidth="0" w:num="1">
            <w:col w:w="11240"/>
          </w:cols>
          <w:pgMar w:left="320" w:top="216" w:right="339" w:bottom="1440" w:gutter="0" w:footer="0" w:header="0"/>
        </w:sectPr>
      </w:pPr>
    </w:p>
    <w:p>
      <w:pPr>
        <w:spacing w:after="0" w:line="18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Fee and Other Income</w:t>
      </w:r>
    </w:p>
    <w:p>
      <w:pPr>
        <w:spacing w:after="0" w:line="18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had fee and other income of $274 for the three months ended March 31, 2023, compared to $428 for the three months ended March 31, 2022. Fee income is largely attributable to the non-standard auto segment and is a key component in measuring its profitability. Fee and other income on this business decreased to $232 for the three months ended March 31, 2023, from $388 for the three months ended March 31, 2022, driven by a shifting mix of business in the Chicago market. Additionally, the higher fee and other income in the prior year was primarily driven by miscellaneous income from the sale of property.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19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following table shows our average cash and invested assets, net investment income, and return on average cash and invested assets for the reported periods: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gridSpan w:val="6"/>
          </w:tcPr>
          <w:p>
            <w:pPr>
              <w:ind w:left="20"/>
              <w:spacing w:after="0"/>
              <w:rPr>
                <w:sz w:val="20"/>
                <w:szCs w:val="20"/>
                <w:color w:val="auto"/>
              </w:rPr>
            </w:pPr>
            <w:r>
              <w:rPr>
                <w:rFonts w:ascii="Arial" w:cs="Arial" w:eastAsia="Arial" w:hAnsi="Arial"/>
                <w:sz w:val="18"/>
                <w:szCs w:val="18"/>
                <w:b w:val="1"/>
                <w:bCs w:val="1"/>
                <w:color w:val="auto"/>
                <w:w w:val="99"/>
              </w:rPr>
              <w:t>Three Months Ended March 31,</w:t>
            </w:r>
          </w:p>
        </w:tc>
      </w:tr>
      <w:tr>
        <w:trPr>
          <w:trHeight w:val="223"/>
        </w:trPr>
        <w:tc>
          <w:tcPr>
            <w:tcW w:w="5980" w:type="dxa"/>
            <w:vAlign w:val="bottom"/>
            <w:tcBorders>
              <w:bottom w:val="single" w:sz="8" w:color="CCEEFF"/>
            </w:tcBorders>
          </w:tcPr>
          <w:p>
            <w:pPr>
              <w:spacing w:after="0"/>
              <w:rPr>
                <w:sz w:val="19"/>
                <w:szCs w:val="19"/>
                <w:color w:val="auto"/>
              </w:rPr>
            </w:pPr>
          </w:p>
        </w:tc>
        <w:tc>
          <w:tcPr>
            <w:tcW w:w="246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Average cash and invested assets</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405,608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499,385</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investment income</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2,239</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1,653</w:t>
            </w:r>
          </w:p>
        </w:tc>
      </w:tr>
      <w:tr>
        <w:trPr>
          <w:trHeight w:val="216"/>
        </w:trPr>
        <w:tc>
          <w:tcPr>
            <w:tcW w:w="598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Gross return on average cash and invested assets</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return on average cash and invested assets</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r>
    </w:tbl>
    <w:p>
      <w:pPr>
        <w:spacing w:after="0" w:line="200" w:lineRule="exact"/>
        <w:rPr>
          <w:sz w:val="20"/>
          <w:szCs w:val="20"/>
          <w:color w:val="auto"/>
        </w:rPr>
      </w:pPr>
    </w:p>
    <w:p>
      <w:pPr>
        <w:spacing w:after="0" w:line="218"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Net investment income increased $586 for the three months ended March 31, 2023 compared to the three months ended March 31, 2022. This increase was primarily driven by the rising interest rate environment as well as a higher allocation of invested assets to private placement securities and high dividend yield equities.</w:t>
      </w:r>
    </w:p>
    <w:p>
      <w:pPr>
        <w:spacing w:after="0" w:line="143"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Gross and net return on average cash and invested assets increased year-over-year, driven by the higher net investment income along with a decrease in average cash and invested assets (measured at fair value). This decrease was driven by unfavorable fixed income and equity market conditions particularly during the middle and later stages of 2022, along with investment sales as a result of elevated weather-related losses in 2022.</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spacing w:after="0"/>
              <w:rPr>
                <w:sz w:val="20"/>
                <w:szCs w:val="20"/>
                <w:color w:val="auto"/>
              </w:rPr>
            </w:pPr>
            <w:r>
              <w:rPr>
                <w:rFonts w:ascii="Arial" w:cs="Arial" w:eastAsia="Arial" w:hAnsi="Arial"/>
                <w:sz w:val="18"/>
                <w:szCs w:val="18"/>
                <w:b w:val="1"/>
                <w:bCs w:val="1"/>
                <w:i w:val="1"/>
                <w:iCs w:val="1"/>
                <w:color w:val="auto"/>
              </w:rPr>
              <w:t>Net Investment Gains (Losses)</w:t>
            </w:r>
          </w:p>
        </w:tc>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2"/>
        </w:trPr>
        <w:tc>
          <w:tcPr>
            <w:tcW w:w="6280" w:type="dxa"/>
            <w:vAlign w:val="bottom"/>
          </w:tcPr>
          <w:p>
            <w:pPr>
              <w:spacing w:after="0"/>
              <w:rPr>
                <w:sz w:val="20"/>
                <w:szCs w:val="20"/>
                <w:color w:val="auto"/>
              </w:rPr>
            </w:pPr>
            <w:r>
              <w:rPr>
                <w:rFonts w:ascii="Arial" w:cs="Arial" w:eastAsia="Arial" w:hAnsi="Arial"/>
                <w:sz w:val="18"/>
                <w:szCs w:val="18"/>
                <w:color w:val="auto"/>
              </w:rPr>
              <w:t>Net investment gains (losses) consisted of the following:</w:t>
            </w: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5"/>
        </w:trPr>
        <w:tc>
          <w:tcPr>
            <w:tcW w:w="62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00" w:type="dxa"/>
            <w:vAlign w:val="bottom"/>
            <w:gridSpan w:val="6"/>
          </w:tcPr>
          <w:p>
            <w:pPr>
              <w:jc w:val="right"/>
              <w:ind w:right="141"/>
              <w:spacing w:after="0"/>
              <w:rPr>
                <w:sz w:val="20"/>
                <w:szCs w:val="20"/>
                <w:color w:val="auto"/>
              </w:rPr>
            </w:pPr>
            <w:r>
              <w:rPr>
                <w:rFonts w:ascii="Arial" w:cs="Arial" w:eastAsia="Arial" w:hAnsi="Arial"/>
                <w:sz w:val="18"/>
                <w:szCs w:val="18"/>
                <w:b w:val="1"/>
                <w:bCs w:val="1"/>
                <w:color w:val="auto"/>
                <w:w w:val="92"/>
              </w:rPr>
              <w:t>Three Months Ended March 31,</w:t>
            </w:r>
          </w:p>
        </w:tc>
      </w:tr>
      <w:tr>
        <w:trPr>
          <w:trHeight w:val="223"/>
        </w:trPr>
        <w:tc>
          <w:tcPr>
            <w:tcW w:w="6280" w:type="dxa"/>
            <w:vAlign w:val="bottom"/>
            <w:tcBorders>
              <w:bottom w:val="single" w:sz="8" w:color="CCEEFF"/>
            </w:tcBorders>
          </w:tcPr>
          <w:p>
            <w:pPr>
              <w:spacing w:after="0"/>
              <w:rPr>
                <w:sz w:val="19"/>
                <w:szCs w:val="19"/>
                <w:color w:val="auto"/>
              </w:rPr>
            </w:pPr>
          </w:p>
        </w:tc>
        <w:tc>
          <w:tcPr>
            <w:tcW w:w="216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r>
      <w:tr>
        <w:trPr>
          <w:trHeight w:val="210"/>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Gross realized gains</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w:t>
            </w:r>
          </w:p>
        </w:tc>
        <w:tc>
          <w:tcPr>
            <w:tcW w:w="100" w:type="dxa"/>
            <w:vAlign w:val="bottom"/>
            <w:shd w:val="clear" w:color="auto" w:fill="CCEEFF"/>
          </w:tcPr>
          <w:p>
            <w:pPr>
              <w:spacing w:after="0"/>
              <w:rPr>
                <w:sz w:val="18"/>
                <w:szCs w:val="18"/>
                <w:color w:val="auto"/>
              </w:rPr>
            </w:pPr>
          </w:p>
        </w:tc>
      </w:tr>
      <w:tr>
        <w:trPr>
          <w:trHeight w:val="230"/>
        </w:trPr>
        <w:tc>
          <w:tcPr>
            <w:tcW w:w="6280" w:type="dxa"/>
            <w:vAlign w:val="bottom"/>
          </w:tcPr>
          <w:p>
            <w:pPr>
              <w:spacing w:after="0"/>
              <w:rPr>
                <w:sz w:val="20"/>
                <w:szCs w:val="20"/>
                <w:color w:val="auto"/>
              </w:rPr>
            </w:pPr>
            <w:r>
              <w:rPr>
                <w:rFonts w:ascii="Arial" w:cs="Arial" w:eastAsia="Arial" w:hAnsi="Arial"/>
                <w:sz w:val="18"/>
                <w:szCs w:val="18"/>
                <w:color w:val="auto"/>
              </w:rPr>
              <w:t>Gross realized losses, excluding credit impairment losses</w:t>
            </w: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(1,145)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(181)</w:t>
            </w:r>
          </w:p>
        </w:tc>
      </w:tr>
      <w:tr>
        <w:trPr>
          <w:trHeight w:val="210"/>
        </w:trPr>
        <w:tc>
          <w:tcPr>
            <w:tcW w:w="6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realized gains</w:t>
            </w:r>
          </w:p>
        </w:tc>
        <w:tc>
          <w:tcPr>
            <w:tcW w:w="2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6280" w:type="dxa"/>
            <w:vAlign w:val="bottom"/>
          </w:tcPr>
          <w:p>
            <w:pPr>
              <w:spacing w:after="0"/>
              <w:rPr>
                <w:sz w:val="20"/>
                <w:szCs w:val="20"/>
                <w:color w:val="auto"/>
              </w:rPr>
            </w:pPr>
            <w:r>
              <w:rPr>
                <w:rFonts w:ascii="Arial" w:cs="Arial" w:eastAsia="Arial" w:hAnsi="Arial"/>
                <w:sz w:val="18"/>
                <w:szCs w:val="18"/>
                <w:color w:val="auto"/>
              </w:rPr>
              <w:t>Change in net unrealized gains on equity securities</w:t>
            </w: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(10,170)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(6,466)</w:t>
            </w:r>
          </w:p>
        </w:tc>
      </w:tr>
      <w:tr>
        <w:trPr>
          <w:trHeight w:val="223"/>
        </w:trPr>
        <w:tc>
          <w:tcPr>
            <w:tcW w:w="6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investment gains (losses)</w:t>
            </w:r>
          </w:p>
        </w:tc>
        <w:tc>
          <w:tcPr>
            <w:tcW w:w="2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1,416</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2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91"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We had net realized gains of $11,586 for the three months ended March 31, 2023, compared to gains of $938 for the three months ended March 31, 2022. The increase in net realized gains was the result of a strategic liquidation of a portfolio of equity securities. The gross realized gains from the sale of these securities were largely offset by the elimination of the unrealized gain position of these securities. No credit impairment losses were reported during any of the periods presented.</w:t>
      </w:r>
    </w:p>
    <w:p>
      <w:pPr>
        <w:spacing w:after="0" w:line="14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experienced a decrease in net unrealized gains on equity securities of $10,170 during the three months ended March 31, 2023, driven by the equity portfolio liquidation noted above offset by the impact of changes in fair value attributable to favorable equity markets during the quarter. We experienced a decrease in net unrealized gains on equity securities of $6,466 during the three months ended March 31, 2022, driven by the impact of changes in fair value attributable to unfavorable equity markets.</w:t>
      </w:r>
    </w:p>
    <w:p>
      <w:pPr>
        <w:spacing w:after="0" w:line="14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fixed income securities are classified as available for sale because we will, from time to time, make sales of securities that are not impaired, consistent with our investment goals and policies. The fixed income portion of the portfolio experienced net unrealized gains of $6,021 during the three months ended March 31, 2023, compared to net unrealized losses of $20,937 during the three months ended March 31, 2022. The change was primarily the result of changes in U.S. interest rates. The change in the fair value of fixed income securities is not reflected in net income; rather it is reflected as a separate component (net of income taxes) of other comprehensive income.</w:t>
      </w:r>
    </w:p>
    <w:p>
      <w:pPr>
        <w:sectPr>
          <w:pgSz w:w="11900" w:h="16838" w:orient="portrait"/>
          <w:cols w:equalWidth="0" w:num="1">
            <w:col w:w="11240"/>
          </w:cols>
          <w:pgMar w:left="320" w:top="233" w:right="339" w:bottom="1440" w:gutter="0" w:footer="0" w:header="0"/>
        </w:sectPr>
      </w:pPr>
    </w:p>
    <w:p>
      <w:pPr>
        <w:spacing w:after="0" w:line="16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(Loss) before Income Taxes</w:t>
      </w:r>
    </w:p>
    <w:p>
      <w:pPr>
        <w:spacing w:after="0" w:line="185"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For the three months ended March 31, 2023, we had a pre-tax loss of $5,513 compared to pre-tax income of $2,607 for the three months ended March 31, 2022. This change was largely attributable to unfavorable prior year loss development in the non-standard auto and commercial segments, partially offset by significantly higher 2023 net investment gains.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198"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We recorded an income tax benefit of $1,013 for the three months ended March 31, 2023, compared to income tax expense of $568 for the three months ended March 31, 2022. Our effective tax rate for the first quarter of 2023 was 18.4% compared to an effective tax rate of 21.8% for the first quarter of 2022. The first quarter 2023 effective tax rate was impacted by the true-up of a prior year tax accrual.</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w:t>
      </w:r>
    </w:p>
    <w:p>
      <w:pPr>
        <w:spacing w:after="0" w:line="185"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For the three months ended March 31, 2023, we had a net loss before non-controlling interest of $4,500 compared to net income of $2,039 for the three months ended March 31, 2022. This change was largely attributable to unfavorable prior year loss development in the non-standard auto and commercial segments, partially offset by significantly higher 2023 net investment gains.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Return on Average Equity</w:t>
      </w:r>
    </w:p>
    <w:p>
      <w:pPr>
        <w:spacing w:after="0" w:line="18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For the three months ended March 31, 2023, we had annualized return on average equity, after non-controlling interest, of (6.7%) compared to annualized return on average equity, after non-controlling interest, of 2.3% for the three months ended March 31, 2022. Average equity is calculated as the average between beginning and ending equity, excluding non-controlling interest, for the period.</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8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preparation of financial statements in accordance with GAAP requires both the use of estimates and judgment relative to the application of appropriate accounting policies. We are required to make estimates and assumptions in certain circumstances that affect amounts reported in the unaudited consolidated financial statements and related footnotes. We evaluate these estimates and assumptions on an ongoing basis based on historical developments, market conditions, industry trends, and other information that we believe to be reasonable under the circumstances. There can be no assurance that actual results will conform to these estimates and assumptions or that reported results of operations will not be materially and adversely affected by the need to make accounting adjustments to reflect changes in these estimates and assumptions from time to time. Our critical accounting policies are more fully described in Part II, Item 7, “Management's Discussion and Analysis of Financial Condition and Results of Operations” presented in our 2022 Annual Report. There have been no changes in our critical accounting policies from December 31, 2022.</w:t>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0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expect to generate sufficient funds from our operations and maintain a high degree of liquidity in our investment portfolio to meet the demands of claim settlements and operating expenses for the foreseeable future. The primary sources of funds are premium collections, investment earnings, fixed income maturities, and the remaining proceeds from our 2017 IPO.</w:t>
      </w:r>
    </w:p>
    <w:p>
      <w:pPr>
        <w:sectPr>
          <w:pgSz w:w="11900" w:h="16838" w:orient="portrait"/>
          <w:cols w:equalWidth="0" w:num="1">
            <w:col w:w="11220"/>
          </w:cols>
          <w:pgMar w:left="320" w:top="233" w:right="359" w:bottom="1440" w:gutter="0" w:footer="0" w:header="0"/>
        </w:sectPr>
      </w:pP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The change in cash and cash equivalents for the three months ended March 31, 2023 and 2022 were as follows: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Net 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54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Net 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Net cash flows from financing activities</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Net increase (decrease) in cash and cash equivalents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4"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Three Months Ended March 31,</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95"/>
        </w:trPr>
        <w:tc>
          <w:tcPr>
            <w:tcW w:w="20" w:type="dxa"/>
            <w:vAlign w:val="bottom"/>
          </w:tcPr>
          <w:p>
            <w:pPr>
              <w:spacing w:after="0"/>
              <w:rPr>
                <w:sz w:val="16"/>
                <w:szCs w:val="16"/>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line="195" w:lineRule="exact"/>
              <w:rPr>
                <w:sz w:val="20"/>
                <w:szCs w:val="20"/>
                <w:color w:val="auto"/>
              </w:rPr>
            </w:pPr>
            <w:r>
              <w:rPr>
                <w:rFonts w:ascii="Arial" w:cs="Arial" w:eastAsia="Arial" w:hAnsi="Arial"/>
                <w:sz w:val="18"/>
                <w:szCs w:val="18"/>
                <w:color w:val="auto"/>
              </w:rPr>
              <w:t>(4,351)</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line="195" w:lineRule="exact"/>
              <w:rPr>
                <w:sz w:val="20"/>
                <w:szCs w:val="20"/>
                <w:color w:val="auto"/>
              </w:rPr>
            </w:pPr>
            <w:r>
              <w:rPr>
                <w:rFonts w:ascii="Arial" w:cs="Arial" w:eastAsia="Arial" w:hAnsi="Arial"/>
                <w:sz w:val="18"/>
                <w:szCs w:val="18"/>
                <w:color w:val="auto"/>
              </w:rPr>
              <w:t>3,849</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19,428</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(12,302)</w:t>
            </w:r>
          </w:p>
        </w:tc>
      </w:tr>
      <w:tr>
        <w:trPr>
          <w:trHeight w:val="244"/>
        </w:trPr>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(794)</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(8,228)</w:t>
            </w:r>
          </w:p>
        </w:tc>
      </w:tr>
      <w:tr>
        <w:trPr>
          <w:trHeight w:val="223"/>
        </w:trPr>
        <w:tc>
          <w:tcPr>
            <w:tcW w:w="20" w:type="dxa"/>
            <w:vAlign w:val="bottom"/>
          </w:tcPr>
          <w:p>
            <w:pPr>
              <w:spacing w:after="0"/>
              <w:rPr>
                <w:sz w:val="19"/>
                <w:szCs w:val="19"/>
                <w:color w:val="auto"/>
              </w:rPr>
            </w:pPr>
          </w:p>
        </w:tc>
        <w:tc>
          <w:tcPr>
            <w:tcW w:w="260" w:type="dxa"/>
            <w:vAlign w:val="bottom"/>
            <w:tcBorders>
              <w:top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14,283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(16,681</w:t>
            </w:r>
          </w:p>
        </w:tc>
        <w:tc>
          <w:tcPr>
            <w:tcW w:w="40" w:type="dxa"/>
            <w:vAlign w:val="bottom"/>
            <w:gridSpan w:val="2"/>
          </w:tcPr>
          <w:p>
            <w:pPr>
              <w:jc w:val="right"/>
              <w:spacing w:after="0"/>
              <w:rPr>
                <w:sz w:val="20"/>
                <w:szCs w:val="20"/>
                <w:color w:val="auto"/>
              </w:rPr>
            </w:pPr>
            <w:r>
              <w:rPr>
                <w:rFonts w:ascii="Arial" w:cs="Arial" w:eastAsia="Arial" w:hAnsi="Arial"/>
                <w:sz w:val="8"/>
                <w:szCs w:val="8"/>
                <w:color w:val="auto"/>
                <w:w w:val="73"/>
              </w:rPr>
              <w:t>)</w:t>
            </w:r>
          </w:p>
        </w:tc>
      </w:tr>
      <w:tr>
        <w:trPr>
          <w:trHeight w:val="20"/>
        </w:trPr>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020" w:space="420"/>
            <w:col w:w="2780"/>
          </w:cols>
          <w:pgMar w:left="320" w:top="233" w:right="359" w:bottom="1440" w:gutter="0" w:footer="0" w:header="0"/>
          <w:type w:val="continuous"/>
        </w:sectPr>
      </w:pPr>
    </w:p>
    <w:p>
      <w:pPr>
        <w:spacing w:after="0" w:line="218"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For the three months ended March 31, 2023, net cash used by operating activities totaled $4,351 compared to net cash provided of $3,849 a year ago. This change was primarily driven by higher levels of loss and loss adjustment payments as well as payments for accrued expenses and other liabilities.</w:t>
      </w:r>
    </w:p>
    <w:p>
      <w:pPr>
        <w:spacing w:after="0" w:line="9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For the three months ended March 31, 2023, net cash provided by investing activities totaled $19,428 compared to net cash used of $12,302 a year ago. This change was attributable to an increase in the sales of equity securities in the current year quarter compared to the prior year quarter for which some of the proceeds have not been reinvested as of March 31, 2023.</w:t>
      </w:r>
    </w:p>
    <w:p>
      <w:pPr>
        <w:sectPr>
          <w:pgSz w:w="11900" w:h="16838" w:orient="portrait"/>
          <w:cols w:equalWidth="0" w:num="1">
            <w:col w:w="11220"/>
          </w:cols>
          <w:pgMar w:left="320" w:top="233" w:right="359" w:bottom="1440" w:gutter="0" w:footer="0" w:header="0"/>
          <w:type w:val="continuous"/>
        </w:sectPr>
      </w:pP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00" w:lineRule="exact"/>
        <w:rPr>
          <w:sz w:val="20"/>
          <w:szCs w:val="20"/>
          <w:color w:val="auto"/>
        </w:rPr>
      </w:pPr>
    </w:p>
    <w:p>
      <w:pPr>
        <w:spacing w:after="0" w:line="201"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For the three months ended March 31, 2023, net cash used by financing activities totaled $794 compared to $8,228 a year ago. This decrease in cash used was attributable to an installment payment of $6,667 on the Westminster consideration payable during the first quarter of 2022.</w:t>
      </w:r>
    </w:p>
    <w:p>
      <w:pPr>
        <w:spacing w:after="0" w:line="11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As a standalone entity, and outside of the net proceeds from the IPO, our principal source of long-term liquidity will be dividend payments from our directly-owned subsidiaries.</w:t>
      </w:r>
    </w:p>
    <w:p>
      <w:pPr>
        <w:spacing w:after="0" w:line="13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Nodak Insurance is restricted by the insurance laws of North Dakota as to the amount of dividends or other distributions it may pay to NI Holdings. North Dakota law sets the maximum amount of dividends that may be paid by Nodak Insurance during any twelve-month period after notice to, but without prior approval of, the North Dakota Insurance Department. This amount cannot exceed the lesser of (i) 10% of surplus as regards policyholders as of the preceding December 31, or (ii) the statutory net income for the preceding calendar year (excluding realized capital gains), less any prior dividends paid during such twelve-month period. In addition, any insurance company other than a life insurance company may carry forward net income from the preceding two calendar years, not including realized investment gains, less any dividends actually paid during those two calendar years. Dividends in excess of this amount are considered “extraordinary” and are subject to the approval of the North Dakota Insurance Department.</w:t>
      </w:r>
    </w:p>
    <w:p>
      <w:pPr>
        <w:spacing w:after="0" w:line="12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There is no amount available for payment of dividends from Nodak Insurance to NI Holdings during 2023 without the prior approval of the North Dakota Insurance Department based upon the net loss of Nodak Insurance as of December 31, 2022. Prior to its payment of any dividend, Nodak Insurance will be required to provide notice of the dividend to the North Dakota Insurance Department. This notice must be provided to the North Dakota Insurance Department 30 days prior to the payment of an extraordinary dividend and 10 days prior to the payment of an ordinary dividend. The North Dakota Insurance Department has the power to limit or prohibit dividend payments if an insurance company is in violation of any law or regulation. These restrictions or any subsequently imposed restrictions may affect our future liquidity. No dividends were declared or paid by Nodak Insurance during the three months ended March 31, 2023. The Nodak Insurance Board of Directors declared and Nodak Insurance paid dividends of $3,000 to NI Holdings during the year ended December 31, 2022.</w:t>
      </w:r>
    </w:p>
    <w:p>
      <w:pPr>
        <w:spacing w:after="0" w:line="16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Direct Auto re-domesticated from Illinois to North Dakota during 2021, and is now subject to the same dividend restrictions as Nodak Insurance. There is no amount available for payment of dividends from Direct Auto to NI Holdings during 2023 without the prior approval of the North Dakota Insurance Department based upon the net loss of Direct Auto for the year ended December 31, 2022. No dividends were declared or paid by Direct Auto during the three months ended March 31, 2023, or the year ended December 31, 2022.</w:t>
      </w:r>
    </w:p>
    <w:p>
      <w:pPr>
        <w:spacing w:after="0" w:line="14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Westminster re-domesticated from Maryland to North Dakota during 2021, and is now subject to the same dividend restrictions as Nodak Insurance. There is no amount available for payment of dividends from Westminster to NI Holdings during 2023 without the prior approval of the North Dakota Insurance Department based upon the net loss of Westminster for the year ended December 31, 2022. No dividends were declared or paid by Westminster during the three months ended March 31, 2023, or the year ended December 31, 2022.</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233" w:right="399" w:bottom="1440" w:gutter="0" w:footer="0" w:header="0"/>
        </w:sectPr>
      </w:pPr>
    </w:p>
    <w:bookmarkStart w:id="38" w:name="page39"/>
    <w:bookmarkEnd w:id="38"/>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 Quantitative and Qualitative Disclosures about Market Risk</w:t>
      </w:r>
    </w:p>
    <w:p>
      <w:pPr>
        <w:spacing w:after="0" w:line="189" w:lineRule="exact"/>
        <w:rPr>
          <w:sz w:val="20"/>
          <w:szCs w:val="20"/>
          <w:color w:val="auto"/>
        </w:rPr>
      </w:pPr>
    </w:p>
    <w:p>
      <w:pPr>
        <w:ind w:right="740"/>
        <w:spacing w:after="0" w:line="342" w:lineRule="auto"/>
        <w:rPr>
          <w:sz w:val="20"/>
          <w:szCs w:val="20"/>
          <w:color w:val="auto"/>
        </w:rPr>
      </w:pPr>
      <w:r>
        <w:rPr>
          <w:rFonts w:ascii="Arial" w:cs="Arial" w:eastAsia="Arial" w:hAnsi="Arial"/>
          <w:sz w:val="16"/>
          <w:szCs w:val="16"/>
          <w:color w:val="auto"/>
        </w:rPr>
        <w:t>The Company’s assessment of market risk as of March 31, 2023, indicates there have been no material changes in the quantitative and qualitative disclosures from those in Part II, Item 7A, “Quantitative and Qualitative Disclosures About Market Risk” in our 2022 Annual Report.</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 Controls and Procedures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Evaluation of Disclosure Controls and Procedures</w:t>
      </w:r>
    </w:p>
    <w:p>
      <w:pPr>
        <w:spacing w:after="0" w:line="18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Company’s Chief Executive Officer and Chief Financial Officer have reviewed and evaluated the effectiveness of the Company’s disclosure controls and procedures (as required by Rules 13a-15(b) and 15d-15(b) under the Exchange Act) as of the end of the period covered by this report. Based on that evaluation, the Chief Executive Officer and Chief Financial Officer have concluded that the Company’s disclosure controls and procedures, as of the end of the period covered by this report, were designed and functioning effectively to provide reasonable assurance that the information required to be disclosed in our periodic reports filed under the Exchange Act is recorded, processed, summarized, and reported within the time periods specified in the rules and forms of the Securities and Exchange Commission (“SEC”), and that such material information is accumulated and communicated to the Chief Executive Officer and Chief Financial Officer to allow timely decisions regarding required disclosures. We believe that a control system, no matter how well designed and operated, cannot provide absolute assurance that the objectives of the control system are met, and no evaluation of controls can provide absolute assurance that all control issues and instances of fraud, if any, within a company have been detected.</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Changes in Internal Control over Financial Reporting</w:t>
      </w:r>
    </w:p>
    <w:p>
      <w:pPr>
        <w:spacing w:after="0" w:line="18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the ordinary course of business, we periodically review our system of internal control over financial reporting to identify opportunities to improve our controls and increase efficiency, while ensuring that we maintain an effective internal control environment. There have not been any changes in the Company’s internal control over financial reporting (as such term is defined in Rules 13a-15(f) and 15d-15(f) under the Exchange Act) during the fiscal quarter to which this report relates that have materially affected, or are reasonably likely to materially affect, the Company’s internal control over financial reporting.</w:t>
      </w:r>
    </w:p>
    <w:p>
      <w:pPr>
        <w:spacing w:after="0" w:line="200" w:lineRule="exact"/>
        <w:rPr>
          <w:sz w:val="20"/>
          <w:szCs w:val="20"/>
          <w:color w:val="auto"/>
        </w:rPr>
      </w:pPr>
    </w:p>
    <w:p>
      <w:pPr>
        <w:spacing w:after="0" w:line="3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39" w:name="page40"/>
    <w:bookmarkEnd w:id="39"/>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39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PART II. -</w:t>
      </w:r>
    </w:p>
    <w:p>
      <w:pPr>
        <w:spacing w:after="0" w:line="225"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OTHER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 Legal Proceedings</w:t>
      </w:r>
    </w:p>
    <w:p>
      <w:pPr>
        <w:spacing w:after="0" w:line="18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are party to litigation in the normal course of business. Based upon information presently available to us, we do not consider any litigation to be material. However, given the uncertainties attendant to litigation, we cannot assure you that our results of operations and financial condition will not be materially adversely affected by any litigation.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 Risk Factors</w:t>
      </w:r>
    </w:p>
    <w:p>
      <w:pPr>
        <w:spacing w:after="0" w:line="20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There have been no material changes in our assessment of our risk factors from those set forth in Part I, Item 1A, “Risk Factors” in our 2022 Annual Report.</w:t>
      </w:r>
    </w:p>
    <w:p>
      <w:pPr>
        <w:spacing w:after="0" w:line="200" w:lineRule="exact"/>
        <w:rPr>
          <w:sz w:val="20"/>
          <w:szCs w:val="20"/>
          <w:color w:val="auto"/>
        </w:rPr>
      </w:pPr>
    </w:p>
    <w:p>
      <w:pPr>
        <w:spacing w:after="0" w:line="32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320" w:top="233" w:right="679" w:bottom="1440" w:gutter="0" w:footer="0" w:header="0"/>
        </w:sectPr>
      </w:pPr>
    </w:p>
    <w:bookmarkStart w:id="40" w:name="page41"/>
    <w:bookmarkEnd w:id="40"/>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 Unregistered Sales of Equity Securities and Use of Proceeds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All dollar amounts included in Item 2 herein, except per share data, are in thousands.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not sold any unregistered securities within the past three years.</w:t>
      </w:r>
    </w:p>
    <w:p>
      <w:pPr>
        <w:spacing w:after="0" w:line="185"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On January 17, 2017, our registration statement on Form S-1 registering our common stock was declared effective by the SEC. On March 13, 2017, the Company completed the IPO of 10,350,000 shares of common stock at a price of $10.00 per share. The Company received net proceeds of $93,145 from the offering, after deducting underwriting discounts and offering expenses.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Direct Auto was acquired on August 31, 2018 with $17,000 of the net proceeds from the IPO.</w:t>
      </w:r>
    </w:p>
    <w:p>
      <w:pPr>
        <w:spacing w:after="0" w:line="18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On January 1, 2020, we acquired Westminster for $40,000. We paid $20,000 at the time of closing. The terms of the acquisition agreement included payment of the remaining $20,000, subject to certain adjustments, in three equal installments on each of the first and second anniversaries of the closing, and on the first business day of the month preceding the third anniversary of the closing. The first two installments were paid in January 2021 and January 2022, and the final installment was paid in December 2022 with no adjustments from the originally anticipated amount. The Company used net proceeds from the IPO to satisfy these obligations.</w:t>
      </w:r>
    </w:p>
    <w:p>
      <w:pPr>
        <w:spacing w:after="0" w:line="147"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From time to time, the Company may also repurchase its own stock. To date, the Company has used the net proceeds from the IPO to fund these share repurchases. The cost of treasury stock acquired, less the fair market value of any stock issued, will include the 1% excise tax imposed by the IRA.</w:t>
      </w:r>
    </w:p>
    <w:p>
      <w:pPr>
        <w:spacing w:after="0" w:line="9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There has been no material change in the planned use of proceeds from our IPO as described in our final prospectus filed with the SEC on January 17, 2017.</w:t>
      </w:r>
    </w:p>
    <w:p>
      <w:pPr>
        <w:spacing w:after="0" w:line="13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August 11, 2021, our Board of Directors approved an authorization for the repurchase of up to approximately $5,000 of the Company’s outstanding common stock. During the year ended December 31, 2021, we completed the repurchase of 81,095 shares of our common stock for $1,554 under this authorization. During the year ended December 31, 2022, we completed the repurchase of 214,937 shares of our common stock for $3,446 to close out this authorization.</w:t>
      </w:r>
    </w:p>
    <w:p>
      <w:pPr>
        <w:spacing w:after="0" w:line="14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On May 9, 2022, our Board of Directors approved an authorization for the repurchase of up to approximately $10,000 of the Company’s outstanding common stock. During the year ended December 31, 2022, we completed the repurchase of 54,223 shares of our common stock for $734 under this authorization. During the three months ended March 31, 2023, we repurchased an additional 46,099 shares of our common stock for $621. At March 31, 2023, $8,645 remains outstanding under this authorization.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Share repurchase activity during the three months ended March 31, 2023, is presented below:</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gridSpan w:val="4"/>
          </w:tcPr>
          <w:p>
            <w:pPr>
              <w:jc w:val="center"/>
              <w:ind w:right="100"/>
              <w:spacing w:after="0"/>
              <w:rPr>
                <w:sz w:val="20"/>
                <w:szCs w:val="20"/>
                <w:color w:val="auto"/>
              </w:rPr>
            </w:pPr>
            <w:r>
              <w:rPr>
                <w:rFonts w:ascii="Arial" w:cs="Arial" w:eastAsia="Arial" w:hAnsi="Arial"/>
                <w:sz w:val="18"/>
                <w:szCs w:val="18"/>
                <w:color w:val="auto"/>
                <w:w w:val="95"/>
              </w:rPr>
              <w:t>Maximum Approximate</w:t>
            </w:r>
          </w:p>
        </w:tc>
      </w:tr>
      <w:tr>
        <w:trPr>
          <w:trHeight w:val="216"/>
        </w:trPr>
        <w:tc>
          <w:tcPr>
            <w:tcW w:w="4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Total Number of</w:t>
            </w:r>
          </w:p>
        </w:tc>
        <w:tc>
          <w:tcPr>
            <w:tcW w:w="1900" w:type="dxa"/>
            <w:vAlign w:val="bottom"/>
            <w:gridSpan w:val="4"/>
          </w:tcPr>
          <w:p>
            <w:pPr>
              <w:jc w:val="center"/>
              <w:ind w:right="140"/>
              <w:spacing w:after="0"/>
              <w:rPr>
                <w:sz w:val="20"/>
                <w:szCs w:val="20"/>
                <w:color w:val="auto"/>
              </w:rPr>
            </w:pPr>
            <w:r>
              <w:rPr>
                <w:rFonts w:ascii="Arial" w:cs="Arial" w:eastAsia="Arial" w:hAnsi="Arial"/>
                <w:sz w:val="18"/>
                <w:szCs w:val="18"/>
                <w:color w:val="auto"/>
                <w:w w:val="91"/>
              </w:rPr>
              <w:t>Dollar Value of Shares</w:t>
            </w:r>
          </w:p>
        </w:tc>
      </w:tr>
      <w:tr>
        <w:trPr>
          <w:trHeight w:val="216"/>
        </w:trPr>
        <w:tc>
          <w:tcPr>
            <w:tcW w:w="4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color w:val="auto"/>
                <w:w w:val="85"/>
              </w:rPr>
              <w:t>Shares Purchased</w:t>
            </w:r>
          </w:p>
        </w:tc>
        <w:tc>
          <w:tcPr>
            <w:tcW w:w="120" w:type="dxa"/>
            <w:vAlign w:val="bottom"/>
          </w:tcPr>
          <w:p>
            <w:pPr>
              <w:spacing w:after="0"/>
              <w:rPr>
                <w:sz w:val="18"/>
                <w:szCs w:val="18"/>
                <w:color w:val="auto"/>
              </w:rPr>
            </w:pPr>
          </w:p>
        </w:tc>
        <w:tc>
          <w:tcPr>
            <w:tcW w:w="1780" w:type="dxa"/>
            <w:vAlign w:val="bottom"/>
            <w:gridSpan w:val="3"/>
          </w:tcPr>
          <w:p>
            <w:pPr>
              <w:jc w:val="center"/>
              <w:ind w:right="260"/>
              <w:spacing w:after="0"/>
              <w:rPr>
                <w:sz w:val="20"/>
                <w:szCs w:val="20"/>
                <w:color w:val="auto"/>
              </w:rPr>
            </w:pPr>
            <w:r>
              <w:rPr>
                <w:rFonts w:ascii="Arial" w:cs="Arial" w:eastAsia="Arial" w:hAnsi="Arial"/>
                <w:sz w:val="18"/>
                <w:szCs w:val="18"/>
                <w:color w:val="auto"/>
                <w:w w:val="92"/>
              </w:rPr>
              <w:t>That May Yet Be</w:t>
            </w:r>
          </w:p>
        </w:tc>
      </w:tr>
      <w:tr>
        <w:trPr>
          <w:trHeight w:val="217"/>
        </w:trPr>
        <w:tc>
          <w:tcPr>
            <w:tcW w:w="4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Total Number of</w:t>
            </w:r>
          </w:p>
        </w:tc>
        <w:tc>
          <w:tcPr>
            <w:tcW w:w="10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Average Price</w:t>
            </w:r>
          </w:p>
        </w:tc>
        <w:tc>
          <w:tcPr>
            <w:tcW w:w="156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as Part of Publicly</w:t>
            </w:r>
          </w:p>
        </w:tc>
        <w:tc>
          <w:tcPr>
            <w:tcW w:w="120" w:type="dxa"/>
            <w:vAlign w:val="bottom"/>
          </w:tcPr>
          <w:p>
            <w:pPr>
              <w:spacing w:after="0"/>
              <w:rPr>
                <w:sz w:val="18"/>
                <w:szCs w:val="18"/>
                <w:color w:val="auto"/>
              </w:rPr>
            </w:pPr>
          </w:p>
        </w:tc>
        <w:tc>
          <w:tcPr>
            <w:tcW w:w="1780" w:type="dxa"/>
            <w:vAlign w:val="bottom"/>
            <w:gridSpan w:val="3"/>
          </w:tcPr>
          <w:p>
            <w:pPr>
              <w:jc w:val="center"/>
              <w:ind w:right="280"/>
              <w:spacing w:after="0"/>
              <w:rPr>
                <w:sz w:val="20"/>
                <w:szCs w:val="20"/>
                <w:color w:val="auto"/>
              </w:rPr>
            </w:pPr>
            <w:r>
              <w:rPr>
                <w:rFonts w:ascii="Arial" w:cs="Arial" w:eastAsia="Arial" w:hAnsi="Arial"/>
                <w:sz w:val="18"/>
                <w:szCs w:val="18"/>
                <w:color w:val="auto"/>
                <w:w w:val="88"/>
              </w:rPr>
              <w:t>Purchased Under the</w:t>
            </w:r>
          </w:p>
        </w:tc>
      </w:tr>
      <w:tr>
        <w:trPr>
          <w:trHeight w:val="219"/>
        </w:trPr>
        <w:tc>
          <w:tcPr>
            <w:tcW w:w="4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color w:val="auto"/>
                <w:w w:val="84"/>
              </w:rPr>
              <w:t>Shares</w:t>
            </w:r>
          </w:p>
        </w:tc>
        <w:tc>
          <w:tcPr>
            <w:tcW w:w="100" w:type="dxa"/>
            <w:vAlign w:val="bottom"/>
          </w:tcPr>
          <w:p>
            <w:pPr>
              <w:spacing w:after="0"/>
              <w:rPr>
                <w:sz w:val="19"/>
                <w:szCs w:val="19"/>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color w:val="auto"/>
                <w:w w:val="88"/>
              </w:rPr>
              <w:t>Paid</w:t>
            </w: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Announced Plans</w:t>
            </w:r>
          </w:p>
        </w:tc>
        <w:tc>
          <w:tcPr>
            <w:tcW w:w="120" w:type="dxa"/>
            <w:vAlign w:val="bottom"/>
          </w:tcPr>
          <w:p>
            <w:pPr>
              <w:spacing w:after="0"/>
              <w:rPr>
                <w:sz w:val="19"/>
                <w:szCs w:val="19"/>
                <w:color w:val="auto"/>
              </w:rPr>
            </w:pPr>
          </w:p>
        </w:tc>
        <w:tc>
          <w:tcPr>
            <w:tcW w:w="1780" w:type="dxa"/>
            <w:vAlign w:val="bottom"/>
            <w:gridSpan w:val="3"/>
          </w:tcPr>
          <w:p>
            <w:pPr>
              <w:jc w:val="center"/>
              <w:ind w:right="200"/>
              <w:spacing w:after="0" w:line="218" w:lineRule="exact"/>
              <w:rPr>
                <w:sz w:val="20"/>
                <w:szCs w:val="20"/>
                <w:color w:val="auto"/>
              </w:rPr>
            </w:pPr>
            <w:r>
              <w:rPr>
                <w:rFonts w:ascii="Arial" w:cs="Arial" w:eastAsia="Arial" w:hAnsi="Arial"/>
                <w:sz w:val="16"/>
                <w:szCs w:val="16"/>
                <w:color w:val="auto"/>
                <w:w w:val="97"/>
              </w:rPr>
              <w:t xml:space="preserve">Plans or Programs </w:t>
            </w:r>
            <w:r>
              <w:rPr>
                <w:rFonts w:ascii="Arial" w:cs="Arial" w:eastAsia="Arial" w:hAnsi="Arial"/>
                <w:sz w:val="25"/>
                <w:szCs w:val="25"/>
                <w:color w:val="auto"/>
                <w:w w:val="97"/>
                <w:vertAlign w:val="superscript"/>
              </w:rPr>
              <w:t>(2)</w:t>
            </w:r>
          </w:p>
        </w:tc>
      </w:tr>
      <w:tr>
        <w:trPr>
          <w:trHeight w:val="267"/>
        </w:trPr>
        <w:tc>
          <w:tcPr>
            <w:tcW w:w="4900" w:type="dxa"/>
            <w:vAlign w:val="bottom"/>
            <w:gridSpan w:val="2"/>
          </w:tcPr>
          <w:p>
            <w:pPr>
              <w:ind w:left="1860"/>
              <w:spacing w:after="0"/>
              <w:rPr>
                <w:sz w:val="20"/>
                <w:szCs w:val="20"/>
                <w:color w:val="auto"/>
              </w:rPr>
            </w:pPr>
            <w:r>
              <w:rPr>
                <w:rFonts w:ascii="Arial" w:cs="Arial" w:eastAsia="Arial" w:hAnsi="Arial"/>
                <w:sz w:val="18"/>
                <w:szCs w:val="18"/>
                <w:color w:val="auto"/>
              </w:rPr>
              <w:t>Period in 2023</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color w:val="auto"/>
                <w:w w:val="85"/>
              </w:rPr>
              <w:t>Purchased</w:t>
            </w:r>
          </w:p>
        </w:tc>
        <w:tc>
          <w:tcPr>
            <w:tcW w:w="100" w:type="dxa"/>
            <w:vAlign w:val="bottom"/>
          </w:tcPr>
          <w:p>
            <w:pPr>
              <w:spacing w:after="0"/>
              <w:rPr>
                <w:sz w:val="23"/>
                <w:szCs w:val="23"/>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Per Share</w:t>
            </w:r>
          </w:p>
        </w:tc>
        <w:tc>
          <w:tcPr>
            <w:tcW w:w="1560" w:type="dxa"/>
            <w:vAlign w:val="bottom"/>
            <w:gridSpan w:val="2"/>
          </w:tcPr>
          <w:p>
            <w:pPr>
              <w:jc w:val="center"/>
              <w:ind w:right="220"/>
              <w:spacing w:after="0" w:line="267" w:lineRule="exact"/>
              <w:rPr>
                <w:sz w:val="20"/>
                <w:szCs w:val="20"/>
                <w:color w:val="auto"/>
              </w:rPr>
            </w:pPr>
            <w:r>
              <w:rPr>
                <w:rFonts w:ascii="Arial" w:cs="Arial" w:eastAsia="Arial" w:hAnsi="Arial"/>
                <w:sz w:val="18"/>
                <w:szCs w:val="18"/>
                <w:color w:val="auto"/>
                <w:w w:val="86"/>
              </w:rPr>
              <w:t xml:space="preserve">or Programs </w:t>
            </w:r>
            <w:r>
              <w:rPr>
                <w:rFonts w:ascii="Arial" w:cs="Arial" w:eastAsia="Arial" w:hAnsi="Arial"/>
                <w:sz w:val="29"/>
                <w:szCs w:val="29"/>
                <w:color w:val="auto"/>
                <w:w w:val="86"/>
                <w:vertAlign w:val="superscript"/>
              </w:rPr>
              <w:t>(1)</w:t>
            </w:r>
          </w:p>
        </w:tc>
        <w:tc>
          <w:tcPr>
            <w:tcW w:w="120" w:type="dxa"/>
            <w:vAlign w:val="bottom"/>
          </w:tcPr>
          <w:p>
            <w:pPr>
              <w:spacing w:after="0"/>
              <w:rPr>
                <w:sz w:val="23"/>
                <w:szCs w:val="23"/>
                <w:color w:val="auto"/>
              </w:rPr>
            </w:pPr>
          </w:p>
        </w:tc>
        <w:tc>
          <w:tcPr>
            <w:tcW w:w="1780" w:type="dxa"/>
            <w:vAlign w:val="bottom"/>
            <w:gridSpan w:val="3"/>
          </w:tcPr>
          <w:p>
            <w:pPr>
              <w:jc w:val="center"/>
              <w:ind w:right="220"/>
              <w:spacing w:after="0"/>
              <w:rPr>
                <w:sz w:val="20"/>
                <w:szCs w:val="20"/>
                <w:color w:val="auto"/>
              </w:rPr>
            </w:pPr>
            <w:r>
              <w:rPr>
                <w:rFonts w:ascii="Arial" w:cs="Arial" w:eastAsia="Arial" w:hAnsi="Arial"/>
                <w:sz w:val="18"/>
                <w:szCs w:val="18"/>
                <w:color w:val="auto"/>
                <w:w w:val="91"/>
              </w:rPr>
              <w:t>(in thousands)</w:t>
            </w:r>
          </w:p>
        </w:tc>
      </w:tr>
      <w:tr>
        <w:trPr>
          <w:trHeight w:val="210"/>
        </w:trPr>
        <w:tc>
          <w:tcPr>
            <w:tcW w:w="4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1 – 31, 2023</w:t>
            </w: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11,784</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13.60</w:t>
            </w:r>
          </w:p>
        </w:tc>
        <w:tc>
          <w:tcPr>
            <w:tcW w:w="2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11,784</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February 1 – 28, 2023</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9,519</w:t>
            </w:r>
          </w:p>
        </w:tc>
        <w:tc>
          <w:tcPr>
            <w:tcW w:w="1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13.89</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9,519</w:t>
            </w:r>
          </w:p>
        </w:tc>
        <w:tc>
          <w:tcPr>
            <w:tcW w:w="12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8,972</w:t>
            </w:r>
          </w:p>
        </w:tc>
        <w:tc>
          <w:tcPr>
            <w:tcW w:w="80" w:type="dxa"/>
            <w:vAlign w:val="bottom"/>
          </w:tcPr>
          <w:p>
            <w:pPr>
              <w:spacing w:after="0"/>
              <w:rPr>
                <w:sz w:val="18"/>
                <w:szCs w:val="18"/>
                <w:color w:val="auto"/>
              </w:rPr>
            </w:pPr>
          </w:p>
        </w:tc>
      </w:tr>
      <w:tr>
        <w:trPr>
          <w:trHeight w:val="230"/>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 – 31, 2023</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24,796</w:t>
            </w: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13.23</w:t>
            </w: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24,796</w:t>
            </w:r>
          </w:p>
        </w:tc>
        <w:tc>
          <w:tcPr>
            <w:tcW w:w="12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8,645</w:t>
            </w:r>
          </w:p>
        </w:tc>
        <w:tc>
          <w:tcPr>
            <w:tcW w:w="80" w:type="dxa"/>
            <w:vAlign w:val="bottom"/>
            <w:shd w:val="clear" w:color="auto" w:fill="CCEEFF"/>
          </w:tcPr>
          <w:p>
            <w:pPr>
              <w:spacing w:after="0"/>
              <w:rPr>
                <w:sz w:val="19"/>
                <w:szCs w:val="19"/>
                <w:color w:val="auto"/>
              </w:rPr>
            </w:pPr>
          </w:p>
        </w:tc>
      </w:tr>
      <w:tr>
        <w:trPr>
          <w:trHeight w:val="223"/>
        </w:trPr>
        <w:tc>
          <w:tcPr>
            <w:tcW w:w="490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46,099</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13.46</w:t>
            </w:r>
          </w:p>
        </w:tc>
        <w:tc>
          <w:tcPr>
            <w:tcW w:w="22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46,099</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8,645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740" w:hanging="416"/>
        <w:spacing w:after="0" w:line="194" w:lineRule="auto"/>
        <w:tabs>
          <w:tab w:leader="none" w:pos="660" w:val="left"/>
        </w:tabs>
        <w:numPr>
          <w:ilvl w:val="0"/>
          <w:numId w:val="27"/>
        </w:numPr>
        <w:rPr>
          <w:rFonts w:ascii="Arial" w:cs="Arial" w:eastAsia="Arial" w:hAnsi="Arial"/>
          <w:sz w:val="30"/>
          <w:szCs w:val="30"/>
          <w:color w:val="auto"/>
          <w:vertAlign w:val="superscript"/>
        </w:rPr>
      </w:pPr>
      <w:r>
        <w:rPr>
          <w:rFonts w:ascii="Arial" w:cs="Arial" w:eastAsia="Arial" w:hAnsi="Arial"/>
          <w:sz w:val="18"/>
          <w:szCs w:val="18"/>
          <w:color w:val="auto"/>
        </w:rPr>
        <w:t>Shares purchased pursuant to the May 9, 2022, publicly announced share repurchase authorization of up to approximately $10,000 of the Company’s outstanding common stock.</w:t>
      </w:r>
    </w:p>
    <w:p>
      <w:pPr>
        <w:ind w:left="660" w:right="360" w:hanging="416"/>
        <w:spacing w:after="0" w:line="187" w:lineRule="auto"/>
        <w:tabs>
          <w:tab w:leader="none" w:pos="660" w:val="left"/>
        </w:tabs>
        <w:numPr>
          <w:ilvl w:val="0"/>
          <w:numId w:val="27"/>
        </w:numPr>
        <w:rPr>
          <w:rFonts w:ascii="Arial" w:cs="Arial" w:eastAsia="Arial" w:hAnsi="Arial"/>
          <w:sz w:val="30"/>
          <w:szCs w:val="30"/>
          <w:color w:val="auto"/>
          <w:vertAlign w:val="superscript"/>
        </w:rPr>
      </w:pPr>
      <w:r>
        <w:rPr>
          <w:rFonts w:ascii="Arial" w:cs="Arial" w:eastAsia="Arial" w:hAnsi="Arial"/>
          <w:sz w:val="18"/>
          <w:szCs w:val="18"/>
          <w:color w:val="auto"/>
        </w:rPr>
        <w:t>Maximum dollar value of shares that may yet be purchased consist of up to approximately $8,645 under the May 9, 2022, publicly announced share repurchase authorization.</w:t>
      </w:r>
    </w:p>
    <w:p>
      <w:pPr>
        <w:spacing w:after="0" w:line="200" w:lineRule="exact"/>
        <w:rPr>
          <w:sz w:val="20"/>
          <w:szCs w:val="20"/>
          <w:color w:val="auto"/>
        </w:rPr>
      </w:pPr>
    </w:p>
    <w:p>
      <w:pPr>
        <w:spacing w:after="0" w:line="22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 Defaults upon Senior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 Mine Safety Disclosures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 Other Information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 Exhibits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60" w:type="dxa"/>
            <w:vAlign w:val="bottom"/>
            <w:gridSpan w:val="2"/>
          </w:tcPr>
          <w:p>
            <w:pPr>
              <w:ind w:left="260"/>
              <w:spacing w:after="0"/>
              <w:rPr>
                <w:sz w:val="20"/>
                <w:szCs w:val="20"/>
                <w:color w:val="auto"/>
              </w:rPr>
            </w:pPr>
            <w:r>
              <w:rPr>
                <w:rFonts w:ascii="Arial" w:cs="Arial" w:eastAsia="Arial" w:hAnsi="Arial"/>
                <w:sz w:val="18"/>
                <w:szCs w:val="18"/>
                <w:b w:val="1"/>
                <w:bCs w:val="1"/>
                <w:color w:val="auto"/>
              </w:rPr>
              <w:t>Exhibit</w:t>
            </w:r>
          </w:p>
        </w:tc>
        <w:tc>
          <w:tcPr>
            <w:tcW w:w="498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34"/>
        </w:trPr>
        <w:tc>
          <w:tcPr>
            <w:tcW w:w="1360" w:type="dxa"/>
            <w:vAlign w:val="bottom"/>
            <w:gridSpan w:val="2"/>
          </w:tcPr>
          <w:p>
            <w:pPr>
              <w:ind w:left="260"/>
              <w:spacing w:after="0"/>
              <w:rPr>
                <w:sz w:val="20"/>
                <w:szCs w:val="20"/>
                <w:color w:val="auto"/>
              </w:rPr>
            </w:pPr>
            <w:r>
              <w:rPr>
                <w:rFonts w:ascii="Arial" w:cs="Arial" w:eastAsia="Arial" w:hAnsi="Arial"/>
                <w:sz w:val="18"/>
                <w:szCs w:val="18"/>
                <w:b w:val="1"/>
                <w:bCs w:val="1"/>
                <w:color w:val="auto"/>
              </w:rPr>
              <w:t>Number</w:t>
            </w:r>
          </w:p>
        </w:tc>
        <w:tc>
          <w:tcPr>
            <w:tcW w:w="9880" w:type="dxa"/>
            <w:vAlign w:val="bottom"/>
            <w:gridSpan w:val="4"/>
          </w:tcPr>
          <w:p>
            <w:pPr>
              <w:ind w:left="4500"/>
              <w:spacing w:after="0"/>
              <w:rPr>
                <w:sz w:val="20"/>
                <w:szCs w:val="20"/>
                <w:color w:val="auto"/>
              </w:rPr>
            </w:pPr>
            <w:r>
              <w:rPr>
                <w:rFonts w:ascii="Arial" w:cs="Arial" w:eastAsia="Arial" w:hAnsi="Arial"/>
                <w:sz w:val="18"/>
                <w:szCs w:val="18"/>
                <w:b w:val="1"/>
                <w:bCs w:val="1"/>
                <w:color w:val="auto"/>
              </w:rPr>
              <w:t>Description</w:t>
            </w:r>
          </w:p>
        </w:tc>
      </w:tr>
      <w:tr>
        <w:trPr>
          <w:trHeight w:val="385"/>
        </w:trPr>
        <w:tc>
          <w:tcPr>
            <w:tcW w:w="114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24"/>
                <w:szCs w:val="24"/>
                <w:color w:val="auto"/>
              </w:rPr>
            </w:pPr>
          </w:p>
        </w:tc>
        <w:tc>
          <w:tcPr>
            <w:tcW w:w="9620" w:type="dxa"/>
            <w:vAlign w:val="bottom"/>
            <w:tcBorders>
              <w:top w:val="single" w:sz="8" w:color="auto"/>
              <w:bottom w:val="single" w:sz="8" w:color="0000EE"/>
            </w:tcBorders>
            <w:gridSpan w:val="3"/>
          </w:tcPr>
          <w:p>
            <w:pPr>
              <w:spacing w:after="0"/>
              <w:rPr>
                <w:sz w:val="20"/>
                <w:szCs w:val="20"/>
                <w:color w:val="auto"/>
              </w:rPr>
            </w:pPr>
            <w:r>
              <w:rPr>
                <w:rFonts w:ascii="Arial" w:cs="Arial" w:eastAsia="Arial" w:hAnsi="Arial"/>
                <w:sz w:val="18"/>
                <w:szCs w:val="18"/>
                <w:color w:val="0000EE"/>
                <w:w w:val="91"/>
              </w:rPr>
              <w:t>Certification of Principal Executive Officer Pursuant to Rules 13a-14(a) and 15d-14(a) under the Securities Exchange Act of 1934, as</w:t>
            </w:r>
          </w:p>
        </w:tc>
        <w:tc>
          <w:tcPr>
            <w:tcW w:w="260" w:type="dxa"/>
            <w:vAlign w:val="bottom"/>
            <w:tcBorders>
              <w:top w:val="single" w:sz="8" w:color="auto"/>
            </w:tcBorders>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4"/>
          </w:tcPr>
          <w:p>
            <w:pPr>
              <w:spacing w:after="0" w:line="196" w:lineRule="exact"/>
              <w:rPr>
                <w:sz w:val="20"/>
                <w:szCs w:val="20"/>
                <w:color w:val="auto"/>
              </w:rPr>
            </w:pPr>
            <w:r>
              <w:rPr>
                <w:rFonts w:ascii="Arial" w:cs="Arial" w:eastAsia="Arial" w:hAnsi="Arial"/>
                <w:sz w:val="18"/>
                <w:szCs w:val="18"/>
                <w:color w:val="0000EE"/>
              </w:rPr>
              <w:t>Adopted Pursuant to Section 302 of the Sarbanes-Oxley Act of 2002.</w:t>
            </w:r>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980" w:type="dxa"/>
            <w:vAlign w:val="bottom"/>
            <w:shd w:val="clear" w:color="auto" w:fill="0000EE"/>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r>
      <w:tr>
        <w:trPr>
          <w:trHeight w:val="412"/>
        </w:trPr>
        <w:tc>
          <w:tcPr>
            <w:tcW w:w="1140" w:type="dxa"/>
            <w:vAlign w:val="bottom"/>
          </w:tcPr>
          <w:p>
            <w:pPr>
              <w:ind w:left="260"/>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24"/>
                <w:szCs w:val="24"/>
                <w:color w:val="auto"/>
              </w:rPr>
            </w:pPr>
          </w:p>
        </w:tc>
        <w:tc>
          <w:tcPr>
            <w:tcW w:w="9880" w:type="dxa"/>
            <w:vAlign w:val="bottom"/>
            <w:gridSpan w:val="4"/>
          </w:tcPr>
          <w:p>
            <w:pPr>
              <w:spacing w:after="0"/>
              <w:rPr>
                <w:sz w:val="20"/>
                <w:szCs w:val="20"/>
                <w:color w:val="auto"/>
              </w:rPr>
            </w:pPr>
            <w:r>
              <w:rPr>
                <w:rFonts w:ascii="Arial" w:cs="Arial" w:eastAsia="Arial" w:hAnsi="Arial"/>
                <w:sz w:val="18"/>
                <w:szCs w:val="18"/>
                <w:color w:val="0000EE"/>
                <w:w w:val="94"/>
              </w:rPr>
              <w:t>Certification of Principal Financial Officer Pursuant to Rules 13a-14(a) and 15d-14(a) under the Securities Exchange Act of 1934, as</w:t>
            </w: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560" w:type="dxa"/>
            <w:vAlign w:val="bottom"/>
            <w:tcBorders>
              <w:top w:val="single" w:sz="8" w:color="0000EE"/>
            </w:tcBorders>
            <w:gridSpan w:val="2"/>
          </w:tcPr>
          <w:p>
            <w:pPr>
              <w:spacing w:after="0" w:line="196" w:lineRule="exact"/>
              <w:rPr>
                <w:sz w:val="20"/>
                <w:szCs w:val="20"/>
                <w:color w:val="auto"/>
              </w:rPr>
            </w:pPr>
            <w:r>
              <w:rPr>
                <w:rFonts w:ascii="Arial" w:cs="Arial" w:eastAsia="Arial" w:hAnsi="Arial"/>
                <w:sz w:val="18"/>
                <w:szCs w:val="18"/>
                <w:color w:val="0000EE"/>
              </w:rPr>
              <w:t>Adopted Pursuant to Section 302 of the Sarbanes-Oxley Act of 2002.</w:t>
            </w:r>
          </w:p>
        </w:tc>
        <w:tc>
          <w:tcPr>
            <w:tcW w:w="320" w:type="dxa"/>
            <w:vAlign w:val="bottom"/>
            <w:gridSpan w:val="2"/>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980" w:type="dxa"/>
            <w:vAlign w:val="bottom"/>
            <w:shd w:val="clear" w:color="auto" w:fill="0000EE"/>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29" w:lineRule="exact"/>
        <w:rPr>
          <w:sz w:val="20"/>
          <w:szCs w:val="20"/>
          <w:color w:val="auto"/>
        </w:rPr>
      </w:pPr>
    </w:p>
    <w:p>
      <w:pPr>
        <w:ind w:left="1360" w:right="180" w:hanging="1109"/>
        <w:spacing w:after="0" w:line="277" w:lineRule="auto"/>
        <w:tabs>
          <w:tab w:leader="none" w:pos="136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0000EE"/>
        </w:rPr>
        <w:t>Certification of Principal Executive Officer and Principal Financial Officer pursuant to 18 U.S.C. Section 1350, as adopted pursuant to Section 906 of the Sarbanes-Oxley Act of 2002.</w:t>
      </w:r>
    </w:p>
    <w:p>
      <w:pPr>
        <w:spacing w:after="0" w:line="170" w:lineRule="exact"/>
        <w:rPr>
          <w:sz w:val="20"/>
          <w:szCs w:val="20"/>
          <w:color w:val="auto"/>
        </w:rPr>
      </w:pPr>
    </w:p>
    <w:tbl>
      <w:tblPr>
        <w:tblLayout w:type="fixed"/>
        <w:tblInd w:w="26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101.INS</w:t>
            </w:r>
          </w:p>
        </w:tc>
        <w:tc>
          <w:tcPr>
            <w:tcW w:w="9820" w:type="dxa"/>
            <w:vAlign w:val="bottom"/>
          </w:tcPr>
          <w:p>
            <w:pPr>
              <w:ind w:left="220"/>
              <w:spacing w:after="0"/>
              <w:rPr>
                <w:sz w:val="20"/>
                <w:szCs w:val="20"/>
                <w:color w:val="auto"/>
              </w:rPr>
            </w:pPr>
            <w:r>
              <w:rPr>
                <w:rFonts w:ascii="Arial" w:cs="Arial" w:eastAsia="Arial" w:hAnsi="Arial"/>
                <w:sz w:val="18"/>
                <w:szCs w:val="18"/>
                <w:color w:val="auto"/>
                <w:w w:val="89"/>
              </w:rPr>
              <w:t>XBRL Instance Document – the instance document does not appear in the Interactive Data File because its XBRL tags are embedded</w:t>
            </w:r>
          </w:p>
        </w:tc>
      </w:tr>
      <w:tr>
        <w:trPr>
          <w:trHeight w:val="230"/>
        </w:trPr>
        <w:tc>
          <w:tcPr>
            <w:tcW w:w="880" w:type="dxa"/>
            <w:vAlign w:val="bottom"/>
          </w:tcPr>
          <w:p>
            <w:pPr>
              <w:spacing w:after="0"/>
              <w:rPr>
                <w:sz w:val="20"/>
                <w:szCs w:val="20"/>
                <w:color w:val="auto"/>
              </w:rPr>
            </w:pPr>
          </w:p>
        </w:tc>
        <w:tc>
          <w:tcPr>
            <w:tcW w:w="9820" w:type="dxa"/>
            <w:vAlign w:val="bottom"/>
          </w:tcPr>
          <w:p>
            <w:pPr>
              <w:ind w:left="220"/>
              <w:spacing w:after="0"/>
              <w:rPr>
                <w:sz w:val="20"/>
                <w:szCs w:val="20"/>
                <w:color w:val="auto"/>
              </w:rPr>
            </w:pPr>
            <w:r>
              <w:rPr>
                <w:rFonts w:ascii="Arial" w:cs="Arial" w:eastAsia="Arial" w:hAnsi="Arial"/>
                <w:sz w:val="18"/>
                <w:szCs w:val="18"/>
                <w:color w:val="auto"/>
              </w:rPr>
              <w:t>within the Inline XBRL document</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101.SCH</w:t>
            </w:r>
          </w:p>
        </w:tc>
        <w:tc>
          <w:tcPr>
            <w:tcW w:w="9820" w:type="dxa"/>
            <w:vAlign w:val="bottom"/>
          </w:tcPr>
          <w:p>
            <w:pPr>
              <w:ind w:left="220"/>
              <w:spacing w:after="0"/>
              <w:rPr>
                <w:sz w:val="20"/>
                <w:szCs w:val="20"/>
                <w:color w:val="auto"/>
              </w:rPr>
            </w:pPr>
            <w:r>
              <w:rPr>
                <w:rFonts w:ascii="Arial" w:cs="Arial" w:eastAsia="Arial" w:hAnsi="Arial"/>
                <w:sz w:val="18"/>
                <w:szCs w:val="18"/>
                <w:color w:val="auto"/>
              </w:rPr>
              <w:t>Inline XBRL Taxonomy Extension Schema Linkbase Document</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101.CAL</w:t>
            </w:r>
          </w:p>
        </w:tc>
        <w:tc>
          <w:tcPr>
            <w:tcW w:w="9820" w:type="dxa"/>
            <w:vAlign w:val="bottom"/>
          </w:tcPr>
          <w:p>
            <w:pPr>
              <w:ind w:left="22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101.DEF</w:t>
            </w:r>
          </w:p>
        </w:tc>
        <w:tc>
          <w:tcPr>
            <w:tcW w:w="9820" w:type="dxa"/>
            <w:vAlign w:val="bottom"/>
          </w:tcPr>
          <w:p>
            <w:pPr>
              <w:ind w:left="22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101.LAB</w:t>
            </w:r>
          </w:p>
        </w:tc>
        <w:tc>
          <w:tcPr>
            <w:tcW w:w="9820" w:type="dxa"/>
            <w:vAlign w:val="bottom"/>
          </w:tcPr>
          <w:p>
            <w:pPr>
              <w:ind w:left="22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101.PRE</w:t>
            </w:r>
          </w:p>
        </w:tc>
        <w:tc>
          <w:tcPr>
            <w:tcW w:w="9820" w:type="dxa"/>
            <w:vAlign w:val="bottom"/>
          </w:tcPr>
          <w:p>
            <w:pPr>
              <w:ind w:left="220"/>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202" w:lineRule="exact"/>
        <w:rPr>
          <w:sz w:val="20"/>
          <w:szCs w:val="20"/>
          <w:color w:val="auto"/>
        </w:rPr>
      </w:pPr>
    </w:p>
    <w:p>
      <w:pPr>
        <w:ind w:left="5520" w:right="3360" w:hanging="5269"/>
        <w:spacing w:after="0" w:line="653" w:lineRule="auto"/>
        <w:tabs>
          <w:tab w:leader="none" w:pos="1366"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i w:val="1"/>
          <w:iCs w:val="1"/>
          <w:u w:val="single" w:color="auto"/>
          <w:color w:val="0000EE"/>
        </w:rPr>
        <w:t>Table of Contents</w:t>
      </w:r>
    </w:p>
    <w:p>
      <w:pPr>
        <w:spacing w:after="0" w:line="33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May 8, 2023.</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NI HOLDINGS, INC.</w:t>
      </w:r>
    </w:p>
    <w:p>
      <w:pPr>
        <w:spacing w:after="0" w:line="200" w:lineRule="exact"/>
        <w:rPr>
          <w:sz w:val="20"/>
          <w:szCs w:val="20"/>
          <w:color w:val="auto"/>
        </w:rPr>
      </w:pPr>
    </w:p>
    <w:p>
      <w:pPr>
        <w:spacing w:after="0" w:line="241"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Michael J. Alexander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Michael J. Alexander</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2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Seth C. Daggett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Seth C. Daggett</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i w:val="1"/>
          <w:iCs w:val="1"/>
          <w:color w:val="auto"/>
        </w:rPr>
        <w:t>(Principal Financial Officer and Principal Accounting</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i w:val="1"/>
          <w:iCs w:val="1"/>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40"/>
          </w:cols>
          <w:pgMar w:left="320" w:top="233" w:right="1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 UNDER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SARBANES-OXLEY ACT OF 2002</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I, Michael J. Alexander, certify that:</w:t>
      </w:r>
    </w:p>
    <w:p>
      <w:pPr>
        <w:spacing w:after="0" w:line="185" w:lineRule="exact"/>
        <w:rPr>
          <w:sz w:val="20"/>
          <w:szCs w:val="20"/>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NI Holdings, Inc.;</w:t>
      </w:r>
    </w:p>
    <w:p>
      <w:pPr>
        <w:spacing w:after="0" w:line="184" w:lineRule="exact"/>
        <w:rPr>
          <w:rFonts w:ascii="Arial" w:cs="Arial" w:eastAsia="Arial" w:hAnsi="Arial"/>
          <w:sz w:val="18"/>
          <w:szCs w:val="18"/>
          <w:color w:val="auto"/>
        </w:rPr>
      </w:pPr>
    </w:p>
    <w:p>
      <w:pPr>
        <w:ind w:left="1300" w:right="160" w:hanging="644"/>
        <w:spacing w:after="0" w:line="263"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6" w:lineRule="exact"/>
        <w:rPr>
          <w:rFonts w:ascii="Arial" w:cs="Arial" w:eastAsia="Arial" w:hAnsi="Arial"/>
          <w:sz w:val="18"/>
          <w:szCs w:val="18"/>
          <w:color w:val="auto"/>
        </w:rPr>
      </w:pPr>
    </w:p>
    <w:p>
      <w:pPr>
        <w:ind w:left="1300" w:right="220" w:hanging="644"/>
        <w:spacing w:after="0" w:line="342" w:lineRule="auto"/>
        <w:tabs>
          <w:tab w:leader="none" w:pos="13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3" w:lineRule="exact"/>
        <w:rPr>
          <w:rFonts w:ascii="Arial" w:cs="Arial" w:eastAsia="Arial" w:hAnsi="Arial"/>
          <w:sz w:val="16"/>
          <w:szCs w:val="16"/>
          <w:color w:val="auto"/>
        </w:rPr>
      </w:pPr>
    </w:p>
    <w:p>
      <w:pPr>
        <w:ind w:left="1300" w:right="100" w:hanging="644"/>
        <w:spacing w:after="0" w:line="291" w:lineRule="auto"/>
        <w:tabs>
          <w:tab w:leader="none" w:pos="13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70" w:lineRule="exact"/>
        <w:rPr>
          <w:rFonts w:ascii="Arial" w:cs="Arial" w:eastAsia="Arial" w:hAnsi="Arial"/>
          <w:sz w:val="16"/>
          <w:szCs w:val="16"/>
          <w:color w:val="auto"/>
        </w:rPr>
      </w:pPr>
    </w:p>
    <w:p>
      <w:pPr>
        <w:ind w:left="1960" w:right="80" w:hanging="656"/>
        <w:spacing w:after="0" w:line="286" w:lineRule="auto"/>
        <w:tabs>
          <w:tab w:leader="none" w:pos="1960" w:val="left"/>
        </w:tabs>
        <w:numPr>
          <w:ilvl w:val="1"/>
          <w:numId w:val="3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8" w:lineRule="exact"/>
        <w:rPr>
          <w:rFonts w:ascii="Arial" w:cs="Arial" w:eastAsia="Arial" w:hAnsi="Arial"/>
          <w:sz w:val="17"/>
          <w:szCs w:val="17"/>
          <w:color w:val="auto"/>
        </w:rPr>
      </w:pPr>
    </w:p>
    <w:p>
      <w:pPr>
        <w:ind w:left="1960" w:right="220" w:hanging="656"/>
        <w:spacing w:after="0" w:line="286" w:lineRule="auto"/>
        <w:tabs>
          <w:tab w:leader="none" w:pos="1960" w:val="left"/>
        </w:tabs>
        <w:numPr>
          <w:ilvl w:val="1"/>
          <w:numId w:val="3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Arial" w:cs="Arial" w:eastAsia="Arial" w:hAnsi="Arial"/>
          <w:sz w:val="17"/>
          <w:szCs w:val="17"/>
          <w:color w:val="auto"/>
        </w:rPr>
      </w:pPr>
    </w:p>
    <w:p>
      <w:pPr>
        <w:ind w:left="1960" w:hanging="656"/>
        <w:spacing w:after="0" w:line="263" w:lineRule="auto"/>
        <w:tabs>
          <w:tab w:leader="none" w:pos="19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8"/>
          <w:szCs w:val="18"/>
          <w:color w:val="auto"/>
        </w:rPr>
      </w:pPr>
    </w:p>
    <w:p>
      <w:pPr>
        <w:ind w:left="1960" w:right="320" w:hanging="656"/>
        <w:spacing w:after="0" w:line="311" w:lineRule="auto"/>
        <w:tabs>
          <w:tab w:leader="none" w:pos="1960" w:val="left"/>
        </w:tabs>
        <w:numPr>
          <w:ilvl w:val="1"/>
          <w:numId w:val="3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Arial" w:cs="Arial" w:eastAsia="Arial" w:hAnsi="Arial"/>
          <w:sz w:val="16"/>
          <w:szCs w:val="16"/>
          <w:color w:val="auto"/>
        </w:rPr>
      </w:pPr>
    </w:p>
    <w:p>
      <w:pPr>
        <w:ind w:left="1300" w:right="140" w:hanging="644"/>
        <w:spacing w:after="0" w:line="263"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rFonts w:ascii="Arial" w:cs="Arial" w:eastAsia="Arial" w:hAnsi="Arial"/>
          <w:sz w:val="18"/>
          <w:szCs w:val="18"/>
          <w:color w:val="auto"/>
        </w:rPr>
      </w:pPr>
    </w:p>
    <w:p>
      <w:pPr>
        <w:ind w:left="1960" w:right="60" w:hanging="656"/>
        <w:spacing w:after="0" w:line="263" w:lineRule="auto"/>
        <w:tabs>
          <w:tab w:leader="none" w:pos="19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8"/>
          <w:szCs w:val="18"/>
          <w:color w:val="auto"/>
        </w:rPr>
      </w:pPr>
    </w:p>
    <w:p>
      <w:pPr>
        <w:ind w:left="1960" w:right="80" w:hanging="656"/>
        <w:spacing w:after="0" w:line="277" w:lineRule="auto"/>
        <w:tabs>
          <w:tab w:leader="none" w:pos="19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tcPr>
          <w:p>
            <w:pPr>
              <w:ind w:left="2080"/>
              <w:spacing w:after="0"/>
              <w:rPr>
                <w:sz w:val="20"/>
                <w:szCs w:val="20"/>
                <w:color w:val="auto"/>
              </w:rPr>
            </w:pPr>
            <w:r>
              <w:rPr>
                <w:rFonts w:ascii="Arial" w:cs="Arial" w:eastAsia="Arial" w:hAnsi="Arial"/>
                <w:sz w:val="18"/>
                <w:szCs w:val="18"/>
                <w:color w:val="auto"/>
              </w:rPr>
              <w:t>May 8, 2023</w:t>
            </w:r>
          </w:p>
        </w:tc>
        <w:tc>
          <w:tcPr>
            <w:tcW w:w="3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J. Alexander</w:t>
            </w:r>
          </w:p>
        </w:tc>
        <w:tc>
          <w:tcPr>
            <w:tcW w:w="2800" w:type="dxa"/>
            <w:vAlign w:val="bottom"/>
          </w:tcPr>
          <w:p>
            <w:pPr>
              <w:spacing w:after="0"/>
              <w:rPr>
                <w:sz w:val="20"/>
                <w:szCs w:val="20"/>
                <w:color w:val="auto"/>
              </w:rPr>
            </w:pPr>
          </w:p>
        </w:tc>
      </w:tr>
      <w:tr>
        <w:trPr>
          <w:trHeight w:val="195"/>
        </w:trPr>
        <w:tc>
          <w:tcPr>
            <w:tcW w:w="5080" w:type="dxa"/>
            <w:vAlign w:val="bottom"/>
          </w:tcPr>
          <w:p>
            <w:pPr>
              <w:spacing w:after="0"/>
              <w:rPr>
                <w:sz w:val="16"/>
                <w:szCs w:val="16"/>
                <w:color w:val="auto"/>
              </w:rPr>
            </w:pPr>
          </w:p>
        </w:tc>
        <w:tc>
          <w:tcPr>
            <w:tcW w:w="3360" w:type="dxa"/>
            <w:vAlign w:val="bottom"/>
          </w:tcPr>
          <w:p>
            <w:pPr>
              <w:spacing w:after="0" w:line="195" w:lineRule="exact"/>
              <w:rPr>
                <w:sz w:val="20"/>
                <w:szCs w:val="20"/>
                <w:color w:val="auto"/>
              </w:rPr>
            </w:pPr>
            <w:r>
              <w:rPr>
                <w:rFonts w:ascii="Arial" w:cs="Arial" w:eastAsia="Arial" w:hAnsi="Arial"/>
                <w:sz w:val="18"/>
                <w:szCs w:val="18"/>
                <w:color w:val="auto"/>
              </w:rPr>
              <w:t>Michael J. Alexander</w:t>
            </w:r>
          </w:p>
        </w:tc>
        <w:tc>
          <w:tcPr>
            <w:tcW w:w="2800" w:type="dxa"/>
            <w:vAlign w:val="bottom"/>
          </w:tcPr>
          <w:p>
            <w:pPr>
              <w:spacing w:after="0"/>
              <w:rPr>
                <w:sz w:val="16"/>
                <w:szCs w:val="16"/>
                <w:color w:val="auto"/>
              </w:rPr>
            </w:pPr>
          </w:p>
        </w:tc>
      </w:tr>
      <w:tr>
        <w:trPr>
          <w:trHeight w:val="216"/>
        </w:trPr>
        <w:tc>
          <w:tcPr>
            <w:tcW w:w="508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2800" w:type="dxa"/>
            <w:vAlign w:val="bottom"/>
          </w:tcPr>
          <w:p>
            <w:pPr>
              <w:spacing w:after="0"/>
              <w:rPr>
                <w:sz w:val="18"/>
                <w:szCs w:val="18"/>
                <w:color w:val="auto"/>
              </w:rPr>
            </w:pPr>
          </w:p>
        </w:tc>
      </w:tr>
      <w:tr>
        <w:trPr>
          <w:trHeight w:val="230"/>
        </w:trPr>
        <w:tc>
          <w:tcPr>
            <w:tcW w:w="5080" w:type="dxa"/>
            <w:vAlign w:val="bottom"/>
          </w:tcPr>
          <w:p>
            <w:pPr>
              <w:spacing w:after="0"/>
              <w:rPr>
                <w:sz w:val="20"/>
                <w:szCs w:val="20"/>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c>
          <w:tcPr>
            <w:tcW w:w="2800" w:type="dxa"/>
            <w:vAlign w:val="bottom"/>
          </w:tcPr>
          <w:p>
            <w:pPr>
              <w:spacing w:after="0"/>
              <w:rPr>
                <w:sz w:val="20"/>
                <w:szCs w:val="20"/>
                <w:color w:val="auto"/>
              </w:rPr>
            </w:pPr>
          </w:p>
        </w:tc>
      </w:tr>
      <w:tr>
        <w:trPr>
          <w:trHeight w:val="331"/>
        </w:trPr>
        <w:tc>
          <w:tcPr>
            <w:tcW w:w="508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42</w:t>
            </w:r>
          </w:p>
        </w:tc>
        <w:tc>
          <w:tcPr>
            <w:tcW w:w="2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31.2</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 UNDER SECTION 302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SARBANES-OXLEY ACT OF 2002</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I, Seth C. Daggett, certify that:</w:t>
      </w:r>
    </w:p>
    <w:p>
      <w:pPr>
        <w:spacing w:after="0" w:line="185" w:lineRule="exact"/>
        <w:rPr>
          <w:sz w:val="20"/>
          <w:szCs w:val="20"/>
          <w:color w:val="auto"/>
        </w:rPr>
      </w:pPr>
    </w:p>
    <w:p>
      <w:pPr>
        <w:ind w:left="1300" w:hanging="64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NI Holdings, Inc.;</w:t>
      </w:r>
    </w:p>
    <w:p>
      <w:pPr>
        <w:spacing w:after="0" w:line="198" w:lineRule="exact"/>
        <w:rPr>
          <w:rFonts w:ascii="Arial" w:cs="Arial" w:eastAsia="Arial" w:hAnsi="Arial"/>
          <w:sz w:val="18"/>
          <w:szCs w:val="18"/>
          <w:color w:val="auto"/>
        </w:rPr>
      </w:pPr>
    </w:p>
    <w:p>
      <w:pPr>
        <w:ind w:left="1300" w:right="160" w:hanging="644"/>
        <w:spacing w:after="0" w:line="263"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1300" w:right="220" w:hanging="644"/>
        <w:spacing w:after="0" w:line="342" w:lineRule="auto"/>
        <w:tabs>
          <w:tab w:leader="none" w:pos="13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3" w:lineRule="exact"/>
        <w:rPr>
          <w:rFonts w:ascii="Arial" w:cs="Arial" w:eastAsia="Arial" w:hAnsi="Arial"/>
          <w:sz w:val="16"/>
          <w:szCs w:val="16"/>
          <w:color w:val="auto"/>
        </w:rPr>
      </w:pPr>
    </w:p>
    <w:p>
      <w:pPr>
        <w:ind w:left="1300" w:right="100" w:hanging="644"/>
        <w:spacing w:after="0" w:line="291" w:lineRule="auto"/>
        <w:tabs>
          <w:tab w:leader="none" w:pos="13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83" w:lineRule="exact"/>
        <w:rPr>
          <w:rFonts w:ascii="Arial" w:cs="Arial" w:eastAsia="Arial" w:hAnsi="Arial"/>
          <w:sz w:val="16"/>
          <w:szCs w:val="16"/>
          <w:color w:val="auto"/>
        </w:rPr>
      </w:pPr>
    </w:p>
    <w:p>
      <w:pPr>
        <w:ind w:left="1960" w:right="80" w:hanging="656"/>
        <w:spacing w:after="0" w:line="286" w:lineRule="auto"/>
        <w:tabs>
          <w:tab w:leader="none" w:pos="1960" w:val="left"/>
        </w:tabs>
        <w:numPr>
          <w:ilvl w:val="1"/>
          <w:numId w:val="3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Arial" w:cs="Arial" w:eastAsia="Arial" w:hAnsi="Arial"/>
          <w:sz w:val="17"/>
          <w:szCs w:val="17"/>
          <w:color w:val="auto"/>
        </w:rPr>
      </w:pPr>
    </w:p>
    <w:p>
      <w:pPr>
        <w:ind w:left="1960" w:right="220" w:hanging="656"/>
        <w:spacing w:after="0" w:line="286" w:lineRule="auto"/>
        <w:tabs>
          <w:tab w:leader="none" w:pos="1960" w:val="left"/>
        </w:tabs>
        <w:numPr>
          <w:ilvl w:val="1"/>
          <w:numId w:val="3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Arial" w:cs="Arial" w:eastAsia="Arial" w:hAnsi="Arial"/>
          <w:sz w:val="17"/>
          <w:szCs w:val="17"/>
          <w:color w:val="auto"/>
        </w:rPr>
      </w:pPr>
    </w:p>
    <w:p>
      <w:pPr>
        <w:ind w:left="1960" w:hanging="656"/>
        <w:spacing w:after="0" w:line="263" w:lineRule="auto"/>
        <w:tabs>
          <w:tab w:leader="none" w:pos="19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6" w:lineRule="exact"/>
        <w:rPr>
          <w:rFonts w:ascii="Arial" w:cs="Arial" w:eastAsia="Arial" w:hAnsi="Arial"/>
          <w:sz w:val="18"/>
          <w:szCs w:val="18"/>
          <w:color w:val="auto"/>
        </w:rPr>
      </w:pPr>
    </w:p>
    <w:p>
      <w:pPr>
        <w:ind w:left="1960" w:right="320" w:hanging="656"/>
        <w:spacing w:after="0" w:line="311" w:lineRule="auto"/>
        <w:tabs>
          <w:tab w:leader="none" w:pos="1960" w:val="left"/>
        </w:tabs>
        <w:numPr>
          <w:ilvl w:val="1"/>
          <w:numId w:val="3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Arial" w:cs="Arial" w:eastAsia="Arial" w:hAnsi="Arial"/>
          <w:sz w:val="16"/>
          <w:szCs w:val="16"/>
          <w:color w:val="auto"/>
        </w:rPr>
      </w:pPr>
    </w:p>
    <w:p>
      <w:pPr>
        <w:ind w:left="1300" w:right="140" w:hanging="644"/>
        <w:spacing w:after="0" w:line="263"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rFonts w:ascii="Arial" w:cs="Arial" w:eastAsia="Arial" w:hAnsi="Arial"/>
          <w:sz w:val="18"/>
          <w:szCs w:val="18"/>
          <w:color w:val="auto"/>
        </w:rPr>
      </w:pPr>
    </w:p>
    <w:p>
      <w:pPr>
        <w:ind w:left="1960" w:right="60" w:hanging="656"/>
        <w:spacing w:after="0" w:line="263" w:lineRule="auto"/>
        <w:tabs>
          <w:tab w:leader="none" w:pos="19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6" w:lineRule="exact"/>
        <w:rPr>
          <w:rFonts w:ascii="Arial" w:cs="Arial" w:eastAsia="Arial" w:hAnsi="Arial"/>
          <w:sz w:val="18"/>
          <w:szCs w:val="18"/>
          <w:color w:val="auto"/>
        </w:rPr>
      </w:pPr>
    </w:p>
    <w:p>
      <w:pPr>
        <w:ind w:left="1960" w:right="80" w:hanging="656"/>
        <w:spacing w:after="0" w:line="277" w:lineRule="auto"/>
        <w:tabs>
          <w:tab w:leader="none" w:pos="19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tcPr>
          <w:p>
            <w:pPr>
              <w:ind w:left="2080"/>
              <w:spacing w:after="0"/>
              <w:rPr>
                <w:sz w:val="20"/>
                <w:szCs w:val="20"/>
                <w:color w:val="auto"/>
              </w:rPr>
            </w:pPr>
            <w:r>
              <w:rPr>
                <w:rFonts w:ascii="Arial" w:cs="Arial" w:eastAsia="Arial" w:hAnsi="Arial"/>
                <w:sz w:val="18"/>
                <w:szCs w:val="18"/>
                <w:color w:val="auto"/>
              </w:rPr>
              <w:t>May 8, 2023</w:t>
            </w:r>
          </w:p>
        </w:tc>
        <w:tc>
          <w:tcPr>
            <w:tcW w:w="3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Seth C. Daggett</w:t>
            </w:r>
          </w:p>
        </w:tc>
        <w:tc>
          <w:tcPr>
            <w:tcW w:w="2800" w:type="dxa"/>
            <w:vAlign w:val="bottom"/>
          </w:tcPr>
          <w:p>
            <w:pPr>
              <w:spacing w:after="0"/>
              <w:rPr>
                <w:sz w:val="20"/>
                <w:szCs w:val="20"/>
                <w:color w:val="auto"/>
              </w:rPr>
            </w:pPr>
          </w:p>
        </w:tc>
      </w:tr>
      <w:tr>
        <w:trPr>
          <w:trHeight w:val="195"/>
        </w:trPr>
        <w:tc>
          <w:tcPr>
            <w:tcW w:w="5080" w:type="dxa"/>
            <w:vAlign w:val="bottom"/>
          </w:tcPr>
          <w:p>
            <w:pPr>
              <w:spacing w:after="0"/>
              <w:rPr>
                <w:sz w:val="16"/>
                <w:szCs w:val="16"/>
                <w:color w:val="auto"/>
              </w:rPr>
            </w:pPr>
          </w:p>
        </w:tc>
        <w:tc>
          <w:tcPr>
            <w:tcW w:w="3360" w:type="dxa"/>
            <w:vAlign w:val="bottom"/>
          </w:tcPr>
          <w:p>
            <w:pPr>
              <w:spacing w:after="0" w:line="195" w:lineRule="exact"/>
              <w:rPr>
                <w:sz w:val="20"/>
                <w:szCs w:val="20"/>
                <w:color w:val="auto"/>
              </w:rPr>
            </w:pPr>
            <w:r>
              <w:rPr>
                <w:rFonts w:ascii="Arial" w:cs="Arial" w:eastAsia="Arial" w:hAnsi="Arial"/>
                <w:sz w:val="18"/>
                <w:szCs w:val="18"/>
                <w:color w:val="auto"/>
              </w:rPr>
              <w:t>Seth C. Daggett</w:t>
            </w:r>
          </w:p>
        </w:tc>
        <w:tc>
          <w:tcPr>
            <w:tcW w:w="2800" w:type="dxa"/>
            <w:vAlign w:val="bottom"/>
          </w:tcPr>
          <w:p>
            <w:pPr>
              <w:spacing w:after="0"/>
              <w:rPr>
                <w:sz w:val="16"/>
                <w:szCs w:val="16"/>
                <w:color w:val="auto"/>
              </w:rPr>
            </w:pPr>
          </w:p>
        </w:tc>
      </w:tr>
      <w:tr>
        <w:trPr>
          <w:trHeight w:val="216"/>
        </w:trPr>
        <w:tc>
          <w:tcPr>
            <w:tcW w:w="508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2800" w:type="dxa"/>
            <w:vAlign w:val="bottom"/>
          </w:tcPr>
          <w:p>
            <w:pPr>
              <w:spacing w:after="0"/>
              <w:rPr>
                <w:sz w:val="18"/>
                <w:szCs w:val="18"/>
                <w:color w:val="auto"/>
              </w:rPr>
            </w:pPr>
          </w:p>
        </w:tc>
      </w:tr>
      <w:tr>
        <w:trPr>
          <w:trHeight w:val="230"/>
        </w:trPr>
        <w:tc>
          <w:tcPr>
            <w:tcW w:w="5080" w:type="dxa"/>
            <w:vAlign w:val="bottom"/>
          </w:tcPr>
          <w:p>
            <w:pPr>
              <w:spacing w:after="0"/>
              <w:rPr>
                <w:sz w:val="20"/>
                <w:szCs w:val="20"/>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tc>
        <w:tc>
          <w:tcPr>
            <w:tcW w:w="2800" w:type="dxa"/>
            <w:vAlign w:val="bottom"/>
          </w:tcPr>
          <w:p>
            <w:pPr>
              <w:spacing w:after="0"/>
              <w:rPr>
                <w:sz w:val="20"/>
                <w:szCs w:val="20"/>
                <w:color w:val="auto"/>
              </w:rPr>
            </w:pPr>
          </w:p>
        </w:tc>
      </w:tr>
      <w:tr>
        <w:trPr>
          <w:trHeight w:val="344"/>
        </w:trPr>
        <w:tc>
          <w:tcPr>
            <w:tcW w:w="508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43</w:t>
            </w:r>
          </w:p>
        </w:tc>
        <w:tc>
          <w:tcPr>
            <w:tcW w:w="2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35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connection with the quarterly report of NI Holdings, Inc. (the “Company”) on Form 10-Q for the period ended March 31, 2023, as filed with the Securities and Exchange Commission on the date hereof (the “Report”), we, Michael J. Alexander, President and Chief Executive Officer, and Seth C. Daggett, Chief Financial Officer, of the Company, certify, pursuant to 18 U.S.C. Section 1350, as adopted pursuant to Section 906 of the Sarbanes-Oxley Act of 2002, that, to our knowledge:</w:t>
      </w:r>
    </w:p>
    <w:p>
      <w:pPr>
        <w:spacing w:after="0" w:line="146" w:lineRule="exact"/>
        <w:rPr>
          <w:sz w:val="20"/>
          <w:szCs w:val="20"/>
          <w:color w:val="auto"/>
        </w:rPr>
      </w:pPr>
    </w:p>
    <w:p>
      <w:pPr>
        <w:ind w:left="1300" w:hanging="644"/>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1300" w:right="280" w:hanging="644"/>
        <w:spacing w:after="0" w:line="277"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13" w:lineRule="exact"/>
        <w:rPr>
          <w:sz w:val="20"/>
          <w:szCs w:val="20"/>
          <w:color w:val="auto"/>
        </w:rPr>
      </w:pPr>
    </w:p>
    <w:tbl>
      <w:tblPr>
        <w:tblLayout w:type="fixed"/>
        <w:tblInd w:w="2200" w:type="dxa"/>
        <w:tblCellMar>
          <w:top w:w="0" w:type="dxa"/>
          <w:left w:w="0" w:type="dxa"/>
          <w:bottom w:w="0" w:type="dxa"/>
          <w:right w:w="0" w:type="dxa"/>
        </w:tblCellMar>
      </w:tblPr>
      <w:tr>
        <w:trPr>
          <w:trHeight w:val="207"/>
        </w:trPr>
        <w:tc>
          <w:tcPr>
            <w:tcW w:w="3100" w:type="dxa"/>
            <w:vAlign w:val="bottom"/>
          </w:tcPr>
          <w:p>
            <w:pPr>
              <w:spacing w:after="0"/>
              <w:rPr>
                <w:sz w:val="20"/>
                <w:szCs w:val="20"/>
                <w:color w:val="auto"/>
              </w:rPr>
            </w:pPr>
            <w:r>
              <w:rPr>
                <w:rFonts w:ascii="Arial" w:cs="Arial" w:eastAsia="Arial" w:hAnsi="Arial"/>
                <w:sz w:val="18"/>
                <w:szCs w:val="18"/>
                <w:color w:val="auto"/>
              </w:rPr>
              <w:t>May 8, 2023</w:t>
            </w:r>
          </w:p>
        </w:tc>
        <w:tc>
          <w:tcPr>
            <w:tcW w:w="1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1"/>
              </w:rPr>
              <w:t>/s/ Michael J. Alexander</w:t>
            </w:r>
          </w:p>
        </w:tc>
        <w:tc>
          <w:tcPr>
            <w:tcW w:w="980" w:type="dxa"/>
            <w:vAlign w:val="bottom"/>
          </w:tcPr>
          <w:p>
            <w:pPr>
              <w:spacing w:after="0"/>
              <w:rPr>
                <w:sz w:val="17"/>
                <w:szCs w:val="17"/>
                <w:color w:val="auto"/>
              </w:rPr>
            </w:pPr>
          </w:p>
        </w:tc>
      </w:tr>
      <w:tr>
        <w:trPr>
          <w:trHeight w:val="222"/>
        </w:trPr>
        <w:tc>
          <w:tcPr>
            <w:tcW w:w="3100" w:type="dxa"/>
            <w:vAlign w:val="bottom"/>
          </w:tcPr>
          <w:p>
            <w:pPr>
              <w:spacing w:after="0"/>
              <w:rPr>
                <w:sz w:val="19"/>
                <w:szCs w:val="19"/>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auto"/>
              </w:rPr>
              <w:t>Michael J. Alexander</w:t>
            </w:r>
          </w:p>
        </w:tc>
      </w:tr>
      <w:tr>
        <w:trPr>
          <w:trHeight w:val="216"/>
        </w:trPr>
        <w:tc>
          <w:tcPr>
            <w:tcW w:w="3100" w:type="dxa"/>
            <w:vAlign w:val="bottom"/>
          </w:tcPr>
          <w:p>
            <w:pPr>
              <w:spacing w:after="0"/>
              <w:rPr>
                <w:sz w:val="18"/>
                <w:szCs w:val="18"/>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auto"/>
                <w:w w:val="90"/>
              </w:rPr>
              <w:t>President and Chief Executive Officer</w:t>
            </w:r>
          </w:p>
        </w:tc>
      </w:tr>
      <w:tr>
        <w:trPr>
          <w:trHeight w:val="230"/>
        </w:trPr>
        <w:tc>
          <w:tcPr>
            <w:tcW w:w="3100" w:type="dxa"/>
            <w:vAlign w:val="bottom"/>
          </w:tcPr>
          <w:p>
            <w:pPr>
              <w:spacing w:after="0"/>
              <w:rPr>
                <w:sz w:val="20"/>
                <w:szCs w:val="20"/>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r>
      <w:tr>
        <w:trPr>
          <w:trHeight w:val="823"/>
        </w:trPr>
        <w:tc>
          <w:tcPr>
            <w:tcW w:w="3100" w:type="dxa"/>
            <w:vAlign w:val="bottom"/>
          </w:tcPr>
          <w:p>
            <w:pPr>
              <w:spacing w:after="0"/>
              <w:rPr>
                <w:sz w:val="20"/>
                <w:szCs w:val="20"/>
                <w:color w:val="auto"/>
              </w:rPr>
            </w:pPr>
            <w:r>
              <w:rPr>
                <w:rFonts w:ascii="Arial" w:cs="Arial" w:eastAsia="Arial" w:hAnsi="Arial"/>
                <w:sz w:val="18"/>
                <w:szCs w:val="18"/>
                <w:color w:val="auto"/>
              </w:rPr>
              <w:t>May 8, 2023</w:t>
            </w:r>
          </w:p>
        </w:tc>
        <w:tc>
          <w:tcPr>
            <w:tcW w:w="1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/s/ Seth C. Daggett</w:t>
            </w:r>
          </w:p>
        </w:tc>
        <w:tc>
          <w:tcPr>
            <w:tcW w:w="1380" w:type="dxa"/>
            <w:vAlign w:val="bottom"/>
            <w:gridSpan w:val="2"/>
          </w:tcPr>
          <w:p>
            <w:pPr>
              <w:spacing w:after="0"/>
              <w:rPr>
                <w:sz w:val="24"/>
                <w:szCs w:val="24"/>
                <w:color w:val="auto"/>
              </w:rPr>
            </w:pPr>
          </w:p>
        </w:tc>
      </w:tr>
      <w:tr>
        <w:trPr>
          <w:trHeight w:val="237"/>
        </w:trPr>
        <w:tc>
          <w:tcPr>
            <w:tcW w:w="3100" w:type="dxa"/>
            <w:vAlign w:val="bottom"/>
          </w:tcPr>
          <w:p>
            <w:pPr>
              <w:spacing w:after="0"/>
              <w:rPr>
                <w:sz w:val="20"/>
                <w:szCs w:val="20"/>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auto"/>
              </w:rPr>
              <w:t>Seth C. Daggett</w:t>
            </w:r>
          </w:p>
        </w:tc>
      </w:tr>
    </w:tbl>
    <w:p>
      <w:pPr>
        <w:ind w:left="53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p>
      <w:pPr>
        <w:spacing w:after="0" w:line="200" w:lineRule="exact"/>
        <w:rPr>
          <w:sz w:val="20"/>
          <w:szCs w:val="20"/>
          <w:color w:val="auto"/>
        </w:rPr>
      </w:pPr>
    </w:p>
    <w:p>
      <w:pPr>
        <w:spacing w:after="0" w:line="33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1."/>
      <w:numFmt w:val="decimal"/>
      <w:start w:val="1"/>
    </w:lvl>
  </w:abstractNum>
  <w:abstractNum w:abstractNumId="5">
    <w:nsid w:val="7C83E458"/>
    <w:multiLevelType w:val="hybridMultilevel"/>
    <w:lvl w:ilvl="0">
      <w:lvlJc w:val="left"/>
      <w:lvlText w:val="%1."/>
      <w:numFmt w:val="decimal"/>
      <w:start w:val="2"/>
    </w:lvl>
  </w:abstractNum>
  <w:abstractNum w:abstractNumId="6">
    <w:nsid w:val="257130A3"/>
    <w:multiLevelType w:val="hybridMultilevel"/>
    <w:lvl w:ilvl="0">
      <w:lvlJc w:val="left"/>
      <w:lvlText w:val="%1."/>
      <w:numFmt w:val="decimal"/>
      <w:start w:val="3"/>
    </w:lvl>
  </w:abstractNum>
  <w:abstractNum w:abstractNumId="7">
    <w:nsid w:val="62BBD95A"/>
    <w:multiLevelType w:val="hybridMultilevel"/>
    <w:lvl w:ilvl="0">
      <w:lvlJc w:val="left"/>
      <w:lvlText w:val="%1."/>
      <w:numFmt w:val="decimal"/>
      <w:start w:val="4"/>
    </w:lvl>
  </w:abstractNum>
  <w:abstractNum w:abstractNumId="8">
    <w:nsid w:val="436C6125"/>
    <w:multiLevelType w:val="hybridMultilevel"/>
    <w:lvl w:ilvl="0">
      <w:lvlJc w:val="left"/>
      <w:lvlText w:val="%1."/>
      <w:numFmt w:val="decimal"/>
      <w:start w:val="5"/>
    </w:lvl>
  </w:abstractNum>
  <w:abstractNum w:abstractNumId="9">
    <w:nsid w:val="628C895D"/>
    <w:multiLevelType w:val="hybridMultilevel"/>
    <w:lvl w:ilvl="0">
      <w:lvlJc w:val="left"/>
      <w:lvlText w:val="%1."/>
      <w:numFmt w:val="decimal"/>
      <w:start w:val="6"/>
    </w:lvl>
  </w:abstractNum>
  <w:abstractNum w:abstractNumId="10">
    <w:nsid w:val="333AB105"/>
    <w:multiLevelType w:val="hybridMultilevel"/>
    <w:lvl w:ilvl="0">
      <w:lvlJc w:val="left"/>
      <w:lvlText w:val="%1."/>
      <w:numFmt w:val="decimal"/>
      <w:start w:val="7"/>
    </w:lvl>
  </w:abstractNum>
  <w:abstractNum w:abstractNumId="11">
    <w:nsid w:val="721DA317"/>
    <w:multiLevelType w:val="hybridMultilevel"/>
    <w:lvl w:ilvl="0">
      <w:lvlJc w:val="left"/>
      <w:lvlText w:val="%1."/>
      <w:numFmt w:val="decimal"/>
      <w:start w:val="9"/>
    </w:lvl>
  </w:abstractNum>
  <w:abstractNum w:abstractNumId="12">
    <w:nsid w:val="2443A858"/>
    <w:multiLevelType w:val="hybridMultilevel"/>
    <w:lvl w:ilvl="0">
      <w:lvlJc w:val="left"/>
      <w:lvlText w:val="%1."/>
      <w:numFmt w:val="decimal"/>
      <w:start w:val="10"/>
    </w:lvl>
  </w:abstractNum>
  <w:abstractNum w:abstractNumId="13">
    <w:nsid w:val="2D1D5AE9"/>
    <w:multiLevelType w:val="hybridMultilevel"/>
    <w:lvl w:ilvl="0">
      <w:lvlJc w:val="left"/>
      <w:lvlText w:val="(%1)"/>
      <w:numFmt w:val="decimal"/>
      <w:start w:val="1"/>
    </w:lvl>
  </w:abstractNum>
  <w:abstractNum w:abstractNumId="14">
    <w:nsid w:val="6763845E"/>
    <w:multiLevelType w:val="hybridMultilevel"/>
    <w:lvl w:ilvl="0">
      <w:lvlJc w:val="left"/>
      <w:lvlText w:val="%1."/>
      <w:numFmt w:val="decimal"/>
      <w:start w:val="11"/>
    </w:lvl>
  </w:abstractNum>
  <w:abstractNum w:abstractNumId="15">
    <w:nsid w:val="75A2A8D4"/>
    <w:multiLevelType w:val="hybridMultilevel"/>
    <w:lvl w:ilvl="0">
      <w:lvlJc w:val="left"/>
      <w:lvlText w:val="%1."/>
      <w:numFmt w:val="decimal"/>
      <w:start w:val="12"/>
    </w:lvl>
  </w:abstractNum>
  <w:abstractNum w:abstractNumId="16">
    <w:nsid w:val="8EDBDAB"/>
    <w:multiLevelType w:val="hybridMultilevel"/>
    <w:lvl w:ilvl="0">
      <w:lvlJc w:val="left"/>
      <w:lvlText w:val="%1."/>
      <w:numFmt w:val="decimal"/>
      <w:start w:val="13"/>
    </w:lvl>
  </w:abstractNum>
  <w:abstractNum w:abstractNumId="17">
    <w:nsid w:val="79838CB2"/>
    <w:multiLevelType w:val="hybridMultilevel"/>
    <w:lvl w:ilvl="0">
      <w:lvlJc w:val="left"/>
      <w:lvlText w:val="%1."/>
      <w:numFmt w:val="decimal"/>
      <w:start w:val="14"/>
    </w:lvl>
  </w:abstractNum>
  <w:abstractNum w:abstractNumId="18">
    <w:nsid w:val="4353D0CD"/>
    <w:multiLevelType w:val="hybridMultilevel"/>
    <w:lvl w:ilvl="0">
      <w:lvlJc w:val="left"/>
      <w:lvlText w:val="%1."/>
      <w:numFmt w:val="decimal"/>
      <w:start w:val="15"/>
    </w:lvl>
  </w:abstractNum>
  <w:abstractNum w:abstractNumId="19">
    <w:nsid w:val="B03E0C6"/>
    <w:multiLevelType w:val="hybridMultilevel"/>
    <w:lvl w:ilvl="0">
      <w:lvlJc w:val="left"/>
      <w:lvlText w:val="%1."/>
      <w:numFmt w:val="decimal"/>
      <w:start w:val="16"/>
    </w:lvl>
  </w:abstractNum>
  <w:abstractNum w:abstractNumId="20">
    <w:nsid w:val="189A769B"/>
    <w:multiLevelType w:val="hybridMultilevel"/>
    <w:lvl w:ilvl="0">
      <w:lvlJc w:val="left"/>
      <w:lvlText w:val="%1."/>
      <w:numFmt w:val="decimal"/>
      <w:start w:val="17"/>
    </w:lvl>
  </w:abstractNum>
  <w:abstractNum w:abstractNumId="21">
    <w:nsid w:val="54E49EB4"/>
    <w:multiLevelType w:val="hybridMultilevel"/>
    <w:lvl w:ilvl="0">
      <w:lvlJc w:val="left"/>
      <w:lvlText w:val="(%1)"/>
      <w:numFmt w:val="decimal"/>
      <w:start w:val="1"/>
    </w:lvl>
  </w:abstractNum>
  <w:abstractNum w:abstractNumId="22">
    <w:nsid w:val="71F32454"/>
    <w:multiLevelType w:val="hybridMultilevel"/>
    <w:lvl w:ilvl="0">
      <w:lvlJc w:val="left"/>
      <w:lvlText w:val="%1."/>
      <w:numFmt w:val="decimal"/>
      <w:start w:val="18"/>
    </w:lvl>
  </w:abstractNum>
  <w:abstractNum w:abstractNumId="23">
    <w:nsid w:val="2CA88611"/>
    <w:multiLevelType w:val="hybridMultilevel"/>
    <w:lvl w:ilvl="0">
      <w:lvlJc w:val="left"/>
      <w:lvlText w:val="%1."/>
      <w:numFmt w:val="decimal"/>
      <w:start w:val="19"/>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1)"/>
      <w:numFmt w:val="decimal"/>
      <w:start w:val="1"/>
    </w:lvl>
  </w:abstractNum>
  <w:abstractNum w:abstractNumId="27">
    <w:nsid w:val="8138641"/>
    <w:multiLevelType w:val="hybridMultilevel"/>
    <w:lvl w:ilvl="0">
      <w:lvlJc w:val="left"/>
      <w:lvlText w:val="%1"/>
      <w:numFmt w:val="decimal"/>
      <w:start w:val="32"/>
    </w:lvl>
  </w:abstractNum>
  <w:abstractNum w:abstractNumId="28">
    <w:nsid w:val="1E7FF521"/>
    <w:multiLevelType w:val="hybridMultilevel"/>
    <w:lvl w:ilvl="0">
      <w:lvlJc w:val="left"/>
      <w:lvlText w:val="%1"/>
      <w:numFmt w:val="decimal"/>
      <w:start w:val="104"/>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lvl w:ilvl="1">
      <w:lvlJc w:val="left"/>
      <w:lvlText w:val="(%2)"/>
      <w:numFmt w:val="lowerLetter"/>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2023-05-08T15:44:42Z</dcterms:created>
  <dcterms:modified xsi:type="dcterms:W3CDTF">2023-05-08T15:44:42Z</dcterms:modified>
</cp:coreProperties>
</file>