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ind w:left="100" w:right="2300" w:firstLine="5"/>
        <w:spacing w:after="0" w:line="258" w:lineRule="auto"/>
        <w:tabs>
          <w:tab w:leader="none" w:pos="3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 or</w:t>
      </w:r>
    </w:p>
    <w:p>
      <w:pPr>
        <w:ind w:left="1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TRANSITION REPORT PURSUANT TO SECTION 13 OR 15(d) OF THE SECURITIES EXCHANGE ACT OF 1934</w:t>
      </w:r>
    </w:p>
    <w:p>
      <w:pPr>
        <w:spacing w:after="0" w:line="10" w:lineRule="exact"/>
        <w:rPr>
          <w:rFonts w:ascii="MS PGothic" w:cs="MS PGothic" w:eastAsia="MS PGothic" w:hAnsi="MS PGothic"/>
          <w:sz w:val="18"/>
          <w:szCs w:val="18"/>
          <w:color w:val="auto"/>
        </w:rPr>
      </w:pPr>
    </w:p>
    <w:p>
      <w:pPr>
        <w:ind w:left="1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 to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jc w:val="center"/>
              <w:ind w:left="870"/>
              <w:spacing w:after="0"/>
              <w:rPr>
                <w:sz w:val="20"/>
                <w:szCs w:val="20"/>
                <w:color w:val="auto"/>
              </w:rPr>
            </w:pPr>
            <w:r>
              <w:rPr>
                <w:rFonts w:ascii="Arial" w:cs="Arial" w:eastAsia="Arial" w:hAnsi="Arial"/>
                <w:sz w:val="18"/>
                <w:szCs w:val="18"/>
                <w:b w:val="1"/>
                <w:bCs w:val="1"/>
                <w:color w:val="auto"/>
              </w:rPr>
              <w:t>NORTH DAKOTA</w:t>
            </w:r>
          </w:p>
        </w:tc>
        <w:tc>
          <w:tcPr>
            <w:tcW w:w="4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81-2683619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(State or other jurisdiction of</w:t>
            </w:r>
          </w:p>
        </w:tc>
        <w:tc>
          <w:tcPr>
            <w:tcW w:w="452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5"/>
              </w:rPr>
              <w:t>(IRS Employer</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incorporation or organization)</w:t>
            </w:r>
          </w:p>
        </w:tc>
        <w:tc>
          <w:tcPr>
            <w:tcW w:w="452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3"/>
              </w:rPr>
              <w:t>Identification No.)</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6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1101 First Avenue North</w:t>
            </w:r>
          </w:p>
        </w:tc>
        <w:tc>
          <w:tcPr>
            <w:tcW w:w="45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58102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jc w:val="center"/>
              <w:ind w:left="830"/>
              <w:spacing w:after="0"/>
              <w:rPr>
                <w:sz w:val="20"/>
                <w:szCs w:val="20"/>
                <w:color w:val="auto"/>
              </w:rPr>
            </w:pPr>
            <w:r>
              <w:rPr>
                <w:rFonts w:ascii="Arial" w:cs="Arial" w:eastAsia="Arial" w:hAnsi="Arial"/>
                <w:sz w:val="18"/>
                <w:szCs w:val="18"/>
                <w:b w:val="1"/>
                <w:bCs w:val="1"/>
                <w:color w:val="auto"/>
                <w:w w:val="92"/>
              </w:rPr>
              <w:t>Fargo, North Dakota</w:t>
            </w:r>
          </w:p>
        </w:tc>
        <w:tc>
          <w:tcPr>
            <w:tcW w:w="452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2"/>
              </w:rPr>
              <w:t>(Zip Code)</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tcPr>
          <w:p>
            <w:pPr>
              <w:jc w:val="center"/>
              <w:ind w:left="8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860" w:type="dxa"/>
            <w:vAlign w:val="bottom"/>
            <w:vMerge w:val="restart"/>
          </w:tcPr>
          <w:p>
            <w:pPr>
              <w:jc w:val="center"/>
              <w:ind w:right="1850"/>
              <w:spacing w:after="0"/>
              <w:rPr>
                <w:sz w:val="20"/>
                <w:szCs w:val="20"/>
                <w:color w:val="auto"/>
              </w:rPr>
            </w:pPr>
            <w:r>
              <w:rPr>
                <w:rFonts w:ascii="Arial" w:cs="Arial" w:eastAsia="Arial" w:hAnsi="Arial"/>
                <w:sz w:val="18"/>
                <w:szCs w:val="18"/>
                <w:b w:val="1"/>
                <w:bCs w:val="1"/>
                <w:color w:val="auto"/>
                <w:w w:val="90"/>
              </w:rPr>
              <w:t>(701) 298-4200</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20" w:type="dxa"/>
            <w:vAlign w:val="bottom"/>
            <w:gridSpan w:val="2"/>
          </w:tcPr>
          <w:p>
            <w:pPr>
              <w:jc w:val="center"/>
              <w:ind w:left="271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620" w:type="dxa"/>
            <w:vAlign w:val="bottom"/>
            <w:gridSpan w:val="2"/>
          </w:tcPr>
          <w:p>
            <w:pPr>
              <w:jc w:val="center"/>
              <w:ind w:left="27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760" w:type="dxa"/>
            <w:vAlign w:val="bottom"/>
          </w:tcPr>
          <w:p>
            <w:pPr>
              <w:jc w:val="center"/>
              <w:ind w:left="870"/>
              <w:spacing w:after="0"/>
              <w:rPr>
                <w:sz w:val="20"/>
                <w:szCs w:val="20"/>
                <w:color w:val="auto"/>
              </w:rPr>
            </w:pPr>
            <w:r>
              <w:rPr>
                <w:rFonts w:ascii="Arial" w:cs="Arial" w:eastAsia="Arial" w:hAnsi="Arial"/>
                <w:sz w:val="18"/>
                <w:szCs w:val="18"/>
                <w:color w:val="auto"/>
                <w:w w:val="89"/>
              </w:rPr>
              <w:t>Common Stock, $0.01 par value per share</w:t>
            </w:r>
          </w:p>
        </w:tc>
        <w:tc>
          <w:tcPr>
            <w:tcW w:w="5460" w:type="dxa"/>
            <w:vAlign w:val="bottom"/>
            <w:gridSpan w:val="3"/>
          </w:tcPr>
          <w:p>
            <w:pPr>
              <w:jc w:val="center"/>
              <w:ind w:left="2090"/>
              <w:spacing w:after="0"/>
              <w:rPr>
                <w:sz w:val="20"/>
                <w:szCs w:val="20"/>
                <w:color w:val="auto"/>
              </w:rPr>
            </w:pPr>
            <w:r>
              <w:rPr>
                <w:rFonts w:ascii="Arial" w:cs="Arial" w:eastAsia="Arial" w:hAnsi="Arial"/>
                <w:sz w:val="18"/>
                <w:szCs w:val="18"/>
                <w:color w:val="auto"/>
                <w:w w:val="95"/>
              </w:rPr>
              <w:t>NASDAQ Capital Market</w:t>
            </w:r>
          </w:p>
        </w:tc>
        <w:tc>
          <w:tcPr>
            <w:tcW w:w="0" w:type="dxa"/>
            <w:vAlign w:val="bottom"/>
          </w:tcPr>
          <w:p>
            <w:pPr>
              <w:spacing w:after="0"/>
              <w:rPr>
                <w:sz w:val="1"/>
                <w:szCs w:val="1"/>
                <w:color w:val="auto"/>
              </w:rPr>
            </w:pPr>
          </w:p>
        </w:tc>
      </w:tr>
      <w:tr>
        <w:trPr>
          <w:trHeight w:val="230"/>
        </w:trPr>
        <w:tc>
          <w:tcPr>
            <w:tcW w:w="4760" w:type="dxa"/>
            <w:vAlign w:val="bottom"/>
          </w:tcPr>
          <w:p>
            <w:pPr>
              <w:jc w:val="center"/>
              <w:ind w:left="890"/>
              <w:spacing w:after="0"/>
              <w:rPr>
                <w:sz w:val="20"/>
                <w:szCs w:val="20"/>
                <w:color w:val="auto"/>
              </w:rPr>
            </w:pPr>
            <w:r>
              <w:rPr>
                <w:rFonts w:ascii="Arial" w:cs="Arial" w:eastAsia="Arial" w:hAnsi="Arial"/>
                <w:sz w:val="18"/>
                <w:szCs w:val="18"/>
                <w:color w:val="auto"/>
                <w:w w:val="90"/>
              </w:rPr>
              <w:t>(Title of each class)</w:t>
            </w:r>
          </w:p>
        </w:tc>
        <w:tc>
          <w:tcPr>
            <w:tcW w:w="5460" w:type="dxa"/>
            <w:vAlign w:val="bottom"/>
            <w:gridSpan w:val="3"/>
          </w:tcPr>
          <w:p>
            <w:pPr>
              <w:jc w:val="center"/>
              <w:ind w:left="207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392"/>
        </w:trPr>
        <w:tc>
          <w:tcPr>
            <w:tcW w:w="8620" w:type="dxa"/>
            <w:vAlign w:val="bottom"/>
            <w:gridSpan w:val="2"/>
          </w:tcPr>
          <w:p>
            <w:pPr>
              <w:jc w:val="center"/>
              <w:ind w:left="2730"/>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2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9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94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41"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the Securities Act)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57"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231" w:lineRule="exact"/>
        <w:rPr>
          <w:sz w:val="24"/>
          <w:szCs w:val="24"/>
          <w:color w:val="auto"/>
        </w:rPr>
      </w:pPr>
    </w:p>
    <w:p>
      <w:pPr>
        <w:ind w:right="1200"/>
        <w:spacing w:after="0" w:line="360" w:lineRule="auto"/>
        <w:rPr>
          <w:sz w:val="20"/>
          <w:szCs w:val="20"/>
          <w:color w:val="auto"/>
        </w:rPr>
      </w:pPr>
      <w:r>
        <w:rPr>
          <w:rFonts w:ascii="Arial" w:cs="Arial" w:eastAsia="Arial" w:hAnsi="Arial"/>
          <w:sz w:val="18"/>
          <w:szCs w:val="18"/>
          <w:color w:val="auto"/>
        </w:rPr>
        <w:t xml:space="preserve">The number of the Registrant’s common shares outstanding on March 7, 2018 was 22,352,844. No preferred shares are issued or outstanding.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Portions of the definitive proxy statement relating to the annual meeting of shareholders to be held May 22, 2018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5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10"/>
          </w:tcPr>
          <w:p>
            <w:pPr>
              <w:ind w:left="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r>
      <w:tr>
        <w:trPr>
          <w:trHeight w:val="581"/>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351"/>
        </w:trPr>
        <w:tc>
          <w:tcPr>
            <w:tcW w:w="31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CERTAIN IMPORTANT INFORMATION</w:t>
              </w:r>
            </w:hyperlink>
          </w:p>
        </w:tc>
        <w:tc>
          <w:tcPr>
            <w:tcW w:w="792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104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2920" w:type="dxa"/>
            <w:vAlign w:val="bottom"/>
            <w:tcBorders>
              <w:top w:val="single" w:sz="8" w:color="0000EE"/>
            </w:tcBorders>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Risk Factors</w:t>
              </w:r>
            </w:hyperlink>
          </w:p>
        </w:tc>
        <w:tc>
          <w:tcPr>
            <w:tcW w:w="720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Unresolved Staff Comments</w:t>
              </w:r>
            </w:hyperlink>
          </w:p>
        </w:tc>
        <w:tc>
          <w:tcPr>
            <w:tcW w:w="60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Properties</w:t>
              </w:r>
            </w:hyperlink>
          </w:p>
        </w:tc>
        <w:tc>
          <w:tcPr>
            <w:tcW w:w="738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67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12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372"/>
        </w:trPr>
        <w:tc>
          <w:tcPr>
            <w:tcW w:w="292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72"/>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Market for Registrant’s Common Equity, Related Shareholder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Selected Financial Data</w:t>
              </w:r>
            </w:hyperlink>
          </w:p>
        </w:tc>
        <w:tc>
          <w:tcPr>
            <w:tcW w:w="640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812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Information about Market Risk</w:t>
              </w:r>
            </w:hyperlink>
          </w:p>
        </w:tc>
        <w:tc>
          <w:tcPr>
            <w:tcW w:w="2120" w:type="dxa"/>
            <w:vAlign w:val="bottom"/>
            <w:tcBorders>
              <w:top w:val="single" w:sz="8" w:color="0000EE"/>
            </w:tcBorders>
            <w:gridSpan w:val="2"/>
          </w:tcPr>
          <w:p>
            <w:pPr>
              <w:spacing w:after="0"/>
              <w:rPr>
                <w:sz w:val="17"/>
                <w:szCs w:val="17"/>
                <w:color w:val="auto"/>
              </w:rPr>
            </w:pPr>
          </w:p>
        </w:tc>
        <w:tc>
          <w:tcPr>
            <w:tcW w:w="166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Financial Statements and Supplementary Data</w:t>
              </w:r>
            </w:hyperlink>
          </w:p>
        </w:tc>
        <w:tc>
          <w:tcPr>
            <w:tcW w:w="47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812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9"/>
          </w:tcPr>
          <w:p>
            <w:pPr>
              <w:spacing w:after="0"/>
              <w:rPr>
                <w:sz w:val="17"/>
                <w:szCs w:val="17"/>
                <w:color w:val="auto"/>
              </w:rPr>
            </w:pPr>
          </w:p>
        </w:tc>
        <w:tc>
          <w:tcPr>
            <w:tcW w:w="16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812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372"/>
        </w:trPr>
        <w:tc>
          <w:tcPr>
            <w:tcW w:w="2920" w:type="dxa"/>
            <w:vAlign w:val="bottom"/>
            <w:gridSpan w:val="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PART III</w:t>
              </w:r>
            </w:hyperlink>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12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40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Security Ownership of Certain Beneficial Owners and Management and Related Stockholder Matters</w:t>
              </w:r>
            </w:hyperlink>
          </w:p>
        </w:tc>
        <w:tc>
          <w:tcPr>
            <w:tcW w:w="8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Certain Relationships and Related Transactions, and Director Independence</w:t>
              </w:r>
            </w:hyperlink>
          </w:p>
        </w:tc>
        <w:tc>
          <w:tcPr>
            <w:tcW w:w="266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8120" w:type="dxa"/>
            <w:vAlign w:val="bottom"/>
            <w:gridSpan w:val="2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372"/>
        </w:trPr>
        <w:tc>
          <w:tcPr>
            <w:tcW w:w="6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00">
              <w:r>
                <w:rPr>
                  <w:rFonts w:ascii="Arial" w:cs="Arial" w:eastAsia="Arial" w:hAnsi="Arial"/>
                  <w:sz w:val="18"/>
                  <w:szCs w:val="18"/>
                  <w:color w:val="0000EE"/>
                  <w:w w:val="94"/>
                </w:rPr>
                <w:t>PART IV</w:t>
              </w:r>
            </w:hyperlink>
          </w:p>
        </w:tc>
        <w:tc>
          <w:tcPr>
            <w:tcW w:w="22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7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12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Form 10-K Summary</w:t>
              </w:r>
            </w:hyperlink>
          </w:p>
        </w:tc>
        <w:tc>
          <w:tcPr>
            <w:tcW w:w="656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CERTAIN IMPORTANT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annual report on Form 10-K:</w:t>
      </w:r>
    </w:p>
    <w:p>
      <w:pPr>
        <w:spacing w:after="0" w:line="198" w:lineRule="exact"/>
        <w:rPr>
          <w:sz w:val="20"/>
          <w:szCs w:val="20"/>
          <w:color w:val="auto"/>
        </w:rPr>
      </w:pPr>
    </w:p>
    <w:p>
      <w:pPr>
        <w:ind w:left="1300" w:hanging="644"/>
        <w:spacing w:after="0" w:line="31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“NI Holdings”, “the Company”, “we”, “us”, and “our” refer to NI Holdings, Inc., together with Nodak Insurance and its subsidiaries and Battle Creek Mutual Insurance Company, for periods discussed after completion of the conversion, and for periods discussed prior to completion of the conversion refer to Nodak Mutual Insurance Company and its subsidiaries and Battle Creek Mutual Insurance Company;</w:t>
      </w:r>
    </w:p>
    <w:p>
      <w:pPr>
        <w:spacing w:after="0" w:line="106"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Mutual Group” refers to Nodak Mutual Group, Inc., which is the majority shareholder of NI Holdings;</w:t>
      </w:r>
    </w:p>
    <w:p>
      <w:pPr>
        <w:spacing w:after="0" w:line="184" w:lineRule="exact"/>
        <w:rPr>
          <w:rFonts w:ascii="Arial" w:cs="Arial" w:eastAsia="Arial" w:hAnsi="Arial"/>
          <w:sz w:val="18"/>
          <w:szCs w:val="18"/>
          <w:color w:val="auto"/>
        </w:rPr>
      </w:pPr>
    </w:p>
    <w:p>
      <w:pPr>
        <w:ind w:left="1300" w:right="52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“conversion” refers to the series of transactions by which Nodak Mutual Insurance Company converted from a mutual insurance company to a stock insurance company, as Nodak Insurance Company, and became a wholly owned subsidiary of NI Holdings, an intermediate stock holding company formed on the date of conversion;</w:t>
      </w:r>
    </w:p>
    <w:p>
      <w:pPr>
        <w:spacing w:after="0" w:line="154"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“Nodak Stock” refers to Nodak Insurance Company, the successor company to Nodak Mutual Insurance Company after the conversion;</w:t>
      </w:r>
    </w:p>
    <w:p>
      <w:pPr>
        <w:spacing w:after="0" w:line="207" w:lineRule="exact"/>
        <w:rPr>
          <w:rFonts w:ascii="Arial" w:cs="Arial" w:eastAsia="Arial" w:hAnsi="Arial"/>
          <w:sz w:val="16"/>
          <w:szCs w:val="16"/>
          <w:color w:val="auto"/>
        </w:rPr>
      </w:pPr>
    </w:p>
    <w:p>
      <w:pPr>
        <w:ind w:left="1300" w:right="66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Mutual” refers to Nodak Mutual Insurance Company, the predecessor company to Nodak Insurance Company prior to the conversion;</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Insurance” refers to Nodak Stock or Nodak Mutual interchangeably;</w:t>
      </w:r>
    </w:p>
    <w:p>
      <w:pPr>
        <w:spacing w:after="0" w:line="198"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“members” refers to the policyholders of Nodak Insurance, who are the named insureds under insurance policies issued by Nodak Insurance; and</w:t>
      </w:r>
    </w:p>
    <w:p>
      <w:pPr>
        <w:spacing w:after="0" w:line="129" w:lineRule="exact"/>
        <w:rPr>
          <w:rFonts w:ascii="Arial" w:cs="Arial" w:eastAsia="Arial" w:hAnsi="Arial"/>
          <w:sz w:val="18"/>
          <w:szCs w:val="18"/>
          <w:color w:val="auto"/>
        </w:rPr>
      </w:pPr>
    </w:p>
    <w:p>
      <w:pPr>
        <w:ind w:left="1300" w:right="100" w:hanging="644"/>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“Battle Creek” refers to Battle Creek Mutual Insurance Company. Battle Creek is not a subsidiary of Nodak Insurance, but all of its insurance policies are reinsured by Nodak Insurance through a 100% quota-share reinsurance agreement and Battle Creek is controlled by Nodak Insurance as a result of an affiliation agreement between Battle Creek and Nodak Insurance. Battle Creek is consolidated with Nodak Insurance for financial reporting purposes.</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30"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of goals, intentions and expectations;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prospects and business strategy;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future costs, benefits and results.</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forward-looking statements are subject to numerous assumptions, risks and uncertainties, including, among other things, the factors discussed under the heading “Risk Factors” that could affect the actual outcome of future events.</w:t>
      </w:r>
    </w:p>
    <w:p>
      <w:pPr>
        <w:spacing w:after="0" w:line="14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3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 changes to the federal crop insurance program;</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in the markets in which we compete that are less favorable than expected;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184"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29"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3" w:name="page4"/>
    <w:bookmarkEnd w:id="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and adequacy of loss reserves and trends in losses and loss adjustment expenses;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the coverage terms required by state laws with respect to minimum auto liability insurance, including higher minimum limits;</w:t>
      </w:r>
    </w:p>
    <w:p>
      <w:pPr>
        <w:spacing w:after="0" w:line="207"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obtain regulatory approval of, or to implement, premium rate increases;</w:t>
      </w:r>
    </w:p>
    <w:p>
      <w:pPr>
        <w:spacing w:after="0" w:line="198"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129"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potential impact on our reported net income that could result from the adoption of future accounting standards issued by the Public Company Accounting Oversight Board or the Financial Accounting Standards Board or other standard-setting bodies;</w:t>
      </w:r>
    </w:p>
    <w:p>
      <w:pPr>
        <w:spacing w:after="0" w:line="10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fraud, operational errors, systems malfunctions, or cybersecurity incidents;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litigation or arbitration results; and</w:t>
      </w:r>
    </w:p>
    <w:p>
      <w:pPr>
        <w:spacing w:after="0" w:line="184" w:lineRule="exact"/>
        <w:rPr>
          <w:rFonts w:ascii="Arial" w:cs="Arial" w:eastAsia="Arial" w:hAnsi="Arial"/>
          <w:sz w:val="18"/>
          <w:szCs w:val="18"/>
          <w:color w:val="auto"/>
        </w:rPr>
      </w:pPr>
    </w:p>
    <w:p>
      <w:pPr>
        <w:ind w:left="1300" w:right="50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4" w:name="page5"/>
    <w:bookmarkEnd w:id="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NI Holdings, Inc. is a North Dakota business corporation that is the stock holding company of Nodak Insurance Company and became such in connection with the conversion of Nodak Mutual Insurance Company from the mutual to stock form of organization and the creation of a mutual holding company. The conversion was consummated on March 13, 2017. Immediately following the conversion, all of the outstanding shares of common stock of Nodak Stock were issued to Nodak Mutual Group, Inc., which then contributed the shares to NI Holdings in exchange for 55% of the outstanding shares of common stock of NI Holdings. Nodak Stock then became a wholly owned stock subsidiary of NI Holdings. Prior to completion of the conversion, NI Holdings conducted no business and had no assets or liabilities. As a result of the conversion, NI Holdings became the holding company for Nodak Stock and its existing subsidiaries.</w:t>
      </w:r>
    </w:p>
    <w:p>
      <w:pPr>
        <w:spacing w:after="0" w:line="16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Nodak Insurance was formed in 1946 to offer property and casualty insurance to members of the North Dakota Farm Bureau. Nodak Insurance’s bylaws provide that a person must be a member and remain a member of the North Dakota Farm Bureau in order to become and remain a policyholder of Nodak Insurance. Such bylaws also require that four members of the Board of Directors of Nodak Insurance must be members of the Board of Directors of the North Dakota Farm Bureau Federation (“North Dakota Farm Bureau”). Similarly, one-third of the members of the Board of Directors of Nodak Mutual Group must be persons designated by the North Dakota Farm Bureau.</w:t>
      </w:r>
    </w:p>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North Dakota Farm Bureau has granted Nodak Insurance a nonexclusive, nontransferable license to use the name “Farm Bureau” and the “FB” logo and associated trademarks to market Nodak Insurance products, including insurance products. Nodak Insurance has held this license since the insurance company’s inception in 1946, and the current version of the license agreement has been in place since 2002. The current license agreement between the North Dakota Farm Bureau and Nodak Insurance renewed on October 1, 2017, with an expiration date of September 30, 2018. The agreement has historically been renewed annually by a vote of the Nodak Insurance Board of Directors. Under the license agreement, Nodak Insurance is required to pay to the North Dakota Farm Bureau an annual royalty payment equal to 1.3% of Nodak Insurance’s written premiums (excluding multi-peril crop insurance premiums), subject to a minimum annual payment of $900 and a maximum annual payment of $1,303. The maximum royalty payment is adjusted annually based upon the June index month for the Consumer Price Index.</w:t>
      </w:r>
    </w:p>
    <w:p>
      <w:pPr>
        <w:spacing w:after="0" w:line="13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Nodak Insurance’s subsidiaries include American West Insurance Company (“American West”) and Primero Insurance Company (“Primero”). Battle Creek Mutual Insurance Company is an affiliate of Nodak Insurance. A chart of the corporate structure and a more complete description of each of the Nodak Insurance subsidiaries is included below. Nodak Insurance and Battle Creek have been assigned “A” ratings by A.M. Best Company, Inc. (“A.M. Best”), which is the third highest out of 15 possible ratings. American West is rated A- and Primero is unrated. The consolidated financial statements presented herein reflect the financial position and results of operations of NI Holdings, Nodak Insurance, American West, Battle Creek, and Primero. Each of the four insurance companies is subject to examination and comprehensive regulation by the insurance department of its state of domicile.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3404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0487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CHART</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Nodak Mutual Group, Inc.</w:t>
      </w:r>
    </w:p>
    <w:p>
      <w:pPr>
        <w:spacing w:after="0" w:line="239" w:lineRule="exact"/>
        <w:rPr>
          <w:sz w:val="20"/>
          <w:szCs w:val="20"/>
          <w:color w:val="auto"/>
        </w:rPr>
      </w:pPr>
    </w:p>
    <w:p>
      <w:pPr>
        <w:jc w:val="center"/>
        <w:ind w:right="5140"/>
        <w:spacing w:after="0"/>
        <w:rPr>
          <w:sz w:val="20"/>
          <w:szCs w:val="20"/>
          <w:color w:val="auto"/>
        </w:rPr>
      </w:pPr>
      <w:r>
        <w:rPr>
          <w:rFonts w:ascii="Arial" w:cs="Arial" w:eastAsia="Arial" w:hAnsi="Arial"/>
          <w:sz w:val="18"/>
          <w:szCs w:val="18"/>
          <w:color w:val="auto"/>
        </w:rPr>
        <w:t>≥ 55%</w:t>
      </w:r>
    </w:p>
    <w:p>
      <w:pPr>
        <w:spacing w:after="0" w:line="23" w:lineRule="exact"/>
        <w:rPr>
          <w:sz w:val="20"/>
          <w:szCs w:val="20"/>
          <w:color w:val="auto"/>
        </w:rPr>
      </w:pPr>
    </w:p>
    <w:p>
      <w:pPr>
        <w:jc w:val="center"/>
        <w:ind w:right="5140"/>
        <w:spacing w:after="0"/>
        <w:rPr>
          <w:sz w:val="20"/>
          <w:szCs w:val="20"/>
          <w:color w:val="auto"/>
        </w:rPr>
      </w:pPr>
      <w:r>
        <w:rPr>
          <w:rFonts w:ascii="Arial" w:cs="Arial" w:eastAsia="Arial" w:hAnsi="Arial"/>
          <w:sz w:val="18"/>
          <w:szCs w:val="18"/>
          <w:color w:val="auto"/>
        </w:rPr>
        <w:t>ownership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NI Holdings, Inc.</w:t>
      </w:r>
    </w:p>
    <w:p>
      <w:pPr>
        <w:spacing w:after="0" w:line="238" w:lineRule="exact"/>
        <w:rPr>
          <w:sz w:val="20"/>
          <w:szCs w:val="20"/>
          <w:color w:val="auto"/>
        </w:rPr>
      </w:pPr>
    </w:p>
    <w:p>
      <w:pPr>
        <w:jc w:val="center"/>
        <w:ind w:right="514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center"/>
        <w:ind w:right="5140"/>
        <w:spacing w:after="0"/>
        <w:rPr>
          <w:sz w:val="20"/>
          <w:szCs w:val="20"/>
          <w:color w:val="auto"/>
        </w:rPr>
      </w:pPr>
      <w:r>
        <w:rPr>
          <w:rFonts w:ascii="Arial" w:cs="Arial" w:eastAsia="Arial" w:hAnsi="Arial"/>
          <w:sz w:val="18"/>
          <w:szCs w:val="18"/>
          <w:color w:val="auto"/>
        </w:rPr>
        <w:t>ownership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Nodak Insurance Company</w:t>
      </w:r>
    </w:p>
    <w:p>
      <w:pPr>
        <w:spacing w:after="0" w:line="23" w:lineRule="exact"/>
        <w:rPr>
          <w:sz w:val="20"/>
          <w:szCs w:val="20"/>
          <w:color w:val="auto"/>
        </w:rPr>
      </w:pPr>
    </w:p>
    <w:tbl>
      <w:tblPr>
        <w:tblLayout w:type="fixed"/>
        <w:tblInd w:w="270" w:type="dxa"/>
        <w:tblCellMar>
          <w:top w:w="0" w:type="dxa"/>
          <w:left w:w="0" w:type="dxa"/>
          <w:bottom w:w="0" w:type="dxa"/>
          <w:right w:w="0" w:type="dxa"/>
        </w:tblCellMar>
      </w:tblPr>
      <w:tr>
        <w:trPr>
          <w:trHeight w:val="426"/>
        </w:trPr>
        <w:tc>
          <w:tcPr>
            <w:tcW w:w="12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2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1360" w:type="dxa"/>
            <w:vAlign w:val="bottom"/>
            <w:gridSpan w:val="2"/>
          </w:tcPr>
          <w:p>
            <w:pPr>
              <w:spacing w:after="0"/>
              <w:rPr>
                <w:sz w:val="20"/>
                <w:szCs w:val="20"/>
                <w:color w:val="auto"/>
              </w:rPr>
            </w:pPr>
          </w:p>
        </w:tc>
        <w:tc>
          <w:tcPr>
            <w:tcW w:w="202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ownership</w:t>
            </w:r>
          </w:p>
        </w:tc>
        <w:tc>
          <w:tcPr>
            <w:tcW w:w="1380" w:type="dxa"/>
            <w:vAlign w:val="bottom"/>
            <w:gridSpan w:val="2"/>
          </w:tcPr>
          <w:p>
            <w:pPr>
              <w:spacing w:after="0"/>
              <w:rPr>
                <w:sz w:val="20"/>
                <w:szCs w:val="20"/>
                <w:color w:val="auto"/>
              </w:rPr>
            </w:pPr>
          </w:p>
        </w:tc>
        <w:tc>
          <w:tcPr>
            <w:tcW w:w="11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Affiliation</w:t>
            </w:r>
          </w:p>
        </w:tc>
        <w:tc>
          <w:tcPr>
            <w:tcW w:w="1380" w:type="dxa"/>
            <w:vAlign w:val="bottom"/>
            <w:gridSpan w:val="2"/>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360" w:type="dxa"/>
            <w:vAlign w:val="bottom"/>
            <w:tcBorders>
              <w:top w:val="single" w:sz="8" w:color="auto"/>
              <w:left w:val="single" w:sz="8" w:color="auto"/>
              <w:right w:val="single" w:sz="8" w:color="auto"/>
            </w:tcBorders>
            <w:gridSpan w:val="2"/>
            <w:vMerge w:val="restart"/>
          </w:tcPr>
          <w:p>
            <w:pPr>
              <w:ind w:left="460"/>
              <w:spacing w:after="0"/>
              <w:rPr>
                <w:sz w:val="20"/>
                <w:szCs w:val="20"/>
                <w:color w:val="auto"/>
              </w:rPr>
            </w:pPr>
            <w:r>
              <w:rPr>
                <w:rFonts w:ascii="Arial" w:cs="Arial" w:eastAsia="Arial" w:hAnsi="Arial"/>
                <w:sz w:val="18"/>
                <w:szCs w:val="18"/>
                <w:color w:val="auto"/>
              </w:rPr>
              <w:t>Nodak Agency, Inc.</w:t>
            </w:r>
          </w:p>
        </w:tc>
        <w:tc>
          <w:tcPr>
            <w:tcW w:w="260" w:type="dxa"/>
            <w:vAlign w:val="bottom"/>
            <w:tcBorders>
              <w:right w:val="single" w:sz="8" w:color="auto"/>
            </w:tcBorders>
          </w:tcPr>
          <w:p>
            <w:pPr>
              <w:spacing w:after="0"/>
              <w:rPr>
                <w:sz w:val="16"/>
                <w:szCs w:val="16"/>
                <w:color w:val="auto"/>
              </w:rPr>
            </w:pPr>
          </w:p>
        </w:tc>
        <w:tc>
          <w:tcPr>
            <w:tcW w:w="3140" w:type="dxa"/>
            <w:vAlign w:val="bottom"/>
            <w:tcBorders>
              <w:top w:val="single" w:sz="8" w:color="auto"/>
              <w:right w:val="single" w:sz="8" w:color="auto"/>
            </w:tcBorders>
            <w:gridSpan w:val="2"/>
          </w:tcPr>
          <w:p>
            <w:pPr>
              <w:ind w:left="640"/>
              <w:spacing w:after="0" w:line="195" w:lineRule="exact"/>
              <w:rPr>
                <w:sz w:val="20"/>
                <w:szCs w:val="20"/>
                <w:color w:val="auto"/>
              </w:rPr>
            </w:pPr>
            <w:r>
              <w:rPr>
                <w:rFonts w:ascii="Arial" w:cs="Arial" w:eastAsia="Arial" w:hAnsi="Arial"/>
                <w:sz w:val="18"/>
                <w:szCs w:val="18"/>
                <w:color w:val="auto"/>
              </w:rPr>
              <w:t>American West Insurance</w:t>
            </w:r>
          </w:p>
        </w:tc>
        <w:tc>
          <w:tcPr>
            <w:tcW w:w="260" w:type="dxa"/>
            <w:vAlign w:val="bottom"/>
            <w:tcBorders>
              <w:right w:val="single" w:sz="8" w:color="auto"/>
            </w:tcBorders>
          </w:tcPr>
          <w:p>
            <w:pPr>
              <w:spacing w:after="0"/>
              <w:rPr>
                <w:sz w:val="16"/>
                <w:szCs w:val="16"/>
                <w:color w:val="auto"/>
              </w:rPr>
            </w:pPr>
          </w:p>
        </w:tc>
        <w:tc>
          <w:tcPr>
            <w:tcW w:w="2260" w:type="dxa"/>
            <w:vAlign w:val="bottom"/>
            <w:tcBorders>
              <w:top w:val="single" w:sz="8" w:color="auto"/>
              <w:right w:val="single" w:sz="8" w:color="auto"/>
            </w:tcBorders>
            <w:gridSpan w:val="2"/>
          </w:tcPr>
          <w:p>
            <w:pPr>
              <w:jc w:val="center"/>
              <w:ind w:right="80"/>
              <w:spacing w:after="0" w:line="195" w:lineRule="exact"/>
              <w:rPr>
                <w:sz w:val="20"/>
                <w:szCs w:val="20"/>
                <w:color w:val="auto"/>
              </w:rPr>
            </w:pPr>
            <w:r>
              <w:rPr>
                <w:rFonts w:ascii="Arial" w:cs="Arial" w:eastAsia="Arial" w:hAnsi="Arial"/>
                <w:sz w:val="18"/>
                <w:szCs w:val="18"/>
                <w:color w:val="auto"/>
                <w:w w:val="92"/>
              </w:rPr>
              <w:t>Battle Creek Mutual</w:t>
            </w:r>
          </w:p>
        </w:tc>
        <w:tc>
          <w:tcPr>
            <w:tcW w:w="260" w:type="dxa"/>
            <w:vAlign w:val="bottom"/>
            <w:tcBorders>
              <w:right w:val="single" w:sz="8" w:color="auto"/>
            </w:tcBorders>
          </w:tcPr>
          <w:p>
            <w:pPr>
              <w:spacing w:after="0"/>
              <w:rPr>
                <w:sz w:val="16"/>
                <w:szCs w:val="16"/>
                <w:color w:val="auto"/>
              </w:rPr>
            </w:pPr>
          </w:p>
        </w:tc>
        <w:tc>
          <w:tcPr>
            <w:tcW w:w="236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Tri-State, Ltd</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140" w:type="dxa"/>
            <w:vAlign w:val="bottom"/>
            <w:tcBorders>
              <w:right w:val="single" w:sz="8" w:color="auto"/>
            </w:tcBorders>
            <w:gridSpan w:val="2"/>
            <w:vMerge w:val="restart"/>
          </w:tcPr>
          <w:p>
            <w:pPr>
              <w:ind w:left="1200"/>
              <w:spacing w:after="0"/>
              <w:rPr>
                <w:sz w:val="20"/>
                <w:szCs w:val="20"/>
                <w:color w:val="auto"/>
              </w:rPr>
            </w:pPr>
            <w:r>
              <w:rPr>
                <w:rFonts w:ascii="Arial" w:cs="Arial" w:eastAsia="Arial" w:hAnsi="Arial"/>
                <w:sz w:val="18"/>
                <w:szCs w:val="18"/>
                <w:color w:val="auto"/>
              </w:rPr>
              <w:t>Company</w:t>
            </w:r>
          </w:p>
        </w:tc>
        <w:tc>
          <w:tcPr>
            <w:tcW w:w="2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89"/>
              </w:rPr>
              <w:t>Insurance Company</w:t>
            </w:r>
          </w:p>
        </w:tc>
        <w:tc>
          <w:tcPr>
            <w:tcW w:w="2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14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Primero Insurance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Nodak Insurance writes multi-peril crop, crop hail, private passenger automobile, farmowners, homeowners, and commercial property and liability policies in North Dakota. Only members of the North Dakota Farm Bureau can purchase insurance coverage from Nodak Insurance. As of December 31, 2017, Nodak Insurance distributed its insurance products through 72 exclusive agents appointed by Nodak Insurance.</w:t>
      </w:r>
    </w:p>
    <w:p>
      <w:pPr>
        <w:spacing w:after="0" w:line="13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tables provide selected amounts from the Company’s consolidated statements of operations and balance sheets. Additional information is presented throughout this annual report.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195,238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180,870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172,775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179,464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152,756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139,473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after non-controlling interest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17,456</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376,988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278,703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258,624</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255,573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153,418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149,918</w:t>
            </w:r>
          </w:p>
        </w:tc>
      </w:tr>
    </w:tbl>
    <w:p>
      <w:pPr>
        <w:spacing w:after="0" w:line="380" w:lineRule="exact"/>
        <w:rPr>
          <w:sz w:val="20"/>
          <w:szCs w:val="20"/>
          <w:color w:val="auto"/>
        </w:rPr>
      </w:pPr>
    </w:p>
    <w:p>
      <w:pPr>
        <w:ind w:right="260" w:firstLine="648"/>
        <w:spacing w:after="0" w:line="256" w:lineRule="auto"/>
        <w:rPr>
          <w:sz w:val="20"/>
          <w:szCs w:val="20"/>
          <w:color w:val="auto"/>
        </w:rPr>
      </w:pPr>
      <w:r>
        <w:rPr>
          <w:rFonts w:ascii="Arial" w:cs="Arial" w:eastAsia="Arial" w:hAnsi="Arial"/>
          <w:sz w:val="16"/>
          <w:szCs w:val="16"/>
          <w:color w:val="auto"/>
        </w:rPr>
        <w:t>The executive offices of NI Holdings and Nodak Insurance are located at 1101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Avenue North, Fargo, North Dakota 58102, and the main office phone number is 701-298-4200. NI Holdings’ website address is </w:t>
      </w:r>
      <w:r>
        <w:rPr>
          <w:rFonts w:ascii="Arial" w:cs="Arial" w:eastAsia="Arial" w:hAnsi="Arial"/>
          <w:sz w:val="16"/>
          <w:szCs w:val="16"/>
          <w:i w:val="1"/>
          <w:iCs w:val="1"/>
          <w:color w:val="auto"/>
        </w:rPr>
        <w:t>www.niholdingsinc.com</w:t>
      </w:r>
      <w:r>
        <w:rPr>
          <w:rFonts w:ascii="Arial" w:cs="Arial" w:eastAsia="Arial" w:hAnsi="Arial"/>
          <w:sz w:val="16"/>
          <w:szCs w:val="16"/>
          <w:color w:val="auto"/>
        </w:rPr>
        <w:t>. Information contained on such website is not incorporated by reference into this Annual Report on Form 10-K, and such information should not be considered to be part of this Annual Report on Form 10-K.</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American West Insurance Company (“American West”)</w:t>
      </w:r>
    </w:p>
    <w:p>
      <w:pPr>
        <w:spacing w:after="0" w:line="18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American West is licensed to write insurance in eight states in the Midwest and Western regions of the United States, but currently issues policies in South Dakota, Minnesota, and North Dakota. American West currently issues multi-peril crop, crop hail,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farmowners, private passenger auto, and homeowners insurance primarily in South Dakota. American West distributes its products through independent agents located in approximately 100 offices.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Battle Creek Mutual Insurance Company (“Battle Creek”)</w:t>
      </w:r>
    </w:p>
    <w:p>
      <w:pPr>
        <w:spacing w:after="0" w:line="19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Battle Creek issues private passenger automobile, homeowners, and farmowners policies in Nebraska. Battle Creek distributes its policies through independent agents located in approximately 290 offices. Battle Creek became affiliated with Nodak Insurance in 2011, and Nodak Insurance provides underwriting, claims management, policy administration, and other administrative services to Battle Creek. Under a 100% quota-share reinsurance agreement, Battle Creek cedes 100% of its net premiums to Nodak Insurance and Nodak Insurance fully reinsures all of Battle Creek’s risk under its insurance policies. In connection with entering into the affiliation agreement, Nodak Insurance purchased a $3.0 million surplus note issued by Battle Creek. The surplus note bears interest at an annual rate of 1.0% and matures on December 30, 2040. Battle Creek must obtain the prior approval of the Nebraska Director of Insurance before making any payment of interest or principal on the surplus note.</w:t>
      </w:r>
    </w:p>
    <w:p>
      <w:pPr>
        <w:spacing w:after="0" w:line="1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affiliation agreement, so long as the surplus note remains outstanding or the 100% quota-share reinsurance is in effect, Nodak Insurance is entitled to appoint two-thirds of the Board of Directors of Battle Creek. The affiliation agreement can be terminated by mutual written agreement of Battle Creek and Nodak Insurance, or by either party if there is a material breach of the agreement by the other party and such breach is not cured within 15 days after written notice of such breach is given by the terminating party to the other party. If Battle Creek terminated the quota-share reinsurance agreement, it would not have sufficient capital to continue to operate.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Primero Insurance Company (“Primero”)</w:t>
      </w:r>
    </w:p>
    <w:p>
      <w:pPr>
        <w:spacing w:after="0" w:line="19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Primero writes non-standard automobile insurance in Nevada, Arizona, North Dakota, and South Dakota. Primero was acquired by Nodak Insurance in 2014. Primero distributes its policies through independent agents located in approximately 325 offices in those four states.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0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market our property and casualty products in the upper Midwest states of North Dakota, South Dakota, Nebraska, and Minnesota. We also offer non-standard auto insurance in the states of Nevada, Arizona, North Dakota, and South Dakota. The following chart depicts our direct premiums written for the last two years and our relative market share within each of our key states during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2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88"/>
              </w:rPr>
              <w:t>Direct Premiums</w:t>
            </w:r>
          </w:p>
        </w:tc>
        <w:tc>
          <w:tcPr>
            <w:tcW w:w="100" w:type="dxa"/>
            <w:vAlign w:val="bottom"/>
          </w:tcPr>
          <w:p>
            <w:pPr>
              <w:spacing w:after="0"/>
              <w:rPr>
                <w:sz w:val="16"/>
                <w:szCs w:val="16"/>
                <w:color w:val="auto"/>
              </w:rPr>
            </w:pPr>
          </w:p>
        </w:tc>
        <w:tc>
          <w:tcPr>
            <w:tcW w:w="1460" w:type="dxa"/>
            <w:vAlign w:val="bottom"/>
            <w:gridSpan w:val="4"/>
          </w:tcPr>
          <w:p>
            <w:pPr>
              <w:ind w:left="20"/>
              <w:spacing w:after="0" w:line="191" w:lineRule="exact"/>
              <w:rPr>
                <w:sz w:val="20"/>
                <w:szCs w:val="20"/>
                <w:color w:val="auto"/>
              </w:rPr>
            </w:pPr>
            <w:r>
              <w:rPr>
                <w:rFonts w:ascii="Arial" w:cs="Arial" w:eastAsia="Arial" w:hAnsi="Arial"/>
                <w:sz w:val="18"/>
                <w:szCs w:val="18"/>
                <w:b w:val="1"/>
                <w:bCs w:val="1"/>
                <w:color w:val="auto"/>
                <w:w w:val="99"/>
              </w:rPr>
              <w:t>Direct Premiums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Rank in</w:t>
            </w:r>
          </w:p>
        </w:tc>
      </w:tr>
      <w:tr>
        <w:trPr>
          <w:trHeight w:val="234"/>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b w:val="1"/>
                <w:bCs w:val="1"/>
                <w:color w:val="auto"/>
              </w:rPr>
              <w:t>Written</w:t>
            </w:r>
          </w:p>
        </w:tc>
        <w:tc>
          <w:tcPr>
            <w:tcW w:w="240" w:type="dxa"/>
            <w:vAlign w:val="bottom"/>
          </w:tcPr>
          <w:p>
            <w:pPr>
              <w:spacing w:after="0"/>
              <w:rPr>
                <w:sz w:val="20"/>
                <w:szCs w:val="20"/>
                <w:color w:val="auto"/>
              </w:rPr>
            </w:pPr>
          </w:p>
        </w:tc>
        <w:tc>
          <w:tcPr>
            <w:tcW w:w="1220" w:type="dxa"/>
            <w:vAlign w:val="bottom"/>
            <w:gridSpan w:val="3"/>
          </w:tcPr>
          <w:p>
            <w:pPr>
              <w:ind w:left="140"/>
              <w:spacing w:after="0"/>
              <w:rPr>
                <w:sz w:val="20"/>
                <w:szCs w:val="20"/>
                <w:color w:val="auto"/>
              </w:rPr>
            </w:pPr>
            <w:r>
              <w:rPr>
                <w:rFonts w:ascii="Arial" w:cs="Arial" w:eastAsia="Arial" w:hAnsi="Arial"/>
                <w:sz w:val="18"/>
                <w:szCs w:val="18"/>
                <w:b w:val="1"/>
                <w:bCs w:val="1"/>
                <w:color w:val="auto"/>
              </w:rPr>
              <w:t>Written</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Market Size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State</w:t>
            </w:r>
          </w:p>
        </w:tc>
      </w:tr>
      <w:tr>
        <w:trPr>
          <w:trHeight w:val="25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Dakota</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138,950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135,133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2,400,000</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center"/>
              <w:spacing w:after="0" w:line="251" w:lineRule="exact"/>
              <w:rPr>
                <w:sz w:val="20"/>
                <w:szCs w:val="20"/>
                <w:color w:val="auto"/>
              </w:rPr>
            </w:pPr>
            <w:r>
              <w:rPr>
                <w:rFonts w:ascii="Arial" w:cs="Arial" w:eastAsia="Arial" w:hAnsi="Arial"/>
                <w:sz w:val="29"/>
                <w:szCs w:val="29"/>
                <w:color w:val="auto"/>
                <w:w w:val="92"/>
                <w:vertAlign w:val="subscript"/>
              </w:rPr>
              <w:t>4</w:t>
            </w:r>
            <w:r>
              <w:rPr>
                <w:rFonts w:ascii="Arial" w:cs="Arial" w:eastAsia="Arial" w:hAnsi="Arial"/>
                <w:sz w:val="13"/>
                <w:szCs w:val="13"/>
                <w:color w:val="auto"/>
                <w:w w:val="92"/>
              </w:rPr>
              <w:t>th</w:t>
            </w: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Nebraska</w:t>
            </w:r>
          </w:p>
        </w:tc>
        <w:tc>
          <w:tcPr>
            <w:tcW w:w="2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33,358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26,302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4,500,000</w:t>
            </w:r>
          </w:p>
        </w:tc>
        <w:tc>
          <w:tcPr>
            <w:tcW w:w="120" w:type="dxa"/>
            <w:vAlign w:val="bottom"/>
          </w:tcPr>
          <w:p>
            <w:pPr>
              <w:spacing w:after="0"/>
              <w:rPr>
                <w:sz w:val="22"/>
                <w:szCs w:val="22"/>
                <w:color w:val="auto"/>
              </w:rPr>
            </w:pPr>
          </w:p>
        </w:tc>
        <w:tc>
          <w:tcPr>
            <w:tcW w:w="1240" w:type="dxa"/>
            <w:vAlign w:val="bottom"/>
          </w:tcPr>
          <w:p>
            <w:pPr>
              <w:jc w:val="center"/>
              <w:spacing w:after="0" w:line="256" w:lineRule="exact"/>
              <w:rPr>
                <w:sz w:val="20"/>
                <w:szCs w:val="20"/>
                <w:color w:val="auto"/>
              </w:rPr>
            </w:pPr>
            <w:r>
              <w:rPr>
                <w:rFonts w:ascii="Arial" w:cs="Arial" w:eastAsia="Arial" w:hAnsi="Arial"/>
                <w:sz w:val="29"/>
                <w:szCs w:val="29"/>
                <w:color w:val="auto"/>
                <w:w w:val="86"/>
                <w:vertAlign w:val="subscript"/>
              </w:rPr>
              <w:t>36</w:t>
            </w:r>
            <w:r>
              <w:rPr>
                <w:rFonts w:ascii="Arial" w:cs="Arial" w:eastAsia="Arial" w:hAnsi="Arial"/>
                <w:sz w:val="13"/>
                <w:szCs w:val="13"/>
                <w:color w:val="auto"/>
                <w:w w:val="86"/>
              </w:rPr>
              <w:t>th</w:t>
            </w: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South Dakota</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2,400,000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line="256" w:lineRule="exact"/>
              <w:rPr>
                <w:sz w:val="20"/>
                <w:szCs w:val="20"/>
                <w:color w:val="auto"/>
              </w:rPr>
            </w:pPr>
            <w:r>
              <w:rPr>
                <w:rFonts w:ascii="Arial" w:cs="Arial" w:eastAsia="Arial" w:hAnsi="Arial"/>
                <w:sz w:val="29"/>
                <w:szCs w:val="29"/>
                <w:color w:val="auto"/>
                <w:w w:val="86"/>
                <w:vertAlign w:val="subscript"/>
              </w:rPr>
              <w:t>54</w:t>
            </w:r>
            <w:r>
              <w:rPr>
                <w:rFonts w:ascii="Arial" w:cs="Arial" w:eastAsia="Arial" w:hAnsi="Arial"/>
                <w:sz w:val="13"/>
                <w:szCs w:val="13"/>
                <w:color w:val="auto"/>
                <w:w w:val="86"/>
              </w:rPr>
              <w:t>th</w:t>
            </w: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Minnesota</w:t>
            </w:r>
          </w:p>
        </w:tc>
        <w:tc>
          <w:tcPr>
            <w:tcW w:w="2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11,200,000</w:t>
            </w:r>
          </w:p>
        </w:tc>
        <w:tc>
          <w:tcPr>
            <w:tcW w:w="120" w:type="dxa"/>
            <w:vAlign w:val="bottom"/>
          </w:tcPr>
          <w:p>
            <w:pPr>
              <w:spacing w:after="0"/>
              <w:rPr>
                <w:sz w:val="22"/>
                <w:szCs w:val="22"/>
                <w:color w:val="auto"/>
              </w:rPr>
            </w:pPr>
          </w:p>
        </w:tc>
        <w:tc>
          <w:tcPr>
            <w:tcW w:w="1240" w:type="dxa"/>
            <w:vAlign w:val="bottom"/>
          </w:tcPr>
          <w:p>
            <w:pPr>
              <w:jc w:val="center"/>
              <w:spacing w:after="0" w:line="256" w:lineRule="exact"/>
              <w:rPr>
                <w:sz w:val="20"/>
                <w:szCs w:val="20"/>
                <w:color w:val="auto"/>
              </w:rPr>
            </w:pPr>
            <w:r>
              <w:rPr>
                <w:rFonts w:ascii="Arial" w:cs="Arial" w:eastAsia="Arial" w:hAnsi="Arial"/>
                <w:sz w:val="18"/>
                <w:szCs w:val="18"/>
                <w:color w:val="auto"/>
                <w:w w:val="86"/>
              </w:rPr>
              <w:t>108</w:t>
            </w:r>
            <w:r>
              <w:rPr>
                <w:rFonts w:ascii="Arial" w:cs="Arial" w:eastAsia="Arial" w:hAnsi="Arial"/>
                <w:sz w:val="29"/>
                <w:szCs w:val="29"/>
                <w:color w:val="auto"/>
                <w:w w:val="86"/>
                <w:vertAlign w:val="superscript"/>
              </w:rPr>
              <w:t>th</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Arizona</w:t>
            </w: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23"/>
        </w:trPr>
        <w:tc>
          <w:tcPr>
            <w:tcW w:w="5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direct premiums written</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right="5680" w:hanging="2"/>
        <w:spacing w:after="0" w:line="277"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market share is not material in Nevada or Arizona, so market size and rank are not presented.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Strategy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Given our market presence in each of our key states, we believe we have many opportunities to increase business in our primary markets organically.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Strategies we employ to grow organically include:</w:t>
      </w:r>
    </w:p>
    <w:p>
      <w:pPr>
        <w:spacing w:after="0" w:line="170" w:lineRule="exact"/>
        <w:rPr>
          <w:sz w:val="20"/>
          <w:szCs w:val="20"/>
          <w:color w:val="auto"/>
        </w:rPr>
      </w:pPr>
    </w:p>
    <w:p>
      <w:pPr>
        <w:ind w:left="1300" w:right="4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emphasis on our relationship with the North Dakota Farm Bureau, a key advocacy group for agricultural and rural interests which enjoys a high and favorable profile throughout the state;</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the cost advantage created by our low expense ratio compared to peers (24.8% expense ratio in 2017 compared to an average expense ratio of our peers of 34.8% in 2016) to selectively expand market share in our primary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1300" w:right="160" w:hanging="644"/>
        <w:spacing w:after="0" w:line="342"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Expansion and enhancement of agency relationships in Nebraska and South Dakota, including the use of technology such as mobile apps, online quoting, and policy issuance initiatives to make it easy for independent agents and insureds to do business with us;</w:t>
      </w:r>
    </w:p>
    <w:p>
      <w:pPr>
        <w:spacing w:after="0" w:line="8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Selective expansion of Primero in its core markets of Nevada and Arizona as well as expansion of the non-standard auto product in our core upper Midwest market area;</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Excellent claims service for all insureds; and</w:t>
      </w:r>
    </w:p>
    <w:p>
      <w:pPr>
        <w:spacing w:after="0" w:line="184"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Selective expansion of our participation in the federal multi-peril crop insurance program, where we have many years of experience and have developed expertise in managing this type of insurance product.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Growth Strategy</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successfully acquired Primero in 2014 and acquired control of Battle Creek in 2011. American West was acquired in 2001. With the additional capital we raised through our initial public offering, we desire to make selective acquisitions that complement our strategy. Areas of current interest include acquisition of a commercial writer and geographic expansion of existing product lines. The acquisition of a commercial writer would help us to better balance our book of business among personal lines insurance, multi-peril crop insurance, and commercial lines insurance where we currently write only a limited amount of business. Selective geographic expansion would help to diversify our weather-related risks and assist us in maintaining competitive expense levels.</w:t>
      </w:r>
    </w:p>
    <w:p>
      <w:pPr>
        <w:spacing w:after="0" w:line="11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completion of our initial public offering supplied the additional capital needed to support substantial increases in premium volume, which we expect to result from the implementation of both our organic and external growth strategies.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20 to the Consolidated Financial Statements for the Company’s segment disclosures.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Passenger Auto</w:t>
      </w:r>
    </w:p>
    <w:p>
      <w:pPr>
        <w:spacing w:after="0" w:line="198"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Nodak Insurance, Battle Creek, and American West each write private passenger auto to provide protection against liability for bodily injury and property damage arising from automobile accidents and protection against loss from damage to automobiles owned by the insured. Private passenger auto accounted for $60,747 or 31.1% of direct premiums written by the Company on a consolidated basis during 2017.</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Home and Farm</w:t>
      </w:r>
    </w:p>
    <w:p>
      <w:pPr>
        <w:spacing w:after="0" w:line="18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Nodak Insurance, Battle Creek, and American West each write homeowners and farmowners policies to provide coverage for damage to buildings, equipment, and contents for a variety of perils, including fire, lightning, wind, hail, and theft. These policies also cover liability arising from injury to other persons or their property while on the insured’s premises. Home and farm accounted for $66,615 or 34.1% of direct premiums written by the Company on a consolidated basis during 2017.</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Non-standard Auto</w:t>
      </w:r>
    </w:p>
    <w:p>
      <w:pPr>
        <w:spacing w:after="0" w:line="18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Primero writes non-standard auto insurance with a focus on minimum-limit auto liability coverage. Primero’s direct premiums written on non-standard auto insurance during 2017 were $10,835, which accounted for 5.6% of the direct premiums written by the Company on a consolidated basis in 2017.</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Crop Insurance</w:t>
      </w:r>
    </w:p>
    <w:p>
      <w:pPr>
        <w:spacing w:after="0" w:line="19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Crop hail and multi-peril crop insurance policies are also offered by Nodak Insurance, American West, and Battle Creek. Multi-peril crop insurance is a federal program that protects against crop yield losses from all types of natural causes including drought, excessive moisture, freeze, and disease. Crop hail insurance is a private insurance product designed to provide protection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8" w:name="page9"/>
    <w:bookmarkEnd w:id="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against losses to farmer’s crops due primarily to hail damage. Collectively, crop insurance accounted for $49,012 or 25.1% of the direct premiums written by the Company on a consolidated basis during 2017.</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w:t>
      </w:r>
    </w:p>
    <w:p>
      <w:pPr>
        <w:spacing w:after="0" w:line="19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addition to the products described above, Nodak Insurance and American West write commercial multi-peril policies and excess liability coverages. Collectively, these other coverages accounted for $8,029, or 4.1%, of the direct premiums written by the Company on a consolidated basis during 2017. Also in this segment is an assumed reinsurance block of business, with $3,959 of assumed premiums written during 2017.</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Crop Insurance</w:t>
      </w:r>
    </w:p>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Crop insurance is purchased by agricultural producers, including farmers, ranchers, and others to protect themselves against either the loss of their crops (yield) due to natural disasters, such as hail, drought, and floods, or the loss of revenue due to declines in the prices of agricultural products. The two general categories of crop insurance are generally referred to as “crop-yield insurance” and “crop-revenue insurance”. Crop-yield insurance protects against a reduction in the yield per acre from the historical average yield in a specified area, such as a county or National Oceanic and Atmospheric Administration weather grid, while crop-revenue insurance provides protection against declines in the price of the particular crop. Most of the multi-peril crop insurance policies written today combine both yield and revenue protection, with the revenue component providing the policyholder with the option to calculate price-based losses on the higher of the prevailing price when the crop is planted or the price at harvest.</w:t>
      </w:r>
    </w:p>
    <w:p>
      <w:pPr>
        <w:spacing w:after="0" w:line="13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Beginning in 1980, the U.S. Congress expanded the federal crop insurance program to cover more crops and regions of the country. More importantly, Congress permitted private sector insurers to market and administer federal insurance policies in exchange for an opportunity to earn a profit while bearing a portion of the insurance risk. Congress also authorized a premium subsidy for the farmers and ranchers. As a result, there was a rapid increase in the acres insured from approximately 26 million acres in 1980 to 100 million acres in 1990. The Federal Crop Insurance Reform Act of 1994 made participation in the crop insurance program mandatory for farmers to be eligible to participate in other government support programs and provided a minimum level of free catastrophic risk coverage for insured and noninsured crops.</w:t>
      </w:r>
    </w:p>
    <w:p>
      <w:pPr>
        <w:spacing w:after="0" w:line="13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2017, the federal crop insurance program covered approximately 23.2 million acres in North Dakota, 17.4 million acres in South Dakota, 17.6 million acres in Minnesota, and 311.6 million acres nationwide. In 2017, Nodak Insurance multi-peril crop insurance policies covered approximately 1.9 million acres in North Dakota. During the same period, American West crop insurance policies covered approximately 13,000 acres in South Dakota and approximately 145,000 acres in Minnesota. Nodak Insurance, through its Battle Creek affiliate, writes a very small amount of multi-peril crop insurance in Nebraska.</w:t>
      </w:r>
    </w:p>
    <w:p>
      <w:pPr>
        <w:spacing w:after="0" w:line="16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American Farm Bureau Insurance Services (“AFBIS”) underwrites all of the multi-peril crop and crop hail insurance policies written by Nodak Insurance, American West, and Battle Creek, as well as several other farm bureau-affiliated insurers. AFBIS also processes and administers all claims made by policyholders under such policies. We reimburse AFBIS for its actual loss adjustment expense with respect to the policies issued by us and pay AFBIS a percentage of the premiums we received with respect to such policies. Nodak Insurance is a shareholder of AFBIS, along with each of the other insurers for whom AFBIS provides such services. AFBIS targets a three percent return on capital and pays all remaining profits to Nodak Insurance and the other shareholders of AFBIS. Nodak Insurance did not receive any material distributions from AFBIS during the years ended December 31, 2014 through 2017.</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marketing philosophy is to sell profitable business in our core states, using a focused, cost-effective distribution system. Nodak Insurance distributes its insurance products through exclusive agents in North Dakota, while American West, Battle Creek, and Primero rely on independent producers. We view these independent producers as important partners because they are in a position to recommend either our insurance products or those of a competitor to their customers. We consider our relationships with these producers to be good.</w:t>
      </w:r>
    </w:p>
    <w:p>
      <w:pPr>
        <w:spacing w:after="0" w:line="1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review our producers with respect to both premium volume and profitability. Our producers are monitored primarily by our three-person marketing staff, who also have principal responsibility for recruiting and training exclusive agents in North Dakota and independent producers in other states. We hold annual seminars for producers and conduct training programs that provide both technical training about our products and sales training to help them effectively market our products.</w:t>
      </w:r>
    </w:p>
    <w:p>
      <w:pPr>
        <w:spacing w:after="0" w:line="14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year ended December 31, 2017, no individual producer was responsible for more than 5% of the direct premiums written by our insurance companies.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 w:name="page10"/>
    <w:bookmarkEnd w:id="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Producers are compensated through a fixed base commission structure. Agents receive commission as a percentage of premiums (generally 5% to 15%) as their primary compensation from us. The Risk Management Agency of the United States Department of Agriculture (“RMA”) establishes the maximum commission that can be paid to producers with respect to crop insurance policies. Battle Creek and American West pay profit sharing commissions to their agencies based on various annual agency premium thresholds and the difference between the agency’s loss ratio and the loss ratio goal established by the insurance company. The commission is paid with respect to all property and casualty (non-crop) business earned within the calendar year. Nodak Insurance pays a profit sharing commission to its agents only with respect to farmowners business originated by such agents.</w:t>
      </w:r>
    </w:p>
    <w:p>
      <w:pPr>
        <w:spacing w:after="0" w:line="124"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Our marketing efforts are further supported by our claims philosophy, which is designed to provide prompt and efficient service and claims processing, resulting in a positive experience for producers and policyholders. We believe that these positive experiences result in higher policyholder retention and new business opportunities when communicated by producers and policyholders to potential customers. While we rely on our independent agents for distribution and customer support, underwriting and claim handling responsibilities are retained by us. Many of our agents have had direct relationships with us for a number of years.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Risk Assessment and Pricing</w:t>
      </w:r>
    </w:p>
    <w:p>
      <w:pPr>
        <w:spacing w:after="0" w:line="18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underwriting philosophy is aimed at consistently generating profits through sound risk selection and pricing discipline. Through our management and underwriting staff, we regularly establish rates and rating classifications for our insureds based on loss and loss adjustment expense (“LAE”) experience we have developed over the years. We have various rating classifications based on location, type of business, and other risk factors.</w:t>
      </w:r>
    </w:p>
    <w:p>
      <w:pPr>
        <w:spacing w:after="0" w:line="12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nature of our business requires that we remain sensitive to the marketplace and the pricing strategies of our competitors. Using the market information as our background, we normally set our prices based on our estimated future costs. From time to time, we may reduce our discounts or apply a premium surcharge to achieve an appropriate return. Pricing flexibility allows us to provide a fair rate commensurate with the assumed risk. If our pricing strategy cannot yield sufficient premium to cover our costs on a particular type of risk, we may determine not to underwrite that risk. It is our philosophy not to sacrifice profitability for premium growth.</w:t>
      </w:r>
    </w:p>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competitive strategy in underwriting is to provide very high quality service to our producers and insureds by responding quickly and effectively to information requests and policy submissions. We maintain information on all aspects of our business, which is regularly reviewed to determine both agency and policyholder profitability. Specific information regarding individual insureds is monitored to assist us in making decisions about policy renewals or modifications.</w:t>
      </w:r>
    </w:p>
    <w:p>
      <w:pPr>
        <w:spacing w:after="0" w:line="14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Our underwriting staff located in Fargo, North Dakota, which underwrites coverage issued by Nodak Insurance, American West and Battle Creek, includes 22 employees with over 360 combined years of experience in property and casualty underwriting. Primero employs an additional 3 underwriters in connection with its non-standard auto insurance business. All of the underwriting for our crop insurance is underwritten by AFBIS, as described in an earlier section.</w:t>
      </w:r>
    </w:p>
    <w:p>
      <w:pPr>
        <w:spacing w:after="0" w:line="16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strive to be disciplined in our pricing by pursuing rate increases to maintain or improve our underwriting profitability while still being able to attract and retain customers. We utilize pricing reviews that we believe will help us price risks more accurately, improve account retention, and support the production of profitable new business. Our pricing reviews involve evaluating our claims experience and loss trends on a periodic basis to identify changes in the frequency and severity of our claims. We then consider whether our premium rates are adequate relative to the level of underwriting risk as well as the sufficiency of our underwriting guidelines.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and Litigation Management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claims management philosophy involves:</w:t>
      </w:r>
    </w:p>
    <w:p>
      <w:pPr>
        <w:spacing w:after="0" w:line="18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aggressive closure of claims through prompt and thorough investigation of the facts related to the claim;</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equitable settlement of meritorious claims;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vigorous defense of unfounded claims as to coverage, liability or the amount claimed.</w:t>
      </w:r>
    </w:p>
    <w:p>
      <w:pPr>
        <w:spacing w:after="0" w:line="185"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Our claims team supports our underwriting strategy by working to provide a timely, good faith claims handling response to our policyholders. Claims excellence is achieved by timely investigation and handling of claims, settlement of meritorious claims for equitable amounts, maintenance of adequate case reserves, and control of claims loss adjustment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Claims on insurance policies are received directly from the insured or through our producers. Our claims department supports our producer relationship strategy by working to provide a consistently responsive level of claim service to our policyholders.</w:t>
      </w:r>
    </w:p>
    <w:p>
      <w:pPr>
        <w:spacing w:after="0" w:line="13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claims staff located in Fargo, North Dakota is comprised of 44 employees with over 760 years of combined experience in processing property and casualty insurance claims. Primero also employs 12 claims personnel in connection with its non-standard auto insurance business. All claims made under our multi-peril crop and crop hail insurance policies are processed and administered by AFBIS.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insurance operations rely on commercially available software to provide the information management systems platform that runs our accounting, policy underwriting and issuance, and claims processing functions. These systems permit us to integrate the accounting and reporting functions of all of our insurance operations. We utilize offsite servers for our information systems with daily backup of data. We have adopted a disaster recovery plan, and other risk mitigation practices, tailored to meet our needs and geographic location. We seek to invest continuously in new technology to maximize our business opportunities while protecting our interests and those of our clients.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Ceded</w:t>
      </w:r>
    </w:p>
    <w:p>
      <w:pPr>
        <w:spacing w:after="0" w:line="19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reinsure a portion of our exposure and pay to the reinsurers a portion of the premiums received on all policies reinsured. Insurance policies written by us are reinsured with other insurance companies principally to:</w:t>
      </w:r>
    </w:p>
    <w:p>
      <w:pPr>
        <w:spacing w:after="0" w:line="13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net liability on individual risks;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stabilize underwriting results;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underwriting capacity.</w:t>
      </w:r>
    </w:p>
    <w:p>
      <w:pPr>
        <w:spacing w:after="0" w:line="18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Reinsurance does not legally discharge the insurance company issuing the policy from primary liability for the full amount due under the reinsured policies, even though the assuming reinsurer is obligated to reimburse the company issuing the policy to the extent of the coverage ceded.</w:t>
      </w:r>
    </w:p>
    <w:p>
      <w:pPr>
        <w:spacing w:after="0" w:line="10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 primary factor in the selection of reinsurers from whom we purchase reinsurance is their financial strength. Our reinsurance arrangements are generally renegotiated annually. For the year ended December 31, 2017, NI Holdings ceded to reinsurers $16,665 of written premiums, compared to $30,748 of written premiums for the year ended December 31, 2016 and $33,439 of written premiums for the year ended December 31, 2015. The decrease in premiums ceded in 2017 was primarily due to less sharing of multi-peril crop insurance premiums with the federal government and an increase to our catastrophe retention amount in the reinsurance program.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chart below illustrates the reinsurance coverage under our excess of loss treaty for individual casualty risks: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Retained by</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Ceded Under</w:t>
            </w:r>
          </w:p>
        </w:tc>
        <w:tc>
          <w:tcPr>
            <w:tcW w:w="0" w:type="dxa"/>
            <w:vAlign w:val="bottom"/>
          </w:tcPr>
          <w:p>
            <w:pPr>
              <w:spacing w:after="0"/>
              <w:rPr>
                <w:sz w:val="1"/>
                <w:szCs w:val="1"/>
                <w:color w:val="auto"/>
              </w:rPr>
            </w:pPr>
          </w:p>
        </w:tc>
      </w:tr>
      <w:tr>
        <w:trPr>
          <w:trHeight w:val="248"/>
        </w:trPr>
        <w:tc>
          <w:tcPr>
            <w:tcW w:w="8060" w:type="dxa"/>
            <w:vAlign w:val="bottom"/>
          </w:tcPr>
          <w:p>
            <w:pPr>
              <w:spacing w:after="0"/>
              <w:rPr>
                <w:sz w:val="20"/>
                <w:szCs w:val="20"/>
                <w:color w:val="auto"/>
              </w:rPr>
            </w:pPr>
            <w:r>
              <w:rPr>
                <w:rFonts w:ascii="Arial" w:cs="Arial" w:eastAsia="Arial" w:hAnsi="Arial"/>
                <w:sz w:val="18"/>
                <w:szCs w:val="18"/>
                <w:b w:val="1"/>
                <w:bCs w:val="1"/>
                <w:color w:val="auto"/>
              </w:rPr>
              <w:t>Losses Incurred</w:t>
            </w:r>
          </w:p>
        </w:tc>
        <w:tc>
          <w:tcPr>
            <w:tcW w:w="10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Nodak Insurance</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Reinsurance Treaty</w:t>
            </w:r>
          </w:p>
        </w:tc>
        <w:tc>
          <w:tcPr>
            <w:tcW w:w="0" w:type="dxa"/>
            <w:vAlign w:val="bottom"/>
          </w:tcPr>
          <w:p>
            <w:pPr>
              <w:spacing w:after="0"/>
              <w:rPr>
                <w:sz w:val="1"/>
                <w:szCs w:val="1"/>
                <w:color w:val="auto"/>
              </w:rPr>
            </w:pPr>
          </w:p>
        </w:tc>
      </w:tr>
      <w:tr>
        <w:trPr>
          <w:trHeight w:val="27"/>
        </w:trPr>
        <w:tc>
          <w:tcPr>
            <w:tcW w:w="80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Up to $600</w:t>
            </w:r>
          </w:p>
        </w:tc>
        <w:tc>
          <w:tcPr>
            <w:tcW w:w="100" w:type="dxa"/>
            <w:vAlign w:val="bottom"/>
            <w:vMerge w:val="continue"/>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$11,400 in excess of $600</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chart below illustrates the reinsurance coverage under our excess of loss treaty for individual property risks: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Retained by</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Ceded Under</w:t>
            </w:r>
          </w:p>
        </w:tc>
        <w:tc>
          <w:tcPr>
            <w:tcW w:w="0" w:type="dxa"/>
            <w:vAlign w:val="bottom"/>
          </w:tcPr>
          <w:p>
            <w:pPr>
              <w:spacing w:after="0"/>
              <w:rPr>
                <w:sz w:val="1"/>
                <w:szCs w:val="1"/>
                <w:color w:val="auto"/>
              </w:rPr>
            </w:pPr>
          </w:p>
        </w:tc>
      </w:tr>
      <w:tr>
        <w:trPr>
          <w:trHeight w:val="248"/>
        </w:trPr>
        <w:tc>
          <w:tcPr>
            <w:tcW w:w="8060" w:type="dxa"/>
            <w:vAlign w:val="bottom"/>
          </w:tcPr>
          <w:p>
            <w:pPr>
              <w:spacing w:after="0"/>
              <w:rPr>
                <w:sz w:val="20"/>
                <w:szCs w:val="20"/>
                <w:color w:val="auto"/>
              </w:rPr>
            </w:pPr>
            <w:r>
              <w:rPr>
                <w:rFonts w:ascii="Arial" w:cs="Arial" w:eastAsia="Arial" w:hAnsi="Arial"/>
                <w:sz w:val="18"/>
                <w:szCs w:val="18"/>
                <w:b w:val="1"/>
                <w:bCs w:val="1"/>
                <w:color w:val="auto"/>
              </w:rPr>
              <w:t>Losses Incurred</w:t>
            </w:r>
          </w:p>
        </w:tc>
        <w:tc>
          <w:tcPr>
            <w:tcW w:w="10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Nodak Insurance</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Reinsurance Treaty</w:t>
            </w:r>
          </w:p>
        </w:tc>
        <w:tc>
          <w:tcPr>
            <w:tcW w:w="0" w:type="dxa"/>
            <w:vAlign w:val="bottom"/>
          </w:tcPr>
          <w:p>
            <w:pPr>
              <w:spacing w:after="0"/>
              <w:rPr>
                <w:sz w:val="1"/>
                <w:szCs w:val="1"/>
                <w:color w:val="auto"/>
              </w:rPr>
            </w:pPr>
          </w:p>
        </w:tc>
      </w:tr>
      <w:tr>
        <w:trPr>
          <w:trHeight w:val="20"/>
        </w:trPr>
        <w:tc>
          <w:tcPr>
            <w:tcW w:w="8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Up to $500</w:t>
            </w:r>
          </w:p>
        </w:tc>
        <w:tc>
          <w:tcPr>
            <w:tcW w:w="100" w:type="dxa"/>
            <w:vAlign w:val="bottom"/>
            <w:vMerge w:val="continue"/>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$19,500 in excess of $500</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As a group, during the year ended December 31, 2017, Nodak Insurance, American West, and Battle Creek retained $10,000 of losses from catastrophic events and had reinsurance under various reinsurance agreements up to $74,600 in excess of their $10,000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retained risk. For 2018, the catastrophe retention amount remained at $10,000. Prior to January 1, 2017, the group collectively retained the first $5,000 of weather related loss.</w:t>
      </w:r>
    </w:p>
    <w:p>
      <w:pPr>
        <w:spacing w:after="0" w:line="13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insolvency or inability of any reinsurer to meet its obligations to us could have a material adverse effect on our results of operations or financial condition. NI Holdings’ reinsurance providers, the majority of whom are longstanding partners that understand our business, are all carefully selected with the help of our reinsurance brokers. We monitor the solvency of reinsurers through regular review of their financial statements and their A.M. Best ratings. All of our current reinsurance partners have at least an “A” rating from A.M. Best. According to A.M. Best, companies with a rating of “A-” or better “have an excellent ability to meet their ongoing obligations to policyholders.” We have experienced no significant difficulties collecting amounts due from reinsurers.</w:t>
      </w:r>
    </w:p>
    <w:p>
      <w:pPr>
        <w:spacing w:after="0" w:line="13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Reinsurance for multi-peril crop insurance is provided by the Federal Crop Insurance Corporation (“FCIC”). Insurers can assign each policy issued to either its “assigned risk” or “commercial” fund. The FCIC retains an increasing percentage of underwriting losses at successively higher loss ratios while ceding an increasing percentage of the premium at lower loss ratios. The commercial fund permits insurers to retain more of the underwriting gains and losses, while the assigned risk fund cedes up to 80% of the risk to the FCIC. The exact treatment of the commercial fund varies by state groups. In Group 1, which includes Illinois, Indiana, Iowa, Minnesota and Nebraska, the FCIC retains a larger share of the underwriting gains and a smaller portion of the underwriting losses when compared to all other states. Aggregate stop loss reinsurance is purchased for crop hail and multi-peril insurance. We purchase fifty percentage points of coverage above a 100% direct loss ratio for crop hail. We purchase forty-five percentage points of coverage for multi-peril crop above a 105% loss ratio after the FCIC reinsurance protection. This represents the worst loss exposure given the FCIC formula, thereby capping the multi-peril crop loss ratio at 105%.</w:t>
      </w:r>
    </w:p>
    <w:p>
      <w:pPr>
        <w:spacing w:after="0" w:line="14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the largest amounts of loss and LAE recoverable by the Company from reinsurers as of December 31, 2017 and the current A.M. Best rating of each as of January 24,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Loss &amp; LAE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560" w:type="dxa"/>
            <w:vAlign w:val="bottom"/>
            <w:gridSpan w:val="4"/>
          </w:tcPr>
          <w:p>
            <w:pPr>
              <w:ind w:left="120"/>
              <w:spacing w:after="0"/>
              <w:rPr>
                <w:sz w:val="20"/>
                <w:szCs w:val="20"/>
                <w:color w:val="auto"/>
              </w:rPr>
            </w:pPr>
            <w:r>
              <w:rPr>
                <w:rFonts w:ascii="Arial" w:cs="Arial" w:eastAsia="Arial" w:hAnsi="Arial"/>
                <w:sz w:val="18"/>
                <w:szCs w:val="18"/>
                <w:b w:val="1"/>
                <w:bCs w:val="1"/>
                <w:color w:val="auto"/>
              </w:rPr>
              <w:t>Recoverable On</w:t>
            </w:r>
          </w:p>
        </w:tc>
        <w:tc>
          <w:tcPr>
            <w:tcW w:w="16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9"/>
              </w:rPr>
              <w:t>Percentage of</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Arial" w:cs="Arial" w:eastAsia="Arial" w:hAnsi="Arial"/>
                <w:sz w:val="18"/>
                <w:szCs w:val="18"/>
                <w:b w:val="1"/>
                <w:bCs w:val="1"/>
                <w:color w:val="auto"/>
              </w:rPr>
              <w:t>Reinsurance Company</w:t>
            </w:r>
          </w:p>
        </w:tc>
        <w:tc>
          <w:tcPr>
            <w:tcW w:w="1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Unpaid Claims</w:t>
            </w:r>
          </w:p>
        </w:tc>
        <w:tc>
          <w:tcPr>
            <w:tcW w:w="220" w:type="dxa"/>
            <w:vAlign w:val="bottom"/>
          </w:tcPr>
          <w:p>
            <w:pPr>
              <w:spacing w:after="0"/>
              <w:rPr>
                <w:sz w:val="20"/>
                <w:szCs w:val="20"/>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87"/>
              </w:rPr>
              <w:t>Total Recoverable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A.M. Best Rating</w:t>
            </w:r>
          </w:p>
        </w:tc>
        <w:tc>
          <w:tcPr>
            <w:tcW w:w="0" w:type="dxa"/>
            <w:vAlign w:val="bottom"/>
          </w:tcPr>
          <w:p>
            <w:pPr>
              <w:spacing w:after="0"/>
              <w:rPr>
                <w:sz w:val="1"/>
                <w:szCs w:val="1"/>
                <w:color w:val="auto"/>
              </w:rPr>
            </w:pPr>
          </w:p>
        </w:tc>
      </w:tr>
      <w:tr>
        <w:trPr>
          <w:trHeight w:val="20"/>
        </w:trPr>
        <w:tc>
          <w:tcPr>
            <w:tcW w:w="6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American Agricultural Insurance Company</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Aspen Insurance UK Limited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9.8%</w:t>
            </w:r>
          </w:p>
        </w:tc>
        <w:tc>
          <w:tcPr>
            <w:tcW w:w="13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Federal Crop Insurance Corporation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NR</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Hannover Rueck 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17.1%</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Maiden Reinsurance North America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Partner Reinsurance Company Ltd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13.1%</w:t>
            </w:r>
          </w:p>
        </w:tc>
        <w:tc>
          <w:tcPr>
            <w:tcW w:w="13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QBE Reinsurance Corporation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Scor Reinsurance Company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reinsurance recoverables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Assumed</w:t>
      </w:r>
    </w:p>
    <w:p>
      <w:pPr>
        <w:spacing w:after="0" w:line="18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Nodak Insurance assumes 100% of the risk under policies written by Battle Creek. In addition, Nodak Insurance is required by statute to participate in certain residual market pools. This participation requires Nodak Insurance to assume business for property exposures that are not insured in the voluntary marketplace. Nodak Insurance participates in these residual markets pro rata on a market share basis.</w:t>
      </w:r>
    </w:p>
    <w:p>
      <w:pPr>
        <w:spacing w:after="0" w:line="14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Additionally, through American Agriculture Insurance Company (affiliated with the American Farm Bureau Federation), Nodak Insurance participates in both domestic and international property insurance pools. Annually, Nodak Insurance reviews the available pools and selects the pools in which it will participate. No multi-peril crop or crop hail insurance policies are included in such pools. Participation in such pools provides Nodak Insurance with the opportunity to diversify its risk while increasing its annual net premiums earned. In 2017, 2016 and 2015, Nodak Insurance assumed $3,959, $3,634, and $3,478, respectively, of premiums from such pools.</w:t>
      </w:r>
    </w:p>
    <w:p>
      <w:pPr>
        <w:spacing w:after="0" w:line="161"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Beginning on January 1, 2016, Nodak Insurance assumed 100% of the crop hail premiums and losses from American West and Rural Mutual Insurance Company (a company affiliated with the Wisconsin Farm Bureau Federation). The business was then pooled with Nodak Insurance’s crop hail business and proportionately retroceded back to each participant. This crop hail pool allows Nodak Insurance and American West to diversify their crop insurance risk across an additional geographic region.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Unpaid Loss and Loss Adjustment Expense</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NI Holdings is required by applicable insurance laws and regulations to maintain reserves for unpaid losses and LAE. Our liability for unpaid losses and LAE consists of (1) case reserves, which are reserves for claims that have been reported to us, and (2)</w:t>
      </w:r>
    </w:p>
    <w:p>
      <w:pPr>
        <w:sectPr>
          <w:pgSz w:w="11900" w:h="16838" w:orient="portrait"/>
          <w:cols w:equalWidth="0" w:num="1">
            <w:col w:w="11420"/>
          </w:cols>
          <w:pgMar w:left="240" w:top="226"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 w:name="page13"/>
    <w:bookmarkEnd w:id="1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reserves for claims that have been incurred but not yet been reported and for the future development of case reserves (“IBNR”). The laws and regulations require that provision be made for the ultimate cost of those claims without regard to how long it takes to settle them or the time value of money. The determination of reserves involves actuarial and statistical projections of what we expect to be the cost of the ultimate settlement and administration of such claims. The liability for unpaid losses and LAE is set based on facts and circumstances then known, estimates of future trends in claims severity, and other variable factors such as inflation and changing judicial theories of liability.</w:t>
      </w:r>
    </w:p>
    <w:p>
      <w:pPr>
        <w:spacing w:after="0" w:line="14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Estimating the ultimate liability for unpaid losses and LAE is an inherently uncertain process. Therefore, the liability for unpaid losses and LAE does not represent an exact calculation of that liability. Our reserving policy recognizes this uncertainty by maintaining reserves at a level providing for the possibility of adverse development relative to the estimation process.</w:t>
      </w:r>
    </w:p>
    <w:p>
      <w:pPr>
        <w:spacing w:after="0" w:line="15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When a claim is reported to us, our claims personnel establish a case reserve for the estimated amount of the ultimate payment to the extent it can be determined or estimated. This estimate reflects an informed judgment based upon general insurance reserving practices and on the experience and knowledge of our claims staff. In estimating the appropriate reserve, our claims staff considers the nature and value of the specific claim, the severity of injury or damage, and the policy provisions relating to the type of loss, to the extent determinable at the time. Case reserves are adjusted by our claims staff as more information becomes available. It is our policy to settle each claim as expeditiously as possible.</w:t>
      </w:r>
    </w:p>
    <w:p>
      <w:pPr>
        <w:spacing w:after="0" w:line="13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maintain IBNR reserves to provide for already incurred claims that have not yet been reported and development on reported claims. The IBNR reserve is determined by estimating our ultimate net liability for both reported and IBNR claims, and then subtracting the case reserves and paid losses and LAE for reported claims.</w:t>
      </w:r>
    </w:p>
    <w:p>
      <w:pPr>
        <w:spacing w:after="0" w:line="14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Each quarter, NI Holdings computes its estimated ultimate liability using its methodologies and procedures. However, because the establishment of loss reserves is an inherently uncertain process, we cannot assure you that ultimate losses will not exceed the established loss reserves. Adjustments in aggregate reserves, if any, are reflected in the operating results of the period during which such adjustments are made.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provides a reconciliation of beginning and ending unpaid losses and LAE reserve balances of NI Holdings for the years ended December 31, 2017, 2016 and 2015.</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3" w:lineRule="exact"/>
        <w:rPr>
          <w:sz w:val="20"/>
          <w:szCs w:val="20"/>
          <w:color w:val="auto"/>
        </w:rPr>
      </w:pPr>
    </w:p>
    <w:p>
      <w:pPr>
        <w:ind w:left="140" w:right="2540"/>
        <w:spacing w:after="0" w:line="258"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Net 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 year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incurred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19"/>
                <w:szCs w:val="19"/>
                <w:color w:val="auto"/>
              </w:rPr>
            </w:pPr>
          </w:p>
        </w:tc>
      </w:tr>
      <w:tr>
        <w:trPr>
          <w:trHeight w:val="426"/>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59,632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45,342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50,518</w:t>
            </w:r>
          </w:p>
        </w:tc>
        <w:tc>
          <w:tcPr>
            <w:tcW w:w="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7,192</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5,676</w:t>
            </w:r>
          </w:p>
        </w:tc>
        <w:tc>
          <w:tcPr>
            <w:tcW w:w="60" w:type="dxa"/>
            <w:vAlign w:val="bottom"/>
          </w:tcPr>
          <w:p>
            <w:pPr>
              <w:spacing w:after="0"/>
              <w:rPr>
                <w:sz w:val="21"/>
                <w:szCs w:val="21"/>
                <w:color w:val="auto"/>
              </w:rPr>
            </w:pP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44,842</w:t>
            </w:r>
          </w:p>
        </w:tc>
        <w:tc>
          <w:tcPr>
            <w:tcW w:w="60" w:type="dxa"/>
            <w:vAlign w:val="bottom"/>
          </w:tcPr>
          <w:p>
            <w:pPr>
              <w:spacing w:after="0"/>
              <w:rPr>
                <w:sz w:val="18"/>
                <w:szCs w:val="18"/>
                <w:color w:val="auto"/>
              </w:rPr>
            </w:pPr>
          </w:p>
        </w:tc>
      </w:tr>
      <w:tr>
        <w:trPr>
          <w:trHeight w:val="641"/>
        </w:trPr>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132,812</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123,264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92,764</w:t>
            </w:r>
          </w:p>
        </w:tc>
        <w:tc>
          <w:tcPr>
            <w:tcW w:w="60" w:type="dxa"/>
            <w:vAlign w:val="bottom"/>
          </w:tcPr>
          <w:p>
            <w:pPr>
              <w:spacing w:after="0"/>
              <w:rPr>
                <w:sz w:val="24"/>
                <w:szCs w:val="24"/>
                <w:color w:val="auto"/>
              </w:rPr>
            </w:pPr>
          </w:p>
        </w:tc>
      </w:tr>
      <w:tr>
        <w:trPr>
          <w:trHeight w:val="244"/>
        </w:trPr>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(10,101)</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(4,756)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(8,888)</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122,711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83,876</w:t>
            </w:r>
          </w:p>
        </w:tc>
        <w:tc>
          <w:tcPr>
            <w:tcW w:w="60" w:type="dxa"/>
            <w:vAlign w:val="bottom"/>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6720" w:space="720"/>
            <w:col w:w="398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104,769</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90,772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28,620</w:t>
            </w: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15,529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Liability for unpaid losses and loss adjustment expenses</w:t>
            </w:r>
          </w:p>
        </w:tc>
        <w:tc>
          <w:tcPr>
            <w:tcW w:w="3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45,890</w:t>
            </w: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59,632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Reinsurance recoverables on losses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4,128</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Net balance at end of year</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estimation process for determining the liability for unpaid losses and LAE inherently results in adjustments each year for claims incurred (but not paid) in preceding years. Negative amounts reported for claims incurred related to prior years are a result of claims being settled for amounts less than originally estimated (favorable development). Positive amounts reported for claims incurred related to prior years are a result of claims being settled for amounts greater than originally estimated (unfavorable or adverse development).</w:t>
      </w:r>
    </w:p>
    <w:p>
      <w:pPr>
        <w:spacing w:after="0" w:line="14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following table shows the development of NI Holding’s liability for unpaid loss and LAE from 2007 through 2017. The top line of the table shows the liabilities at the balance sheet date, including losses incurred but not yet reported. The upper portion of the table shows the cumulative amounts subsequently paid as of successive years with respect to the liability. The lower portion of the table shows the re-estimated amount of the previously recorded liability based on experience as of the end of each succeeding year. The estimates change as more information becomes known about the frequency and severity of claims for individual years. The redundancy (deficiency) exists when the re-estimated liability for each reporting period is less (greater) than the prior liability estimate. The “cumulative redundancy (deficiency)” depicted in the table, for any particular calendar year, represents the aggregate change in the initial estimates over all subsequent calendar years.</w:t>
      </w:r>
    </w:p>
    <w:p>
      <w:pPr>
        <w:spacing w:after="0" w:line="13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Gross deficiencies and redundancies may be significantly more or less than net deficiencies and redundancies due to the nature and extent of applicable reinsurance.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 w:name="page15"/>
    <w:bookmarkEnd w:id="1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8"/>
                <w:szCs w:val="18"/>
                <w:b w:val="1"/>
                <w:bCs w:val="1"/>
                <w:color w:val="auto"/>
                <w:w w:val="97"/>
              </w:rPr>
              <w:t>As of December 31, 2017</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Liability for</w:t>
            </w: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loss and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LAE, net of</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recoverables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30,360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29,698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30,908</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28,266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$ 23,302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$ 25,466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$ 42,058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$ 44,842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$ 40,233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$ 52,440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$ 41,762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ind w:left="20"/>
              <w:spacing w:after="0" w:line="201" w:lineRule="exact"/>
              <w:rPr>
                <w:sz w:val="20"/>
                <w:szCs w:val="20"/>
                <w:color w:val="auto"/>
              </w:rPr>
            </w:pPr>
            <w:r>
              <w:rPr>
                <w:rFonts w:ascii="Arial" w:cs="Arial" w:eastAsia="Arial" w:hAnsi="Arial"/>
                <w:sz w:val="18"/>
                <w:szCs w:val="18"/>
                <w:color w:val="auto"/>
              </w:rPr>
              <w:t>Cumulative</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amount of liability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paid through</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One year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13,550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12,247</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11,691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16,249</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18,166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Two years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13,553</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17,278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16,323</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12,362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9,053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8,654</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20,899</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20,802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20,612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Three years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17,489</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16,408</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15,104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21,224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23,511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Four years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15,399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17,619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17,552</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15,536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13,195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11,631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Five years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17,774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17,838</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16,662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Six years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15,492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17,955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18,682</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16,627</w:t>
            </w:r>
          </w:p>
        </w:tc>
        <w:tc>
          <w:tcPr>
            <w:tcW w:w="680" w:type="dxa"/>
            <w:vAlign w:val="bottom"/>
          </w:tcPr>
          <w:p>
            <w:pPr>
              <w:jc w:val="right"/>
              <w:spacing w:after="0"/>
              <w:rPr>
                <w:sz w:val="20"/>
                <w:szCs w:val="20"/>
                <w:color w:val="auto"/>
              </w:rPr>
            </w:pPr>
            <w:r>
              <w:rPr>
                <w:rFonts w:ascii="Arial" w:cs="Arial" w:eastAsia="Arial" w:hAnsi="Arial"/>
                <w:sz w:val="18"/>
                <w:szCs w:val="18"/>
                <w:color w:val="auto"/>
              </w:rPr>
              <w:t>13,311</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Seven years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15,537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18,617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18,405</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16,629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Eight years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16,171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18,139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18,324</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Nine years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15,667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18,013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Ten years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15,523</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Liability</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after</w:t>
            </w: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One year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24,082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22,989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26,363</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24,049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18,691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22,337</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34,074</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35,926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34,880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42,145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Two years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19,831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23,100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23,492</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19,815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18,788</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30,380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33,058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w w:val="98"/>
              </w:rPr>
              <w:t>Three years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17,835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21,931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20,763</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20,518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17,678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16,620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28,871</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28,526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 years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17,586</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20,082</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21,516</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19,356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25,852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Five years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16,989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20,031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20,724</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18,403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15,184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13,864</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Six years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16,927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19,531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19,836</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17,841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w w:val="95"/>
              </w:rPr>
              <w:t>Seven years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16,860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19,251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19,306</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17,429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Eight years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18,696</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Nine years later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16,082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18,485</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Ten years later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ind w:left="20"/>
              <w:spacing w:after="0" w:line="201" w:lineRule="exact"/>
              <w:rPr>
                <w:sz w:val="20"/>
                <w:szCs w:val="20"/>
                <w:color w:val="auto"/>
              </w:rPr>
            </w:pPr>
            <w:r>
              <w:rPr>
                <w:rFonts w:ascii="Arial" w:cs="Arial" w:eastAsia="Arial" w:hAnsi="Arial"/>
                <w:sz w:val="18"/>
                <w:szCs w:val="18"/>
                <w:color w:val="auto"/>
              </w:rPr>
              <w:t>Cumulative total</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redundancy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(deficiency)</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Gross liability –</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end of year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38,913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53,770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51,413</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39,332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38,852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38,007</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46,900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50,518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45,342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45,890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ind w:left="120"/>
              <w:spacing w:after="0" w:line="201" w:lineRule="exact"/>
              <w:rPr>
                <w:sz w:val="20"/>
                <w:szCs w:val="20"/>
                <w:color w:val="auto"/>
              </w:rPr>
            </w:pPr>
            <w:r>
              <w:rPr>
                <w:rFonts w:ascii="Arial" w:cs="Arial" w:eastAsia="Arial" w:hAnsi="Arial"/>
                <w:sz w:val="18"/>
                <w:szCs w:val="18"/>
                <w:color w:val="auto"/>
              </w:rPr>
              <w:t>Reinsurance</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ind w:left="320"/>
              <w:spacing w:after="0"/>
              <w:rPr>
                <w:sz w:val="20"/>
                <w:szCs w:val="20"/>
                <w:color w:val="auto"/>
              </w:rPr>
            </w:pPr>
            <w:r>
              <w:rPr>
                <w:rFonts w:ascii="Arial" w:cs="Arial" w:eastAsia="Arial" w:hAnsi="Arial"/>
                <w:sz w:val="18"/>
                <w:szCs w:val="18"/>
                <w:color w:val="auto"/>
              </w:rPr>
              <w:t>recoverable</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8,553</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24,072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20,505</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11,066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15,550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12,541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4,842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5,676</w:t>
            </w:r>
          </w:p>
        </w:tc>
        <w:tc>
          <w:tcPr>
            <w:tcW w:w="660" w:type="dxa"/>
            <w:vAlign w:val="bottom"/>
          </w:tcPr>
          <w:p>
            <w:pPr>
              <w:jc w:val="right"/>
              <w:spacing w:after="0"/>
              <w:rPr>
                <w:sz w:val="20"/>
                <w:szCs w:val="20"/>
                <w:color w:val="auto"/>
              </w:rPr>
            </w:pPr>
            <w:r>
              <w:rPr>
                <w:rFonts w:ascii="Arial" w:cs="Arial" w:eastAsia="Arial" w:hAnsi="Arial"/>
                <w:sz w:val="18"/>
                <w:szCs w:val="18"/>
                <w:color w:val="auto"/>
              </w:rPr>
              <w:t>5,109</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Net liability –</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end of year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30,360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29,698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30,908</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28,266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42,058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44,842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40,233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Gross re-</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estimated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liability –</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latest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24,763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34,600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31,481</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26,424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29,405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23,431</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29,299</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33,615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32,761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49,686</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ind w:left="120"/>
              <w:spacing w:after="0" w:line="201" w:lineRule="exact"/>
              <w:rPr>
                <w:sz w:val="20"/>
                <w:szCs w:val="20"/>
                <w:color w:val="auto"/>
              </w:rPr>
            </w:pPr>
            <w:r>
              <w:rPr>
                <w:rFonts w:ascii="Arial" w:cs="Arial" w:eastAsia="Arial" w:hAnsi="Arial"/>
                <w:sz w:val="18"/>
                <w:szCs w:val="18"/>
                <w:color w:val="auto"/>
              </w:rPr>
              <w:t>Re-estimated</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320"/>
              <w:spacing w:after="0"/>
              <w:rPr>
                <w:sz w:val="20"/>
                <w:szCs w:val="20"/>
                <w:color w:val="auto"/>
              </w:rPr>
            </w:pPr>
            <w:r>
              <w:rPr>
                <w:rFonts w:ascii="Arial" w:cs="Arial" w:eastAsia="Arial" w:hAnsi="Arial"/>
                <w:sz w:val="18"/>
                <w:szCs w:val="18"/>
                <w:color w:val="auto"/>
              </w:rPr>
              <w:t>reinsurance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320"/>
              <w:spacing w:after="0"/>
              <w:rPr>
                <w:sz w:val="20"/>
                <w:szCs w:val="20"/>
                <w:color w:val="auto"/>
              </w:rPr>
            </w:pPr>
            <w:r>
              <w:rPr>
                <w:rFonts w:ascii="Arial" w:cs="Arial" w:eastAsia="Arial" w:hAnsi="Arial"/>
                <w:sz w:val="18"/>
                <w:szCs w:val="18"/>
                <w:color w:val="auto"/>
                <w:w w:val="96"/>
              </w:rPr>
              <w:t>recoverables –</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ind w:left="320"/>
              <w:spacing w:after="0"/>
              <w:rPr>
                <w:sz w:val="20"/>
                <w:szCs w:val="20"/>
                <w:color w:val="auto"/>
              </w:rPr>
            </w:pPr>
            <w:r>
              <w:rPr>
                <w:rFonts w:ascii="Arial" w:cs="Arial" w:eastAsia="Arial" w:hAnsi="Arial"/>
                <w:sz w:val="18"/>
                <w:szCs w:val="18"/>
                <w:color w:val="auto"/>
              </w:rPr>
              <w:t>latest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8,859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16,115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12,470</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8,995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14,962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9,567</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3,447</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5,089</w:t>
            </w:r>
          </w:p>
        </w:tc>
        <w:tc>
          <w:tcPr>
            <w:tcW w:w="660" w:type="dxa"/>
            <w:vAlign w:val="bottom"/>
          </w:tcPr>
          <w:p>
            <w:pPr>
              <w:jc w:val="right"/>
              <w:spacing w:after="0"/>
              <w:rPr>
                <w:sz w:val="20"/>
                <w:szCs w:val="20"/>
                <w:color w:val="auto"/>
              </w:rPr>
            </w:pPr>
            <w:r>
              <w:rPr>
                <w:rFonts w:ascii="Arial" w:cs="Arial" w:eastAsia="Arial" w:hAnsi="Arial"/>
                <w:sz w:val="18"/>
                <w:szCs w:val="18"/>
                <w:color w:val="auto"/>
              </w:rPr>
              <w:t>4,330</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7,542</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Net re-estimated</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liability -</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latest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18,485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19,011</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17,429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13,864</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25,852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42,144</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shd w:val="clear" w:color="auto" w:fill="CCEEFF"/>
          </w:tcPr>
          <w:p>
            <w:pPr>
              <w:jc w:val="center"/>
              <w:ind w:right="130"/>
              <w:spacing w:after="0" w:line="201" w:lineRule="exact"/>
              <w:rPr>
                <w:sz w:val="20"/>
                <w:szCs w:val="20"/>
                <w:color w:val="auto"/>
              </w:rPr>
            </w:pPr>
            <w:r>
              <w:rPr>
                <w:rFonts w:ascii="Arial" w:cs="Arial" w:eastAsia="Arial" w:hAnsi="Arial"/>
                <w:sz w:val="18"/>
                <w:szCs w:val="18"/>
                <w:color w:val="auto"/>
                <w:w w:val="90"/>
              </w:rPr>
              <w:t>Gross cumulative</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redundancy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5"/>
              </w:rPr>
              <w:t>(deficiency)</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19,170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19,932</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12,908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17,601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16,903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9,946</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5" w:name="page16"/>
    <w:bookmarkEnd w:id="1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NI Holdings’ investments in fixed income and equity securities are classified as available for sale and are carried at fair value with unrealized gains and losses reflected as a component of equity, net of income taxes. The goal of the Company’s investment activities is to complement and support its overall mission. As such, the investment portfolio is structured to maximize after-tax investment income and price appreciation while maintaining the portfolio’s target risk profile.</w:t>
      </w:r>
    </w:p>
    <w:p>
      <w:pPr>
        <w:spacing w:after="0" w:line="16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overall investment objectives are (i) growth and preservation of capital, (ii) achieving favorable returns on invested assets through investment in high quality income producing assets, and (iii) assuring proper levels of liquidity to fund expected operating needs. See “Item 7A. Quantitative and Qualitative Information about Market Risk” for discussion about specific risks concerning investments.</w:t>
      </w:r>
    </w:p>
    <w:p>
      <w:pPr>
        <w:spacing w:after="0" w:line="14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addition to any investments prohibited by the insurance laws and regulations of North Dakota and any other applicable states, NI Holdings’ investment policies prohibit the following investments and investing activities:</w:t>
      </w:r>
    </w:p>
    <w:p>
      <w:pPr>
        <w:spacing w:after="0" w:line="13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Commodities and futures contracts;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Options (except covered call options);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Non-investment grade debt obligations (determined at time of purchase);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only, principal only, and residual tranche collateralized mortgage obligations;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Private placements;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trading;</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partnerships, other than publicly traded master limited partnerships;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Convertible securities;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Venture capital investments;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 estate properties;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lending;</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Portfolio leveraging, i.e., margin transactions;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 selling.</w:t>
      </w:r>
    </w:p>
    <w:p>
      <w:pPr>
        <w:spacing w:after="0" w:line="19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Executive Committee of NI Holdings’ Board of Directors approved the Company’s investment policy and reviews it periodically. The investment portfolio is managed by Conning, Inc. and Disciplined Growth Investors.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NI Holdings’ investments.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4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Cost or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Cost or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14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9,649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5,834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6,050</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81,741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82,595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69,396</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88,474</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89,451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50,610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51,170</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28,524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22,637</w:t>
            </w:r>
          </w:p>
        </w:tc>
        <w:tc>
          <w:tcPr>
            <w:tcW w:w="8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11,228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8,096</w:t>
            </w:r>
          </w:p>
        </w:tc>
        <w:tc>
          <w:tcPr>
            <w:tcW w:w="8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15,369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ind w:left="260"/>
              <w:spacing w:after="0"/>
              <w:rPr>
                <w:sz w:val="20"/>
                <w:szCs w:val="20"/>
                <w:color w:val="auto"/>
              </w:rPr>
            </w:pPr>
            <w:r>
              <w:rPr>
                <w:rFonts w:ascii="Arial" w:cs="Arial" w:eastAsia="Arial" w:hAnsi="Arial"/>
                <w:sz w:val="18"/>
                <w:szCs w:val="18"/>
                <w:color w:val="auto"/>
              </w:rPr>
              <w:t>Total fixed income securities</w:t>
            </w:r>
          </w:p>
        </w:tc>
        <w:tc>
          <w:tcPr>
            <w:tcW w:w="1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234,978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47,561</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25,917</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ind w:left="20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264,006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284,319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171,771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6" w:name="page17"/>
    <w:bookmarkEnd w:id="1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as of December 31, 2017. Actual maturities could differ from contractual maturities because issuers of the securities may have the right to call or prepay certain obligations, which may or may not include call or prepayment penalties.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7"/>
          </w:tcPr>
          <w:p>
            <w:pPr>
              <w:ind w:left="240"/>
              <w:spacing w:after="0"/>
              <w:rPr>
                <w:sz w:val="20"/>
                <w:szCs w:val="20"/>
                <w:color w:val="auto"/>
              </w:rPr>
            </w:pPr>
            <w:r>
              <w:rPr>
                <w:rFonts w:ascii="Arial" w:cs="Arial" w:eastAsia="Arial" w:hAnsi="Arial"/>
                <w:sz w:val="18"/>
                <w:szCs w:val="18"/>
                <w:b w:val="1"/>
                <w:bCs w:val="1"/>
                <w:color w:val="auto"/>
              </w:rPr>
              <w:t>December 31, 2017</w:t>
            </w:r>
          </w:p>
        </w:tc>
      </w:tr>
      <w:tr>
        <w:trPr>
          <w:trHeight w:val="223"/>
        </w:trPr>
        <w:tc>
          <w:tcPr>
            <w:tcW w:w="874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gridSpan w:val="2"/>
          </w:tcPr>
          <w:p>
            <w:pPr>
              <w:spacing w:after="0"/>
              <w:rPr>
                <w:sz w:val="19"/>
                <w:szCs w:val="19"/>
                <w:color w:val="auto"/>
              </w:rPr>
            </w:pP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One through five years</w:t>
            </w:r>
          </w:p>
        </w:tc>
        <w:tc>
          <w:tcPr>
            <w:tcW w:w="3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86,830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87,642</w:t>
            </w:r>
          </w:p>
        </w:tc>
        <w:tc>
          <w:tcPr>
            <w:tcW w:w="8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Five through ten years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70,680</w:t>
            </w:r>
          </w:p>
        </w:tc>
        <w:tc>
          <w:tcPr>
            <w:tcW w:w="80" w:type="dxa"/>
            <w:vAlign w:val="bottom"/>
            <w:shd w:val="clear" w:color="auto" w:fill="CCEEFF"/>
          </w:tcPr>
          <w:p>
            <w:pPr>
              <w:spacing w:after="0"/>
              <w:rPr>
                <w:sz w:val="18"/>
                <w:szCs w:val="18"/>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Greater than ten years</w:t>
            </w:r>
          </w:p>
        </w:tc>
        <w:tc>
          <w:tcPr>
            <w:tcW w:w="3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10,607</w:t>
            </w:r>
          </w:p>
        </w:tc>
        <w:tc>
          <w:tcPr>
            <w:tcW w:w="80" w:type="dxa"/>
            <w:vAlign w:val="bottom"/>
          </w:tcPr>
          <w:p>
            <w:pPr>
              <w:spacing w:after="0"/>
              <w:rPr>
                <w:sz w:val="19"/>
                <w:szCs w:val="19"/>
                <w:color w:val="auto"/>
              </w:rPr>
            </w:pPr>
          </w:p>
        </w:tc>
      </w:tr>
      <w:tr>
        <w:trPr>
          <w:trHeight w:val="23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Mortgage/asset-backed securities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55,063</w:t>
            </w:r>
          </w:p>
        </w:tc>
        <w:tc>
          <w:tcPr>
            <w:tcW w:w="80" w:type="dxa"/>
            <w:vAlign w:val="bottom"/>
            <w:shd w:val="clear" w:color="auto" w:fill="CCEEFF"/>
          </w:tcPr>
          <w:p>
            <w:pPr>
              <w:spacing w:after="0"/>
              <w:rPr>
                <w:sz w:val="19"/>
                <w:szCs w:val="19"/>
                <w:color w:val="auto"/>
              </w:rPr>
            </w:pPr>
          </w:p>
        </w:tc>
      </w:tr>
      <w:tr>
        <w:trPr>
          <w:trHeight w:val="223"/>
        </w:trPr>
        <w:tc>
          <w:tcPr>
            <w:tcW w:w="8740" w:type="dxa"/>
            <w:vAlign w:val="bottom"/>
          </w:tcPr>
          <w:p>
            <w:pPr>
              <w:ind w:left="140"/>
              <w:spacing w:after="0"/>
              <w:rPr>
                <w:sz w:val="20"/>
                <w:szCs w:val="20"/>
                <w:color w:val="auto"/>
              </w:rPr>
            </w:pPr>
            <w:r>
              <w:rPr>
                <w:rFonts w:ascii="Arial" w:cs="Arial" w:eastAsia="Arial" w:hAnsi="Arial"/>
                <w:sz w:val="18"/>
                <w:szCs w:val="18"/>
                <w:color w:val="auto"/>
              </w:rPr>
              <w:t>Total debt securities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At December 31, 2017, the average maturity of NI Holdings’ fixed income investment portfolio was 4.85 years and the average duration was 3.99 years. As a result, the fair value of investments may fluctuate significantly in response to changes in interest rates. In addition, NI Holdings may experience investment losses to the extent our liquidity needs require the disposition of fixed income securities in unfavorable interest rate environments.</w:t>
      </w:r>
    </w:p>
    <w:p>
      <w:pPr>
        <w:spacing w:after="0" w:line="106"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NI Holdings uses quoted values and other data provided by independent pricing services as inputs in its process for determining fair values of its investments. The pricing services cover substantially all of the securities in the portfolio for which publicly quoted values are not available. The pricing services’ evaluations represent an exit price, which is a good faith opinion as to what a buyer in the marketplace would pay for a security in a current sale. The pricing is based on observable inputs either directly or indirectly, such as quoted prices in markets that are active, quoted prices for similar securities at the measurement date, or other inputs that are observable.</w:t>
      </w:r>
    </w:p>
    <w:p>
      <w:pPr>
        <w:spacing w:after="0" w:line="14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NI Holdings’ investment managers provide pricing information that they utilize, together with information obtained from independent pricing services, to determine the fair value of its fixed income securities. After performing a detailed review of the information obtained from the pricing services, no adjustment was made to the values provided.</w:t>
      </w:r>
    </w:p>
    <w:p>
      <w:pPr>
        <w:spacing w:after="0" w:line="15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19"/>
                <w:szCs w:val="19"/>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191,987</w:t>
            </w:r>
          </w:p>
        </w:tc>
        <w:tc>
          <w:tcPr>
            <w:tcW w:w="16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3,644</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3,571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cash and invested assets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Best Rating</w:t>
      </w:r>
    </w:p>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 Best rates insurance companies based on factors of concern to policyholders. The rating evaluates the claims paying ability of a company, and is not a recommendation on the merits of an investment in our common stock.</w:t>
      </w:r>
    </w:p>
    <w:p>
      <w:pPr>
        <w:spacing w:after="0" w:line="13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Nodak Insurance and Battle Creek are rated “A” by A.M. Best, which is the third highest out of 15 possible ratings. A.M. Best has affirmed a stable financial strength outlook to both Nodak Insurance and Battle Creek. American West is rated “A-” with a stable financial strength outlook, and Primero is unrated because the nature of its business is not ratings sensitive. In its evaluation of a company’s financial and operating performance, A.M. Best reviews:</w:t>
      </w:r>
    </w:p>
    <w:p>
      <w:pPr>
        <w:spacing w:after="0" w:line="10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profitability, leverage and liquidity;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book of business;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and soundness of its reinsurance;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estimated fair value of its assets;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its reserves and surplus;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its capital structure;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experience and competence of its management;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its marketing presence.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unable to maintain at least an “A-” rating from A.M. Best, it may impair our ability to compete effectively.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property casualty and crop insurance markets are highly competitive. NI Holdings competes with stock insurance companies, mutual companies, and other underwriting organizations. Our largest competitors in North Dakota for private passenger auto and homeowners are State Farm, Progressive, American Family, QBE, Farmers Union, and Auto-Owners. In South Dakota and Nebraska, we have small market shares and our competitors are the large national and regional companies as well as Farmers Mutual of Nebraska. Based on 2016 data, Nodak Insurance is the second largest writer of farmowners insurance in North Dakota. Our largest competitors are Farmers Union, North Star Mutual, and American Family. In Nebraska and South Dakota, we have a small farmowners market share, which is dominated by the large national and regional carriers. Certain of these competitors have substantially greater financial, technical, and operating resources than we do and may be able to offer lower rates or higher commissions to their producers.</w:t>
      </w:r>
    </w:p>
    <w:p>
      <w:pPr>
        <w:spacing w:after="0" w:line="12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Total industry-reported premiums written for multi-peril crop insurance in 2017 was $929,135 in North Dakota and $634,021 in Minnesota. In North Dakota, our multi-peril crop insurance direct premiums written were $39,270, $38,708, and $39,914 for the years ended December 31, 2017, 2016 and 2015, respectively. In Minnesota, our multi-peril crop insurance direct premium written were $4,534, $3,504, and $2,652 for the years ended December 31, 2017, 2016 and 2015, respectively. NI Holdings wrote less than $500 in multi-peril crop insurance in Nebraska and South Dakota for each of the last three years. The principal competitors in our markets for multi-peril crop insurance are Chubb, RCIS, QBE, and Great American.</w:t>
      </w:r>
    </w:p>
    <w:p>
      <w:pPr>
        <w:spacing w:after="0" w:line="146"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The premium rates for multi-peril crop insurance are established by the RMA, and, accordingly, we compete with other insurance companies on factors such as agency relationships, claim service, and market reputation in the crop insurance market. We believe that our relationship with the North Dakota Farm Bureau and our leading market share are significant factors in maintaining our market share of the crop insurance business in North Dakota.</w:t>
      </w:r>
    </w:p>
    <w:p>
      <w:pPr>
        <w:spacing w:after="0" w:line="106"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With respect to writing property and casualty insurance, we compete on a number of factors such as pricing, agency relationships, policy support, claim service, and market reputation. Like other writers of property and casualty insurance, our policy terms vary from state to state based on the prescribed minimum liability limits in each state, as established by state law. We believe our company differentiates itself from many larger companies competing for this business by focusing on ease of doing business and providing excellent claims service with local, knowledgeable employees.</w:t>
      </w:r>
    </w:p>
    <w:p>
      <w:pPr>
        <w:spacing w:after="0" w:line="11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To compete successfully in the property and casualty insurance market, we rely on our ability to identify insureds that are most likely to produce an underwriting profit, operate with a disciplined underwriting approach, practice prudent claims management, reserve appropriately for unpaid claims, and provide quality service and competitive commissions to our independent and captive agents.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are subject to extensive regulation, particularly at the state level. The method, extent, and substance of such regulation varies by state, but generally has its source in statutes and regulations that establish standards and requirements for conducting the business of insurance and that delegate regulatory authority to state insurance regulatory agencies. In general, such regulation is intended for the protection of those who purchase or use insurance products, not the companies that write the policies. These laws and regulations have a significant impact on our business and relate to a wide variety of matters including accounting methods, agent and company licensure, claims procedures, corporate governance, examinations, investing practices, policy forms, pricing, trade practices, reserve adequacy, and underwriting standards.</w:t>
      </w:r>
    </w:p>
    <w:p>
      <w:pPr>
        <w:spacing w:after="0" w:line="1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State insurance laws and regulations require our insurance company subsidiaries to file financial statements with state insurance departments everywhere they do business, and the operations of such companies and their respective accounts are subject to examination by those departments at any time. Our insurance company subsidiaries prepare statutory financial statements in accordance with accounting practices and procedures prescribed or permitted by the state in which they are domiciled. North Dakota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8" w:name="page19"/>
    <w:bookmarkEnd w:id="1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generally conforms to National Association of Insurance Commissioners (“NAIC”) practices and procedures, so its examination reports and other filings generally are accepted by other states.</w:t>
      </w:r>
    </w:p>
    <w:p>
      <w:pPr>
        <w:spacing w:after="0" w:line="13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Premium rate regulation varies greatly among jurisdictions and lines of insurance. In the states in which our insurance company subsidiaries write insurance, premium rates for the various lines of insurance are subject to either prior approval or limited review upon implementation. The premium rates for multi-peril crop insurance are established by the RMA. See “Item 1. Business — Crop Insurance.”</w:t>
      </w:r>
    </w:p>
    <w:p>
      <w:pPr>
        <w:spacing w:after="0" w:line="15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Many jurisdictions have laws and regulations that limit an insurer’s ability to withdraw from a particular market. For example, states may limit an insurer’s ability to cancel or non-renew policies. Laws and regulations that limit cancellation and non-renewal may restrict our ability to exit unprofitable marketplaces in a timely manner.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Crop Insurance</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multi-peril crop insurance business is overseen by the federal government through the RMA. The RMA outlines policy language, establishes premium rates, and develops loss adjustment procedures for insurance programs under the federal crop insurance program. In addition, through the FCIC, the RMA provides premium subsidies to farmers and sets the commission percentages that can be paid to agents. All participating insurance carriers are subject to the same Standard Reinsurance Agreement (“SRA”), which outlines items such as reporting requirements and claims handling procedures, proportional and non-proportional reinsurance terms, and the level of administrative and operating reimbursement paid to insurers. The RMA also provides oversight to the approved insurance providers (“AIPs”). The AIPs are required to use the policies, premium rates, and loss adjustment procedures set by the RMA without modification and are required to issue a policy to any eligible applicant regardless of risk or profitability. The RMA conducts audits of AIPs with respect to claims and loss adjustment procedures.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Examinations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Examinations are conducted every three to five years by the Departments of Insurance where the insurance companies are domiciled. Nodak Insurance and American West were last examined by the North Dakota Insurance Department as of December 31, 2016. The final examination report for American West included a finding related to intercompany expense charges between the two companies, which offset in consolidation. The underlying cause of this finding has been resolved.</w:t>
      </w:r>
    </w:p>
    <w:p>
      <w:pPr>
        <w:spacing w:after="0" w:line="14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Battle Creek was last examined by the Nebraska Insurance Department as of December 31, 2016, and the last examination of Primero by the Nevada Insurance Department was as of December 31, 2016. Neither examination resulted in any adjustments to their financial positions, nor were there any substantive matters raised in the final examination reports.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NAIC Risk-Based Capital Requirements</w:t>
      </w:r>
    </w:p>
    <w:p>
      <w:pPr>
        <w:spacing w:after="0" w:line="18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North Dakota and most other states have adopted the NAIC system of risk-based capital requirements that require insurance companies to calculate and report information under a risk-based formula. These risk-based capital requirements attempt to measure statutory capital and surplus needs based on the risks in a company’s mix of products and investment portfolio. Under the formula, a company first determines its “authorized control level” risk-based capital. This authorized control level takes into account (i) the risk with respect to the insurer’s assets; (ii) the risk of adverse insurance experience with respect to the insurer’s liabilities and obligations; (iii) the interest rate risk with respect to the insurer’s business; and (iv) all other business risks and such other relevant risks as are set forth in the risk-based capital instructions. A company’s “total adjusted capital” is the sum of statutory capital and surplus and such other items as the risk-based capital instructions may provide. The formula is designed to allow state insurance regulators to identify weakly capitalized companies.</w:t>
      </w:r>
    </w:p>
    <w:p>
      <w:pPr>
        <w:spacing w:after="0" w:line="1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requirements provide for four different levels of regulatory attention. The “company action level” is triggered if a company’s total adjusted capital is less than 2.0 times its authorized control level but greater than or equal to 1.5 times its authorized control level. At the company action level, the company must submit a comprehensive plan to the regulatory authority that discusses proposed corrective actions to improve the capital position. The “regulatory action level” is triggered if a company’s total adjusted capital is less than 1.5 times but greater than or equal to 1.0 times its authorized control level. At the regulatory action level, the regulatory authority will perform a special examination of the company and issue an order specifying corrective actions that must be followed. The “authorized control level” is triggered if a company’s total adjusted capital is less than 1.0 times but greater than or equal to 0.7 times its authorized control level. At this level, the regulatory authority may take action it deems necessary, including placing the company under regulatory control. The “mandatory control level” is triggered if a company’s total adjusted capital is less than 0.7 times its authorized control level. At this level, the regulatory authority is mandated to place the company under its control. The capital levels of our insurance company subsidiaries have never triggered any of these regulatory capital levels. We cannot guarantee, however, that the capital requirements applicable to such companies will not increase in the future.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NAIC Ratios</w:t>
      </w:r>
    </w:p>
    <w:p>
      <w:pPr>
        <w:spacing w:after="0" w:line="18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NAIC also has developed a set of 13 financial ratios referred to as the Insurance Regulatory Information System (“IRIS”). Based on statutory financial statements filed with state insurance regulators, the NAIC annually calculates these IRIS ratios to assist state insurance regulators in monitoring the financial condition of insurance companies. The NAIC has established an acceptable range for each of the IRIS financial ratios. If four or more of its IRIS ratios fall outside the range deemed acceptable by the NAIC, an insurance company may receive inquiries from individual state insurance departments. During each of the years ended December 31, 2017 and 2016, none of our insurance company subsidiaries produced results outside the acceptable range for more than two of the IRIS tests.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Enterprise Risk Assessment</w:t>
      </w:r>
    </w:p>
    <w:p>
      <w:pPr>
        <w:spacing w:after="0" w:line="18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2012, the NAIC adopted various changes to its Model Regulations, herein known as the “NAIC Amendments”. The NAIC Amendments, when adopted by the various states, are designed to respond to perceived gaps in the regulation of insurance holding company systems in the United States. The NAIC Amendments includes a requirement that an insurance holding company system’s ultimate controlling person submit annually to its lead state insurance regulator an “enterprise risk report”. This enterprise risk report identifies the activities, circumstances, or events involving one or more affiliates of an insurer that, if not remedied properly, are likely to have a material adverse effect upon the financial condition or liquidity of the insurer or its insurance holding company system as a whole. While the NAIC Amendments have not been adopted in whole by the North Dakota Insurance Department, North Dakota currently requires insurers domiciled in North Dakota to include an enterprise risk assessment in its annual report. The NAIC Amendments also include provisions requiring a controlling person to submit prior notice to its domiciliary insurance regulator of its divestiture of control, having detailed minimum requirements for cost sharing and management agreements between an insurer and its affiliates, and expanding of the agreements between an insurer and its affiliates to be filed with its domiciliary insurance regulator.</w:t>
      </w:r>
    </w:p>
    <w:p>
      <w:pPr>
        <w:spacing w:after="0" w:line="13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2012, the NAIC also adopted the Own Risk Solvency Assessment (“ORSA”) Model Act. The ORSA Model Act, when adopted by the various states, will require an insurance holding company system’s chief risk officer to submit at least annually to its lead state insurance regulator a confidential report detailing its own internal solvency assessment. Such an assessment is to be tailored to the nature, scale and complexity of an insurer. This assessment will include the material and relevant risks identified by the insurer associated with an insurer’s current business plan and the sufficiency of capital resources to support those risks. Although our insurance company subsidiaries are exempt from ORSA because of their size, NI Holdings intends to incorporate those elements of ORSA that it believes constitute “best practices” into its annual internal enterprise risk assessment.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Conduct Regulation</w:t>
      </w:r>
    </w:p>
    <w:p>
      <w:pPr>
        <w:spacing w:after="0" w:line="18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State insurance laws and regulations include numerous provisions governing trade practices and the marketplace activities of insurers, including provisions governing the form and content of disclosure to consumers, illustrations, advertising, sales practices and complaint handling. State regulatory authorities generally enforce these provisions through periodic market conduct examinations.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Guaranty Fund Laws</w:t>
      </w:r>
    </w:p>
    <w:p>
      <w:pPr>
        <w:spacing w:after="0" w:line="19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All states have guaranty fund laws under which insurers doing business in the state can be assessed to fund policyholder liabilities of insolvent insurance companies. Under these laws, an insurer is subject to assessment depending upon its market share in the state of a given line of business. For the years ended December 31, 2017, 2016 and 2015, we paid no assessments pursuant to state insurance guaranty association laws. We establish reserves relating to insurance companies that are subject to insolvency proceedings when it becomes probable that we will be subject to an assessment and the amount of such assessment can be estimated. We cannot predict the amount and timing of any future assessments under these laws. See “Item 7. Management’s Discussion and Analysis of Financial Condition and Results of Operations.”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Federal Regulation</w:t>
      </w:r>
    </w:p>
    <w:p>
      <w:pPr>
        <w:spacing w:after="0" w:line="18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U.S. federal government generally has not directly regulated the insurance industry except for certain areas of the market, such as insurance for crops, flood, nuclear and terrorism risks. However, the federal government has undertaken initiatives or considered legislation in several areas that may affect the insurance industry, including tort reform, corporate governance, and the taxation of reinsurance companies. The Dodd-Frank Act established the Federal Insurance Office, which is authorized to study, monitor and report to Congress on the insurance industry and to recommend that the Financial Stability Oversight Council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Changes to federal legislation and administrative policies in several areas, including changes in federal taxation, can also significantly affect the insurance industry and us. See “Item 1. Business — Crop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0" w:name="page21"/>
    <w:bookmarkEnd w:id="2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We are also subject to the Fair and Accurate Credit Transactions Act of 2003 (“FACTA”) and the Health Insurance Portability and Accountability Act of 1996 (“HIPAA”), both of which require us to protect the privacy of our customers’ information, including health and credit information.</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Privacy</w:t>
      </w:r>
    </w:p>
    <w:p>
      <w:pPr>
        <w:spacing w:after="0" w:line="19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mandated by the Gramm-Leach-Bliley Act, states continue to promulgate and refine laws and regulations that require financial institutions, including insurance companies, to take steps to protect the privacy of certain consumer and customer information relating to products or services primarily for personal, family or household purposes. A recent NAIC initiative that affected the insurance industry was the adoption in 2000 of the Privacy of Consumer Financial and Health Information Model Regulation, which assisted states in promulgating regulations to comply with the Gramm-Leach-Bliley Act. In 2002, to further facilitate the implementation of the Gramm-Leach-Bliley Act, the NAIC adopted the Standards for Safeguarding Customer Information Model Regulation. Several states have now adopted similar provisions regarding the safeguarding of customer information. NI Holdings and its subsidiaries have each implemented procedures to comply with the Gramm-Leach-Bliley Act’s related privacy requirements.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of Foreign Asset Control</w:t>
      </w:r>
    </w:p>
    <w:p>
      <w:pPr>
        <w:spacing w:after="0" w:line="18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Treasury Department’s Office of Foreign Asset Control (“OFAC”) maintains a list of “Specifically Designated Nationals and Blocked Persons” (“the SDN List”). The SDN List identifies persons and entities that the government believes are associated with terrorists, rogue nations or drug traffickers. OFAC’s regulations prohibit insurers, among others, from doing business with persons or entities on the SDN List. If the insurer finds and confirms a match, the insurer must take steps to block or reject the transaction, notify the affected person, and file a report with OFAC.</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Jumpstart Our Business Startups Act of 2012</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an emerging growth company (“EGC”), as defined in the Jumpstart Our Business Startups Act of 2012 (“the JOBS Act”), and we may take advantage of certain exemptions from various reporting requirements that are applicable to other public companies that are not emerging growth companies, such as reduced public company reporting, accounting, and corporate governance requirements. We currently intend to avail ourselves of the reduced disclosure obligations available under the JOBS Act.</w:t>
      </w:r>
    </w:p>
    <w:p>
      <w:pPr>
        <w:spacing w:after="0" w:line="14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Section 107 of the JOBS Act also provides that an EGC can take advantage of the extended transition period provided in Section 7(a)(2)(B) of the Securities Act for complying with new or revised accounting standards.</w:t>
      </w:r>
    </w:p>
    <w:p>
      <w:pPr>
        <w:spacing w:after="0" w:line="143"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We will remain an EGC for up to five years following our initial public offering (“IPO”), or until the earliest of (i) the last day of the first fiscal year in which our annual gross revenue exceeds $1.07 billion, (ii) the date that we become a “large accelerated filer” as defined in Rule 12b-2 under the Securities Exchange Act of 1934, as amended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As of December 31, 2017, the amount available for payment of dividends by Nodak Insurance in 2018 without the prior approval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1" w:name="page22"/>
    <w:bookmarkEnd w:id="2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North Dakota Insurance Department is $15,654. “Extraordinary dividends” in excess of the foregoing limitations may only be paid with prior notice to, and approval of, the North Dakota Insurance Department. See “Item 5. Market for the Registrant’s Common Equity, Related Stockholder Matters and Issuer Purchases of Equity Securities — Dividend Policy.”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Holding Company Laws</w:t>
      </w:r>
    </w:p>
    <w:p>
      <w:pPr>
        <w:spacing w:after="0" w:line="19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Most states, including North Dakota, have enacted legislation that regulates insurance holding company systems. Each insurance company in a holding company system is required to register with the insurance supervisory agency of its state of domicile and furnish certain information, including information concerning the operations of companies within the holding company group that may materially affect the operations, management or financial condition of the insurers within the group. Pursuant to these laws, the North Dakota Insurance Department requires disclosure of material transactions involving an insurance company and its affiliates, and requires prior notice and/or approval of certain transactions, such as extraordinary dividends distributed by the insurance company. Under these laws, the North Dakota Insurance Department will have the right to examine us at any time.</w:t>
      </w:r>
    </w:p>
    <w:p>
      <w:pPr>
        <w:spacing w:after="0" w:line="124"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All transactions within our consolidated group affecting our insurance company subsidiaries must be fair and equitable. Notice of certain material transactions between NI Holdings and any person or entity in our holding company system will be required to be given to the North Dakota Insurance Department. Certain transactions cannot be completed without the prior approval of the North Dakota Insurance Department.</w:t>
      </w:r>
    </w:p>
    <w:p>
      <w:pPr>
        <w:spacing w:after="0" w:line="1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Approval of the state insurance commissioner is required prior to any transaction affecting the control of an insurer domiciled in that state. In North Dakota, the acquisition of 10% or more of the outstanding voting securities of an insurer or its holding company is presumed to be a change in control. North Dakota law also prohibits any person or entity from (i) making a tender offer for, or a request or invitation for tenders of, or seeking to acquire or acquiring any voting security of a North Dakota insurer if, after the acquisition, the person or entity would be in control of the insurer, or (ii) effecting or attempting to effect an acquisition of control of or merger with a North Dakota insurer, unless the offer, request, invitation, acquisition, effectuation or attempt has received the prior approval of the North Dakota Insurance Department.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2017, NI Holdings and its subsidiaries had 136 total employees. None of these employees are covered by a collective bargaining agreement, and we believe that our employee relations are good.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2" w:name="page23"/>
    <w:bookmarkEnd w:id="2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An investment in the Company’s common shares involves certain risks. The following is a discussion of the most significant risks and uncertainties that may affect the Company’s business, financial condition, and future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Catastrophic or other significant natural or man-made losses may negatively affect our financial condition and operating results.</w:t>
      </w:r>
    </w:p>
    <w:p>
      <w:pPr>
        <w:spacing w:after="0" w:line="20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a property and casualty insurer, we are subject to claims from catastrophes that may have a significant negative impact on operating and financial results. We have experienced catastrophe losses, and can be expected to experience catastrophe losses in the future. Catastrophe losses can be caused by various events, including snow storms, ice storms, freezing temperatures, earthquakes, tornadoes, wind, hail, fires, and other natural or man-made disasters. The frequency, number, and severity of these losses are unpredictable. The extent of losses from a catastrophe is a function of both the total amount of insured exposure in the area affected by the event and the severity of the event.</w:t>
      </w:r>
    </w:p>
    <w:p>
      <w:pPr>
        <w:spacing w:after="0" w:line="146"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Approximately 71.2% of NI Holdings’ consolidated direct premiums written in 2017 were written in North Dakota. Because NI Holdings’ business is concentrated in North Dakota, adverse developments from severe weather events such as hailstorms, flooding, or droughts affecting a large portion of North Dakota would have a disproportionately greater effect on NI Holdings’ financial condition and results of operations than if its business were less geographically concentrated. The incidence and severity of such events are inherently unpredictable. In recent years, changing climate conditions have increased the unpredictability, severity, and frequency of tornados and other storms.</w:t>
      </w:r>
    </w:p>
    <w:p>
      <w:pPr>
        <w:spacing w:after="0" w:line="13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attempt to reduce our exposure to catastrophe losses through the underwriting process and by obtaining reinsurance coverage. However, in the event that we experience catastrophe losses, we cannot assure you that our unearned premiums, liabilities for unpaid losses and LAE, and reinsurance will be adequate to cover these risks. In addition, because accounting rules do not permit insurers to reserve for catastrophic events until they occur, claims from catastrophic events could cause substantial volatility in our financial results for any fiscal quarter or year and could have a material adverse effect on our financial condition or results of operations. Our ability to write new business also could be adversely affected.</w:t>
      </w:r>
    </w:p>
    <w:p>
      <w:pPr>
        <w:spacing w:after="0" w:line="13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financial condition and results of operations also are affected periodically by losses caused by natural perils such as those described above that are not deemed a catastrophe. If a number of these events occur in a short time period, it may materially affect our financial condition and results of operations.</w:t>
      </w:r>
    </w:p>
    <w:p>
      <w:pPr>
        <w:spacing w:after="0" w:line="150"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Any downgrade in our A.M. Best rating could affect our ability to write new business or renew our existing business, which would lead to a decrease in revenue and net income.</w:t>
      </w:r>
    </w:p>
    <w:p>
      <w:pPr>
        <w:spacing w:after="0" w:line="1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Third-party rating agencies, such as A.M. Best, periodically assess and rate the claims-paying ability of insurers based on criteria established by the rating agencies. Ratings assigned by A.M. Best are an important factor influencing the competitive position of insurance companies. A.M. Best ratings, which are reviewed at least annually, represent independent opinions of financial strength and ability to meet obligations to policyholders and are not directed toward the protection of investors. Therefore, our A.M. Best rating should not be relied upon as a basis for an investment decision to purchase our common stock.</w:t>
      </w:r>
    </w:p>
    <w:p>
      <w:pPr>
        <w:spacing w:after="0" w:line="1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Nodak Insurance holds a financial strength rating of “A” (Excellent) by A.M. Best, the third highest rating out of 15 rating classifications. Nodak Insurance has held an “A” rating for the past six years. Our most recent rating by A.M. Best was issued on March 16, 2017. Battle Creek also holds an “A” rating and American West holds an “A-” rating. Financial strength ratings are used by producers and customers as a means of assessing the financial strength and quality of insurers. If our financial position deteriorates, we may not maintain our favorable financial strength rating from A.M. Best. A downgrade of our rating could severely limit or prevent us from writing desirable business or from renewing our existing business. In addition, a downgrade could negatively affect our ability to implement our strategy because it could cause our current or potential producers to choose other more highly rated competitors or reduce our ability to obtain reinsurance. See “Item 1. Business — A.M. Best Rating.”</w:t>
      </w:r>
    </w:p>
    <w:p>
      <w:pPr>
        <w:spacing w:after="0" w:line="147"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A significant percentage of NI Holdings’ written premiums and net profits are generated from its multi-peril crop insurance business, and the loss of such business as a result of a termination of or substantial changes to the Federal crop insurance program would have a material adverse effect on our revenues and net income.</w:t>
      </w:r>
    </w:p>
    <w:p>
      <w:pPr>
        <w:spacing w:after="0" w:line="14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2017, 2016 and 2015, NI Holdings’ net premiums written generated from its multi-peril crop insurance line of business were 22.6%, 23.6%, and 24.9%, respectively. Through the Federal Crop Insurance Corporation, the United States government subsidizes insurance companies by assuming an increasingly higher portion of losses incurred by farmers as a result of weather-related and other perils as well as commodity price fluctuations. The United States government also subsidizes the premium cost to farmers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3" w:name="page24"/>
    <w:bookmarkEnd w:id="2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multi-peril crop yield and revenue insurance. Without this risk assumption, losses incurred by insurance companies would be higher and without the premium subsidy, the number of farmers purchasing multi-peril crop insurance would decline significantly. Periodically, members of the United States Congress propose to reduce significantly the government’s involvement in the federal crop insurance program in an effort to reduce government spending. If legislation is adopted to reduce the amount of risk the government assumes, the amount of insurance premium subsidy provided to farmers or otherwise reduce the coverage provided under multi-peril crop insurance policies, losses would increase and purchases of multi-peril crop insurance could experience a significant decline nationwide and in our market area. Such changes could have a material adverse effect on our revenues and income.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results may fluctuate as a result of many factors, including cyclical changes in the insurance industry.</w:t>
      </w:r>
    </w:p>
    <w:p>
      <w:pPr>
        <w:spacing w:after="0" w:line="202" w:lineRule="exact"/>
        <w:rPr>
          <w:sz w:val="20"/>
          <w:szCs w:val="20"/>
          <w:color w:val="auto"/>
        </w:rPr>
      </w:pPr>
    </w:p>
    <w:p>
      <w:pPr>
        <w:ind w:right="500" w:firstLine="648"/>
        <w:spacing w:after="0" w:line="302" w:lineRule="auto"/>
        <w:rPr>
          <w:sz w:val="20"/>
          <w:szCs w:val="20"/>
          <w:color w:val="auto"/>
        </w:rPr>
      </w:pPr>
      <w:r>
        <w:rPr>
          <w:rFonts w:ascii="Arial" w:cs="Arial" w:eastAsia="Arial" w:hAnsi="Arial"/>
          <w:sz w:val="16"/>
          <w:szCs w:val="16"/>
          <w:color w:val="auto"/>
        </w:rPr>
        <w:t>Results of companies in the insurance industry, and particularly the property and casualty insurance industry, historically have been subject to significant fluctuations and uncertainties and have fluctuated in cyclical periods of low premium rates and excess underwriting capacity resulting from increased competition (a so-called “soft market”), followed by periods of high premium rates and a shortage of underwriting capacity resulting from decreased competition (a so-called “hard market”). The industry’s profitability can be affected significantly by:</w:t>
      </w:r>
    </w:p>
    <w:p>
      <w:pPr>
        <w:spacing w:after="0" w:line="11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estimates of rising levels of actual costs that are not known by companies at the time they price their products;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volatile and unpredictable developments, including man-made and natural catastrophes;</w:t>
      </w:r>
    </w:p>
    <w:p>
      <w:pPr>
        <w:spacing w:after="0" w:line="198"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reserves resulting from the general claims and legal environments as different types of claims arise and judicial interpretations relating to the scope of insurers’ liability develop; and</w:t>
      </w:r>
    </w:p>
    <w:p>
      <w:pPr>
        <w:spacing w:after="0" w:line="129"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interest rates, inflationary pressures and other changes in the investment environment, which affect returns on invested capital and may affect the ultimate payout of losses.</w:t>
      </w:r>
    </w:p>
    <w:p>
      <w:pPr>
        <w:spacing w:after="0" w:line="13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Fluctuations in underwriting capacity, demand and competition, and the impact on our business of the other factors identified above, could have a negative impact on our results of operations and financial condition. Based on our analysis of the underwriting capacity and price competition in the current market, we believe that we are generally in a “firming market” phase of the insurance industry cycle. If other insurers seek to expand the kinds or amounts of insurance coverage they offer, this could result in increased underwriting capacity and competition and declining pricing as some insurers seek to maintain market share at the expense of underwriting discipline.</w:t>
      </w:r>
    </w:p>
    <w:p>
      <w:pPr>
        <w:spacing w:after="0" w:line="15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Competition for potential acquisitions from other property and casualty insurers could increase the price that NI Holdings will be required to pay in connection with future acquisitions.</w:t>
      </w:r>
    </w:p>
    <w:p>
      <w:pPr>
        <w:spacing w:after="0" w:line="1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Over-capacity in the property and casualty market has led other market participants to seek acquisitions in order to generate revenue growth. These market conditions may cause significant competition for acquisitions and increase the price for acquisitions. This competitive market could impede execution of NI Holdings’ external growth strategy.</w:t>
      </w:r>
    </w:p>
    <w:p>
      <w:pPr>
        <w:spacing w:after="0" w:line="137" w:lineRule="exact"/>
        <w:rPr>
          <w:sz w:val="20"/>
          <w:szCs w:val="20"/>
          <w:color w:val="auto"/>
        </w:rPr>
      </w:pPr>
    </w:p>
    <w:p>
      <w:pPr>
        <w:ind w:right="800" w:firstLine="648"/>
        <w:spacing w:after="0" w:line="282" w:lineRule="auto"/>
        <w:rPr>
          <w:sz w:val="20"/>
          <w:szCs w:val="20"/>
          <w:color w:val="auto"/>
        </w:rPr>
      </w:pPr>
      <w:r>
        <w:rPr>
          <w:rFonts w:ascii="Arial" w:cs="Arial" w:eastAsia="Arial" w:hAnsi="Arial"/>
          <w:sz w:val="18"/>
          <w:szCs w:val="18"/>
          <w:b w:val="1"/>
          <w:bCs w:val="1"/>
          <w:color w:val="auto"/>
        </w:rPr>
        <w:t>Integration of existing businesses and future acquisitions may require a significant investment of management’s time and distract management from the day-to-day operations of NI Holdings’ business.</w:t>
      </w:r>
    </w:p>
    <w:p>
      <w:pPr>
        <w:spacing w:after="0" w:line="13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NI Holdings has spent considerable time and effort integrating Battle Creek and Primero in the areas of sales and marketing, operations, financial reporting, and employee benefits. Future acquisitions will require additional integration, particularly to realize the anticipated coordination designed to drive revenue growth and reduce costs. NI Holdings’ executive management staff is small, and there can be no assurance that acquisitions will be successfully executed and integrated.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may not be able to manage our growth effectively.</w:t>
      </w:r>
    </w:p>
    <w:p>
      <w:pPr>
        <w:spacing w:after="0" w:line="1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intend to grow our business in the future, which could require additional capital, systems development, and skilled personnel. We cannot assure you that we will be able to locate profitable business opportunities, meet our capital needs, expand our systems and our internal controls effectively, allocate our human resources optimally, identify qualified employees or agents, or incorporate effectively the components of any businesses we may acquire in our effort to achieve growth. The failure to manage our growth effectively and maintain underwriting discipline could have a material adverse effect on our business, financial condition, and results of operations.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24" w:name="page25"/>
    <w:bookmarkEnd w:id="2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We may not be able to grow our business if our insurance company subsidiaries cannot maintain and grow their agent relationships, or if consumers seek other distribution methods offered by our competitors.</w:t>
      </w:r>
    </w:p>
    <w:p>
      <w:pPr>
        <w:spacing w:after="0" w:line="1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ability to retain existing agents, and to attract new agents, is essential to the continued growth of our business. If independent agents find it easier to do business with our competitors, our agent base may erode and, as a result, be unable to retain existing business or generate sufficient new business. While we believe that we have good relationships with our independent agents, we cannot be certain that these agents will continue to sell our products instead of our competitors’ products.</w:t>
      </w:r>
    </w:p>
    <w:p>
      <w:pPr>
        <w:spacing w:after="0" w:line="16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While our products are sold through either independent or captive agents, our competitors may sell insurance through other delivery models, including the internet, direct marketing, or other emerging alternative distribution methods. To the extent that current and potential policyholders change their insurance shopping preferences, this may have an adverse effect on our ability to grow, our financial position, and our results of operations.</w:t>
      </w:r>
    </w:p>
    <w:p>
      <w:pPr>
        <w:spacing w:after="0" w:line="10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Our success depends on the ability of our insurance company subsidiaries to underwrite risks accurately and to price our commercial and personal lines insurance products accordingly.</w:t>
      </w:r>
    </w:p>
    <w:p>
      <w:pPr>
        <w:spacing w:after="0" w:line="1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nature of the insurance business is such that pricing must be determined before the underlying costs are fully known. This requires significant reliance on estimates and assumptions in setting prices. If our insurance subsidiaries fail to assess accurately the risks that they assume in our commercial and personal lines products, they may fail to charge adequate premium rates, which could affect our profitability and have a material adverse effect on our financial condition, results of operations, or cash flows. Their ability to assess their policyholder risks and to price their products accurately is subject to a number of risks and uncertainties, including, but not limited to:</w:t>
      </w:r>
    </w:p>
    <w:p>
      <w:pPr>
        <w:spacing w:after="0" w:line="16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other providers of property and casualty insurance;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regulation by insurance regulatory authorities;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Selection and implementation of appropriate rating formulae or other pricing methodologies;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sufficient reliable data;</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inherent in estimates and assumptions generally;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changes in claim results;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accurately predict policyholder retention, investment yields, and the duration of liability for losses and LAE;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Unanticipated effects of court decisions, legislation, or regulation, including those related to legal liability for damages by our insureds.</w:t>
      </w:r>
    </w:p>
    <w:p>
      <w:pPr>
        <w:spacing w:after="0" w:line="21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These risks and uncertainties could cause our insurance subsidiaries to underprice their policies, which would negatively affect their results of operations, or to overprice their policies, which could reduce their competitiveness. Either such event could have a material adverse effect on their financial condition, results of operations, and cash flows.</w:t>
      </w:r>
    </w:p>
    <w:p>
      <w:pPr>
        <w:spacing w:after="0" w:line="14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federal crop insurance program, each insurer is required to accept every application for multi-peril crop insurance that they receive, and the premiums and the policy terms are set by the RMA, which is the federal government agency administering the federal crop insurance program. Accordingly, no policy underwriting is necessary in connection with our multi-peril crop insurance line of business. We, and several other crop insurers, rely on AFBIS to underwrite our crop hail insurance line of business. Unlike the multi-peril crop business, however, we have the ability to decline to issue any crop hail insurance policy if we believe the policy will expose us to too much risk in a particular geographic area or if we are unwilling to insure the crop that the policy would cover. If we accept the application for crop hail insurance, however, we could incur losses if AFBIS fails to adequately underwrite and price such coverage.</w:t>
      </w:r>
    </w:p>
    <w:p>
      <w:pPr>
        <w:spacing w:after="0" w:line="14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Our results and financial condition may be affected by a failure of our insurance subsidiaries to establish adequate liabilities for unpaid losses and LAE or by adverse development of prior year reserves.</w:t>
      </w:r>
    </w:p>
    <w:p>
      <w:pPr>
        <w:spacing w:after="0" w:line="13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NI Holdings maintains reserves to cover amounts it estimates will be needed to pay for unpaid losses and for the expenses necessary to settle insured claims. Estimating liabilities for unpaid losses and LAE is a difficult and complex process involving many variables and subjective judgments. The liability for unpaid losses and LAE is the largest liability of NI Holdings and represents the financial statement item most sensitive to estimation and judgment. In developing its estimates of unpaid losses and LAE, NI</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5" w:name="page26"/>
    <w:bookmarkEnd w:id="2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Holdings has evaluated and considered actuarial projection techniques based on its assessment of facts and circumstances then known, historical loss experience data, and estimates of anticipated trends. This process assumes that past experience, adjusted for the effects of current developments, changes in operations, and anticipated trends, constitutes an appropriate basis for predicting future events. While NI Holdings believes that its liability for unpaid losses and LAE is appropriate, to the extent that such reserves prove to be inadequate or excessive in the future, we would adjust them and incur a charge or credit to earnings, as the case may be, in the period the reserves are adjusted. Any such adjustment could have a material impact on our financial condition and results of operations. There can be no assurance that the estimates of such liabilities will not change in the future. For additional information on our liability for unpaid losses and LAE, see “Item 7. Management’s Discussion and Analysis of Financial Condition and Results of Operations.”</w:t>
      </w:r>
    </w:p>
    <w:p>
      <w:pPr>
        <w:spacing w:after="0" w:line="123"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15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We could be materially adversely affected if one or more of our employees cause a significant operational breakdown or failure, either as a result of human error or intentional sabotage or fraudulent manipulation of our operations or systems.</w:t>
      </w:r>
    </w:p>
    <w:p>
      <w:pPr>
        <w:spacing w:after="0" w:line="11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Any of these occurrences could diminish our ability to operate our business, or cause financial loss, potential liability to insureds, inability to secure insurance, reputational damage, or regulatory intervention, which could materially adversely affect us.</w:t>
      </w:r>
    </w:p>
    <w:p>
      <w:pPr>
        <w:spacing w:after="0" w:line="14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rely heavily on our operating systems in connection with issuing policies, paying claims, and providing the information we need to conduct our business. We also rely on the operating systems of AFBIS in connection with various processes with respect to our multi-peril crop line of business. We may be subject to disruptions of such operating systems arising from events that are wholly or partially beyond our control, which may include, for example, electrical or telecommunications outages, natural or man-made disasters, such as earthquakes, floods or tornados, or events arising from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others and we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or data breaches. Any such failure could affect our operations and could materially adversely affect our results of operations by requiring us to expend significant resources to correct the defect, as well as by exposing us to litigation or losses not covered by insurance. Although we have business continuity plans and other safeguards in place, our business operations may be adversely affected by significant and widespread disruption to our physical infrastructure or operating systems and those of third-party service providers that support our business.</w:t>
      </w:r>
    </w:p>
    <w:p>
      <w:pPr>
        <w:spacing w:after="0" w:line="14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confidential, proprietary and other information, or otherwise disrupt our or our insureds’ or other third parties’ business operations, which in turn may result in legal claims, regulatory scrutiny and liability, reputational damage, the incurrence of costs to eliminate or mitigate further exposure, and the loss of customers. Although to date we have not experienced any material losses relating to cyber-attacks or other information security breaches, there can be no assurance that we will not suffer such losses in the future. Our risk and exposure to these matters remains heightened because of, among other things, the evolving nature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spacing w:after="0" w:line="14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regulatory fines, penalties or intervention, reputational damage, reimbursement or other compensation costs, and/or additional compliance costs, any of which could materially adversely affect our financial condition or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6" w:name="page27"/>
    <w:bookmarkEnd w:id="2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Our revenues and financial results may fluctuate with interest rates, investment results, and developments in the securities markets.</w:t>
      </w:r>
    </w:p>
    <w:p>
      <w:pPr>
        <w:spacing w:after="0" w:line="20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NI Holdings invests the premiums it receives from policyholders until cash is needed to pay insured claims or other expenses. Investment securities represent one of the largest categories of assets of NI Holdings. The fair value of its investment holdings is affected by general economic conditions, and changes in the financial and credit markets. NI Holdings relies on the investment income produced by its investment portfolio to contribute to its profitability. Changes in interest rates and credit quality may result in fluctuations in the income derived from, the valuation of, and in the case of declines in credit quality, payment defaults on our fixed income securities. In addition, deteriorating economic conditions could affect the value of our equity securities. Such conditions could give rise to significant realized and unrealized investment losses or the impairment of securities whose decreases in value are deemed other-than-temporary. These changes could have a material adverse effect on our financial condition, results of operations, or cash flows. The investment portfolio of NI Holdings is also subject to credit and cash flow risk, including risks associated with its investments in asset-backed and mortgage-backed securities. Because the Company’s investment portfolio is the largest component of its assets and a multiple of its equity, adverse changes in economic conditions could result in other-than-temporary impairments that are material to our financial condition and operating results. Such economic changes could arise from overall changes in the financial markets or specific changes to industries, companies, or municipalities in which we maintain investment holdings. See “Item 7. Quantitative and Qualitative Information about Market Risk.”</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 or results of operations.</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part of our growth strategy, we will continue to evaluate opportunities to acquire other property and casualty insurers and insurance-related fee income businesses. Acquisitions that we may make or implement in the future entail a number of risks that could materially adversely affect our business and operating results, including:</w:t>
      </w:r>
    </w:p>
    <w:p>
      <w:pPr>
        <w:spacing w:after="0" w:line="14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integrating the acquired operations with our existing business;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and underwriting results of the acquired operations not meeting our expectations;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our existing business;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Need for financial resources above our planned investment levels;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agents and policyholders of the acquired company;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extensive prior experience;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issues associated with acquisitions;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Acquisition-related disputes, including disputes over contingent consideration and escrows;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 of the acquired company;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impairment of related goodwill and intangible assets.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could be adversely affected by the loss of our existing management or key employees.</w:t>
      </w:r>
    </w:p>
    <w:p>
      <w:pPr>
        <w:spacing w:after="0" w:line="18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success of our business is dependent, to a large extent, on our ability to attract and retain key employees, in particular our senior officers. Our business may be adversely affected if labor market conditions make it difficult for us to replace our current key officers with individuals having equivalent qualifications and experience at compensation levels competitive for our industry. Our key officers include:</w:t>
      </w:r>
    </w:p>
    <w:p>
      <w:pPr>
        <w:spacing w:after="0" w:line="14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Michael J. Alexander, our President and Chief Executive Officer;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Brian R. Doom, our Executive Vice President and Chief Financial Officer;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Patrick W. Duncan, our Vice President of Operations.</w:t>
      </w:r>
    </w:p>
    <w:p>
      <w:pPr>
        <w:spacing w:after="0" w:line="18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These key officers have extensive experience in the property and casualty and crop insurance industry. Our employment and other agreements with our key officers do not include covenants not to compete or non-solicitation provisions because they are unenforceable under North Dakota law.</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7" w:name="page28"/>
    <w:bookmarkEnd w:id="2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ability to manage our exposure to underwriting risks depends on the availability and cost of reinsurance coverage.</w:t>
      </w:r>
    </w:p>
    <w:p>
      <w:pPr>
        <w:spacing w:after="0" w:line="18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Reinsurance is the practice of transferring part of an insurance company’s liability and premium under an insurance policy to another insurance company. NI Holdings uses reinsurance arrangements to limit and manage the amount of risk it retains, to stabilize its underwriting results, and to increase its underwriting capacity. The availability and cost of reinsurance are subject to current market conditions and may vary significantly over time. Any decrease in the amount of reinsurance maintained will increase our risk of loss. We may be unable to maintain our desired reinsurance coverage or to obtain other reinsurance coverage in adequate amounts and at favorable rates. If we are unable to renew the current coverage maintained by NI Holdings or obtain new coverage, it may be difficult for us to manage our underwriting risks and operate our business profitably.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our reinsurers do not pay our claims in accordance with our reinsurance agreements, we may incur losses.</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subject to loss and credit risk with respect to the reinsurers with whom NI Holdings deals because buying reinsurance does not relieve us of our liability to policyholders. If such reinsurers were not capable of fulfilling their financial obligations to us, our insurance losses would increase. NI Holdings secures reinsurance coverage from a number of reinsurers. The lowest A.M. Best rating issued to any of such reinsurers is “A” (Excellent), which is the third highest of fifteen ratings. See “Item 1. Business — Reinsurance.”</w:t>
      </w:r>
    </w:p>
    <w:p>
      <w:pPr>
        <w:spacing w:after="0" w:line="14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If we fail to comply with insurance industry regulations, or if those regulations become more burdensome, we may not be able to operate profitably.</w:t>
      </w:r>
    </w:p>
    <w:p>
      <w:pPr>
        <w:spacing w:after="0" w:line="13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Nodak Insurance and American West are currently regulated by the North Dakota Insurance Department. Battle Creek is regulated by the Nebraska Insurance Department, and Primero is regulated by the Nevada Insurance Department. All four companies are also subject to regulation, to a more limited extent, by the insurance departments of other states in which they do business. The failure to comply with the laws and regulations of each jurisdiction could subject NI Holdings to sanctions and fines, including the cancelation or suspension of its license. Because approximately 71.2% of our 2017 consolidated direct premiums written originate from business written in North Dakota, the cancellation or suspension of our license in North Dakota, as a result of any failure to comply with the applicable insurance laws and regulations, would result in the most severe impact on our financial condition and results of operations.</w:t>
      </w:r>
    </w:p>
    <w:p>
      <w:pPr>
        <w:spacing w:after="0" w:line="1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Most insurance regulations are designed to protect the interests of policyholders rather than shareholders and other investors. These regulations relate to, among other things:</w:t>
      </w:r>
    </w:p>
    <w:p>
      <w:pPr>
        <w:spacing w:after="0" w:line="130"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of policy forms and premium rates;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standards of solvency, including establishing requirements for minimum capital and surplus, and for risk-based capital;</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classifying assets as admissible for purposes of determining solvency and compliance with minimum capital and surplus requirements;</w:t>
      </w:r>
    </w:p>
    <w:p>
      <w:pPr>
        <w:spacing w:after="0" w:line="196" w:lineRule="exact"/>
        <w:rPr>
          <w:rFonts w:ascii="Arial" w:cs="Arial" w:eastAsia="Arial" w:hAnsi="Arial"/>
          <w:sz w:val="17"/>
          <w:szCs w:val="17"/>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licensing of insurers and their producers;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advertising and marketing practices;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nature, quality, and concentration of investments;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assessments by guaranty associations and mandatory pooling arrangements;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ability to pay dividends;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transactions between affiliated companies;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size of risks insurable under a single policy;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deposits for the benefit of policyholders;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certain methods of accounting;</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periodic examinations of our operations and finances;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practices;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prescribing the form and content of reports of financial condition required to be filed;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reserves for unearned premiums, losses and other purposes.</w:t>
      </w:r>
    </w:p>
    <w:p>
      <w:pPr>
        <w:spacing w:after="0" w:line="19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State insurance departments also conduct periodic examinations of the affairs of insurance companies and require the filing of annual and other reports relating to financial condition, holding company issues, and other matters. These regulatory requirements may adversely affect or inhibit our ability to achieve some or all of our business objectives. The last examination of both Nodak Insurance and American West by the North Dakota Insurance Department was as of December 31, 2016. The last examination of Battle Creek by the Nebraska Insurance Department was as of December 31, 2016, and the last examination by the Nevada Insurance Department of Primero was as of December 31, 2016.</w:t>
      </w:r>
    </w:p>
    <w:p>
      <w:pPr>
        <w:spacing w:after="0" w:line="13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regulatory authorities have relatively broad discretion to deny or revoke licenses for various reasons, including the violation of regulations. Further, changes in the level of regulation of the insurance industry or changes in laws or regulations themselves or interpretations by regulatory authorities could adversely affect our ability to operate our business.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could be adversely affected by any interruption to our ability to conduct business at our current location.</w:t>
      </w:r>
    </w:p>
    <w:p>
      <w:pPr>
        <w:spacing w:after="0" w:line="202"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business operations could be substantially interrupted by flooding, snow, ice, and other weather-related incidents, or from fire, power loss, telecommunications failures, terrorism, or other such events. In such an event, we may not have sufficient redundant facilities to cover a loss or failure in all aspects of our business operations and to restart our business operations in a timely manner. Any damage caused by such a failure or loss may cause interruptions in our business operations that may adversely affect our service levels and business. See “Item 1. Business — Technology.”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Assessments and premium surcharges for state guaranty funds and other mandatory pooling arrangements may reduce our profitability.</w:t>
      </w:r>
    </w:p>
    <w:p>
      <w:pPr>
        <w:spacing w:after="0" w:line="21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Most states require insurance companies authorized to do business in their state to participate in guaranty funds, which require the insurance companies to bear a portion of the unfunded obligations of impaired, insolvent, or failed insurance companies. These obligations are funded by assessments, which are expected to continue in the future. State guaranty associations levy assessments, up to prescribed limits, on all insurance companies doing business in the state based on their proportionate share of premiums written in the lines of business in which the impaired, insolvent, or failed insurance companies are engaged. Accordingly, the assessments levied on us may increase as we increase our written premiums. See “Item 1. Business — Regulation.”</w:t>
      </w:r>
    </w:p>
    <w:p>
      <w:pPr>
        <w:spacing w:after="0" w:line="13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addition, as a condition to conducting business in some states, insurance companies are required to participate in residual market programs to provide insurance to those who cannot procure coverage from an insurance carrier on a negotiated basis. Insurance companies generally can fulfill their residual market obligations by, among other things, participating in a reinsurance pool where the results of all policies provided through the pool are shared by the participating insurance companies. Although we price our insurance to account for our potential obligations under these pooling arrangements, we may not be able to accurately estimate our liability for these obligations. Accordingly, mandatory pooling arrangements may cause a decrease in our profits. As we write policies in new states that have mandatory pooling arrangements, we will be required to participate in additional pooling arrangements. Further, the impairment, insolvency, or failure of other insurance companies in these pooling arrangements would likely increase the liability for other members in the pool. The effect of assessments and premium surcharges or increases in such assessments or surcharges could reduce our profitability in any given period or limit our ability to grow our business. See “Item 7. Management’s Discussion and Analysis of Financial Condition and Results of Operations.”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Future changes in financial accounting standards or practices may adversely affect our reported results of operations.</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Financial accounting standards in the United States are constantly under review and may be changed from time to time. We would be required to apply these changes when adopted. Once implemented, these changes could materially affect our financial condition and results of operations and/or the way in which such financial condition and results of operations are reported.</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Similarly, we are subject to taxation in the United States and a number of state jurisdictions. Rates of taxation, definitions of income, exclusions from income, and other tax policies are subject to change over time. Accounting standards would require that we recognize the effects of changes in tax rates and laws on deferred income tax balances in the period in which the legislation is enacted.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Enactment of significant income tax laws may adversely affect our reported results of operations.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22, 2017, the Tax Cuts and Jobs Act, or TCJA, was signed into law, significantly reforming the U.S. Internal Revenue Code. The TCJA, among other things, includes changes to U.S. federal income tax rates, imposes significant additional limitations on the deductibility of interest, allows for increased expensing of capital expenditures, puts into effect the migration from a “worldwide” system of taxation to a territorial system, and modifies or repeals many business deductions and credits. We continue to examine the impact the TCJA may have on our business. We will continue to evaluate the effect of the TCJA on our projection of cash flows and our net operating results. The estimated impact of the TCJA is based on our management’s current knowledge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assumptions and recognized impacts could be materially different from current estimates based on our actual results and our further analysis of the new law. Our net deferred income tax assets and liabilities have been revalued at the newly enacted U.S. corporate rate, and the impact has been recognized in our income tax expense in the current year based upon our understanding of the legislation at this time. Under certain circumstances, we have up to one year from enactment to make changes to our deferred income tax assets and liabilities based upon clarification to the legislation. The impact of the TCJA on holders of common shares is uncertain and could be adverse. This Form 10-K does not discuss any such tax legislation or the manner in which it might affect purchasers of common shares. We urge our stockholders, including purchasers of common shares, to consult with their own legal and tax advisors with respect to such legislation and the potential tax consequences of investing in common shares.</w:t>
      </w:r>
    </w:p>
    <w:p>
      <w:pPr>
        <w:spacing w:after="0" w:line="133"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We face uncertainties related to the effectiveness of internal controls, particularly with regard to our operating subsidiaries’ financial reporting controls and information technology security.</w:t>
      </w:r>
    </w:p>
    <w:p>
      <w:pPr>
        <w:spacing w:after="0" w:line="13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It should be noted that any system of internal controls, however well designed and operated, can provide only reasonable, and not absolute, assurance that the objectives of the system are met. In addition, the design of any internal control system is based in part upon certain assumptions about the likelihood of future events. Because of these and other inherent limitations of internal control systems, there can be no assurance that any design will achieve its stated goal under all potential future conditions, regardless of how remote. Deficiencies or weaknesses that are not yet identified could emerge, and the identification and correction of these deficiencies or weaknesses could have a material impact on our results of operations.</w:t>
      </w:r>
    </w:p>
    <w:p>
      <w:pPr>
        <w:spacing w:after="0" w:line="13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will be required to publicly report on deficiencies or weaknesses in our internal controls that meet a materiality standard. Management may, at a point in time, categorize a deficiency or weakness as immaterial or minor and therefore not be required to publicly report such deficiency or weakness. Such determination, however, does not preclude a change in circumstances such that the deficiency or weakness could, at a later time, become a reportable condition that could have a material impact on our results of operations.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return on equity may be low compared to other insurance companies. A low return could lower the trading price of our common stock.</w:t>
      </w:r>
    </w:p>
    <w:p>
      <w:pPr>
        <w:spacing w:after="0" w:line="21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Net income divided by average equity, known as “return on equity,” is a ratio many investors use to compare the performance of an insurance company to its peers. Our return on equity is expected to be reduced due to the large amount of capital that we raised in our IPO that has yet to be deployed, expenses we will incur in pursuing our growth strategies, the costs of being a public company, and added expenses associated with our employee stock ownership plan (“ESOP”) and equity incentive plans. Until we can increase our earned premiums and net income, we expect our return on equity to be below the median return on equity for publicly traded insurance companies, which may negatively affect the value of our common stock.</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expenses from new stock-based benefit plans will adversely affect our profitability.</w:t>
      </w:r>
    </w:p>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shareholders have approved the adoption of an equity incentive plan (“the Plan”). Under the Plan, we may award participants restricted shares of our common stock, options to purchase shares of our common stock, or other forms of awards. Restricted stock awards will be made at no cost to the participants. The maximum number of shares of common stock that may be issued is set forth in the approved Plan.</w:t>
      </w:r>
    </w:p>
    <w:p>
      <w:pPr>
        <w:spacing w:after="0" w:line="141" w:lineRule="exact"/>
        <w:rPr>
          <w:sz w:val="20"/>
          <w:szCs w:val="20"/>
          <w:color w:val="auto"/>
        </w:rPr>
      </w:pPr>
    </w:p>
    <w:p>
      <w:pPr>
        <w:jc w:val="both"/>
        <w:ind w:right="180" w:firstLine="648"/>
        <w:spacing w:after="0" w:line="297" w:lineRule="auto"/>
        <w:rPr>
          <w:sz w:val="20"/>
          <w:szCs w:val="20"/>
          <w:color w:val="auto"/>
        </w:rPr>
      </w:pPr>
      <w:r>
        <w:rPr>
          <w:rFonts w:ascii="Arial" w:cs="Arial" w:eastAsia="Arial" w:hAnsi="Arial"/>
          <w:sz w:val="16"/>
          <w:szCs w:val="16"/>
          <w:color w:val="auto"/>
        </w:rPr>
        <w:t>The additional compensation expense resulting from the ESOP and the Plan will adversely affect our profitability. We cannot determine the actual future amount of these new stock-related compensation and benefit expenses at this time because applicable accounting practices require that they be based on the fair market value of the shares of common stock at specific points in the future; however, we expect them to be material. We will recognize expenses for our ESOP when shares are committed to be released to participants’ accounts and will recognize expenses for restricted stock awards and stock options over the vesting period of awards made to recipients. See our consolidated financial statements for the actual amount of expenses to date.</w:t>
      </w:r>
    </w:p>
    <w:p>
      <w:pPr>
        <w:spacing w:after="0" w:line="114"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b w:val="1"/>
          <w:bCs w:val="1"/>
          <w:color w:val="auto"/>
        </w:rPr>
        <w:t>Nodak Mutual Group’s majority control of our common stock will enable it to exercise voting control over most matters put to a vote of shareholders and will prevent shareholders from forcing a sale or a second-step conversion transaction you may find advantageous.</w:t>
      </w:r>
    </w:p>
    <w:p>
      <w:pPr>
        <w:spacing w:after="0" w:line="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Nodak Mutual Group owns a majority of our outstanding common stock and, through its Board of Directors, is able to exercise voting control over most matters put to a vote of shareholders. The votes cast by Nodak Mutual Group may not be in your personal best interests as a shareholder. For example, Nodak Mutual Group may exercise its voting control to defeat a shareholder nominee for election to the Board of Directors of NI Holdings. Moreover, Nodak Mutual Group’s ability to elect the Board of Directors of NI Holdings restricts the ability of the minority shareholders of NI Holdings to effect a change of control of management. Some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0" w:name="page31"/>
    <w:bookmarkEnd w:id="3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shareholders may desire a sale or merger transaction, since shareholders typically receive a premium for their shares, or a second-step conversion transaction, since fully converted institutions tend to trade at higher multiples than mutual holding companies.</w:t>
      </w:r>
    </w:p>
    <w:p>
      <w:pPr>
        <w:spacing w:after="0" w:line="12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Our status as an insurance holding company with no direct operations could adversely affect our ability to fund operations, conduct future share repurchases, or meet our debt obligations.</w:t>
      </w:r>
    </w:p>
    <w:p>
      <w:pPr>
        <w:spacing w:after="0" w:line="13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an insurance holding company. A significant source of funds available to us for the payment of operating expenses, share repurchases, and debt-related amounts are net proceeds from our initial public offering retained at the holding company, management fees, and dividends from our subsidiaries. The payment of dividends by Nodak Insurance will be restricted by North Dakota’s insurance law. American West and Primero historically have not paid dividends to Nodak Insurance.</w:t>
      </w:r>
    </w:p>
    <w:p>
      <w:pPr>
        <w:spacing w:after="0" w:line="14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Statutory provisions and provisions of our Articles of Incorporation and Bylaws may discourage takeover attempts of NI Holdings that you may believe are in your best interests or that might result in a substantial profit to you.</w:t>
      </w:r>
    </w:p>
    <w:p>
      <w:pPr>
        <w:spacing w:after="0" w:line="1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subject to provisions of North Dakota corporate and insurance law that hinder a change of control. North Dakota law requires the North Dakota Insurance Department’s prior approval of a change of control of an insurance holding company. Under North Dakota law, the acquisition of 10% or more of the outstanding voting stock of an insurer or its holding company is presumed to be a change in control. Approval by the North Dakota Insurance Department may be withheld even if the transaction would be in the shareholders’ best interest if the North Dakota Insurance Department determines that the transaction would be detrimental to policyholders.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Articles of Incorporation and Bylaws also contain provisions that may discourage a change in control. These provisions include:</w:t>
      </w:r>
    </w:p>
    <w:p>
      <w:pPr>
        <w:spacing w:after="0" w:line="185" w:lineRule="exact"/>
        <w:rPr>
          <w:sz w:val="20"/>
          <w:szCs w:val="20"/>
          <w:color w:val="auto"/>
        </w:rPr>
      </w:pPr>
    </w:p>
    <w:p>
      <w:pPr>
        <w:ind w:left="1300" w:right="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prohibition on a person, including a group acting in concert, other than Nodak Mutual Group, from acquiring voting control of more than 10% of our outstanding stock without prior approval of our Board of Directors;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classified Board of Directors divided into three classes serving for successive terms of three years each;</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prohibition of cumulative voting in the election of directors;</w:t>
      </w:r>
    </w:p>
    <w:p>
      <w:pPr>
        <w:spacing w:after="0" w:line="184" w:lineRule="exact"/>
        <w:rPr>
          <w:rFonts w:ascii="Arial" w:cs="Arial" w:eastAsia="Arial" w:hAnsi="Arial"/>
          <w:sz w:val="18"/>
          <w:szCs w:val="18"/>
          <w:color w:val="auto"/>
        </w:rPr>
      </w:pPr>
    </w:p>
    <w:p>
      <w:pPr>
        <w:ind w:left="1300" w:right="36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nominations for the election of directors made by shareholders and any shareholder proposals for inclusion on the agenda at any shareholders’ meeting must be made by notice (in writing) delivered or mailed to us not less than 90 days prior to the meeting;</w:t>
      </w:r>
    </w:p>
    <w:p>
      <w:pPr>
        <w:spacing w:after="0" w:line="14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prohibition of shareholders’ action without a meeting (except for actions taken by Nodak Mutual Group) and of shareholders’ right to call a special meeting;</w:t>
      </w:r>
    </w:p>
    <w:p>
      <w:pPr>
        <w:spacing w:after="0" w:line="143" w:lineRule="exact"/>
        <w:rPr>
          <w:rFonts w:ascii="Arial" w:cs="Arial" w:eastAsia="Arial" w:hAnsi="Arial"/>
          <w:sz w:val="18"/>
          <w:szCs w:val="18"/>
          <w:color w:val="auto"/>
        </w:rPr>
      </w:pPr>
    </w:p>
    <w:p>
      <w:pPr>
        <w:ind w:left="1300" w:right="36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imposing a mandatory tender offer requirement on a shareholder other than Nodak Mutual Group that has a combined voting power of 35% or more of the votes that our shareholders are entitled to cast, unless acquisition of such voting power by such shareholder was approved by our Board of Directors;</w:t>
      </w:r>
    </w:p>
    <w:p>
      <w:pPr>
        <w:spacing w:after="0" w:line="140"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the foregoing provisions of our Articles of Incorporation can only be amended by an affirmative vote of shareholders entitled to cast at least 80% of all votes that shareholder are entitled to cast, unless approved by an affirmative vote of at least 80% of the members of the Board of Directors; and</w:t>
      </w:r>
    </w:p>
    <w:p>
      <w:pPr>
        <w:spacing w:after="0" w:line="14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certain provisions of our Bylaws can only be amended by an affirmative vote of shareholders entitled to cast at least 66 2/3%, or in certain cases 80%, of all votes that shareholders are entitled to cast.</w:t>
      </w:r>
    </w:p>
    <w:p>
      <w:pPr>
        <w:spacing w:after="0" w:line="14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These provisions may serve to entrench management and may discourage a takeover attempt that you may consider to be in your best interest or in which you would receive a substantial premium over the current market price. These provisions may make it extremely difficult for any one person, entity, or group of affiliated persons or entities to acquire voting control of NI Holdings, with the result that it may be extremely difficult to bring about a change in the Board of Directors or management. Some of these provisions also may perpetuate present management because of the additional time required to cause a change in the control of the Board of Directors. Other provisions make it difficult for shareholders owning less than a majority of the voting stock to be able to elect even a single director.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Ownership of a majority of our stock by Nodak Mutual Group will make removal of the management difficult.</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Nodak Mutual Group owns greater than 55% of our outstanding common stock. Therefore, it has the power to take actions that nonaffiliated shareholders may deem to be contrary to the shareholders’ best interests. In addition, certain provisions of our Articles of Incorporation, such as the existence of a classified Board of Directors, the prohibition of cumulative voting for the election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1" w:name="page32"/>
    <w:bookmarkEnd w:id="3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of directors, and the prohibition on any person or group acquiring and having the right to vote in excess of 10% of our outstanding stock without the prior approval of the Board of Directors will make removal of NI Holdings’ management difficult.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our subsidiaries are not sufficiently profitable, our ability to pay dividends will be limited.</w:t>
      </w:r>
    </w:p>
    <w:p>
      <w:pPr>
        <w:spacing w:after="0" w:line="20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separate entity with no operations of our own other than holding the stock of Nodak Insurance and our other subsidiaries. We depend primarily on dividends paid by Nodak Insurance and the proceeds from our IPO that were not contributed to Nodak Insurance to carry out our business plan, including future acquisitions, and to provide funds for the payment of dividends. To date, Nodak Insurance has not paid any dividends. We will receive dividends from Nodak Insurance only after all of Nodak Insurance’s obligations and regulatory requirements with the North Dakota Insurance Department have been satisfied. 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If Nodak Insurance and our other subsidiaries are not sufficiently profitable, our ability to pay dividends to you in the future will be limited.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are an “emerging growth company” and have elected to comply with reduced public company reporting requirements.</w:t>
      </w:r>
    </w:p>
    <w:p>
      <w:pPr>
        <w:spacing w:after="0" w:line="18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are an EGC as defined by the JOBS Act. For as long as we continue to be an EGC, we may choose to take advantage of exemptions from various public company reporting requirements. These exemptions include, but are not limited to, (i) not being required to comply with the auditor attestation requirements of Section 404 of SOX, (ii) reduced disclosure obligations regarding executive compensation in our periodic reports, proxy statements, and registration statements, and (iii) exemptions from the requirements of holding a nonbinding advisory vote on executive compensation and shareholder approval of any golden parachute payments not previously approved. In this Annual Report on Form 10-K, we have elected to take advantage of certain of the reduced disclosure obligations regarding financial statements and executive compensation. In addition, Section 107(b) of the JOBS Act also provides that an EGC can take advantage of the extended transition period provided in Section 7(a)(2)(B) of the Exchange Act for complying with new or revised accounting standards. In other words, an EGC can delay the adoption of certain accounting standards until those standards would otherwise apply to private companies. We are choosing to “opt in” to such extended transition period election under Section 107(b). Therefore, we are electing to delay adoption of certain new or revised accounting standards, and as a result, we may choose to not comply with new or revised accounting standards on the relevant dates on which adoption of such standards is required for non-emerging growth companies. As a result of such election, our financial statements may not be comparable to the financial statements of other public companies. See Note 4 to our Consolidated Financial Statements for more information regarding new or revised accounting standards.</w:t>
      </w:r>
    </w:p>
    <w:p>
      <w:pPr>
        <w:spacing w:after="0" w:line="16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could be an EGC for up to five years, which such fifth anniversary will occur in 2022. However, if certain events occur prior to the end of such five-year period, including if we become a “large accelerated filer,” our annual gross revenues exceed $1.07 billion, or we issue more than $1.0 billion of non-convertible debt in any three-year period, we would cease to be an EGC prior to the end of such five-year period. We have taken advantage of certain of the reduced disclosure obligations regarding executive compensation in this Annual Report on Form 10-K and may elect to take advantage of other reduced burdens in future filings. As a result, the information that we provide to holders of our common stock may be different than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to reduce disclosure, there may be a less active trading market for our common stock and the price for our common stock may be more volatile.</w:t>
      </w:r>
    </w:p>
    <w:p>
      <w:pPr>
        <w:spacing w:after="0" w:line="200" w:lineRule="exact"/>
        <w:rPr>
          <w:sz w:val="20"/>
          <w:szCs w:val="20"/>
          <w:color w:val="auto"/>
        </w:rPr>
      </w:pPr>
    </w:p>
    <w:p>
      <w:pPr>
        <w:spacing w:after="0" w:line="3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headquarters is located at 1101 First Avenue North, Fargo, North Dakota, which is also the headquarters of Nodak Insurance. Nodak Insurance owns this building and leases a portion of the building to the North Dakota Farm Bureau and to AFBIS.</w:t>
      </w:r>
    </w:p>
    <w:p>
      <w:pPr>
        <w:spacing w:after="0" w:line="130" w:lineRule="exact"/>
        <w:rPr>
          <w:sz w:val="20"/>
          <w:szCs w:val="20"/>
          <w:color w:val="auto"/>
        </w:rPr>
      </w:pPr>
    </w:p>
    <w:p>
      <w:pPr>
        <w:ind w:right="100" w:firstLine="648"/>
        <w:spacing w:after="0" w:line="228" w:lineRule="auto"/>
        <w:rPr>
          <w:sz w:val="20"/>
          <w:szCs w:val="20"/>
          <w:color w:val="auto"/>
        </w:rPr>
      </w:pPr>
      <w:r>
        <w:rPr>
          <w:rFonts w:ascii="Arial" w:cs="Arial" w:eastAsia="Arial" w:hAnsi="Arial"/>
          <w:sz w:val="18"/>
          <w:szCs w:val="18"/>
          <w:color w:val="auto"/>
        </w:rPr>
        <w:t>Battle Creek owns the building in which its offices are located at 603 South Preece Street, Battle Creek, Nebraska. Primero owns the building at 2640 South Jones Blvd, Suite 2, Las Vegas, Nevada, and Tri-State Ltd. leases the building at 506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Spearfish, South Dakota. Primero employees at these two locations administer the non-standard auto business. We believe that the offices currently occupied by each of our subsidiaries are sufficient for their needs and any expected growth in the near future.</w:t>
      </w:r>
    </w:p>
    <w:p>
      <w:pPr>
        <w:spacing w:after="0" w:line="200" w:lineRule="exact"/>
        <w:rPr>
          <w:sz w:val="20"/>
          <w:szCs w:val="20"/>
          <w:color w:val="auto"/>
        </w:rPr>
      </w:pPr>
    </w:p>
    <w:p>
      <w:pPr>
        <w:spacing w:after="0" w:line="3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200" w:lineRule="exact"/>
        <w:rPr>
          <w:sz w:val="20"/>
          <w:szCs w:val="20"/>
          <w:color w:val="auto"/>
        </w:rPr>
      </w:pPr>
    </w:p>
    <w:p>
      <w:pPr>
        <w:spacing w:after="0" w:line="3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33" w:name="page34"/>
    <w:bookmarkEnd w:id="33"/>
    <w:p>
      <w:pPr>
        <w:spacing w:after="0" w:line="28" w:lineRule="exact"/>
        <w:rPr>
          <w:sz w:val="20"/>
          <w:szCs w:val="20"/>
          <w:color w:val="auto"/>
        </w:rPr>
      </w:pPr>
    </w:p>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Company’s shares trade on the NASDAQ Capital Market under the symbol “NODK”. As of March 2, 2018, there were 693 shareholders of record for the Company’s common stock. The closing price of our common stock on the NASDAQ on March 2, 2018 was $16.44.</w:t>
      </w:r>
    </w:p>
    <w:p>
      <w:pPr>
        <w:spacing w:after="0" w:line="10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the high and low intraday sales prices per share of the Company’s common shares as reported by the NASDAQ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High</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Borders>
              <w:bottom w:val="single" w:sz="8" w:color="CCEEFF"/>
            </w:tcBorders>
          </w:tcPr>
          <w:p>
            <w:pPr>
              <w:spacing w:after="0"/>
              <w:rPr>
                <w:sz w:val="20"/>
                <w:szCs w:val="20"/>
                <w:color w:val="auto"/>
              </w:rPr>
            </w:pPr>
          </w:p>
        </w:tc>
      </w:tr>
      <w:tr>
        <w:trPr>
          <w:trHeight w:val="250"/>
        </w:trPr>
        <w:tc>
          <w:tcPr>
            <w:tcW w:w="87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First quarter (since March 16, 2017) </w:t>
            </w:r>
            <w:r>
              <w:rPr>
                <w:rFonts w:ascii="Arial" w:cs="Arial" w:eastAsia="Arial" w:hAnsi="Arial"/>
                <w:sz w:val="29"/>
                <w:szCs w:val="29"/>
                <w:color w:val="auto"/>
                <w:vertAlign w:val="superscript"/>
              </w:rPr>
              <w:t>(1)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16.09</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Our common stock did not trade publicly prior to March 16,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following graph sets forth the cumulative total shareholder return (stock price increase plus dividends) on our common stock from March 16, 2017 (the date of the initial public offering of our common stock) through December 31, 2017, along with the corresponding returns for the Russell 2000 Index (as the broad stock market index) and the SNL US Insurance P&amp;C Index (as the published industry index). The graph assumes that the value of the investment in the common stock and each index was $100 on March 16, 2017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92075</wp:posOffset>
            </wp:positionV>
            <wp:extent cx="5462905" cy="258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6290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Board of Directors continues to evaluate a potential policy of paying regular cash dividends, but has not decided on the amounts that may be paid or when the payments may occur. Therefore, the timing and the amount of cash dividends that may be paid to shareholders in the future is uncertain. In addition, the Board of Directors may declare and pay periodic special cash dividends in addition to, or in lieu of, regular cash dividends. In determining whether to declare or pay any dividends, whether regular or special, the Board of Directors will take into account our financial condition and results of operations, income tax considerations, capital requirements, industry standards, and economic conditions. The regulatory restrictions that affect the payment of dividends by Nodak Insurance to us as discussed below will also be considered. We cannot guarantee that we will pay dividends or that, if paid, we will not reduce or eliminate dividends in the future.</w:t>
      </w:r>
    </w:p>
    <w:p>
      <w:pPr>
        <w:spacing w:after="0" w:line="14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If we pay dividends to our shareholders, we also will be required to pay dividends to Nodak Mutual Group, unless Nodak Mutual Group elects to waive the receipt of dividends. Because Nodak Mutual Group has no current plans to utilize any cash dividends that it may receive from us, we anticipate that it will waive its right to receive substantially all of the dividends that are paid to it by us or immediately return substantially all of such funds to us as an equity contribution. Because the Board of Directors of Nodak Mutual Group includes persons who are not members of our Board of Directors, we cannot provide any assurance, however, that they will take such action with respect to every cash dividend that we may declare. If we are unable to obtain a commitment from the Board of Directors of Nodak Mutual Group that it will waive its right to receive any cash dividend that we intend to declare or that it will return the funds from such dividend to the Company as an equity contribution, our Board of Directors may decide not to declare a cash dividend.</w:t>
      </w:r>
    </w:p>
    <w:p>
      <w:pPr>
        <w:spacing w:after="0" w:line="12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will not be subject to regulatory restrictions on the payment of dividends. Our ability to pay dividends, however, may depend, in part, upon our receipt of dividends from Nodak Insurance because we initially will have no source of income other than earnings from the investment of the net proceeds from our IPO that we retain. North Dakota law limits the amount of dividends and other distributions that Nodak Insurance may pay to us.</w:t>
      </w:r>
    </w:p>
    <w:p>
      <w:pPr>
        <w:spacing w:after="0" w:line="12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As of December 31, 2017, the amount available for payment of dividends by Nodak Insurance to us in 2018 without the prior</w:t>
      </w:r>
    </w:p>
    <w:p>
      <w:pPr>
        <w:sectPr>
          <w:pgSz w:w="11900" w:h="16867" w:orient="portrait"/>
          <w:cols w:equalWidth="0" w:num="1">
            <w:col w:w="11420"/>
          </w:cols>
          <w:pgMar w:left="240" w:top="226" w:right="239" w:bottom="0" w:gutter="0" w:footer="0" w:header="0"/>
        </w:sectPr>
      </w:pPr>
    </w:p>
    <w:bookmarkStart w:id="34" w:name="page35"/>
    <w:bookmarkEnd w:id="34"/>
    <w:p>
      <w:pPr>
        <w:ind w:right="320"/>
        <w:spacing w:after="0" w:line="308" w:lineRule="auto"/>
        <w:rPr>
          <w:sz w:val="20"/>
          <w:szCs w:val="20"/>
          <w:color w:val="auto"/>
        </w:rPr>
      </w:pPr>
      <w:r>
        <w:rPr>
          <w:rFonts w:ascii="Arial" w:cs="Arial" w:eastAsia="Arial" w:hAnsi="Arial"/>
          <w:sz w:val="17"/>
          <w:szCs w:val="17"/>
          <w:color w:val="auto"/>
        </w:rPr>
        <w:t>approval of the North Dakota Insurance Department is $15,654. We cannot assure you that the North Dakota Insurance Department would approve the declaration or payment by Nodak Insurance of any dividends in excess of such amount to us. See “Item 1. Business — Regulation.”</w:t>
      </w:r>
    </w:p>
    <w:p>
      <w:pPr>
        <w:spacing w:after="0" w:line="10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we receive any dividends from Nodak Insurance, we may not declare any dividends to our shareholders because of our working capital requirements. We are not subject to regulatory restrictions on the payment of dividends to shareholders, but we are subject to the requirements of the North Dakota Business Corporation Act. This law generally permits dividends or distributions to be paid as long as, after making the dividend or distribution, we will be able to pay our debts in the ordinary course of business and</w:t>
      </w:r>
    </w:p>
    <w:p>
      <w:pPr>
        <w:spacing w:after="0" w:line="1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35" w:name="page36"/>
    <w:bookmarkEnd w:id="3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total assets will exceed our total liabilities plus the amount that would be needed to satisfy the preferential rights upon dissolution of holders of stock with senior liquidation rights if we were to be dissolved at the time the dividend or distribution is paid.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initial public offering of 10,350,000 shares of common stock at a price of $10.00 per share. The Company received net proceeds of $93,145 from the offering, after deducting the underwriting discounts and offering expenses. Griffin Financial Group, LLC acted as our placement agent in connection with the initial public offering.</w:t>
      </w:r>
    </w:p>
    <w:p>
      <w:pPr>
        <w:spacing w:after="0" w:line="14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 on January 17, 2017.</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Stock Purchases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common shares outstanding during 2016 and 2015.</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2017, our Board of Directors approved an authorization for the repurchase of up to $8 million of the Company’s outstanding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purchased 446,671 shares of our common stock for $8,037 during the three months ended June 30, 2017.</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36" w:name="page37"/>
    <w:bookmarkEnd w:id="3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 selected financial data set forth below in conjunction with our historical consolidated financial statements and related notes and with “Item 7. Management’s Discussion and Analysis of Financial Condition and Results of Operations” included elsewhere in this Annual Report on Form 10-K.</w:t>
      </w:r>
    </w:p>
    <w:p>
      <w:pPr>
        <w:spacing w:after="0" w:line="15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NI Holdings evaluates its operations by monitoring certain key measures of growth and profitability. In addition to GAAP measures, NI Holdings utilizes certain non-GAAP financial measures that it believes are valuable in managing its business and for providing comparisons to its peers.</w:t>
      </w:r>
    </w:p>
    <w:p>
      <w:pPr>
        <w:spacing w:after="0" w:line="8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These historical results are not necessarily indicative of future results, and the results for any interim period are not necessarily indicative of the results that may be expected for a full year.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37" w:name="page38"/>
    <w:bookmarkEnd w:id="3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Three-Year Summary of Selected Financial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 premiums written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180,870</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Net premiums written</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185,281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156,713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152,756</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Fee and other income</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1,648</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Net realized capital gain on investments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2,997</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189,140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179,464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152,756</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Losses and loss adjustment expenses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118,508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w w:val="97"/>
              </w:rPr>
              <w:t>Amortization of deferred policy acquisition costs and other underwriting and general expenses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44,423</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39,122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Underwriting gain (loss)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Fee and other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Net realized capital gain on investments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2,997</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6,394</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tcBorders>
              <w:top w:val="single" w:sz="8" w:color="CCEEFF"/>
              <w:bottom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40"/>
              <w:spacing w:after="0" w:line="196" w:lineRule="exact"/>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Share data:</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used in basic per share calculations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22,512,401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Plus: Dilutive securities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shares used in diluted per share calculations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22,512,629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investments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207,677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Premiums and agents’ balances receivable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25,632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policy acquisition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28,612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Unpaid losses and loss adjustment expenses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45,890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59,632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 premiums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63,262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12,263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255,573</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149,918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376,988</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Per share data:</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book value per basic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163"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163" w:gutter="0" w:footer="0" w:header="0"/>
          <w:type w:val="continuous"/>
        </w:sectPr>
      </w:pPr>
    </w:p>
    <w:bookmarkStart w:id="38" w:name="page39"/>
    <w:bookmarkEnd w:id="3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following discussion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“Item 8. Financial Statements and Supplementary Data.” Some of the information contained in this discussion and analysis or set forth elsewhere in this Annual Report on Form 10-K constitutes forward-looking information that involves risks and uncertainties. Please see “Forward-Looking Information” and “Item 1A. Risk Factors” for more information. You should review “Risk Factors” for a discussion of important factors that could cause actual results to differ materially from the results described, or implied by, the forward-looking statements contained herein.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 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4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Nodak Insurance and Battle Creek are rated by “A” by A.M. Best, which is the third highest out of a possible 15 ratings. American West is rated “A-” and Primero is unrated.</w:t>
      </w:r>
    </w:p>
    <w:p>
      <w:pPr>
        <w:spacing w:after="0" w:line="14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American West is a wholly-owned subsidiary of Nodak Insurance, and Primero is an indirect wholly-owned subsidiary of Nodak Insurance. Battle Creek is managed by Nodak Insurance, and Nodak Insurance reinsures 100% of the risk on all insurance policies issued by Battle Creek. NI Holdings’ financial statements set forth herein include the consolidated financial results of NI Holdings and Nodak Insurance, including Nodak Insurance’s subsidiaries American West and Primero and its affiliate Battle Creek.</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We believe that the market is in a “firming” phase in response to higher frequency and severity of weather-related events in our markets as well as the rest of the world.</w:t>
      </w:r>
    </w:p>
    <w:p>
      <w:pPr>
        <w:spacing w:after="0" w:line="16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Unlike property and casualty insurance, the total crop insurance premiums written each year vary mainly based on prevailing commodity prices for the type of crops planted, because the aggregate number of acres planted does not vary much from year to year. Because the premiums that are charged for crop insurance are established by the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commercial farmers obtain crop insurance on their plantings each year.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NI Holdings derives its revenue primarily from premiums earned, net investment income, and net realized capital gain (loss) on investments.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18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1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typically have a term of twelve months. For example, for a policy that is written on July 1, 2017, one-half of the premiums would be earned in 2017 and the other half would be earned in 2018.</w:t>
      </w:r>
    </w:p>
    <w:p>
      <w:pPr>
        <w:spacing w:after="0" w:line="13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rate of 15% because the insurer is required to pay the farmer’s portion of the premium to the FCIC by November 15, regardless of whether the farmer pays the premium to the insurer. Except for claims made in the spring (primarily for prevented planting and required replanting claims), claims are required to be made by December 15. A different cycle exists for crops planted in the fall, such as winter wheat, but the vast majority of crop insurance written by NI Holdings covers crops planted in the spring.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realized capital gain (loss) on investments</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NI Holdings invests its surplus and the funds supporting its insurance liabilities (including unearned premiums and unpaid losses and LAE) in cash, cash equivalents, equities, and fixed income securities. Investment income includes interest and dividends earned on invested assets. Net realized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other-than-temporary impairments or sold for an amount less than their cost or amortized cost, as applicable. The Company’s portfolio of investments is managed by Conning, Inc. and Disciplined Growth Investors, who have discretion to buy and sell securities in accordance with the investment policy approved by our Board of Directors.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NI Holdings’ expenses consist primarily of loss and LAE, amortization of deferred policy acquisition costs, other underwriting and general expenses, and income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Loss Adjustment Expenses</w:t>
      </w:r>
    </w:p>
    <w:p>
      <w:pPr>
        <w:spacing w:after="0" w:line="19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Loss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Expenses incurred to underwrite risks are referred to as policy acquisition expenses and other underwriting and general expenses. Policy acquisition costs consist of commission expenses,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 as well as payments to bureaus and assessments of statistical agencies for policy service and administration items such as rating manuals, rating plans, and experience data.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0" w:name="page41"/>
    <w:bookmarkEnd w:id="4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tax bases of its assets and liabilities. A valuation allowance is provided when it is more likely than not that some portion of the deferred income tax asset will not be realized. At December 31, 2017, 2016 and 2015, NI Holdings had recorded valuation allowances with respect to its deferred income tax assets of $628, $1,022, and $1,084, respectively. The effect of a change in tax rates is recognized in the period of the enactment date, which is the primary reason for the change in valuation allowance in 2017, as a result of the TCJA enacted on December 22, 2017.</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18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NI Holdings evaluates its insurance operations by monitoring certain key measures of growth and profitability. In addition to reviewing its financial performance based on results determined in accordance with accounting principles generally accepted in the United States of America (“GAAP”), NI Holdings utilizes certain non-GAAP financial measures that are used widely in the property and casualty insurance industry and which it believes are valuable in managing its business and for comparison to its peers. These non-GAAP measures are the expense ratio, loss and LAE ratio, combined ratio, written premiums, ratio of net written premiums to statutory surplus, underwriting gain, return on average equity, and risk-based capital.</w:t>
      </w:r>
    </w:p>
    <w:p>
      <w:pPr>
        <w:spacing w:after="0" w:line="14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18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 and LAE for insured events occurring in a particular year, regardless of when they are reported, as a percentage of premiums earned during that year. A calendar year loss ratio measures loss and LAE for insured events occurring during a particular year and the change in loss reserves from prior policy years as a percentage of premiums earned during that year.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8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19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combined ratio is the sum of the loss and LAE ratio and the expense ratio, and measures its overall underwriting gain. If the combined ratio is below 100%, NI Holdings is making an underwriting gain. If its combined ratio is at or above 100%, it is not profitable without investment income and may not be profitable if investment income is insufficient.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18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net premiums written to statutory surplus ratio represents the ratio of net premiums written, after reinsurance ceded, to statutory surplus. The ratio is designed to measure the ability of the Company to absorb above-average losses and the Company’s financial strength. In general, a low premium to surplus ratio is considered a sign of financial strength because the Company is theoretically using its capacity to write more policies. Statutory surplus is determined using accounting principles prescribed or permitted by the insurance subsidiaries’ state of domicile and differs from GAAP equity.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 and LAE, amortization of deferred policy acquisition costs, and other underwriting and general expenses from net premiums earned. Each of these items is presented as a caption in the Company’s Consolidated Statements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19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equity to generate net income. In determining return on average equity for a given year, net income (loss) is divided by the average of the beginning and ending equity for that year.</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1" w:name="page42"/>
    <w:bookmarkEnd w:id="4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these estimates and assumptions and that reported results of operations would not be materially adversely affected by the need to make accounting adjustments to reflect changes in these estimates and assumptions from time to time. NI Holdings believes the following policies are the most sensitive to estimates and judgments.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19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4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if legal action is involved. Case reserves are reviewed on a regular basis and are updated as new information becomes available.</w:t>
      </w:r>
    </w:p>
    <w:p>
      <w:pPr>
        <w:spacing w:after="0" w:line="13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a catastrophe occurs, which in the Company’s case mostly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 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4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4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would vary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accrues its ultimate liability for unpaid losses and LAE by using the following actuarial methodologies:</w:t>
      </w:r>
    </w:p>
    <w:p>
      <w:pPr>
        <w:spacing w:after="0" w:line="18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u w:val="single" w:color="auto"/>
          <w:color w:val="auto"/>
        </w:rPr>
        <w:t>Bornhuetter-Ferguson Method</w:t>
      </w:r>
      <w:r>
        <w:rPr>
          <w:rFonts w:ascii="Arial" w:cs="Arial" w:eastAsia="Arial" w:hAnsi="Arial"/>
          <w:sz w:val="18"/>
          <w:szCs w:val="18"/>
          <w:color w:val="auto"/>
        </w:rPr>
        <w:t xml:space="preserve"> — The Bornhuetter-Ferguson Method is a blended method that explicitly takes into account both actual loss development to date and expected future loss emergence. This method is applied on both a paid loss basis and an incurred loss basis. This method uses selected loss development patterns to calculate the expected percentage of loss unpaid (or unreported). The expected future loss component of the method is calculated by multiplying earned premium for the given exposure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u w:val="single" w:color="auto"/>
          <w:color w:val="auto"/>
        </w:rPr>
        <w:t>Paid and Case Incurred Loss Method</w:t>
      </w:r>
      <w:r>
        <w:rPr>
          <w:rFonts w:ascii="Arial" w:cs="Arial" w:eastAsia="Arial" w:hAnsi="Arial"/>
          <w:sz w:val="18"/>
          <w:szCs w:val="18"/>
          <w:color w:val="auto"/>
        </w:rPr>
        <w:t xml:space="preserve"> — The Paid and Case Incurred Loss Development Method utilizes ratios of cumulative paid or case incurred loss or LAE at each age of development as a percent of the preceding development age. Selected ratios are then multiplied together to produce a set of loss development factors which when applied to the most current data value, by accident year, develop estimated ultimate losses or LAE. Ultimate losses or LAE are then selected for each accident year from the various methods employed.</w:t>
      </w:r>
    </w:p>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Ratio of Paid ALAE to Paid Loss Method</w:t>
      </w:r>
      <w:r>
        <w:rPr>
          <w:rFonts w:ascii="Arial" w:cs="Arial" w:eastAsia="Arial" w:hAnsi="Arial"/>
          <w:sz w:val="18"/>
          <w:szCs w:val="18"/>
          <w:color w:val="auto"/>
        </w:rPr>
        <w:t xml:space="preserve"> — This method utilizes the ratio of paid adjusted loss adjustment expense (“ALAE”) to paid losses and is 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and legislative changes, among others. The impact of many of these items on ultimate costs for claims and claim adjustment expenses is difficult to estimate. Loss reserve estimation is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3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46" w:lineRule="exact"/>
        <w:rPr>
          <w:sz w:val="20"/>
          <w:szCs w:val="20"/>
          <w:color w:val="auto"/>
        </w:rPr>
      </w:pPr>
    </w:p>
    <w:p>
      <w:pPr>
        <w:ind w:left="660" w:right="520"/>
        <w:spacing w:after="0" w:line="454" w:lineRule="auto"/>
        <w:rPr>
          <w:sz w:val="20"/>
          <w:szCs w:val="20"/>
          <w:color w:val="auto"/>
        </w:rPr>
      </w:pPr>
      <w:r>
        <w:rPr>
          <w:rFonts w:ascii="Arial" w:cs="Arial" w:eastAsia="Arial" w:hAnsi="Arial"/>
          <w:sz w:val="18"/>
          <w:szCs w:val="18"/>
          <w:color w:val="auto"/>
        </w:rPr>
        <w:t xml:space="preserve">Other factors that have or can have an impact on the Company’s case and IBNR reserves include but are not limited to those described below. </w:t>
      </w:r>
      <w:r>
        <w:rPr>
          <w:rFonts w:ascii="Arial" w:cs="Arial" w:eastAsia="Arial" w:hAnsi="Arial"/>
          <w:sz w:val="18"/>
          <w:szCs w:val="18"/>
          <w:u w:val="single" w:color="auto"/>
          <w:color w:val="auto"/>
        </w:rPr>
        <w:t>Changes in liability law and public attitudes regarding damage awards</w:t>
      </w:r>
    </w:p>
    <w:p>
      <w:pPr>
        <w:ind w:right="40"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18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198"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43" w:name="page44"/>
    <w:bookmarkEnd w:id="4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8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such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differs from historical data trends</w:t>
      </w:r>
    </w:p>
    <w:p>
      <w:pPr>
        <w:spacing w:after="0" w:line="18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19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geographic area where the Company chooses to insure risk.</w:t>
      </w:r>
    </w:p>
    <w:p>
      <w:pPr>
        <w:spacing w:after="0" w:line="11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Year-End Actuarial Loss Reserves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liabilities for unpaid loss and LAE are summarized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IBNR reserves</w:t>
            </w:r>
          </w:p>
        </w:tc>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12,386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unpaid losses and LAE</w:t>
            </w:r>
          </w:p>
        </w:tc>
        <w:tc>
          <w:tcPr>
            <w:tcW w:w="3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4,128</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LAE</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60" w:type="dxa"/>
            <w:vAlign w:val="bottom"/>
            <w:vMerge w:val="restart"/>
          </w:tcPr>
          <w:p>
            <w:pPr>
              <w:jc w:val="right"/>
              <w:ind w:right="1550"/>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provides case and IBNR reserves for unpaid losses and LAE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As of December 31, 2017</w:t>
            </w:r>
          </w:p>
        </w:tc>
        <w:tc>
          <w:tcPr>
            <w:tcW w:w="136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85"/>
              </w:rPr>
              <w:t>Case Reserves</w:t>
            </w:r>
          </w:p>
        </w:tc>
        <w:tc>
          <w:tcPr>
            <w:tcW w:w="1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IBNR Reserves</w:t>
            </w:r>
          </w:p>
        </w:tc>
        <w:tc>
          <w:tcPr>
            <w:tcW w:w="20" w:type="dxa"/>
            <w:vAlign w:val="bottom"/>
          </w:tcPr>
          <w:p>
            <w:pPr>
              <w:spacing w:after="0"/>
              <w:rPr>
                <w:sz w:val="20"/>
                <w:szCs w:val="20"/>
                <w:color w:val="auto"/>
              </w:rPr>
            </w:pPr>
          </w:p>
        </w:tc>
        <w:tc>
          <w:tcPr>
            <w:tcW w:w="12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3"/>
              </w:rPr>
              <w:t>Total Reserves</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Non-standard auto</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5,186</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Crop</w:t>
            </w: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997</w:t>
            </w: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3,518</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29,376</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3,171</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32,547</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2016</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440" w:type="dxa"/>
            <w:vAlign w:val="bottom"/>
            <w:vMerge w:val="continue"/>
          </w:tcPr>
          <w:p>
            <w:pPr>
              <w:spacing w:after="0"/>
              <w:rPr>
                <w:sz w:val="24"/>
                <w:szCs w:val="24"/>
                <w:color w:val="auto"/>
              </w:rPr>
            </w:pPr>
          </w:p>
        </w:tc>
        <w:tc>
          <w:tcPr>
            <w:tcW w:w="136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85"/>
              </w:rPr>
              <w:t>Case Reserves</w:t>
            </w:r>
          </w:p>
        </w:tc>
        <w:tc>
          <w:tcPr>
            <w:tcW w:w="1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IBNR Reserves</w:t>
            </w:r>
          </w:p>
        </w:tc>
        <w:tc>
          <w:tcPr>
            <w:tcW w:w="20" w:type="dxa"/>
            <w:vAlign w:val="bottom"/>
          </w:tcPr>
          <w:p>
            <w:pPr>
              <w:spacing w:after="0"/>
              <w:rPr>
                <w:sz w:val="24"/>
                <w:szCs w:val="24"/>
                <w:color w:val="auto"/>
              </w:rPr>
            </w:pPr>
          </w:p>
        </w:tc>
        <w:tc>
          <w:tcPr>
            <w:tcW w:w="12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3"/>
              </w:rPr>
              <w:t>Total Reserves</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19,767</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Non-standard auto</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5,209</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Crop</w:t>
            </w: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3,607</w:t>
            </w: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3,965</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42,081</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6,286</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48,367</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2015</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440" w:type="dxa"/>
            <w:vAlign w:val="bottom"/>
            <w:vMerge w:val="continue"/>
          </w:tcPr>
          <w:p>
            <w:pPr>
              <w:spacing w:after="0"/>
              <w:rPr>
                <w:sz w:val="24"/>
                <w:szCs w:val="24"/>
                <w:color w:val="auto"/>
              </w:rPr>
            </w:pPr>
          </w:p>
        </w:tc>
        <w:tc>
          <w:tcPr>
            <w:tcW w:w="136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85"/>
              </w:rPr>
              <w:t>Case Reserves</w:t>
            </w:r>
          </w:p>
        </w:tc>
        <w:tc>
          <w:tcPr>
            <w:tcW w:w="1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IBNR Reserves</w:t>
            </w:r>
          </w:p>
        </w:tc>
        <w:tc>
          <w:tcPr>
            <w:tcW w:w="20" w:type="dxa"/>
            <w:vAlign w:val="bottom"/>
          </w:tcPr>
          <w:p>
            <w:pPr>
              <w:spacing w:after="0"/>
              <w:rPr>
                <w:sz w:val="24"/>
                <w:szCs w:val="24"/>
                <w:color w:val="auto"/>
              </w:rPr>
            </w:pPr>
          </w:p>
        </w:tc>
        <w:tc>
          <w:tcPr>
            <w:tcW w:w="12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3"/>
              </w:rPr>
              <w:t>Total Reserves</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Non-standard auto</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5,080</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6,008</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Crop</w:t>
            </w: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914</w:t>
            </w: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2,365</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3,958</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31,038</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3,782</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34,820</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198"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affect the Company’s results of operations.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8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December 31, 2017, the impact of a 1% change in our estimate for unpaid losses and LAE, net of reinsurance recoverables, on our net income after income taxes of 21% would be approximately $330.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Inflation is not explicitly selected in the loss reserve analysis. However, historical inflation is embedded in the estimated loss development factors. The following table displays the impact on net income after income taxes of 21% resulting from various changes from the inflation factor implicitly embedded in the estimated payment pattern as of December 31, 2017. A change in inflation may or may not fully affect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41"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4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Change in Inflation</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Impact on After-Tax Earnings</w:t>
            </w:r>
          </w:p>
        </w:tc>
      </w:tr>
      <w:tr>
        <w:trPr>
          <w:trHeight w:val="210"/>
        </w:trPr>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16"/>
        </w:trPr>
        <w:tc>
          <w:tcPr>
            <w:tcW w:w="2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30"/>
        </w:trPr>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2"/>
              </w:rPr>
              <w:t>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2,062</w:t>
            </w:r>
          </w:p>
        </w:tc>
      </w:tr>
    </w:tbl>
    <w:p>
      <w:pPr>
        <w:spacing w:after="0" w:line="36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that includes future emergence of new classes of losses or types of losses, change in judicial awards, and any other changes beyond assumed levels that affect the cost of claims.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19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income taxes of 21%, which results from various changes to the level of case reserves as of December 31, 2017. This variance in future IBNR emergence could occur in one year or over multiple years, depending when the change is recognized.</w:t>
      </w:r>
    </w:p>
    <w:p>
      <w:pPr>
        <w:spacing w:after="0" w:line="123"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4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Change in Case Reserves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Impact on After-Tax Earnings</w:t>
            </w:r>
          </w:p>
        </w:tc>
      </w:tr>
      <w:tr>
        <w:trPr>
          <w:trHeight w:val="210"/>
        </w:trPr>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16"/>
        </w:trPr>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3"/>
              </w:rPr>
              <w:t>-5%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2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16"/>
        </w:trPr>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2"/>
              </w:rPr>
              <w:t>+2%</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16"/>
        </w:trPr>
        <w:tc>
          <w:tcPr>
            <w:tcW w:w="2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30"/>
        </w:trPr>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0"/>
              </w:rPr>
              <w:t>+10%</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2,575</w:t>
            </w:r>
          </w:p>
        </w:tc>
      </w:tr>
    </w:tbl>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Company’s investments, net of applicable income taxes, are reflected directly in equity as a component of comprehensive income (loss) and, accordingly, have no effect on net income (loss). Investment income is recognized when earned, and capital gains and losses are recognized when investments are sold, or an other-than-temporarily impairment is recognized.</w:t>
      </w:r>
    </w:p>
    <w:p>
      <w:pPr>
        <w:spacing w:after="0" w:line="13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or amortized cost basis is referred to as the “credit loss.” If there is a credit loss, the impairment is considered to be other than 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46" w:name="page47"/>
    <w:bookmarkEnd w:id="4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investments.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4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For the year ended December 31, 2017, NI Holdings’ investment portfolio experienced a change in net unrealized gains of $4,697. The overall portfolio experienced increased in unrealized gains, with gains increasing in both fixed income and equity securities.</w:t>
      </w:r>
    </w:p>
    <w:p>
      <w:pPr>
        <w:spacing w:after="0" w:line="14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4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the year ended December 31, 2017, NI Holdings recognized $330 of other-than-temporary impairments of its investment securities. For the year ended December 31, 2016, NI Holdings recognized no other-than-temporary impairments of its investment securities. Adverse investment market conditions, or poor operating results of underlying investments, could result in impairment charges in the future.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more information on the Company’s investments, see Note 5 to the Consolidated Financial Statements, included elsewhere in this Report.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NI Holdings uses fair value measurements to record fair value adjustments to certain assets and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32" w:lineRule="exact"/>
        <w:rPr>
          <w:sz w:val="20"/>
          <w:szCs w:val="20"/>
          <w:color w:val="auto"/>
        </w:rPr>
      </w:pPr>
    </w:p>
    <w:p>
      <w:pPr>
        <w:ind w:left="1960" w:right="680" w:hanging="1296"/>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30" w:lineRule="exact"/>
        <w:rPr>
          <w:sz w:val="20"/>
          <w:szCs w:val="20"/>
          <w:color w:val="auto"/>
        </w:rPr>
      </w:pPr>
    </w:p>
    <w:p>
      <w:pPr>
        <w:ind w:left="1960" w:right="20" w:hanging="1296"/>
        <w:spacing w:after="0" w:line="257" w:lineRule="auto"/>
        <w:tabs>
          <w:tab w:leader="none" w:pos="194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then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8" w:lineRule="exact"/>
        <w:rPr>
          <w:sz w:val="20"/>
          <w:szCs w:val="20"/>
          <w:color w:val="auto"/>
        </w:rPr>
      </w:pPr>
    </w:p>
    <w:p>
      <w:pPr>
        <w:ind w:left="1960" w:right="320" w:hanging="1296"/>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3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 parties,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that NI Holdings could have realized in a sale transaction on the dates indicated. The estimated fair value amounts have been measured as of their respective period end and have not been re-evaluated or updated for purposes of our financial statements subsequent to those respective dates. As such, the estimated fair values of these financial instruments subsequent to the respective reporting dates may be different from the amounts reported at each period-end. Additionally, changes in the underlying assumptions used, including discount rates and estimates of future cash flows, could significantly affect the results of current or future valuations.</w:t>
      </w:r>
    </w:p>
    <w:p>
      <w:pPr>
        <w:spacing w:after="0" w:line="14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NI Holdings uses quoted values and other data provided by independent pricing services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7" w:name="page48"/>
    <w:bookmarkEnd w:id="4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 adjusted spread model to develop prepayment and interest rate scenarios. The pricing service did not use broker quotes in determining fair values of the Company’s investments.</w:t>
      </w:r>
    </w:p>
    <w:p>
      <w:pPr>
        <w:spacing w:after="0" w:line="13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NI Holdings would attempt to obtain a non-binding fair value estimate from a number of broker-dealers and review this estimate in conjunction with a fair value estimate reported by an independent business news service or other sources. In instances where only one broker-dealer would provide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5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3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S&amp;P. If, after this review, management does not believe the pricing for any security is a reasonable estimate of fair value, then it will seek to resolve the discrepancy through discussions with the pricing service. In its review, management did not identify any such discrepancies for the years ended December 31, 2017 and 2016, and no adjustments were made to the estimates provided by the pricing service for the years ended December 31, 2017 and 2016. The classification within the fair value hierarchy is then confirmed based on the final conclusions from the pricing review.</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more information on the Company’s fair value measurements, see Note 6 to the Consolidated Financial Statements, included elsewhere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8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 At December 31, 2017 and 2016, deferred policy acquisition costs and the related liability for unearned premiums were as follows:</w:t>
      </w:r>
    </w:p>
    <w:p>
      <w:pPr>
        <w:spacing w:after="0" w:line="11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60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0"/>
        </w:trPr>
        <w:tc>
          <w:tcPr>
            <w:tcW w:w="5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 policy acquisition costs</w:t>
            </w:r>
          </w:p>
        </w:tc>
        <w:tc>
          <w:tcPr>
            <w:tcW w:w="35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8,859</w:t>
            </w:r>
          </w:p>
        </w:tc>
        <w:tc>
          <w:tcPr>
            <w:tcW w:w="4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8,942</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Liability for unearned premiums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57,445</w:t>
            </w:r>
          </w:p>
        </w:tc>
      </w:tr>
    </w:tbl>
    <w:p>
      <w:pPr>
        <w:spacing w:after="0" w:line="3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tax bases of our assets and liabilities. A valuation allowance is provided when it is more likely than not that some portion of the deferred income tax asset will not be realized.</w:t>
      </w:r>
    </w:p>
    <w:p>
      <w:pPr>
        <w:spacing w:after="0" w:line="154"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NI Holdings had gross deferred income tax assets of $4,279 at December 31, 2017 and $6,648 at December 31, 2016. A valuation allowance is required to be established for any portion of the deferred income tax asset for which the Company believes it is more likely than not that it will not be realized. Valuation allowances of $628 and $1,022 had been established at December 31, 2017 and 2016,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NI Holdings had gross deferred income tax liabilities of $6,190 at December 31, 2017 and $8,541 at December 31, 2016, arising primarily from deferred policy acquisition costs and net unrealized capital gains on investments.</w:t>
      </w:r>
    </w:p>
    <w:p>
      <w:pPr>
        <w:spacing w:after="0" w:line="130" w:lineRule="exact"/>
        <w:rPr>
          <w:sz w:val="20"/>
          <w:szCs w:val="20"/>
          <w:color w:val="auto"/>
        </w:rPr>
      </w:pPr>
    </w:p>
    <w:p>
      <w:pPr>
        <w:jc w:val="both"/>
        <w:ind w:right="300" w:firstLine="648"/>
        <w:spacing w:after="0" w:line="302"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2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effect of a change in income tax rates is recognized in the period of the enactment date. The TCJA enacted on December 22, 2017 will change the income tax rate from 35% in 2017 to 21% in 2018 and beyond. Although current income taxes payable for 2017 are not impacted, accounting guidance requires that deferred income tax assets and liabilities are re-valued upon date of enactment with the impact recorded in current year income tax expense. The impact to the Company’s deferred income taxes was to reduce the Company’s net deferred income tax liability by $1,274, which is reflected as a reduction of income tax expense in the Consolidated Statement of Operations for the year ended December 31, 2017.</w:t>
      </w:r>
    </w:p>
    <w:p>
      <w:pPr>
        <w:spacing w:after="0" w:line="13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Accounting guidance provides companies the option to reclassify income tax effects that are stranded in accumulated other comprehensive income (“AOCI”) as a result of income tax reform to retained earnings. The Company accumulates unrealized gains on investments in equity with the corresponding income tax effects. The Company has early adopted this guidance on a prospective basis as of December 31, 2017, and elects to reclassify material stranded income tax effects in AOCI to retained earnings using a portfolio method.</w:t>
      </w:r>
    </w:p>
    <w:p>
      <w:pPr>
        <w:spacing w:after="0" w:line="14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December 31, 2017, NI Holdings had no material unrecognized tax benefits or accrued interest and penalties. Federal tax years 2013 through 2016 are open for examination.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regulatory changes, general economic conditions, rising medical expenses, judicial trends, fluctuations in interest rates, and other changes in the investment environment.</w:t>
      </w:r>
    </w:p>
    <w:p>
      <w:pPr>
        <w:spacing w:after="0" w:line="16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NI Holdings premium levels and underwriting results have been, and will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it is more likely that insurers will be able to increase their rates or profit margins. A hard market typically has a positive impact on premium growth. The markets that NI Holdings serves are diversified enough such that management must regularly monitor the Company’s performance and competitive position to schedule appropriate rate actions by line of business and geographic market. Current market conditions are neutral reflecting neither a hard nor a soft market.</w:t>
      </w:r>
    </w:p>
    <w:p>
      <w:pPr>
        <w:spacing w:after="0" w:line="1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Premiums in the multi-peril crop insurance business are primarily influenced by the number of acres planted and types of crops insured because the pricing is set by the RMA rather than individual insurance carriers. The expected experience of this business for the calendar year may also significantly affect the reported net premiums earned and losses due to the risk-sharing arrangement with the federal government. Multi-peril crop insurance premiums are generally written in second quarter, and earned ratably over the period of risk, which extends into fourth quarter. Losses on this business are more heavily concentrated in the second and third quarters.</w:t>
      </w:r>
    </w:p>
    <w:p>
      <w:pPr>
        <w:spacing w:after="0" w:line="14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second quarter, but earned over a shorter period of risk than multi-peril crop insurance.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49" w:name="page50"/>
    <w:bookmarkEnd w:id="4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December 31, 2017 and 2016</w:t>
      </w:r>
    </w:p>
    <w:p>
      <w:pPr>
        <w:spacing w:after="0" w:line="18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consolidated net income for NI Holdings was $15,612 for the year ended December 31, 2017 compared to $4,638 a year ago. The major components of NI Holdings’ operating revenues and net income for the two years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7"/>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179,464</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152,756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capital gain on investments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179,464</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122,711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44,423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80"/>
              <w:spacing w:after="0"/>
              <w:rPr>
                <w:sz w:val="20"/>
                <w:szCs w:val="20"/>
                <w:color w:val="auto"/>
              </w:rPr>
            </w:pPr>
            <w:r>
              <w:rPr>
                <w:rFonts w:ascii="Arial" w:cs="Arial" w:eastAsia="Arial" w:hAnsi="Arial"/>
                <w:sz w:val="18"/>
                <w:szCs w:val="18"/>
                <w:color w:val="auto"/>
              </w:rPr>
              <w:t>Underwriting gain (loss)</w:t>
            </w: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capital gain on investments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NI Holdings’ net premiums earned for the year ended December 31, 2017 increased 17.5% to $179,464 compared to $152,756 for the year ended December 31,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5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55,378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48,250</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10,671</w:t>
            </w: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50,243</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33,163</w:t>
            </w:r>
          </w:p>
        </w:tc>
      </w:tr>
      <w:tr>
        <w:trPr>
          <w:trHeight w:val="230"/>
        </w:trPr>
        <w:tc>
          <w:tcPr>
            <w:tcW w:w="55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10,429</w:t>
            </w:r>
          </w:p>
        </w:tc>
      </w:tr>
      <w:tr>
        <w:trPr>
          <w:trHeight w:val="223"/>
        </w:trPr>
        <w:tc>
          <w:tcPr>
            <w:tcW w:w="55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Our personal lines of business (private passenger auto, home and farm) continued to grow outside of North Dakota, and were favorably impacted by lower ceding of premiums due to a higher retention amount in our catastrophe reinsurance program in 2017. Our non-standard auto business was relatively flat year-over-year as rate increases were needed in Nevada to cover the higher losses experienced in this business. Our crop business experienced higher losses in 2017, which reduced the level of premium sharing required with the federal government on relatively flat direct premiums earned.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8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NI Holdings’ net losses and LAE for the year ended December 31, 2017 increased 3.6% to $122,711 compared to $118,508 for the year ended December 31, 2016. The Company’s loss and LAE ratio decreased to 68.4% for 2017, compared to 77.6% for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2600" w:type="dxa"/>
            <w:vAlign w:val="bottom"/>
            <w:gridSpan w:val="4"/>
          </w:tcPr>
          <w:p>
            <w:pPr>
              <w:ind w:left="2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r>
      <w:tr>
        <w:trPr>
          <w:trHeight w:val="230"/>
        </w:trPr>
        <w:tc>
          <w:tcPr>
            <w:tcW w:w="882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r>
      <w:tr>
        <w:trPr>
          <w:trHeight w:val="223"/>
        </w:trPr>
        <w:tc>
          <w:tcPr>
            <w:tcW w:w="88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Our personal lines of business (private passenger auto, home and farm) experienced fewer weather related losses in 2017 compared to 2016, particularly in North Dakota. Our non-standard auto business improved from a year ago as a result of strategic pricing and underwriting actions.</w:t>
      </w:r>
    </w:p>
    <w:p>
      <w:pPr>
        <w:spacing w:after="0" w:line="8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 very dry start to the 2017 growing season increased our loss experience for the multi-peril crop business when compared to prior years. The loss and LAE ratio for the entire year ended December 31, 2017 came in line with average expectations, which provided a normal level of premium retention under the risk-sharing arrangement with the federal government compared to a year ago.</w:t>
      </w:r>
    </w:p>
    <w:p>
      <w:pPr>
        <w:spacing w:after="0" w:line="14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the all other segment, the assumed reinsurance book of business was adversely impacted by hurricanes Harvey, Irma, and Maria during the third quarter of 2017, and by the California wildfires during the fourth quarter of 2017. This adverse experience was more than offset by improvements in excess liability and commercial multi-peril coverages.</w:t>
      </w:r>
    </w:p>
    <w:p>
      <w:pPr>
        <w:spacing w:after="0" w:line="154"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NI Holdings realized favorable development on prior accident years of $10,101 in 2017, compared to $4,756 of favorable development on prior accident years realized in 2016.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$5,301 in 2017, or 13.6%, compared to 2016. Expenses were higher in 2017 due to increased commissions and other policy acquisition costs as a result of increased premiums written. In addition, as a new public company, additional expenses were incurred due to increased salaries, legal and accounting costs, taxes and fees, and holding company costs. The expense ratio of 24.8% for the year ended December 31, 2017 was 0.8% less than the expense ratio in 2016, primarily due to higher net premiums earned in 2017.</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3"/>
              </w:rPr>
              <w:t>Year Ended December 31,</w:t>
            </w:r>
          </w:p>
        </w:tc>
      </w:tr>
      <w:tr>
        <w:trPr>
          <w:trHeight w:val="223"/>
        </w:trPr>
        <w:tc>
          <w:tcPr>
            <w:tcW w:w="568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3,739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(3,595)</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(9,582)</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9,269</w:t>
            </w:r>
          </w:p>
        </w:tc>
      </w:tr>
      <w:tr>
        <w:trPr>
          <w:trHeight w:val="230"/>
        </w:trPr>
        <w:tc>
          <w:tcPr>
            <w:tcW w:w="568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1,249</w:t>
            </w:r>
          </w:p>
        </w:tc>
      </w:tr>
      <w:tr>
        <w:trPr>
          <w:trHeight w:val="223"/>
        </w:trPr>
        <w:tc>
          <w:tcPr>
            <w:tcW w:w="56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underwriting gain (loss)</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underwriting results for our personal lines of business (private passenger auto, home and farm) improved significantly year-over-year. The year ended December 31, 2016 included a high number of weather related events that generated underwriting losses. Strategic rating and underwriting actions across the personal lines of business, along with an average year of weather related losses, helped to bring those lines back to profitability.</w:t>
      </w:r>
    </w:p>
    <w:p>
      <w:pPr>
        <w:sectPr>
          <w:pgSz w:w="11900" w:h="16838" w:orient="portrait"/>
          <w:cols w:equalWidth="0" w:num="1">
            <w:col w:w="11420"/>
          </w:cols>
          <w:pgMar w:left="240" w:top="226" w:right="239"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1" w:name="page52"/>
    <w:bookmarkEnd w:id="5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Rate increases and other underwriting actions on our non-standard auto business reduced the underwriting loss considerably from a year ago. Fee income attributable to this segment is a key component in measuring its profitability. Fee income on this business was $1,087 and $1,157 for the years ended December 31, 2017 and 2016, respectively.</w:t>
      </w:r>
    </w:p>
    <w:p>
      <w:pPr>
        <w:spacing w:after="0" w:line="14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crop insurance business generated a lower underwriting gain for 2017 compared to 2016. While loss experience was higher for 2017, premium retention under the risk-sharing arrangement with the federal government was also higher to offset most of the increased loss experience.</w:t>
      </w:r>
    </w:p>
    <w:p>
      <w:pPr>
        <w:spacing w:after="0" w:line="12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Underwriting results for the all other segment increased in 2017 due to improvements in the commercial multi-peril and excess liability businesses, partially offset by the impacts of the hurricane and wildfire activity in our assumed reinsurance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NI Holdings had fee and other income of $1,648 for the year ended December 31, 2017, compared to $1,666 for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fee income is attributable to the non-standard auto insurance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06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202,735</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9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5,031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 on average cash and invested assets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bl>
    <w:p>
      <w:pPr>
        <w:spacing w:after="0" w:line="39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Investment income, net of investment expense, increased $1,387 for the year ended December 31, 2017 compared to 2016. This increase is attributable to an increase in invested assets, as cash and invested assets increased to $313,885 at December 31, 2017 from $207,677 at December 31, 2016, primarily as a result of the proceeds from the Company’s IPO. The weighted average yield on invested assets rose slightly to 1.9% in 2017 from 1.8% in 2016.</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Capital Gain on Investments</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NI Holdings had realized capital gains on investment of $2,997 for the year ended December 31, 2017, compared to $5,681 for the year ended December 31, 2016. The Company recorded other-than-temporary impairments of $330 in the year ended December 31, 2017, and no other-than-temporary impairments in the year ended December 31, 2016.</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Company’s fixed income securities and equity securities are classified as available for sale because it will, from time to time, make sales of securities that are not impaired, consistent with our investment goals and policies. At December 31, 2017, the Company had net unrealized gains on fixed income securities of $1,780 and net unrealized gains on equity securities of $18,533. At December 31, 2016, the Company had net unrealized gains on fixed income securities of $1,210 and net unrealized gains on equity securities of $14,406.</w:t>
      </w:r>
    </w:p>
    <w:p>
      <w:pPr>
        <w:spacing w:after="0" w:line="146"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NI Holdings has evaluated each security in a loss position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it will not recover the entire amortized cost basis.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9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For the year ended December 31, 2017, NI Holdings had pre-tax income of $22,006 compared to pre-tax income of $6,117 for the year ended December 31, 2016. The increase in pre-tax income was largely attributable to the decrease in losses and LAE on the private passenger auto and home and farm lines of business when compared to the higher level of weather related losses in 2016.</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NI Holdings recorded income tax expense of $6,394 for the year ended December 31, 2017, compared to $1,479 of income tax expense for the year ended December 31, 2016.</w:t>
      </w:r>
    </w:p>
    <w:p>
      <w:pPr>
        <w:spacing w:after="0" w:line="14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Income tax expense for 2017 included a reduction of $1,274 to income tax expense due to a new corporate income tax rate of 21% for tax years 2018 and beyond, enacted on December 22, 2017. Accounting guidance requires that companies re-measure</w:t>
      </w:r>
    </w:p>
    <w:p>
      <w:pPr>
        <w:sectPr>
          <w:pgSz w:w="11900" w:h="16838" w:orient="portrait"/>
          <w:cols w:equalWidth="0" w:num="1">
            <w:col w:w="11420"/>
          </w:cols>
          <w:pgMar w:left="240" w:top="226"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2" w:name="page53"/>
    <w:bookmarkEnd w:id="5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existing deferred tax assets (including loss carryforwards) and liabilities and record an offset for the net amount as a component of income tax expense from continuing operations in the period of enactment. Any change to a previously recorded valuation allowance as a result of re-measuring existing temporary differences and loss carryforward should also be reflected as a component of income tax expense from continuing operations. In addition, the valuation allowance against certain deferred income tax assets decreased by $394 to $628 at December 31, 2017 from $1,022 at December 31, 2016.</w:t>
      </w:r>
    </w:p>
    <w:p>
      <w:pPr>
        <w:spacing w:after="0" w:line="1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effective tax rate for 2017 was 29.1% compared to an effective tax rate of 24.2% for 2016. The increase in the effective tax rate was the result of a lesser impact of comparable permanent tax adjustments realized on a higher income before income taxes amount for 2017.</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For the year ended December 31, 2017, NI Holdings had net income after non-controlling interest of $15,991 compared to net income after non-controlling interest of $4,551 for 2016. This increase in net income was primarily attributable to decreased losses and LAE in the Company’s private passenger auto and home and farm lines of business, when compared to a higher level of weather related losses in 2016.</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9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year ended December 31, 2017, NI Holdings had annualized return on average equity, after non-controlling interest, of 7.9% compared to annualized return on average equity, after non-controlling interest, of 3.1% for the year ended December 31, 2016. Average equity is calculated as the average between beginning and ending equity excluding non-controlling interest for the year.</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53" w:name="page54"/>
    <w:bookmarkEnd w:id="5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3"/>
          </w:tcPr>
          <w:p>
            <w:pPr>
              <w:spacing w:after="0"/>
              <w:rPr>
                <w:sz w:val="20"/>
                <w:szCs w:val="20"/>
                <w:color w:val="auto"/>
              </w:rPr>
            </w:pPr>
            <w:r>
              <w:rPr>
                <w:rFonts w:ascii="Arial" w:cs="Arial" w:eastAsia="Arial" w:hAnsi="Arial"/>
                <w:sz w:val="18"/>
                <w:szCs w:val="18"/>
                <w:color w:val="auto"/>
              </w:rPr>
              <w:t>Years ended December 31, 2016 and 2015</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960" w:type="dxa"/>
            <w:vAlign w:val="bottom"/>
            <w:gridSpan w:val="2"/>
          </w:tcPr>
          <w:p>
            <w:pPr>
              <w:ind w:left="640"/>
              <w:spacing w:after="0"/>
              <w:rPr>
                <w:sz w:val="20"/>
                <w:szCs w:val="20"/>
                <w:color w:val="auto"/>
              </w:rPr>
            </w:pPr>
            <w:r>
              <w:rPr>
                <w:rFonts w:ascii="Arial" w:cs="Arial" w:eastAsia="Arial" w:hAnsi="Arial"/>
                <w:sz w:val="18"/>
                <w:szCs w:val="18"/>
                <w:color w:val="auto"/>
              </w:rPr>
              <w:t>The major components of NI Holdings’ operating revenues and net income are as follows: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Revenues:</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8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0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152,756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Fee and other income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Net realized capital gain on investments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Components of net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0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152,756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39,122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Underwriting (loss) gain</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Fee and other income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Net realized capital gain on investments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18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NI Holdings’ net premiums earned increased 9.5% to $152,756 for the year ended December 31, 2016 compared to $139,473 for the year ended December 31,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5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48,250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43,985</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11,373</w:t>
            </w: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50,243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48,432</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25,713</w:t>
            </w:r>
          </w:p>
        </w:tc>
      </w:tr>
      <w:tr>
        <w:trPr>
          <w:trHeight w:val="230"/>
        </w:trPr>
        <w:tc>
          <w:tcPr>
            <w:tcW w:w="55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9,970</w:t>
            </w:r>
          </w:p>
        </w:tc>
      </w:tr>
      <w:tr>
        <w:trPr>
          <w:trHeight w:val="223"/>
        </w:trPr>
        <w:tc>
          <w:tcPr>
            <w:tcW w:w="55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Our personal lines of business (private passenger auto, home and farm) grew modestly in 2016, while our non-standard auto business declined slightly. Loss experience in our crop business was extremely favorable in 2015, resulting in a very high level of premiums ceded to the federal government. Loss experience in 2016 was again favorable, but not as favorable as 2015 so premiums ceded were less than a year ago.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8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NI Holdings’ net losses and LAE for the year ended December 31, 2016 increased 41.3% to $118,508 compared to $83,876 for the year ended December 31, 2015. The Company’s loss and LAE ratio increased to 77.6% for 2016, compared to 60.1% for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2600" w:type="dxa"/>
            <w:vAlign w:val="bottom"/>
            <w:gridSpan w:val="4"/>
          </w:tcPr>
          <w:p>
            <w:pPr>
              <w:ind w:left="2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30"/>
        </w:trPr>
        <w:tc>
          <w:tcPr>
            <w:tcW w:w="882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23"/>
        </w:trPr>
        <w:tc>
          <w:tcPr>
            <w:tcW w:w="88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648"/>
        <w:spacing w:after="0" w:line="308" w:lineRule="auto"/>
        <w:rPr>
          <w:sz w:val="20"/>
          <w:szCs w:val="20"/>
          <w:color w:val="auto"/>
        </w:rPr>
      </w:pPr>
      <w:r>
        <w:rPr>
          <w:rFonts w:ascii="Arial" w:cs="Arial" w:eastAsia="Arial" w:hAnsi="Arial"/>
          <w:sz w:val="17"/>
          <w:szCs w:val="17"/>
          <w:color w:val="auto"/>
        </w:rPr>
        <w:t>Our personal lines of business (private passenger auto, home and farm) experienced a very high number of weather related losses in 2016 compared to 2015, particularly in North Dakota. Our non-standard auto business deteriorated due to higher frequency and severity of losses.</w:t>
      </w:r>
    </w:p>
    <w:p>
      <w:pPr>
        <w:spacing w:after="0" w:line="10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loss experience in our crop business was favorable in 2016, although not as favorable as in 2015. The favorable loss and LAE ratios resulted in lower levels of premium retention under the risk-sharing arrangement with the federal government.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all other segment, the assumed reinsurance book of business was adversely impacted by Canadian wildfires during the second quarter of 2016.</w:t>
      </w:r>
    </w:p>
    <w:p>
      <w:pPr>
        <w:spacing w:after="0" w:line="221"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NI Holdings realized favorable development on prior accident years of $4,756 in 2016, compared to $8,888 of favorable development on prior accident years realized in 2015.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$3,150 in 2016, or 8.8% higher than in 2015. This increase is due to an increase of $1,802 in amortization of deferred policy acquisition costs and an increase of $1,348 in other underwriting and general expenses.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r>
      <w:tr>
        <w:trPr>
          <w:trHeight w:val="223"/>
        </w:trPr>
        <w:tc>
          <w:tcPr>
            <w:tcW w:w="568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(3,595)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(1,251)</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(9,582)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2,674</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10,913</w:t>
            </w:r>
          </w:p>
        </w:tc>
      </w:tr>
      <w:tr>
        <w:trPr>
          <w:trHeight w:val="230"/>
        </w:trPr>
        <w:tc>
          <w:tcPr>
            <w:tcW w:w="568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5,736</w:t>
            </w:r>
          </w:p>
        </w:tc>
      </w:tr>
      <w:tr>
        <w:trPr>
          <w:trHeight w:val="223"/>
        </w:trPr>
        <w:tc>
          <w:tcPr>
            <w:tcW w:w="56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underwriting gain (loss)</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underwriting loss for the year ended December 31, 2016 was primarily due to a high number of weather related events that generated underwriting losses in our personal lines of business (private passenger auto, home and farm). Non-standard auto and crop results in 2016 also deteriorated from 2015, although the underwriting gain on crop was still very favorable. The commercial multi-peril and excess liability lines of business within the all other segment experienced increased losses, along with losses from Canadian wildfires in the second quarter of 2016 in our assumed reinsurance book of business.</w:t>
      </w:r>
    </w:p>
    <w:p>
      <w:pPr>
        <w:sectPr>
          <w:pgSz w:w="11900" w:h="16838" w:orient="portrait"/>
          <w:cols w:equalWidth="0" w:num="1">
            <w:col w:w="11420"/>
          </w:cols>
          <w:pgMar w:left="240" w:top="226"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5" w:name="page56"/>
    <w:bookmarkEnd w:id="5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NI Holdings had fee and other income of $1,666 for the year ended December 31, 2016, compared to $1,854 for the year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Fee income is primarily related to the non-standard auto insurance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06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191,987</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9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3,571</w:t>
            </w: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 on average cash and invested assets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bl>
    <w:p>
      <w:pPr>
        <w:spacing w:after="0" w:line="3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Investment income, net of investment expense, increased $73 for the year ended December 31, 2016 compared to 2015. This increase is attributable to an increase in invested assets, as cash and invested assets increased to $207,677 at December 31, 2016 from $197,793 at December 31, 2015. This increase more than offset a decrease in the weighted average yield on invested assets to 1.8% in 2016 from 1.9% in 2015 as higher yielding fixed income securities matured and were replaced with lower yielding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Capital Gain on Investments</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NI Holdings had realized capital gains on investment of $5,681 for the year ended December 31, 2016, compared to $823 for the year ended December 31, 2015. The Company recorded no other-than-temporary impairments in the year ended December 31, 2016, and $139 of other-than-temporary impairments in the year ended December 31, 2015.</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NI Holdings’ fixed income securities and equity securities are classified as available for sale because it will, from time to time, make sales of securities that are not impaired, consistent with our investment goals and policies. At December 31, 2016, the Company had net unrealized gains on fixed income securities of $1,210 and net unrealized gains on equity securities of $14,406. At December 31, 2015, the Company had net unrealized gains on fixed income securities of $2,092 and net unrealized gains on equity securities of $15,453.</w:t>
      </w:r>
    </w:p>
    <w:p>
      <w:pPr>
        <w:spacing w:after="0" w:line="14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NI Holdings has evaluated each security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it will not recover the entire amortized cost basis.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9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For the year ended December 31, 2016, NI Holdings had pre-tax income of $6,117 compared to pre-tax income of $25,873 for the year ended December 31, 2015. The decrease in pre-tax income was largely attributable to the increase in losses and LAE on the private passenger auto and home and farm lines of business due to a higher number of weather related losses in 2016.</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NI Holdings recorded income tax expense of $1,479 for the year ended December 31, 2016, compared to $8,288 of income tax expense for the year ended December 31, 2015. Our effective tax rate for 2016 was 24.2% compared to an effective tax rate of 32.0% for 2015. The decrease in the effective tax rate was the result of a greater impact of comparable permanent tax adjustments realized on a lower income before income taxes amount for 2016.</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For the year ended December 31, 2016, NI Holdings had net income after non-controlling interest of $4,551 compared to net income after non-controlling interest of $17,456 for 2015. This decrease in net income was primarily attributable to increased losses and LAE in the company’s private passenger auto and home and farm lines of business, due to a higher number of weather related losses in 2016.</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9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the year ended December 31, 2016, NI Holdings had annualized return on average equity, after non-controlling interest, of 3.1% compared to annualized return on average equity, after non-controlling interest, of 12.2% for the year ended December 31,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2015. Average equity is calculated as the average between beginning and ending equity excluding non-controlling interest for the year.</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Financial Position</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7"/>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313,885</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25,632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28,612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40,098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45,890</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12,263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255,573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14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376,988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2017, NI Holdings had total assets of $376,988, an increase of $98,285, or 35.3% over amounts reported at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attributable to net proceeds of $93,145 from issuance of NI Holdings common stock on March 13, 2017.</w:t>
      </w:r>
    </w:p>
    <w:p>
      <w:pPr>
        <w:spacing w:after="0" w:line="184"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At December 31, 2017, total liabilities were $121,415, a decrease of $3,870, or 3.1% over amounts reported at December 31, 2016. The decrease was primarily due to lower levels of unpaid losses and loss adjustment expenses offset by higher levels of unearned premiums. Unpaid losses and loss adjustment expenses decreased due to lower levels of open case claims, partially offset by higher IBNR on our assumed reinsurance business. Unearned premiums increased from a year ago, reflecting the increase in direct premiums written in our private passenger auto and home and farm lines of business.</w:t>
      </w:r>
    </w:p>
    <w:p>
      <w:pPr>
        <w:spacing w:after="0" w:line="1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Total equity increased by $102,155, or 66.6% from December 31, 2016 to December 31, 2017. The increase in equity primarily reflects net proceeds of $93,145 from the issuance of NI Holdings common stock and net income of $15,612 for the year ended December 31, 2017, partially offset by the purchase of treasury stock of $8,037.</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Stock Offering on Nodak Insurance Company and NI Holdings</w:t>
      </w:r>
    </w:p>
    <w:p>
      <w:pPr>
        <w:spacing w:after="0" w:line="18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NI Holdings was formed on March 13, 2017 and became the holding company for Nodak Insurance and its existing subsidiaries. The increased capitalization from our initial public offering should (i) enhance investment income by increasing our investment portfolio, and (ii) provide capital to permit the Company to seek acquisitions and other diversification opportunities. The newly issued stock of NI Holdings was available for public trading on March 16,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7" w:name="page58"/>
    <w:bookmarkEnd w:id="5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addition, we raised $93,145 in net proceeds from our initial public offering, which are available if necessary to meet the demands of claim settlements and operating expenses.</w:t>
      </w:r>
    </w:p>
    <w:p>
      <w:pPr>
        <w:spacing w:after="0" w:line="1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NI Holdings’ philosophy is to provide sufficient cash flows from operations to meet its obligations in order to minimize the forced sales of</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investments. The Company maintains a portion of its investment portfolio in relatively short-term and highly liquid assets to ensure the availability of funds.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years ended December 31, 2017, 2016, and 2015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(91,857)</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(3,510)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(24,385)</w:t>
            </w: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82,708</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9,276</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the year ended December 31, 2017, net cash provided by operating activities totaled $18,425 compared to $7,307 for the year ended December 31, 2016. The Company reduced its levels of reinsurance receivables and collected more unearned premiums for the year ended December 31, 2017 compared to the year ended December 31, 2016, while net income increased significantly from 2016. Net cash used in investing activities totaled $91,857 for the year ended December 31, 2017, compared to net cash used of $3,510 in the year ended December 31, 2016, primarily reflecting the opportunity to invest the proceeds from the common stock offering in longer-term investments in 2017. Net cash provided by financing activities of $82,708 for the year ended December 31, 2017 reflect the net proceeds from our initial public offering, offset by the initial funding of our new employee stock option plan and the repurchase of treasury stock for $8,037.</w:t>
      </w:r>
    </w:p>
    <w:p>
      <w:pPr>
        <w:spacing w:after="0" w:line="1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year ended December 31, 2016, cash flows from operating activities totaled $7,307 compared to $17,177 for the year ended December 31, 2015. This decrease in cash flows from operating activities was primarily due to the increase in loss payments to insureds. Cash flows used in investing activities totaled $3,510 for the year ended December 31, 2016, compared to $24,385 in 2015, primarily reflecting the demand for cash due to higher weather related losses in 2016.</w:t>
      </w:r>
    </w:p>
    <w:p>
      <w:pPr>
        <w:spacing w:after="0" w:line="14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a standalone entity, and outside of the net proceeds from the recent initial public offering, NI Holdings’ principal source of long-term liquidity will be dividend payments from Nodak Insurance. 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5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amount available for payment of dividends from Nodak Insurance after the conversion without the prior approval of the North Dakota Insurance Department is $15,654 based upon the policyholders’ surplus of Nodak Insurance at December 31, 2017.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in the year ended December 31, 2017.</w:t>
      </w:r>
    </w:p>
    <w:p>
      <w:pPr>
        <w:spacing w:after="0" w:line="14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As a public company, NI Holdings is subject to the proxy solicitation, periodic reporting, insider trading, and other requirements of the Exchange Act and to most of the provisions of SOX. As a result, NI Holdings anticipates incurring higher levels of expenses related to accounting and legal services that will be necessary to comply with such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18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as of December 31, 2017, NI Holdings’ future payments and estimated claims and claims related payments for continuing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3 – 5 years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r>
      <w:tr>
        <w:trPr>
          <w:trHeight w:val="223"/>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Estimated gross loss &amp; LAE payments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45,890</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29,055</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timing of the amounts of the gross loss and LAE payments is an estimate based on historical experience and the expectations of future payment patterns. The actual timing and amounts of these payments in the future may vary from the amounts stated above.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recent accounting pronouncements, see Note 4 to the Consolidated Financial Statements, included elsewhere in this Report.</w:t>
      </w:r>
    </w:p>
    <w:p>
      <w:pPr>
        <w:spacing w:after="0" w:line="200" w:lineRule="exact"/>
        <w:rPr>
          <w:sz w:val="20"/>
          <w:szCs w:val="20"/>
          <w:color w:val="auto"/>
        </w:rPr>
      </w:pPr>
    </w:p>
    <w:p>
      <w:pPr>
        <w:spacing w:after="0" w:line="3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Information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Risk</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Market risk is the risk that a company will incur losses due to adverse changes in the fair value of financial instruments. NI Holdings has exposure to three principal types of market risk through its investment activities: interest rate risk, credit risk, and equity risk. NI Holdings’ primary market risk exposure is to changes in interest rates. NI Holdings has not entered, and does not plan to enter, into any derivative financial instruments for hedging, trading, or speculative purposes.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w:t>
      </w:r>
    </w:p>
    <w:p>
      <w:pPr>
        <w:spacing w:after="0" w:line="19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Interest rate risk is the risk that a company will incur economic losses due to adverse changes in interest rates. NI Holdings’ exposure to interest rate changes primarily results from its significant holdings of fixed income securities. Fluctuations in interest rates have a direct impact on the fair value of these securities.</w:t>
      </w:r>
    </w:p>
    <w:p>
      <w:pPr>
        <w:spacing w:after="0" w:line="141"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The portfolio duration of the fixed income securities in NI Holdings’ investment portfolio at December 31, 2017, was 3.99 years. The Company’s fixed income securities include U.S. government bonds, securities issued by government agencies, obligations of state and local governments and governmental authorities, and corporate bonds, most of which are exposed to changes in prevailing interest rates and which may experience moderate fluctuations in fair value resulting from changes in interest rates. NI Holdings carries these investments as available for sale. This allows the Company to manage its exposure to risks associated with interest rate fluctuations through active review of its investment portfolio by its management and Board of Directors and consultation with our outside investment manager.</w:t>
      </w:r>
    </w:p>
    <w:p>
      <w:pPr>
        <w:spacing w:after="0" w:line="138"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Fluctuations in near-term interest rates could have an impact on NI Holdings’ results of operations and cash flows. Certain of these securities may have call features. In a declining interest rate environment, these securities may be called by their issuer and replaced with securities bearing lower interest rates. If NI Holdings is required to sell these securities in a rising interest rate environment, it may recognize investment losses.</w:t>
      </w:r>
    </w:p>
    <w:p>
      <w:pPr>
        <w:spacing w:after="0" w:line="12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a general matter, NI Holdings attempts to match the durations of its assets with the durations of its liabilities. The Company’s investment objectives include maintaining adequate liquidity to meet its operational needs, optimizing its after-tax investment income, and its after-tax total return, all of which are subject to NI Holdings’ tolerance for risk.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table below shows the interest rate sensitivity of NI Holdings’ fixed income securities measured in terms of fair value (which is equal to the carrying value for all of its investment securities that are subject to interest rate changes) at December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Estimated Change 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Hypothetical Change in Interest Rate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 increase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100 basis point increase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(9,599)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226,938</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 change</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236,537</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100 basis point decrease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9,396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245,933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decrease</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255,135</w:t>
            </w: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Risk</w:t>
      </w:r>
    </w:p>
    <w:p>
      <w:pPr>
        <w:spacing w:after="0" w:line="18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Credit risk is the potential economic loss principally arising from adverse changes in the financial condition of a specific debt issuer. NI Holdings addresses this risk by investing primarily in fixed income securities that are rated at least investment grade by Moody’s or an equivalent rating quality. NI Holdings also independently, and through its outside investment manager, monitors the financial condition of all of the issuers of fixed income securities in the portfolio. To limit its exposure to risk, the Company employs diversification rules that limit the credit exposure to any single issuer or asset class.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Risk</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 price risk is the risk that NI Holdings will incur economic losses due to adverse changes in equity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Inflation increases consumers’ needs for property and casualty insurance due to the increase in the value of the property insured and any potential liability exposure. Inflation also increases claims incurred by property and casualty insurers as property repairs, replacements, and medical expenses increase. These cost increases reduce profit margins to the extent that rate increases are not implemented on an adequate and timely basis. NI Holdings establishes insurance premiums levels before the amount of losses and LAE, or the extent to which inflation may affect these expenses, are known. Therefore, NI Holdings attempts to anticipate the potential impact of inflation when establishing rates. Because inflation has remained relatively low in recent years, financial results have not been significantly affected by 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0" w:name="page61"/>
    <w:bookmarkEnd w:id="6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8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NI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consolidated balance sheets of NI Holdings, Inc. and Subsidiaries (collectively, the “Company”) as of December 31, 2017 and 2016, and the related consolidated statements of operations, comprehensive income, changes in equity, and cash flows for each of the years in the three-year period ended December 31, 2017, and the related notes (collectively referred to as the “financial statements”). Our audits also included the financial statement schedule listed in the Table of Contents at Item 15(a)(2). In our opinion, the consolidated financial statements present fairly, in all material respects, the consolidated financial position of NI Holdings, Inc. and Subsidiaries as of December 31, 2017 and 2016, and the results of their operations and their cash flows for each of the years in the three-year period ended December 31, 2017, in conformity with accounting principles generally accepted in the United States of America. Also, in our opinion, the related financial statement schedule, when considered in relation to the basic financial statements taken as a whole, present fairly in all material respects the information set forth therein.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controls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February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Mazars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Washington, Pennsylvania</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March 7, 2018</w:t>
      </w: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27,594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securities, at fair value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236,758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Equity securities, at fair value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47,561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Total cash and investments</w:t>
            </w:r>
          </w:p>
        </w:tc>
        <w:tc>
          <w:tcPr>
            <w:tcW w:w="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25,632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policy acquisition costs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Reinsurance recoverables on losses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 from Federal Crop Insurance Corporation</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income tax recoverable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3,482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45,890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Reinsurance payable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income tax payable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Commitments and contingencies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tcPr>
          <w:p>
            <w:pPr>
              <w:ind w:left="140"/>
              <w:spacing w:after="0" w:line="201" w:lineRule="exact"/>
              <w:rPr>
                <w:sz w:val="20"/>
                <w:szCs w:val="20"/>
                <w:color w:val="auto"/>
              </w:rPr>
            </w:pPr>
            <w:r>
              <w:rPr>
                <w:rFonts w:ascii="Arial" w:cs="Arial" w:eastAsia="Arial" w:hAnsi="Arial"/>
                <w:sz w:val="18"/>
                <w:szCs w:val="18"/>
                <w:color w:val="auto"/>
              </w:rPr>
              <w:t>Common stock, $0.01 par value, authorized 25,000,000 shares,</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issued: 2017 - 23,000,000 shares, 2016 – none; and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outstanding: 2017 – 22,337,644 shares, 2016 - none</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Preferred stock, without par value, authorized 5,000,000 shares, no shares issued or outstanding</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93,496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employee stock ownership plan shares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152,865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net of income taxes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Treasury stock, at cost, 2017 – 446,671 shares, 2016 - none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(8,037)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equity</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255,573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Total liabilities and equity</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376,988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278,703</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80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59</w:t>
            </w: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62" w:name="page63"/>
    <w:bookmarkEnd w:id="6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18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179,464</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152,756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realized capital gain on investments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revenues</w:t>
            </w:r>
          </w:p>
        </w:tc>
        <w:tc>
          <w:tcPr>
            <w:tcW w:w="1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163,747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Expenses: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and loss adjustment expenses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Arial" w:cs="Arial" w:eastAsia="Arial" w:hAnsi="Arial"/>
                <w:sz w:val="18"/>
                <w:szCs w:val="18"/>
                <w:color w:val="auto"/>
              </w:rPr>
              <w:t>Amortization of deferred policy acquisition costs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27,750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expenses</w:t>
            </w:r>
          </w:p>
        </w:tc>
        <w:tc>
          <w:tcPr>
            <w:tcW w:w="1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167,134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22,006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NI Holdings, Inc.</w:t>
            </w:r>
          </w:p>
        </w:tc>
        <w:tc>
          <w:tcPr>
            <w:tcW w:w="15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15,991</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8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ind w:right="2400"/>
        <w:spacing w:after="0" w:line="255" w:lineRule="auto"/>
        <w:rPr>
          <w:sz w:val="20"/>
          <w:szCs w:val="20"/>
          <w:color w:val="auto"/>
        </w:rPr>
      </w:pPr>
      <w:r>
        <w:rPr>
          <w:rFonts w:ascii="Arial" w:cs="Arial" w:eastAsia="Arial" w:hAnsi="Arial"/>
          <w:sz w:val="18"/>
          <w:szCs w:val="18"/>
          <w:b w:val="1"/>
          <w:bCs w:val="1"/>
          <w:color w:val="auto"/>
        </w:rPr>
        <w:t>Consolidated Statements of Comprehensive Income Years Ended December 31, 2017, 2016 and 2015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before income taxes: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Holding gains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Reclassification adjustment for net realized capital loss (gain) included in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44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4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Non-Controlling</w:t>
            </w: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Attributable to</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Interest</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NI Holdings, Inc.</w:t>
            </w:r>
          </w:p>
        </w:tc>
        <w:tc>
          <w:tcPr>
            <w:tcW w:w="26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15,991</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7,623</w:t>
            </w: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7,629</w:t>
            </w:r>
          </w:p>
        </w:tc>
        <w:tc>
          <w:tcPr>
            <w:tcW w:w="40" w:type="dxa"/>
            <w:vAlign w:val="bottom"/>
          </w:tcPr>
          <w:p>
            <w:pPr>
              <w:spacing w:after="0"/>
              <w:rPr>
                <w:sz w:val="24"/>
                <w:szCs w:val="24"/>
                <w:color w:val="auto"/>
              </w:rPr>
            </w:pPr>
          </w:p>
        </w:tc>
      </w:tr>
      <w:tr>
        <w:trPr>
          <w:trHeight w:val="242"/>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(3,046)</w:t>
            </w:r>
          </w:p>
        </w:tc>
        <w:tc>
          <w:tcPr>
            <w:tcW w:w="2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(2,997)</w:t>
            </w:r>
          </w:p>
        </w:tc>
      </w:tr>
    </w:tbl>
    <w:p>
      <w:pPr>
        <w:spacing w:after="0" w:line="1" w:lineRule="exact"/>
        <w:rPr>
          <w:sz w:val="20"/>
          <w:szCs w:val="20"/>
          <w:color w:val="auto"/>
        </w:rPr>
      </w:pPr>
    </w:p>
    <w:p>
      <w:pPr>
        <w:sectPr>
          <w:pgSz w:w="11900" w:h="16838" w:orient="portrait"/>
          <w:cols w:equalWidth="0" w:num="2">
            <w:col w:w="6360" w:space="720"/>
            <w:col w:w="434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before income taxes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(1,621)</w:t>
            </w:r>
          </w:p>
        </w:tc>
      </w:tr>
      <w:tr>
        <w:trPr>
          <w:trHeight w:val="210"/>
        </w:trPr>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2"/>
        </w:trPr>
        <w:tc>
          <w:tcPr>
            <w:tcW w:w="6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6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6680" w:type="dxa"/>
            <w:vAlign w:val="bottom"/>
          </w:tcPr>
          <w:p>
            <w:pPr>
              <w:spacing w:after="0"/>
              <w:rPr>
                <w:sz w:val="18"/>
                <w:szCs w:val="18"/>
                <w:color w:val="auto"/>
              </w:rPr>
            </w:pPr>
          </w:p>
        </w:tc>
        <w:tc>
          <w:tcPr>
            <w:tcW w:w="1860" w:type="dxa"/>
            <w:vAlign w:val="bottom"/>
            <w:gridSpan w:val="4"/>
          </w:tcPr>
          <w:p>
            <w:pPr>
              <w:ind w:left="400"/>
              <w:spacing w:after="0"/>
              <w:rPr>
                <w:sz w:val="20"/>
                <w:szCs w:val="20"/>
                <w:color w:val="auto"/>
              </w:rPr>
            </w:pPr>
            <w:r>
              <w:rPr>
                <w:rFonts w:ascii="Arial" w:cs="Arial" w:eastAsia="Arial" w:hAnsi="Arial"/>
                <w:sz w:val="18"/>
                <w:szCs w:val="18"/>
                <w:b w:val="1"/>
                <w:bCs w:val="1"/>
                <w:color w:val="auto"/>
              </w:rPr>
              <w:t>Non-Controlling</w:t>
            </w: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Attributable to</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Interest</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NI Holdings, Inc.</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color w:val="auto"/>
              </w:rPr>
              <w:t>Other comprehensive income (loss), before income taxes: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gains on investments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80" w:type="dxa"/>
            <w:vAlign w:val="bottom"/>
            <w:shd w:val="clear" w:color="auto" w:fill="CCEEFF"/>
          </w:tcPr>
          <w:p>
            <w:pPr>
              <w:spacing w:after="0"/>
              <w:rPr>
                <w:sz w:val="18"/>
                <w:szCs w:val="18"/>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w w:val="96"/>
              </w:rPr>
              <w:t>Reclassification adjustment for net realized capital loss (gain) included in net income</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(5,691)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(5,681)</w:t>
            </w:r>
          </w:p>
        </w:tc>
      </w:tr>
      <w:tr>
        <w:trPr>
          <w:trHeight w:val="210"/>
        </w:trPr>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income taxes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Income tax benefit (expense) related to items of other comprehensive income</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r>
      <w:tr>
        <w:trPr>
          <w:trHeight w:val="210"/>
        </w:trPr>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income taxes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15"/>
        </w:trPr>
        <w:tc>
          <w:tcPr>
            <w:tcW w:w="6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6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6680" w:type="dxa"/>
            <w:vAlign w:val="bottom"/>
          </w:tcPr>
          <w:p>
            <w:pPr>
              <w:spacing w:after="0"/>
              <w:rPr>
                <w:sz w:val="18"/>
                <w:szCs w:val="18"/>
                <w:color w:val="auto"/>
              </w:rPr>
            </w:pPr>
          </w:p>
        </w:tc>
        <w:tc>
          <w:tcPr>
            <w:tcW w:w="1860" w:type="dxa"/>
            <w:vAlign w:val="bottom"/>
            <w:gridSpan w:val="4"/>
          </w:tcPr>
          <w:p>
            <w:pPr>
              <w:ind w:left="400"/>
              <w:spacing w:after="0"/>
              <w:rPr>
                <w:sz w:val="20"/>
                <w:szCs w:val="20"/>
                <w:color w:val="auto"/>
              </w:rPr>
            </w:pPr>
            <w:r>
              <w:rPr>
                <w:rFonts w:ascii="Arial" w:cs="Arial" w:eastAsia="Arial" w:hAnsi="Arial"/>
                <w:sz w:val="18"/>
                <w:szCs w:val="18"/>
                <w:b w:val="1"/>
                <w:bCs w:val="1"/>
                <w:color w:val="auto"/>
              </w:rPr>
              <w:t>Non-Controlling</w:t>
            </w: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Attributable to</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Interest</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NI Holdings, Inc.</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color w:val="auto"/>
              </w:rPr>
              <w:t>Other comprehensive (loss), before income taxes: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(losses) on investments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(4,345)</w:t>
            </w: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Reclassification adjustment for net realized capital (gain) included in net income</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(823)</w:t>
            </w:r>
          </w:p>
        </w:tc>
      </w:tr>
      <w:tr>
        <w:trPr>
          <w:trHeight w:val="210"/>
        </w:trPr>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income taxes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Income tax benefit related to items of other comprehensive income</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1,809</w:t>
            </w:r>
          </w:p>
        </w:tc>
        <w:tc>
          <w:tcPr>
            <w:tcW w:w="80" w:type="dxa"/>
            <w:vAlign w:val="bottom"/>
          </w:tcPr>
          <w:p>
            <w:pPr>
              <w:spacing w:after="0"/>
              <w:rPr>
                <w:sz w:val="19"/>
                <w:szCs w:val="19"/>
                <w:color w:val="auto"/>
              </w:rPr>
            </w:pPr>
          </w:p>
        </w:tc>
      </w:tr>
      <w:tr>
        <w:trPr>
          <w:trHeight w:val="210"/>
        </w:trPr>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4" w:name="page65"/>
    <w:bookmarkEnd w:id="6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Ownership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Retained</w:t>
            </w:r>
          </w:p>
        </w:tc>
        <w:tc>
          <w:tcPr>
            <w:tcW w:w="8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Income, Net of</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Controlling</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Plan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Earnings</w:t>
            </w:r>
          </w:p>
        </w:tc>
        <w:tc>
          <w:tcPr>
            <w:tcW w:w="80" w:type="dxa"/>
            <w:vAlign w:val="bottom"/>
          </w:tcPr>
          <w:p>
            <w:pPr>
              <w:spacing w:after="0"/>
              <w:rPr>
                <w:sz w:val="20"/>
                <w:szCs w:val="20"/>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Income Taxes</w:t>
            </w:r>
          </w:p>
        </w:tc>
        <w:tc>
          <w:tcPr>
            <w:tcW w:w="1460" w:type="dxa"/>
            <w:vAlign w:val="bottom"/>
            <w:gridSpan w:val="4"/>
          </w:tcPr>
          <w:p>
            <w:pPr>
              <w:ind w:left="80"/>
              <w:spacing w:after="0"/>
              <w:rPr>
                <w:sz w:val="20"/>
                <w:szCs w:val="20"/>
                <w:color w:val="auto"/>
              </w:rPr>
            </w:pPr>
            <w:r>
              <w:rPr>
                <w:rFonts w:ascii="Arial" w:cs="Arial" w:eastAsia="Arial" w:hAnsi="Arial"/>
                <w:sz w:val="18"/>
                <w:szCs w:val="18"/>
                <w:b w:val="1"/>
                <w:bCs w:val="1"/>
                <w:color w:val="auto"/>
              </w:rPr>
              <w:t>Treasury Stock</w:t>
            </w:r>
          </w:p>
        </w:tc>
        <w:tc>
          <w:tcPr>
            <w:tcW w:w="16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Interest</w:t>
            </w:r>
          </w:p>
        </w:tc>
        <w:tc>
          <w:tcPr>
            <w:tcW w:w="1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r>
      <w:tr>
        <w:trPr>
          <w:trHeight w:val="182"/>
        </w:trPr>
        <w:tc>
          <w:tcPr>
            <w:tcW w:w="1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117,584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14,754</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135,692</w:t>
            </w:r>
          </w:p>
        </w:tc>
        <w:tc>
          <w:tcPr>
            <w:tcW w:w="100" w:type="dxa"/>
            <w:vAlign w:val="bottom"/>
            <w:shd w:val="clear" w:color="auto" w:fill="CCEEFF"/>
          </w:tcPr>
          <w:p>
            <w:pPr>
              <w:spacing w:after="0"/>
              <w:rPr>
                <w:sz w:val="20"/>
                <w:szCs w:val="20"/>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shd w:val="clear" w:color="auto" w:fill="CCEEFF"/>
          </w:tcPr>
          <w:p>
            <w:pPr>
              <w:spacing w:after="0"/>
              <w:rPr>
                <w:sz w:val="18"/>
                <w:szCs w:val="18"/>
                <w:color w:val="auto"/>
              </w:rPr>
            </w:pPr>
          </w:p>
        </w:tc>
      </w:tr>
      <w:tr>
        <w:trPr>
          <w:trHeight w:val="202"/>
        </w:trPr>
        <w:tc>
          <w:tcPr>
            <w:tcW w:w="1460" w:type="dxa"/>
            <w:vAlign w:val="bottom"/>
          </w:tcPr>
          <w:p>
            <w:pPr>
              <w:ind w:left="14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comprehensive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(loss), net of</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46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(3,260)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(3,359)</w:t>
            </w:r>
          </w:p>
        </w:tc>
      </w:tr>
      <w:tr>
        <w:trPr>
          <w:trHeight w:val="182"/>
        </w:trPr>
        <w:tc>
          <w:tcPr>
            <w:tcW w:w="1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135,040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11,494</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149,918</w:t>
            </w:r>
          </w:p>
        </w:tc>
        <w:tc>
          <w:tcPr>
            <w:tcW w:w="100" w:type="dxa"/>
            <w:vAlign w:val="bottom"/>
            <w:shd w:val="clear" w:color="auto" w:fill="CCEEFF"/>
          </w:tcPr>
          <w:p>
            <w:pPr>
              <w:spacing w:after="0"/>
              <w:rPr>
                <w:sz w:val="21"/>
                <w:szCs w:val="21"/>
                <w:color w:val="auto"/>
              </w:rPr>
            </w:pPr>
          </w:p>
        </w:tc>
      </w:tr>
      <w:tr>
        <w:trPr>
          <w:trHeight w:val="210"/>
        </w:trPr>
        <w:tc>
          <w:tcPr>
            <w:tcW w:w="1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00" w:type="dxa"/>
            <w:vAlign w:val="bottom"/>
            <w:shd w:val="clear" w:color="auto" w:fill="CCEEFF"/>
          </w:tcPr>
          <w:p>
            <w:pPr>
              <w:spacing w:after="0"/>
              <w:rPr>
                <w:sz w:val="18"/>
                <w:szCs w:val="18"/>
                <w:color w:val="auto"/>
              </w:rPr>
            </w:pPr>
          </w:p>
        </w:tc>
      </w:tr>
      <w:tr>
        <w:trPr>
          <w:trHeight w:val="202"/>
        </w:trPr>
        <w:tc>
          <w:tcPr>
            <w:tcW w:w="1460" w:type="dxa"/>
            <w:vAlign w:val="bottom"/>
          </w:tcPr>
          <w:p>
            <w:pPr>
              <w:ind w:left="14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comprehensive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income (loss),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net of income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460" w:type="dxa"/>
            <w:vAlign w:val="bottom"/>
          </w:tcPr>
          <w:p>
            <w:pPr>
              <w:ind w:left="14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(1,138)</w:t>
            </w:r>
          </w:p>
        </w:tc>
      </w:tr>
      <w:tr>
        <w:trPr>
          <w:trHeight w:val="182"/>
        </w:trPr>
        <w:tc>
          <w:tcPr>
            <w:tcW w:w="1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139,591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10,305</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153,418</w:t>
            </w:r>
          </w:p>
        </w:tc>
        <w:tc>
          <w:tcPr>
            <w:tcW w:w="100" w:type="dxa"/>
            <w:vAlign w:val="bottom"/>
            <w:shd w:val="clear" w:color="auto" w:fill="CCEEFF"/>
          </w:tcPr>
          <w:p>
            <w:pPr>
              <w:spacing w:after="0"/>
              <w:rPr>
                <w:sz w:val="21"/>
                <w:szCs w:val="21"/>
                <w:color w:val="auto"/>
              </w:rPr>
            </w:pPr>
          </w:p>
        </w:tc>
      </w:tr>
      <w:tr>
        <w:trPr>
          <w:trHeight w:val="210"/>
        </w:trPr>
        <w:tc>
          <w:tcPr>
            <w:tcW w:w="1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4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Issuance of</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90,745</w:t>
            </w:r>
          </w:p>
        </w:tc>
        <w:tc>
          <w:tcPr>
            <w:tcW w:w="100" w:type="dxa"/>
            <w:vAlign w:val="bottom"/>
            <w:shd w:val="clear" w:color="auto" w:fill="CCEEFF"/>
          </w:tcPr>
          <w:p>
            <w:pPr>
              <w:spacing w:after="0"/>
              <w:rPr>
                <w:sz w:val="20"/>
                <w:szCs w:val="20"/>
                <w:color w:val="auto"/>
              </w:rPr>
            </w:pPr>
          </w:p>
        </w:tc>
      </w:tr>
      <w:tr>
        <w:trPr>
          <w:trHeight w:val="202"/>
        </w:trPr>
        <w:tc>
          <w:tcPr>
            <w:tcW w:w="1460" w:type="dxa"/>
            <w:vAlign w:val="bottom"/>
          </w:tcPr>
          <w:p>
            <w:pPr>
              <w:ind w:left="140"/>
              <w:spacing w:after="0" w:line="201" w:lineRule="exact"/>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460" w:type="dxa"/>
            <w:vAlign w:val="bottom"/>
          </w:tcPr>
          <w:p>
            <w:pPr>
              <w:ind w:left="14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15,991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15,612</w:t>
            </w:r>
          </w:p>
        </w:tc>
        <w:tc>
          <w:tcPr>
            <w:tcW w:w="100" w:type="dxa"/>
            <w:vAlign w:val="bottom"/>
          </w:tcPr>
          <w:p>
            <w:pPr>
              <w:spacing w:after="0"/>
              <w:rPr>
                <w:sz w:val="20"/>
                <w:szCs w:val="20"/>
                <w:color w:val="auto"/>
              </w:rPr>
            </w:pPr>
          </w:p>
        </w:tc>
      </w:tr>
      <w:tr>
        <w:trPr>
          <w:trHeight w:val="202"/>
        </w:trPr>
        <w:tc>
          <w:tcPr>
            <w:tcW w:w="14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net of</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20"/>
                <w:szCs w:val="20"/>
                <w:color w:val="auto"/>
              </w:rPr>
            </w:pPr>
          </w:p>
        </w:tc>
      </w:tr>
      <w:tr>
        <w:trPr>
          <w:trHeight w:val="202"/>
        </w:trPr>
        <w:tc>
          <w:tcPr>
            <w:tcW w:w="1460" w:type="dxa"/>
            <w:vAlign w:val="bottom"/>
          </w:tcPr>
          <w:p>
            <w:pPr>
              <w:ind w:left="140"/>
              <w:spacing w:after="0" w:line="201" w:lineRule="exact"/>
              <w:rPr>
                <w:sz w:val="20"/>
                <w:szCs w:val="20"/>
                <w:color w:val="auto"/>
              </w:rPr>
            </w:pPr>
            <w:r>
              <w:rPr>
                <w:rFonts w:ascii="Arial" w:cs="Arial" w:eastAsia="Arial" w:hAnsi="Arial"/>
                <w:sz w:val="18"/>
                <w:szCs w:val="18"/>
                <w:color w:val="auto"/>
              </w:rPr>
              <w:t>Reclassification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of tax effects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stranded in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AOCI from tax</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60" w:type="dxa"/>
            <w:vAlign w:val="bottom"/>
          </w:tcPr>
          <w:p>
            <w:pPr>
              <w:ind w:left="140"/>
              <w:spacing w:after="0"/>
              <w:rPr>
                <w:sz w:val="20"/>
                <w:szCs w:val="20"/>
                <w:color w:val="auto"/>
              </w:rPr>
            </w:pPr>
            <w:r>
              <w:rPr>
                <w:rFonts w:ascii="Arial" w:cs="Arial" w:eastAsia="Arial" w:hAnsi="Arial"/>
                <w:sz w:val="18"/>
                <w:szCs w:val="18"/>
                <w:color w:val="auto"/>
              </w:rPr>
              <w:t>reform</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4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Share-based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0"/>
                <w:szCs w:val="20"/>
                <w:color w:val="auto"/>
              </w:rPr>
            </w:pPr>
          </w:p>
        </w:tc>
      </w:tr>
      <w:tr>
        <w:trPr>
          <w:trHeight w:val="202"/>
        </w:trPr>
        <w:tc>
          <w:tcPr>
            <w:tcW w:w="1460" w:type="dxa"/>
            <w:vAlign w:val="bottom"/>
          </w:tcPr>
          <w:p>
            <w:pPr>
              <w:ind w:left="140"/>
              <w:spacing w:after="0" w:line="201" w:lineRule="exact"/>
              <w:rPr>
                <w:sz w:val="20"/>
                <w:szCs w:val="20"/>
                <w:color w:val="auto"/>
              </w:rPr>
            </w:pPr>
            <w:r>
              <w:rPr>
                <w:rFonts w:ascii="Arial" w:cs="Arial" w:eastAsia="Arial" w:hAnsi="Arial"/>
                <w:sz w:val="18"/>
                <w:szCs w:val="18"/>
                <w:color w:val="auto"/>
              </w:rPr>
              <w:t>Purchase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460" w:type="dxa"/>
            <w:vAlign w:val="bottom"/>
          </w:tcPr>
          <w:p>
            <w:pPr>
              <w:ind w:left="14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(8,037)</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(8,037)</w:t>
            </w:r>
          </w:p>
        </w:tc>
      </w:tr>
      <w:tr>
        <w:trPr>
          <w:trHeight w:val="202"/>
        </w:trPr>
        <w:tc>
          <w:tcPr>
            <w:tcW w:w="14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Distribution of</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ownership plan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1"/>
                <w:szCs w:val="21"/>
                <w:color w:val="auto"/>
              </w:rPr>
            </w:pPr>
          </w:p>
        </w:tc>
      </w:tr>
      <w:tr>
        <w:trPr>
          <w:trHeight w:val="182"/>
        </w:trPr>
        <w:tc>
          <w:tcPr>
            <w:tcW w:w="146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4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93,496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(2,157)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152,865</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15,998</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(8,037)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3,178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255,573</w:t>
            </w:r>
          </w:p>
        </w:tc>
        <w:tc>
          <w:tcPr>
            <w:tcW w:w="100" w:type="dxa"/>
            <w:vAlign w:val="bottom"/>
          </w:tcPr>
          <w:p>
            <w:pPr>
              <w:spacing w:after="0"/>
              <w:rPr>
                <w:sz w:val="22"/>
                <w:szCs w:val="22"/>
                <w:color w:val="auto"/>
              </w:rPr>
            </w:pPr>
          </w:p>
        </w:tc>
      </w:tr>
      <w:tr>
        <w:trPr>
          <w:trHeight w:val="20"/>
        </w:trPr>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26" w:right="23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5" w:name="page66"/>
    <w:bookmarkEnd w:id="6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15,612</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4,638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Net realized capital gain on investments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 expense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Depreciation of property and equipment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Distribution of employee stock ownership plan shares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incentive compensation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Amortization of deferred policy acquisition costs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20,423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Deferral of policy acquisition costs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Net amortization of premiums and discounts on investments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assets and liabilities which provided (used) cash:</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80"/>
              <w:spacing w:after="0"/>
              <w:rPr>
                <w:sz w:val="20"/>
                <w:szCs w:val="20"/>
                <w:color w:val="auto"/>
              </w:rPr>
            </w:pPr>
            <w:r>
              <w:rPr>
                <w:rFonts w:ascii="Arial" w:cs="Arial" w:eastAsia="Arial" w:hAnsi="Arial"/>
                <w:sz w:val="18"/>
                <w:szCs w:val="18"/>
                <w:color w:val="auto"/>
              </w:rPr>
              <w:t>Premiums and agents’ balances receivable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Reinsurance recoverables on losses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80"/>
              <w:spacing w:after="0"/>
              <w:rPr>
                <w:sz w:val="20"/>
                <w:szCs w:val="20"/>
                <w:color w:val="auto"/>
              </w:rPr>
            </w:pPr>
            <w:r>
              <w:rPr>
                <w:rFonts w:ascii="Arial" w:cs="Arial" w:eastAsia="Arial" w:hAnsi="Arial"/>
                <w:sz w:val="18"/>
                <w:szCs w:val="18"/>
                <w:color w:val="auto"/>
              </w:rPr>
              <w:t>Accrued investment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Receivable from Federal Crop Insurance Corporation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80"/>
              <w:spacing w:after="0"/>
              <w:rPr>
                <w:sz w:val="20"/>
                <w:szCs w:val="20"/>
                <w:color w:val="auto"/>
              </w:rPr>
            </w:pPr>
            <w:r>
              <w:rPr>
                <w:rFonts w:ascii="Arial" w:cs="Arial" w:eastAsia="Arial" w:hAnsi="Arial"/>
                <w:sz w:val="18"/>
                <w:szCs w:val="18"/>
                <w:color w:val="auto"/>
              </w:rPr>
              <w:t>Federal income tax recoverable / payable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80"/>
              <w:spacing w:after="0"/>
              <w:rPr>
                <w:sz w:val="20"/>
                <w:szCs w:val="20"/>
                <w:color w:val="auto"/>
              </w:rPr>
            </w:pPr>
            <w:r>
              <w:rPr>
                <w:rFonts w:ascii="Arial" w:cs="Arial" w:eastAsia="Arial" w:hAnsi="Arial"/>
                <w:sz w:val="18"/>
                <w:szCs w:val="18"/>
                <w:color w:val="auto"/>
              </w:rPr>
              <w:t>Unpaid losses and loss adjustment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14,290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Unearned premiums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80"/>
              <w:spacing w:after="0"/>
              <w:rPr>
                <w:sz w:val="20"/>
                <w:szCs w:val="20"/>
                <w:color w:val="auto"/>
              </w:rPr>
            </w:pPr>
            <w:r>
              <w:rPr>
                <w:rFonts w:ascii="Arial" w:cs="Arial" w:eastAsia="Arial" w:hAnsi="Arial"/>
                <w:sz w:val="18"/>
                <w:szCs w:val="18"/>
                <w:color w:val="auto"/>
              </w:rPr>
              <w:t>Reinsurance payable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fixed income securities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Proceeds from sales of equity securities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fixed income securities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Purchases of equity securities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(25,419)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 net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(91,857</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Proceeds from issuance of common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93,145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treasury 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Loan to employee stock ownership plan</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$4,550, $3,800 and $10,072 in income taxes during 2017, 2016 and 2015,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6" w:name="page67"/>
    <w:bookmarkEnd w:id="6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2016 and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02" w:lineRule="exact"/>
        <w:rPr>
          <w:sz w:val="20"/>
          <w:szCs w:val="20"/>
          <w:color w:val="auto"/>
        </w:rPr>
      </w:pPr>
    </w:p>
    <w:p>
      <w:pPr>
        <w:ind w:right="28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3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consolidated financial statements of NI Holdings consist primarily of five entities: Nodak Insurance Company (“Nodak Insurance”, formerly Nodak Mutual Insurance Company prior to the conversion), Nodak Agency, Inc. (“Nodak Agency”), American West Insurance Company (“American West”), Primero Insurance Company (“Primero”), and an affiliated company, Battle Creek Mutual Insurance Company (“Battle Creek”).</w:t>
      </w:r>
    </w:p>
    <w:p>
      <w:pPr>
        <w:spacing w:after="0" w:line="1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Federation (“NDFB”). Nodak Insurance is a leading writer of property and casualty insurance in North Dakota, specializing in providing private passenger auto, homeowners, farmowners, commercial, crop hail, and Federal multi-peril crop insurance coverages.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in North Dakota, as well as crop hail and Federal multi-peril crop insurance coverages in Minnesota and South Dakota.</w:t>
      </w:r>
    </w:p>
    <w:p>
      <w:pPr>
        <w:spacing w:after="0" w:line="14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9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4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same executive management and underwriting personnel administer products, classes of business, pricing practices, and underwriting standards of Nodak Insurance and its insurance subsidiaries. In addition,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200" w:lineRule="exact"/>
        <w:rPr>
          <w:sz w:val="20"/>
          <w:szCs w:val="20"/>
          <w:color w:val="auto"/>
        </w:rPr>
      </w:pPr>
    </w:p>
    <w:p>
      <w:pPr>
        <w:spacing w:after="0" w:line="34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consolidated financial statements, which we have prepared in accordance with accounting principles generally accepted in the United States of America (“GAAP”),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7" w:name="page68"/>
    <w:bookmarkEnd w:id="6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right="7560" w:hanging="652"/>
        <w:spacing w:after="0" w:line="464" w:lineRule="auto"/>
        <w:tabs>
          <w:tab w:leader="none" w:pos="46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w:t>
      </w:r>
    </w:p>
    <w:p>
      <w:pPr>
        <w:ind w:right="20" w:firstLine="648"/>
        <w:spacing w:after="0" w:line="342" w:lineRule="auto"/>
        <w:rPr>
          <w:sz w:val="20"/>
          <w:szCs w:val="20"/>
          <w:color w:val="auto"/>
        </w:rPr>
      </w:pPr>
      <w:r>
        <w:rPr>
          <w:rFonts w:ascii="Arial" w:cs="Arial" w:eastAsia="Arial" w:hAnsi="Arial"/>
          <w:sz w:val="16"/>
          <w:szCs w:val="16"/>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8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valuation of investments, determination of other-than-temporary impairments, valuation allowances for deferred income tax assets, and deferred policy acquisition costs.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r>
        <w:rPr>
          <w:rFonts w:ascii="Arial" w:cs="Arial" w:eastAsia="Arial" w:hAnsi="Arial"/>
          <w:sz w:val="18"/>
          <w:szCs w:val="18"/>
          <w:i w:val="1"/>
          <w:iCs w:val="1"/>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18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67"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net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w:t>
      </w:r>
    </w:p>
    <w:p>
      <w:pPr>
        <w:spacing w:after="0" w:line="19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r>
        <w:rPr>
          <w:rFonts w:ascii="Arial" w:cs="Arial" w:eastAsia="Arial" w:hAnsi="Arial"/>
          <w:sz w:val="18"/>
          <w:szCs w:val="18"/>
          <w:i w:val="1"/>
          <w:iCs w:val="1"/>
          <w:color w:val="auto"/>
        </w:rPr>
        <w:t>:</w:t>
      </w:r>
    </w:p>
    <w:p>
      <w:pPr>
        <w:spacing w:after="0" w:line="18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categorized our investment portfolio as “available-for-sale” and have reported the portfolio at fair value, with unrealized gains and losses, net of income taxes, reported in accumulated other comprehensive income. 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Realized gains and losses are determined using the specific identification method and included in the determination of net income. Net investment income includes interest and dividend income together with amortization of purchase premiums and discounts, and is net of investment management and custody fees.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8" w:name="page69"/>
    <w:bookmarkEnd w:id="6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Statements of Operations, but is recognized in other comprehensive income.</w:t>
      </w:r>
    </w:p>
    <w:p>
      <w:pPr>
        <w:spacing w:after="0" w:line="18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66"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r>
        <w:rPr>
          <w:rFonts w:ascii="Arial" w:cs="Arial" w:eastAsia="Arial" w:hAnsi="Arial"/>
          <w:sz w:val="18"/>
          <w:szCs w:val="18"/>
          <w:i w:val="1"/>
          <w:iCs w:val="1"/>
          <w:color w:val="auto"/>
        </w:rPr>
        <w:t>:</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All other invested assets have been assessed for impairment. The carrying value of these other invested assets was $1,972 at both December 31, 2017 and 2016.</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r>
        <w:rPr>
          <w:rFonts w:ascii="Arial" w:cs="Arial" w:eastAsia="Arial" w:hAnsi="Arial"/>
          <w:sz w:val="18"/>
          <w:szCs w:val="18"/>
          <w:i w:val="1"/>
          <w:iCs w:val="1"/>
          <w:color w:val="auto"/>
        </w:rPr>
        <w:t>:</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Certain amounts in the 2016 and 2015 consolidated financial statements have been reclassified to conform to the 2017 presentation. This includes a change in the Company’s reportable segments. The prior segments were non-standard auto, crop, and other property and casualty. The new segments used throughout this filing are private passenger auto, non-standard auto, home and farm, crop, and all other.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i w:val="1"/>
          <w:iCs w:val="1"/>
          <w:color w:val="auto"/>
        </w:rPr>
        <w:t>:</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46"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Company uses the direct write-off method for recognizing bad debts. Accounts are deemed to be delinquent after 60 days except for those accounts associated with amounts due from insureds for premiums, in which case policy cancellation procedures are commenced in accordance with state insurance regulations. Any earned but uncollected premiums are written off immediately upon the effective date of policy cancellation.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r>
        <w:rPr>
          <w:rFonts w:ascii="Arial" w:cs="Arial" w:eastAsia="Arial" w:hAnsi="Arial"/>
          <w:sz w:val="18"/>
          <w:szCs w:val="18"/>
          <w:i w:val="1"/>
          <w:iCs w:val="1"/>
          <w:color w:val="auto"/>
        </w:rPr>
        <w:t>:</w:t>
      </w:r>
    </w:p>
    <w:p>
      <w:pPr>
        <w:spacing w:after="0" w:line="18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r>
        <w:rPr>
          <w:rFonts w:ascii="Arial" w:cs="Arial" w:eastAsia="Arial" w:hAnsi="Arial"/>
          <w:sz w:val="18"/>
          <w:szCs w:val="18"/>
          <w:i w:val="1"/>
          <w:iCs w:val="1"/>
          <w:color w:val="auto"/>
        </w:rPr>
        <w:t>:</w:t>
      </w:r>
    </w:p>
    <w:p>
      <w:pPr>
        <w:spacing w:after="0" w:line="19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estimated useful lives of the assets.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r>
        <w:rPr>
          <w:rFonts w:ascii="Arial" w:cs="Arial" w:eastAsia="Arial" w:hAnsi="Arial"/>
          <w:sz w:val="18"/>
          <w:szCs w:val="18"/>
          <w:i w:val="1"/>
          <w:iCs w:val="1"/>
          <w:color w:val="auto"/>
        </w:rPr>
        <w:t>:</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8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based on historical information by line of insurance. We account for inflation in the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that may affect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affecting our assumptions have changed, we attempt to make appropriate adjustments for such changes in our reserves. Accordingly, our ultimate liability for unpaid losses and loss adjustment expenses will likely differ from the amount recorded.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the exception of Battle Creek, which files a stand-alone federal income tax return, we currently file a consolidated federal income tax return.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2016, the consolidated federal income tax return included Nodak Mutual Insurance Company and its owned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 the consolidated federal income tax return will include NI Holdings, Inc. and its owned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reports tax-related interest and penalties, if any, as part of income tax expense in the year such amounts are determinable.</w:t>
      </w:r>
    </w:p>
    <w:p>
      <w:pPr>
        <w:spacing w:after="0" w:line="21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tax basis of our assets and liabilities at enacted tax rates expected to be in effect when we realize or settle such amounts.</w:t>
      </w:r>
    </w:p>
    <w:p>
      <w:pPr>
        <w:spacing w:after="0" w:line="14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3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New accounting guidance also allows companies to reclassify any tax effects stranded in accumulated other comprehensive income as a result of tax reform to retained earnings.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r>
        <w:rPr>
          <w:rFonts w:ascii="Arial" w:cs="Arial" w:eastAsia="Arial" w:hAnsi="Arial"/>
          <w:sz w:val="18"/>
          <w:szCs w:val="18"/>
          <w:i w:val="1"/>
          <w:iCs w:val="1"/>
          <w:color w:val="auto"/>
        </w:rPr>
        <w:t>:</w:t>
      </w:r>
    </w:p>
    <w:p>
      <w:pPr>
        <w:spacing w:after="0" w:line="18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Property and liability insurance coverages are marketed through captive agents in North Dakota and through independent insurance agencies located throughout all other operating areas. All business is billed directly to the policyholders.</w:t>
      </w:r>
    </w:p>
    <w:p>
      <w:pPr>
        <w:spacing w:after="0" w:line="13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r>
        <w:rPr>
          <w:rFonts w:ascii="Arial" w:cs="Arial" w:eastAsia="Arial" w:hAnsi="Arial"/>
          <w:sz w:val="18"/>
          <w:szCs w:val="18"/>
          <w:i w:val="1"/>
          <w:iCs w:val="1"/>
          <w:color w:val="auto"/>
        </w:rPr>
        <w:t>:</w:t>
      </w:r>
    </w:p>
    <w:p>
      <w:pPr>
        <w:spacing w:after="0" w:line="18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known as “treaties” or by negotiation on substantial individual risks. Ceded reinsurance is treated as the risk and liability of the assuming companies.</w:t>
      </w:r>
    </w:p>
    <w:p>
      <w:pPr>
        <w:spacing w:after="0" w:line="14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 Assets</w:t>
      </w:r>
      <w:r>
        <w:rPr>
          <w:rFonts w:ascii="Arial" w:cs="Arial" w:eastAsia="Arial" w:hAnsi="Arial"/>
          <w:sz w:val="18"/>
          <w:szCs w:val="18"/>
          <w:i w:val="1"/>
          <w:iCs w:val="1"/>
          <w:color w:val="auto"/>
        </w:rPr>
        <w:t>:</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years ended December 31, 2017, 2016, and 2015.</w:t>
      </w:r>
    </w:p>
    <w:p>
      <w:pPr>
        <w:spacing w:after="0" w:line="13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Goodwill, representing the excess of the purchase price over the fair value of the net assets acquired, is reported separately in the Consolidated Balance Sheet.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that arose from this transaction is included in the basis of the net assets acquired and is not deductible for income tax purposes.</w:t>
      </w:r>
    </w:p>
    <w:p>
      <w:pPr>
        <w:spacing w:after="0" w:line="200" w:lineRule="exact"/>
        <w:rPr>
          <w:sz w:val="20"/>
          <w:szCs w:val="20"/>
          <w:color w:val="auto"/>
        </w:rPr>
      </w:pPr>
    </w:p>
    <w:p>
      <w:pPr>
        <w:spacing w:after="0" w:line="33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 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This guidance is effective for annual and interim reporting periods beginning after December 15, 2019 for public business entities. For private companies and emerging growth companies, this guidance is also effective for annual and interim reporting periods beginning after December 15, 2021. Early adoption is permitted for all entities beginning in 2017. The Company has early adopted this guidance on a prospective basis as a change in accounting principle, therefore at the date of adoption there is no impact to the Company’s financial position or results of operations.</w:t>
      </w:r>
    </w:p>
    <w:p>
      <w:pPr>
        <w:spacing w:after="0" w:line="18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March 2016, the FASB issued amended guidance to simplify several aspects of the accounting for share-based payment transactions, including the income tax consequences, classification of awards as either equity or liabilities, and classification on the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1" w:name="page72"/>
    <w:bookmarkEnd w:id="7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Consolidated Statement of Cash Flows. All excess income tax benefits and income tax deficiencies should be recognized as income tax expense or benefit in the Consolidated Statement of Operations, instead of affecting additional paid-in-capital on the Consolidated Balance Sheet. These discrete income tax items should be classified along with other income tax cash flows as an operating activity on the Consolidated Statement of Cash Flows. In addition, cash paid by an employer when directly withholding shares for tax-withholding purposes should be classified as a financing activity. This guidance is effective for annual periods beginning after December 15, 2016 for public business entities. For private companies and emerging growth companies, this guidance is effective for annual periods beginning after December 15, 2017, and interim periods within annual periods beginning after December 15, 2018. Early adoption is permitted for all entities in any period. An entity that elects early adoption must adopt all amendments in the same period. Amendments requiring recognition of excess income tax benefits and income tax deficiencies in the Consolidated Statement of Operations should be applied prospectively. The Company has early adopted this guidance on a prospective basis for the year ended December 31, 2017. At the date of adoption, there is a minimal impact to the computation of diluted earnings per share, but no impact to the Company’s financial position or results of operations.</w:t>
      </w:r>
    </w:p>
    <w:p>
      <w:pPr>
        <w:spacing w:after="0" w:line="16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February 2018, the FASB issued new guidance to provide companies the option to reclassify income tax effects that are stranded in accumulated other comprehensive income as a result of income tax reform to retained earnings. This guidance is effective for all entities for fiscal years beginning after December 15, 2018, and interim periods within those fiscal years. Early adoption is permitted for reporting periods for which financial statements have not yet been issued or made available for issuance. In the period of adoption, an entity would be able to choose whether to apply the amendments retrospectively or in the period of adoption. The Company has elected to early adopt this guidance on a prospective basis, resulting in a $2,717 reclassification of stranded income tax effects from accumulated other comprehensive income to retained earnings within the Equity section of the Consolidated Balance Sheet as of December 31, 2017. There was no impact to the Company’s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May 2014, the FASB issued guidance that establishes the manner in which an entity recognizes the amount of revenue to which it expects to be entitled for the transfer of promised goods or services to customers. While the guidance will replace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This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We currently believe that this guidance will have no impact on our financial position, results of operations, or cash flows.</w:t>
      </w:r>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January 2016, the FASB issued amended guidance that generally requires entities to measure equity securities at fair value and recognize changes in fair value in their results of operations. The amended guidance also simplifies the impairment assessment of equity securities without readily determinable fair values by requiring entities to perform a qualitative assessment to identify impairment. The FASB issued other disclosure and presentation improvements related to financial instruments within the guidance. The amended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non-public entities as of the fiscal year beginning after December 15, 2017, including interim periods within those fiscal years. We are evaluating the requirements of this amended measurement and classification of financial instruments guidance and the potential impact on our financial position, results of operations, and cash flows.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February 2016, the FASB issued new guidance that requires lessees to recognize leases, including operating leases, on the lessee’s balance sheet, unless a lease is considered a short-term lease. The new guidance also requires entities to make new judgments to identify leases.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2019 and interim periods within fiscal years beginning after December 15, 2020. Early adoption is permitted for all entities. We do not expect the adoption of this new guidance to have a significant impact on our financial position, results of operations, or cash flows.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public business entities that are SEC filers. For private companies and emerging growth companies, this guidance is effective for annual reporting periods beginning after December 15, 2020 and interim periods within fiscal years beginning after December 15, 2021.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August and November 2016, the FASB issued amended guidance on the presentation and classification of various items in the Statement of Cash Flows. The amendments address specific cash flow issues, including debt prepayments and contingent consideration payments made after a business combination. The amended guidance also requires the Statement of Cash Flows to explain the change during the period in the total of cash, cash equivalents, and amounts generally described as restricted cash or restricted cash equivalents. Currently, the Statement of Cash Flows only explains the change in cash and cash equivalents. The amended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including adoption in an interim period. If an entity early adopts the amendments in an interim period, any adjustments should be reflected as of the beginning of the fiscal year that includes that interim period. The amendments are to be applied using a retrospective transition method to each period presented. The adoption of this amended guidance will not have an impact on our financial position or results of operations. We are evaluating the impact this amended guidance will have on our Statement of Cash Flows.</w:t>
      </w:r>
    </w:p>
    <w:p>
      <w:pPr>
        <w:spacing w:after="0" w:line="183"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3" w:name="page74"/>
    <w:bookmarkEnd w:id="7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estimated fair value of investment securities as of December 31, 2017 and 2016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0"/>
              </w:rPr>
              <w:t>December 31, 2017</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7"/>
              </w:rPr>
              <w:t>Cost or Amortized</w:t>
            </w:r>
          </w:p>
        </w:tc>
        <w:tc>
          <w:tcPr>
            <w:tcW w:w="100" w:type="dxa"/>
            <w:vAlign w:val="bottom"/>
          </w:tcPr>
          <w:p>
            <w:pPr>
              <w:spacing w:after="0"/>
              <w:rPr>
                <w:sz w:val="16"/>
                <w:szCs w:val="16"/>
                <w:color w:val="auto"/>
              </w:rPr>
            </w:pPr>
          </w:p>
        </w:tc>
        <w:tc>
          <w:tcPr>
            <w:tcW w:w="154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87"/>
              </w:rPr>
              <w:t>Gross Unrealized</w:t>
            </w:r>
          </w:p>
        </w:tc>
        <w:tc>
          <w:tcPr>
            <w:tcW w:w="15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Gross 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Gains</w:t>
            </w:r>
          </w:p>
        </w:tc>
        <w:tc>
          <w:tcPr>
            <w:tcW w:w="4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77"/>
              </w:rPr>
              <w:t>Losses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9,531</w:t>
            </w:r>
          </w:p>
        </w:tc>
        <w:tc>
          <w:tcPr>
            <w:tcW w:w="36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1,171</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88,474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1,197</w:t>
            </w: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11,228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0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Equity securities: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1,449</w:t>
            </w: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4,156</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3,940</w:t>
            </w: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4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4,167</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4,668</w:t>
            </w:r>
          </w:p>
        </w:tc>
        <w:tc>
          <w:tcPr>
            <w:tcW w:w="4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19,186</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21,924</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88"/>
              </w:rPr>
              <w:t>December 31, 2016</w:t>
            </w: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7"/>
              </w:rPr>
              <w:t>Cost or Amortized</w:t>
            </w:r>
          </w:p>
        </w:tc>
        <w:tc>
          <w:tcPr>
            <w:tcW w:w="100" w:type="dxa"/>
            <w:vAlign w:val="bottom"/>
          </w:tcPr>
          <w:p>
            <w:pPr>
              <w:spacing w:after="0"/>
              <w:rPr>
                <w:sz w:val="16"/>
                <w:szCs w:val="16"/>
                <w:color w:val="auto"/>
              </w:rPr>
            </w:pPr>
          </w:p>
        </w:tc>
        <w:tc>
          <w:tcPr>
            <w:tcW w:w="154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87"/>
              </w:rPr>
              <w:t>Gross Unrealized</w:t>
            </w:r>
          </w:p>
        </w:tc>
        <w:tc>
          <w:tcPr>
            <w:tcW w:w="15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8"/>
              </w:rPr>
              <w:t>Gross Unrealized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5,834</w:t>
            </w:r>
          </w:p>
        </w:tc>
        <w:tc>
          <w:tcPr>
            <w:tcW w:w="36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50,610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1,028</w:t>
            </w: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0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Equity securities: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1,601</w:t>
            </w: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3,646</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2,411</w:t>
            </w: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4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2,766</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3,855</w:t>
            </w:r>
          </w:p>
        </w:tc>
        <w:tc>
          <w:tcPr>
            <w:tcW w:w="4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17,196</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71</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74" w:name="page75"/>
    <w:bookmarkEnd w:id="7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6"/>
          </w:tcPr>
          <w:p>
            <w:pPr>
              <w:ind w:left="200"/>
              <w:spacing w:after="0"/>
              <w:rPr>
                <w:sz w:val="20"/>
                <w:szCs w:val="20"/>
                <w:color w:val="auto"/>
              </w:rPr>
            </w:pPr>
            <w:r>
              <w:rPr>
                <w:rFonts w:ascii="Arial" w:cs="Arial" w:eastAsia="Arial" w:hAnsi="Arial"/>
                <w:sz w:val="18"/>
                <w:szCs w:val="18"/>
                <w:b w:val="1"/>
                <w:bCs w:val="1"/>
                <w:color w:val="auto"/>
              </w:rPr>
              <w:t>December 31, 2017</w:t>
            </w:r>
          </w:p>
        </w:tc>
      </w:tr>
      <w:tr>
        <w:trPr>
          <w:trHeight w:val="223"/>
        </w:trPr>
        <w:tc>
          <w:tcPr>
            <w:tcW w:w="5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Pr>
          <w:p>
            <w:pPr>
              <w:spacing w:after="0"/>
              <w:rPr>
                <w:sz w:val="19"/>
                <w:szCs w:val="19"/>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40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12,761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12,766</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87,642</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69,586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70,680</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10,607</w:t>
            </w:r>
          </w:p>
        </w:tc>
      </w:tr>
      <w:tr>
        <w:trPr>
          <w:trHeight w:val="230"/>
        </w:trPr>
        <w:tc>
          <w:tcPr>
            <w:tcW w:w="576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55,232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55,063</w:t>
            </w:r>
          </w:p>
        </w:tc>
      </w:tr>
      <w:tr>
        <w:trPr>
          <w:trHeight w:val="223"/>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6"/>
          </w:tcPr>
          <w:p>
            <w:pPr>
              <w:ind w:left="200"/>
              <w:spacing w:after="0"/>
              <w:rPr>
                <w:sz w:val="20"/>
                <w:szCs w:val="20"/>
                <w:color w:val="auto"/>
              </w:rPr>
            </w:pPr>
            <w:r>
              <w:rPr>
                <w:rFonts w:ascii="Arial" w:cs="Arial" w:eastAsia="Arial" w:hAnsi="Arial"/>
                <w:sz w:val="18"/>
                <w:szCs w:val="18"/>
                <w:b w:val="1"/>
                <w:bCs w:val="1"/>
                <w:color w:val="auto"/>
              </w:rPr>
              <w:t>December 31, 2016</w:t>
            </w:r>
          </w:p>
        </w:tc>
      </w:tr>
      <w:tr>
        <w:trPr>
          <w:trHeight w:val="223"/>
        </w:trPr>
        <w:tc>
          <w:tcPr>
            <w:tcW w:w="5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Pr>
          <w:p>
            <w:pPr>
              <w:spacing w:after="0"/>
              <w:rPr>
                <w:sz w:val="19"/>
                <w:szCs w:val="19"/>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40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10,935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11,069</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46,891</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55,430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55,619</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w:t>
            </w:r>
          </w:p>
        </w:tc>
      </w:tr>
      <w:tr>
        <w:trPr>
          <w:trHeight w:val="230"/>
        </w:trPr>
        <w:tc>
          <w:tcPr>
            <w:tcW w:w="576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34,901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34,854</w:t>
            </w:r>
          </w:p>
        </w:tc>
      </w:tr>
      <w:tr>
        <w:trPr>
          <w:trHeight w:val="223"/>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Fixed income securities with a fair value of $3,493 at December 31, 2017 and $3,530 at December 31, 2016 were deposited with various state regulatory agencies as required by law. The Company has not pledged any assets to secure any obligations.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December 31, 2017</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3"/>
              </w:rPr>
              <w:t>Greater than 12 months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4"/>
          </w:tcPr>
          <w:p>
            <w:pPr>
              <w:jc w:val="right"/>
              <w:ind w:right="17"/>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Unrealized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6,939</w:t>
            </w:r>
          </w:p>
        </w:tc>
        <w:tc>
          <w:tcPr>
            <w:tcW w:w="2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Obligations of states and political subdivisions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40,220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income securities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99,297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114,254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Consumer, cyclical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non-cyclical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119,236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3"/>
              </w:rPr>
              <w:t>Greater than 12 months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4"/>
          </w:tcPr>
          <w:p>
            <w:pPr>
              <w:jc w:val="right"/>
              <w:ind w:right="17"/>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Unrealized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2,750</w:t>
            </w:r>
          </w:p>
        </w:tc>
        <w:tc>
          <w:tcPr>
            <w:tcW w:w="2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Obligations of states and political subdivisions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13,479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income securities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55,535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materials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cyclical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Consumer, non-cyclical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investments</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13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14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recorded impairments of $330 in the year ended December 31, 2017. The Company did not record any impairments in 2016 and recorded $139 of impairments in 2015.</w:t>
      </w:r>
    </w:p>
    <w:p>
      <w:pPr>
        <w:spacing w:after="0" w:line="1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December 31, 2017, we held 196 fixed income securities with unrealized losses. As of December 31, 2016, we held 129 fixed income securities with unrealized losses. In conjunction with our outside investment advisors, we analyzed the credit ratings of the securities as well as the historical monthly-amortized cost to fair value ratio of securities in an unrealized loss position. This analysis yielded no fixed income securities that had fair values less than 80% of amortized cost for the preceding 12-month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660"/>
              <w:spacing w:after="0"/>
              <w:rPr>
                <w:sz w:val="20"/>
                <w:szCs w:val="20"/>
                <w:color w:val="auto"/>
              </w:rPr>
            </w:pPr>
            <w:r>
              <w:rPr>
                <w:rFonts w:ascii="Arial" w:cs="Arial" w:eastAsia="Arial" w:hAnsi="Arial"/>
                <w:sz w:val="18"/>
                <w:szCs w:val="18"/>
                <w:color w:val="auto"/>
              </w:rPr>
              <w:t>Net investment income consisted of the following:</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Equity securities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0"/>
        </w:trPr>
        <w:tc>
          <w:tcPr>
            <w:tcW w:w="6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investment income</w:t>
            </w:r>
          </w:p>
        </w:tc>
        <w:tc>
          <w:tcPr>
            <w:tcW w:w="1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Investment expenses</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1,608</w:t>
            </w:r>
          </w:p>
        </w:tc>
      </w:tr>
      <w:tr>
        <w:trPr>
          <w:trHeight w:val="223"/>
        </w:trPr>
        <w:tc>
          <w:tcPr>
            <w:tcW w:w="60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auto"/>
        </w:rPr>
        <w:t>Net realized capital gain on investments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right="1820"/>
        <w:spacing w:after="0" w:line="258" w:lineRule="auto"/>
        <w:rPr>
          <w:sz w:val="20"/>
          <w:szCs w:val="20"/>
          <w:color w:val="auto"/>
        </w:rPr>
      </w:pPr>
      <w:r>
        <w:rPr>
          <w:rFonts w:ascii="Arial" w:cs="Arial" w:eastAsia="Arial" w:hAnsi="Arial"/>
          <w:sz w:val="18"/>
          <w:szCs w:val="18"/>
          <w:color w:val="auto"/>
        </w:rPr>
        <w:t>Gross realized losses, excluding other-than-temporary impairment losses Other-than-temporary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Net realized capital gain on investments</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3,615</w:t>
            </w:r>
          </w:p>
        </w:tc>
        <w:tc>
          <w:tcPr>
            <w:tcW w:w="26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6,098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1,328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(366)</w:t>
            </w:r>
          </w:p>
        </w:tc>
      </w:tr>
      <w:tr>
        <w:trPr>
          <w:trHeight w:val="244"/>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9" w:lineRule="exact"/>
        <w:rPr>
          <w:sz w:val="20"/>
          <w:szCs w:val="20"/>
          <w:color w:val="auto"/>
        </w:rPr>
      </w:pPr>
    </w:p>
    <w:p>
      <w:pPr>
        <w:sectPr>
          <w:pgSz w:w="11900" w:h="16838" w:orient="portrait"/>
          <w:cols w:equalWidth="0" w:num="2">
            <w:col w:w="7060" w:space="720"/>
            <w:col w:w="3640"/>
          </w:cols>
          <w:pgMar w:left="240" w:top="226" w:right="239" w:bottom="1440" w:gutter="0" w:footer="0" w:header="0"/>
          <w:type w:val="continuous"/>
        </w:sectPr>
      </w:pPr>
    </w:p>
    <w:p>
      <w:pPr>
        <w:ind w:right="300" w:firstLine="648"/>
        <w:spacing w:after="0" w:line="342" w:lineRule="auto"/>
        <w:rPr>
          <w:sz w:val="20"/>
          <w:szCs w:val="20"/>
          <w:color w:val="auto"/>
        </w:rPr>
      </w:pPr>
      <w:r>
        <w:rPr>
          <w:rFonts w:ascii="Arial" w:cs="Arial" w:eastAsia="Arial" w:hAnsi="Arial"/>
          <w:sz w:val="16"/>
          <w:szCs w:val="16"/>
          <w:color w:val="auto"/>
        </w:rPr>
        <w:t>We maximize the use of observable inputs in our valuation techniques and apply unobservable inputs only to the extent that observable inputs are unavailable. The largest class of assets and liabilities carried at fair value by the Company at December 31, 2017 and 2016 were fixed income securities.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8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market-approach valuation technique. The valuation of our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at Level III at December 31, 2017 or 2016.</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7" w:name="page78"/>
    <w:bookmarkEnd w:id="7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tables set forth our assets that are measured on a recurring basis by the level within the fair value hierarchy in which fair value measurements fall: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9,649</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9,649</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89,451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89,451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5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Equity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10,905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Total assets at fair value</w:t>
            </w:r>
          </w:p>
        </w:tc>
        <w:tc>
          <w:tcPr>
            <w:tcW w:w="15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December 31, 2016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16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6,050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6,050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Corporate securities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51,170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mortgage-backed securities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Commercial mortgage-backed securities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8,096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fixed income securities</w:t>
            </w:r>
          </w:p>
        </w:tc>
        <w:tc>
          <w:tcPr>
            <w:tcW w:w="1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Equity securities: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materials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Communications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cyclical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Consumer, non-cyclical</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Energy</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360"/>
              <w:spacing w:after="0"/>
              <w:rPr>
                <w:sz w:val="20"/>
                <w:szCs w:val="20"/>
                <w:color w:val="auto"/>
              </w:rPr>
            </w:pPr>
            <w:r>
              <w:rPr>
                <w:rFonts w:ascii="Arial" w:cs="Arial" w:eastAsia="Arial" w:hAnsi="Arial"/>
                <w:sz w:val="18"/>
                <w:szCs w:val="18"/>
                <w:color w:val="auto"/>
              </w:rPr>
              <w:t>Total assets at fair value</w:t>
            </w:r>
          </w:p>
        </w:tc>
        <w:tc>
          <w:tcPr>
            <w:tcW w:w="14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December 31, 2017 or 2016.</w:t>
      </w:r>
    </w:p>
    <w:p>
      <w:pPr>
        <w:sectPr>
          <w:pgSz w:w="11900" w:h="16838" w:orient="portrait"/>
          <w:cols w:equalWidth="0" w:num="1">
            <w:col w:w="11420"/>
          </w:cols>
          <w:pgMar w:left="240" w:top="226" w:right="23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8" w:name="page79"/>
    <w:bookmarkEnd w:id="7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8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12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4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a group at December 31, 2017, the Company retained the first $10,000 of weather related losses from catastrophe events and had reinsurance under various reinsurance agreements up to $74,600 in excess of its $10,000 retained risk. These reinsurance risk limits will remain in effect for 2018. Prior to January 1, 2017, the Company collectively retained the first $5,000 of weather related losses.</w:t>
      </w:r>
    </w:p>
    <w:p>
      <w:pPr>
        <w:spacing w:after="0" w:line="14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2016</w:t>
            </w: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2015</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87"/>
              </w:rPr>
              <w:t>Premiums</w:t>
            </w:r>
          </w:p>
        </w:tc>
        <w:tc>
          <w:tcPr>
            <w:tcW w:w="100" w:type="dxa"/>
            <w:vAlign w:val="bottom"/>
          </w:tcPr>
          <w:p>
            <w:pPr>
              <w:spacing w:after="0"/>
              <w:rPr>
                <w:sz w:val="16"/>
                <w:szCs w:val="16"/>
                <w:color w:val="auto"/>
              </w:rPr>
            </w:pPr>
          </w:p>
        </w:tc>
        <w:tc>
          <w:tcPr>
            <w:tcW w:w="9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9"/>
              </w:rPr>
              <w:t>Premiums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89"/>
              </w:rPr>
              <w:t>Premiums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Premiums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Premiums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Premiums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Written</w:t>
            </w: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Earned</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Written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Earned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Written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Earned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195,238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189,418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176,958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172,775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Assumed premium</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6,711</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6,591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6,546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(16,665)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(16,665)</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(30,748)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(33,439)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(33,439)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premiums</w:t>
            </w:r>
          </w:p>
        </w:tc>
        <w:tc>
          <w:tcPr>
            <w:tcW w:w="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185,282</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179,464</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156,713</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152,756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143,065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139,473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w w:val="96"/>
              </w:rPr>
              <w:t>Percentage of assumed premium earned to net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premium earned</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560" w:type="dxa"/>
            <w:vAlign w:val="bottom"/>
            <w:gridSpan w:val="8"/>
          </w:tcPr>
          <w:p>
            <w:pPr>
              <w:jc w:val="right"/>
              <w:ind w:right="20"/>
              <w:spacing w:after="0"/>
              <w:rPr>
                <w:sz w:val="20"/>
                <w:szCs w:val="20"/>
                <w:color w:val="auto"/>
              </w:rPr>
            </w:pPr>
            <w:r>
              <w:rPr>
                <w:rFonts w:ascii="Arial" w:cs="Arial" w:eastAsia="Arial" w:hAnsi="Arial"/>
                <w:sz w:val="18"/>
                <w:szCs w:val="18"/>
                <w:color w:val="auto"/>
              </w:rPr>
              <w:t>A reconciliation of direct to net losses and loss adjustment expenses is as follows: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6"/>
              </w:rPr>
              <w:t>Assumed losses and loss adjustment expenses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(32,830)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Net losses and loss adjustment expenses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100% of our ceded reinsurance would be cancelled as of December 31, 2017, no ceded commissions would need to be returned to the reinsurers.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Reinsurance contracts are typically effective from January 1 through December 31 each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9" w:name="page80"/>
    <w:bookmarkEnd w:id="7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7480" w:type="dxa"/>
            <w:vAlign w:val="bottom"/>
          </w:tcPr>
          <w:p>
            <w:pPr>
              <w:ind w:left="160"/>
              <w:spacing w:after="0"/>
              <w:rPr>
                <w:sz w:val="20"/>
                <w:szCs w:val="20"/>
                <w:color w:val="auto"/>
              </w:rPr>
            </w:pPr>
            <w:r>
              <w:rPr>
                <w:rFonts w:ascii="Arial" w:cs="Arial" w:eastAsia="Arial" w:hAnsi="Arial"/>
                <w:sz w:val="18"/>
                <w:szCs w:val="18"/>
                <w:b w:val="1"/>
                <w:bCs w:val="1"/>
                <w:color w:val="auto"/>
              </w:rPr>
              <w:t>Deferred Policy Acquisition Costs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Activity concerning our deferred policy acquisition costs was as follows: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3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00" w:type="dxa"/>
            <w:vAlign w:val="bottom"/>
            <w:tcBorders>
              <w:bottom w:val="single" w:sz="8" w:color="CCEEFF"/>
            </w:tcBorders>
          </w:tcPr>
          <w:p>
            <w:pPr>
              <w:spacing w:after="0"/>
              <w:rPr>
                <w:sz w:val="19"/>
                <w:szCs w:val="19"/>
                <w:color w:val="auto"/>
              </w:rPr>
            </w:pPr>
          </w:p>
        </w:tc>
        <w:tc>
          <w:tcPr>
            <w:tcW w:w="7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Deferral of policy acquisition costs</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27,667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20,921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19,825</w:t>
            </w:r>
          </w:p>
        </w:tc>
        <w:tc>
          <w:tcPr>
            <w:tcW w:w="80" w:type="dxa"/>
            <w:vAlign w:val="bottom"/>
          </w:tcPr>
          <w:p>
            <w:pPr>
              <w:spacing w:after="0"/>
              <w:rPr>
                <w:sz w:val="18"/>
                <w:szCs w:val="18"/>
                <w:color w:val="auto"/>
              </w:rPr>
            </w:pPr>
          </w:p>
        </w:tc>
      </w:tr>
      <w:tr>
        <w:trPr>
          <w:trHeight w:val="23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(27,750)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(20,423)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(18,621)</w:t>
            </w:r>
          </w:p>
        </w:tc>
      </w:tr>
      <w:tr>
        <w:trPr>
          <w:trHeight w:val="210"/>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Balance, end of year</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liability for unpaid losses and loss adjustment expenses is summarized as follows: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3" w:lineRule="exact"/>
        <w:rPr>
          <w:sz w:val="20"/>
          <w:szCs w:val="20"/>
          <w:color w:val="auto"/>
        </w:rPr>
      </w:pPr>
    </w:p>
    <w:p>
      <w:pPr>
        <w:ind w:left="140" w:right="2880"/>
        <w:spacing w:after="0" w:line="250"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Net 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2383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600" w:val="left"/>
          <w:tab w:leader="none" w:pos="282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2383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59,632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45,342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50,518</w:t>
            </w:r>
          </w:p>
        </w:tc>
      </w:tr>
      <w:tr>
        <w:trPr>
          <w:trHeight w:val="230"/>
        </w:trPr>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7,192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5,676</w:t>
            </w: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44,842</w:t>
            </w:r>
          </w:p>
        </w:tc>
      </w:tr>
    </w:tbl>
    <w:p>
      <w:pPr>
        <w:spacing w:after="0" w:line="200" w:lineRule="exact"/>
        <w:rPr>
          <w:sz w:val="20"/>
          <w:szCs w:val="20"/>
          <w:color w:val="auto"/>
        </w:rPr>
      </w:pPr>
    </w:p>
    <w:p>
      <w:pPr>
        <w:sectPr>
          <w:pgSz w:w="11900" w:h="16838" w:orient="portrait"/>
          <w:cols w:equalWidth="0" w:num="2">
            <w:col w:w="7060" w:space="720"/>
            <w:col w:w="3640"/>
          </w:cols>
          <w:pgMar w:left="240" w:top="226"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Current year</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132,812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123,264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92,764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years</w:t>
            </w: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Incurred</w:t>
            </w:r>
          </w:p>
        </w:tc>
        <w:tc>
          <w:tcPr>
            <w:tcW w:w="1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Paid related to:</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90,772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Prior years</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15,529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1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Liability for unpaid losses and loss adjustment expenses</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45,890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59,632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Reinsurance recoverables on losses</w:t>
            </w: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40"/>
              <w:spacing w:after="0"/>
              <w:rPr>
                <w:sz w:val="20"/>
                <w:szCs w:val="20"/>
                <w:color w:val="auto"/>
              </w:rPr>
            </w:pPr>
            <w:r>
              <w:rPr>
                <w:rFonts w:ascii="Arial" w:cs="Arial" w:eastAsia="Arial" w:hAnsi="Arial"/>
                <w:sz w:val="18"/>
                <w:szCs w:val="18"/>
                <w:color w:val="auto"/>
              </w:rPr>
              <w:t>Net balance at end of year</w:t>
            </w:r>
          </w:p>
        </w:tc>
        <w:tc>
          <w:tcPr>
            <w:tcW w:w="18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prior years’ provision for unpaid losses and loss adjustment expenses decreased by $10,101, $4,756, and $8,888 during 2017, 2016, and 2015, respectively. The decrease is generally the result of ongoing analysis of recent loss development trends. As additional information becomes known regarding individual claims, original estimates are increased or decreased accordingly.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0" w:name="page81"/>
    <w:bookmarkEnd w:id="8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following tables present information, organized by our primary operating segments, about incurred and paid claims development as of December 31, 2017, net of reinsurance, as well as cumulative claim frequency and the total of IBNR reserves plus expected development on reported claims. The cumulative number of reported claims represents open claims, claims closed with payment, and claims closed without payment. It does not include an estimated amount for unreported claims. The number of claims is measured by claim event (such as a car accident or storm damage) and an individual claim event may result in more than one reported claim (such as a car accident with both property and liability damages). The Company considers a claim that does not result in a liability as a claim closed without payment. The tables include unaudited information about incurred and paid claims development for the years ended December 31, 2008 through 2015, which we present as supplementary information.</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Private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Passenger</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80" w:type="dxa"/>
            <w:vAlign w:val="bottom"/>
            <w:gridSpan w:val="32"/>
          </w:tcPr>
          <w:p>
            <w:pPr>
              <w:jc w:val="right"/>
              <w:spacing w:after="0"/>
              <w:rPr>
                <w:sz w:val="20"/>
                <w:szCs w:val="20"/>
                <w:color w:val="auto"/>
              </w:rPr>
            </w:pPr>
            <w:r>
              <w:rPr>
                <w:rFonts w:ascii="Arial" w:cs="Arial" w:eastAsia="Arial" w:hAnsi="Arial"/>
                <w:sz w:val="18"/>
                <w:szCs w:val="18"/>
                <w:b w:val="1"/>
                <w:bCs w:val="1"/>
                <w:color w:val="auto"/>
                <w:w w:val="92"/>
              </w:rPr>
              <w:t>Incurred Claims and Allocated Claim Adjustment Expenses, Net of Reinsurance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Auto</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15"/>
          </w:tcPr>
          <w:p>
            <w:pPr>
              <w:ind w:left="280"/>
              <w:spacing w:after="0"/>
              <w:rPr>
                <w:sz w:val="20"/>
                <w:szCs w:val="20"/>
                <w:color w:val="auto"/>
              </w:rPr>
            </w:pPr>
            <w:r>
              <w:rPr>
                <w:rFonts w:ascii="Arial" w:cs="Arial" w:eastAsia="Arial" w:hAnsi="Arial"/>
                <w:sz w:val="18"/>
                <w:szCs w:val="18"/>
                <w:b w:val="1"/>
                <w:bCs w:val="1"/>
                <w:color w:val="auto"/>
                <w:w w:val="98"/>
              </w:rPr>
              <w:t>For the Year Ended December 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11"/>
          </w:tcPr>
          <w:p>
            <w:pPr>
              <w:jc w:val="right"/>
              <w:ind w:right="320"/>
              <w:spacing w:after="0"/>
              <w:rPr>
                <w:sz w:val="20"/>
                <w:szCs w:val="20"/>
                <w:color w:val="auto"/>
              </w:rPr>
            </w:pPr>
            <w:r>
              <w:rPr>
                <w:rFonts w:ascii="Arial" w:cs="Arial" w:eastAsia="Arial" w:hAnsi="Arial"/>
                <w:sz w:val="18"/>
                <w:szCs w:val="18"/>
                <w:b w:val="1"/>
                <w:bCs w:val="1"/>
                <w:color w:val="auto"/>
              </w:rPr>
              <w:t>At 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11"/>
          </w:tcPr>
          <w:p>
            <w:pPr>
              <w:jc w:val="right"/>
              <w:ind w:right="620"/>
              <w:spacing w:after="0"/>
              <w:rPr>
                <w:sz w:val="20"/>
                <w:szCs w:val="20"/>
                <w:color w:val="auto"/>
              </w:rPr>
            </w:pPr>
            <w:r>
              <w:rPr>
                <w:rFonts w:ascii="Arial" w:cs="Arial" w:eastAsia="Arial" w:hAnsi="Arial"/>
                <w:sz w:val="18"/>
                <w:szCs w:val="18"/>
                <w:b w:val="1"/>
                <w:bCs w:val="1"/>
                <w:color w:val="auto"/>
                <w:w w:val="91"/>
              </w:rPr>
              <w:t>(prior years unaudited)</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95"/>
              </w:rPr>
              <w:t>Total IBNR</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7"/>
              </w:rPr>
              <w:t>Plus Expected</w:t>
            </w:r>
          </w:p>
        </w:tc>
        <w:tc>
          <w:tcPr>
            <w:tcW w:w="9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9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Accident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on Reported</w:t>
            </w:r>
          </w:p>
        </w:tc>
        <w:tc>
          <w:tcPr>
            <w:tcW w:w="9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194"/>
        </w:trPr>
        <w:tc>
          <w:tcPr>
            <w:tcW w:w="10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Year</w:t>
            </w:r>
          </w:p>
        </w:tc>
        <w:tc>
          <w:tcPr>
            <w:tcW w:w="680" w:type="dxa"/>
            <w:vAlign w:val="bottom"/>
            <w:gridSpan w:val="2"/>
          </w:tcPr>
          <w:p>
            <w:pPr>
              <w:jc w:val="right"/>
              <w:ind w:right="30"/>
              <w:spacing w:after="0" w:line="194" w:lineRule="exact"/>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line="194" w:lineRule="exact"/>
              <w:rPr>
                <w:sz w:val="20"/>
                <w:szCs w:val="20"/>
                <w:color w:val="auto"/>
              </w:rPr>
            </w:pPr>
            <w:r>
              <w:rPr>
                <w:rFonts w:ascii="Arial" w:cs="Arial" w:eastAsia="Arial" w:hAnsi="Arial"/>
                <w:sz w:val="18"/>
                <w:szCs w:val="18"/>
                <w:b w:val="1"/>
                <w:bCs w:val="1"/>
                <w:color w:val="auto"/>
              </w:rPr>
              <w:t>2010</w:t>
            </w:r>
          </w:p>
        </w:tc>
        <w:tc>
          <w:tcPr>
            <w:tcW w:w="800" w:type="dxa"/>
            <w:vAlign w:val="bottom"/>
            <w:gridSpan w:val="3"/>
          </w:tcPr>
          <w:p>
            <w:pPr>
              <w:jc w:val="right"/>
              <w:ind w:right="50"/>
              <w:spacing w:after="0" w:line="194"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6"/>
                <w:szCs w:val="16"/>
                <w:color w:val="auto"/>
              </w:rPr>
            </w:pPr>
          </w:p>
        </w:tc>
        <w:tc>
          <w:tcPr>
            <w:tcW w:w="620" w:type="dxa"/>
            <w:vAlign w:val="bottom"/>
            <w:gridSpan w:val="2"/>
          </w:tcPr>
          <w:p>
            <w:pPr>
              <w:jc w:val="right"/>
              <w:ind w:right="30"/>
              <w:spacing w:after="0" w:line="194" w:lineRule="exact"/>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w w:val="89"/>
              </w:rPr>
              <w:t>2014</w:t>
            </w:r>
          </w:p>
        </w:tc>
        <w:tc>
          <w:tcPr>
            <w:tcW w:w="60" w:type="dxa"/>
            <w:vAlign w:val="bottom"/>
          </w:tcPr>
          <w:p>
            <w:pPr>
              <w:spacing w:after="0"/>
              <w:rPr>
                <w:sz w:val="16"/>
                <w:szCs w:val="16"/>
                <w:color w:val="auto"/>
              </w:rPr>
            </w:pPr>
          </w:p>
        </w:tc>
        <w:tc>
          <w:tcPr>
            <w:tcW w:w="740" w:type="dxa"/>
            <w:vAlign w:val="bottom"/>
            <w:gridSpan w:val="5"/>
          </w:tcPr>
          <w:p>
            <w:pPr>
              <w:jc w:val="right"/>
              <w:ind w:right="50"/>
              <w:spacing w:after="0" w:line="194" w:lineRule="exact"/>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6"/>
                <w:szCs w:val="16"/>
                <w:color w:val="auto"/>
              </w:rPr>
            </w:pPr>
          </w:p>
        </w:tc>
        <w:tc>
          <w:tcPr>
            <w:tcW w:w="660" w:type="dxa"/>
            <w:vAlign w:val="bottom"/>
            <w:gridSpan w:val="3"/>
          </w:tcPr>
          <w:p>
            <w:pPr>
              <w:jc w:val="right"/>
              <w:ind w:right="70"/>
              <w:spacing w:after="0" w:line="194" w:lineRule="exact"/>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auto"/>
                <w:w w:val="99"/>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6"/>
          </w:tcPr>
          <w:p>
            <w:pPr>
              <w:jc w:val="center"/>
              <w:ind w:right="160"/>
              <w:spacing w:after="0" w:line="194" w:lineRule="exact"/>
              <w:rPr>
                <w:sz w:val="20"/>
                <w:szCs w:val="20"/>
                <w:color w:val="auto"/>
              </w:rPr>
            </w:pPr>
            <w:r>
              <w:rPr>
                <w:rFonts w:ascii="Arial" w:cs="Arial" w:eastAsia="Arial" w:hAnsi="Arial"/>
                <w:sz w:val="18"/>
                <w:szCs w:val="18"/>
                <w:b w:val="1"/>
                <w:bCs w:val="1"/>
                <w:color w:val="auto"/>
                <w:w w:val="91"/>
              </w:rPr>
              <w:t>Claims</w:t>
            </w:r>
          </w:p>
        </w:tc>
        <w:tc>
          <w:tcPr>
            <w:tcW w:w="160" w:type="dxa"/>
            <w:vAlign w:val="bottom"/>
          </w:tcPr>
          <w:p>
            <w:pPr>
              <w:spacing w:after="0"/>
              <w:rPr>
                <w:sz w:val="16"/>
                <w:szCs w:val="16"/>
                <w:color w:val="auto"/>
              </w:rPr>
            </w:pPr>
          </w:p>
        </w:tc>
        <w:tc>
          <w:tcPr>
            <w:tcW w:w="820" w:type="dxa"/>
            <w:vAlign w:val="bottom"/>
            <w:gridSpan w:val="4"/>
          </w:tcPr>
          <w:p>
            <w:pPr>
              <w:ind w:left="40"/>
              <w:spacing w:after="0" w:line="194" w:lineRule="exact"/>
              <w:rPr>
                <w:sz w:val="20"/>
                <w:szCs w:val="20"/>
                <w:color w:val="auto"/>
              </w:rPr>
            </w:pPr>
            <w:r>
              <w:rPr>
                <w:rFonts w:ascii="Arial" w:cs="Arial" w:eastAsia="Arial" w:hAnsi="Arial"/>
                <w:sz w:val="18"/>
                <w:szCs w:val="18"/>
                <w:b w:val="1"/>
                <w:bCs w:val="1"/>
                <w:color w:val="auto"/>
              </w:rPr>
              <w:t>Claims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480" w:type="dxa"/>
            <w:vAlign w:val="bottom"/>
            <w:gridSpan w:val="8"/>
          </w:tcPr>
          <w:p>
            <w:pPr>
              <w:spacing w:after="0" w:line="182" w:lineRule="exact"/>
              <w:rPr>
                <w:sz w:val="20"/>
                <w:szCs w:val="20"/>
                <w:color w:val="auto"/>
              </w:rPr>
            </w:pPr>
            <w:r>
              <w:rPr>
                <w:rFonts w:ascii="Arial" w:cs="Arial" w:eastAsia="Arial" w:hAnsi="Arial"/>
                <w:sz w:val="18"/>
                <w:szCs w:val="18"/>
                <w:color w:val="auto"/>
              </w:rPr>
              <w:t>(in thousands, except claim</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counts)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$ 26,058</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$ 23,877</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$ 24,140</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$ 24,248</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8"/>
              </w:rPr>
              <w:t>$ 23,215</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$ 23,196</w:t>
            </w:r>
          </w:p>
        </w:tc>
        <w:tc>
          <w:tcPr>
            <w:tcW w:w="8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$ 23,040</w:t>
            </w:r>
          </w:p>
        </w:tc>
        <w:tc>
          <w:tcPr>
            <w:tcW w:w="9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$ 22,979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$ 22,975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22,953</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29,397</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27,749</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26,460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25,813</w:t>
            </w:r>
          </w:p>
        </w:tc>
        <w:tc>
          <w:tcPr>
            <w:tcW w:w="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26,137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25,910</w:t>
            </w:r>
          </w:p>
        </w:tc>
        <w:tc>
          <w:tcPr>
            <w:tcW w:w="900" w:type="dxa"/>
            <w:vAlign w:val="bottom"/>
            <w:gridSpan w:val="6"/>
          </w:tcPr>
          <w:p>
            <w:pPr>
              <w:jc w:val="right"/>
              <w:ind w:right="160"/>
              <w:spacing w:after="0"/>
              <w:rPr>
                <w:sz w:val="20"/>
                <w:szCs w:val="20"/>
                <w:color w:val="auto"/>
              </w:rPr>
            </w:pPr>
            <w:r>
              <w:rPr>
                <w:rFonts w:ascii="Arial" w:cs="Arial" w:eastAsia="Arial" w:hAnsi="Arial"/>
                <w:sz w:val="18"/>
                <w:szCs w:val="18"/>
                <w:color w:val="auto"/>
              </w:rPr>
              <w:t>25,420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25,409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25,273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26,090</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23,801</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23,102</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23,265</w:t>
            </w:r>
          </w:p>
        </w:tc>
        <w:tc>
          <w:tcPr>
            <w:tcW w:w="9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23,271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23,123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2011</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25,552</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24,126</w:t>
            </w:r>
          </w:p>
        </w:tc>
        <w:tc>
          <w:tcPr>
            <w:tcW w:w="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25,220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24,409</w:t>
            </w:r>
          </w:p>
        </w:tc>
        <w:tc>
          <w:tcPr>
            <w:tcW w:w="900" w:type="dxa"/>
            <w:vAlign w:val="bottom"/>
            <w:gridSpan w:val="6"/>
          </w:tcPr>
          <w:p>
            <w:pPr>
              <w:jc w:val="right"/>
              <w:ind w:right="160"/>
              <w:spacing w:after="0"/>
              <w:rPr>
                <w:sz w:val="20"/>
                <w:szCs w:val="20"/>
                <w:color w:val="auto"/>
              </w:rPr>
            </w:pPr>
            <w:r>
              <w:rPr>
                <w:rFonts w:ascii="Arial" w:cs="Arial" w:eastAsia="Arial" w:hAnsi="Arial"/>
                <w:sz w:val="18"/>
                <w:szCs w:val="18"/>
                <w:color w:val="auto"/>
              </w:rPr>
              <w:t>24,209</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23,967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23,814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26,962</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24,323</w:t>
            </w:r>
          </w:p>
        </w:tc>
        <w:tc>
          <w:tcPr>
            <w:tcW w:w="9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24,098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23,298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29,079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27,840</w:t>
            </w:r>
          </w:p>
        </w:tc>
        <w:tc>
          <w:tcPr>
            <w:tcW w:w="900" w:type="dxa"/>
            <w:vAlign w:val="bottom"/>
            <w:gridSpan w:val="6"/>
          </w:tcPr>
          <w:p>
            <w:pPr>
              <w:jc w:val="right"/>
              <w:ind w:right="160"/>
              <w:spacing w:after="0"/>
              <w:rPr>
                <w:sz w:val="20"/>
                <w:szCs w:val="20"/>
                <w:color w:val="auto"/>
              </w:rPr>
            </w:pPr>
            <w:r>
              <w:rPr>
                <w:rFonts w:ascii="Arial" w:cs="Arial" w:eastAsia="Arial" w:hAnsi="Arial"/>
                <w:sz w:val="18"/>
                <w:szCs w:val="18"/>
                <w:color w:val="auto"/>
              </w:rPr>
              <w:t>27,363</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27,334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26,014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32,548</w:t>
            </w:r>
          </w:p>
        </w:tc>
        <w:tc>
          <w:tcPr>
            <w:tcW w:w="9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31,349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29,099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6"/>
          </w:tcPr>
          <w:p>
            <w:pPr>
              <w:jc w:val="right"/>
              <w:ind w:right="160"/>
              <w:spacing w:after="0"/>
              <w:rPr>
                <w:sz w:val="20"/>
                <w:szCs w:val="20"/>
                <w:color w:val="auto"/>
              </w:rPr>
            </w:pPr>
            <w:r>
              <w:rPr>
                <w:rFonts w:ascii="Arial" w:cs="Arial" w:eastAsia="Arial" w:hAnsi="Arial"/>
                <w:sz w:val="18"/>
                <w:szCs w:val="18"/>
                <w:color w:val="auto"/>
              </w:rPr>
              <w:t>32,438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31,532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30,461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11,658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39,260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40,779</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284,074</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Private</w:t>
            </w: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10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Passenger</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0" w:type="dxa"/>
            <w:vAlign w:val="bottom"/>
            <w:gridSpan w:val="36"/>
          </w:tcPr>
          <w:p>
            <w:pPr>
              <w:ind w:left="520"/>
              <w:spacing w:after="0"/>
              <w:rPr>
                <w:sz w:val="20"/>
                <w:szCs w:val="20"/>
                <w:color w:val="auto"/>
              </w:rPr>
            </w:pPr>
            <w:r>
              <w:rPr>
                <w:rFonts w:ascii="Arial" w:cs="Arial" w:eastAsia="Arial" w:hAnsi="Arial"/>
                <w:sz w:val="18"/>
                <w:szCs w:val="18"/>
                <w:b w:val="1"/>
                <w:bCs w:val="1"/>
                <w:color w:val="auto"/>
                <w:w w:val="99"/>
              </w:rPr>
              <w:t>Paid Claims and Allocated Claim Adjustment Expenses, Net of Reinsurance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Auto</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9"/>
          </w:tcPr>
          <w:p>
            <w:pPr>
              <w:jc w:val="right"/>
              <w:ind w:right="125"/>
              <w:spacing w:after="0"/>
              <w:rPr>
                <w:sz w:val="20"/>
                <w:szCs w:val="20"/>
                <w:color w:val="auto"/>
              </w:rPr>
            </w:pPr>
            <w:r>
              <w:rPr>
                <w:rFonts w:ascii="Arial" w:cs="Arial" w:eastAsia="Arial" w:hAnsi="Arial"/>
                <w:sz w:val="18"/>
                <w:szCs w:val="18"/>
                <w:b w:val="1"/>
                <w:bCs w:val="1"/>
                <w:color w:val="auto"/>
              </w:rPr>
              <w:t>For the Year Ended December 31,</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Accident</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8"/>
                <w:szCs w:val="18"/>
                <w:b w:val="1"/>
                <w:bCs w:val="1"/>
                <w:color w:val="auto"/>
                <w:w w:val="91"/>
              </w:rPr>
              <w:t>(prior years unaudited)</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Year</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w w:val="94"/>
              </w:rPr>
              <w:t>2008</w:t>
            </w:r>
          </w:p>
        </w:tc>
        <w:tc>
          <w:tcPr>
            <w:tcW w:w="160" w:type="dxa"/>
            <w:vAlign w:val="bottom"/>
          </w:tcPr>
          <w:p>
            <w:pPr>
              <w:spacing w:after="0"/>
              <w:rPr>
                <w:sz w:val="16"/>
                <w:szCs w:val="16"/>
                <w:color w:val="auto"/>
              </w:rPr>
            </w:pPr>
          </w:p>
        </w:tc>
        <w:tc>
          <w:tcPr>
            <w:tcW w:w="800" w:type="dxa"/>
            <w:vAlign w:val="bottom"/>
            <w:gridSpan w:val="3"/>
          </w:tcPr>
          <w:p>
            <w:pPr>
              <w:jc w:val="right"/>
              <w:ind w:right="90"/>
              <w:spacing w:after="0" w:line="194" w:lineRule="exact"/>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6"/>
                <w:szCs w:val="16"/>
                <w:color w:val="auto"/>
              </w:rPr>
            </w:pPr>
          </w:p>
        </w:tc>
        <w:tc>
          <w:tcPr>
            <w:tcW w:w="62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4"/>
          </w:tcPr>
          <w:p>
            <w:pPr>
              <w:jc w:val="right"/>
              <w:spacing w:after="0" w:line="194"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5"/>
          </w:tcPr>
          <w:p>
            <w:pPr>
              <w:jc w:val="right"/>
              <w:ind w:right="140"/>
              <w:spacing w:after="0" w:line="194" w:lineRule="exact"/>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6"/>
                <w:szCs w:val="16"/>
                <w:color w:val="auto"/>
              </w:rPr>
            </w:pPr>
          </w:p>
        </w:tc>
        <w:tc>
          <w:tcPr>
            <w:tcW w:w="760" w:type="dxa"/>
            <w:vAlign w:val="bottom"/>
            <w:gridSpan w:val="4"/>
          </w:tcPr>
          <w:p>
            <w:pPr>
              <w:jc w:val="right"/>
              <w:ind w:right="70"/>
              <w:spacing w:after="0" w:line="194" w:lineRule="exact"/>
              <w:rPr>
                <w:sz w:val="20"/>
                <w:szCs w:val="20"/>
                <w:color w:val="auto"/>
              </w:rPr>
            </w:pPr>
            <w:r>
              <w:rPr>
                <w:rFonts w:ascii="Arial" w:cs="Arial" w:eastAsia="Arial" w:hAnsi="Arial"/>
                <w:sz w:val="18"/>
                <w:szCs w:val="18"/>
                <w:b w:val="1"/>
                <w:bCs w:val="1"/>
                <w:color w:val="auto"/>
              </w:rPr>
              <w:t>2013</w:t>
            </w:r>
          </w:p>
        </w:tc>
        <w:tc>
          <w:tcPr>
            <w:tcW w:w="900" w:type="dxa"/>
            <w:vAlign w:val="bottom"/>
            <w:gridSpan w:val="5"/>
          </w:tcPr>
          <w:p>
            <w:pPr>
              <w:jc w:val="right"/>
              <w:ind w:right="70"/>
              <w:spacing w:after="0" w:line="194"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w w:val="84"/>
              </w:rPr>
              <w:t>2015</w:t>
            </w:r>
          </w:p>
        </w:tc>
        <w:tc>
          <w:tcPr>
            <w:tcW w:w="120" w:type="dxa"/>
            <w:vAlign w:val="bottom"/>
          </w:tcPr>
          <w:p>
            <w:pPr>
              <w:spacing w:after="0"/>
              <w:rPr>
                <w:sz w:val="16"/>
                <w:szCs w:val="16"/>
                <w:color w:val="auto"/>
              </w:rPr>
            </w:pPr>
          </w:p>
        </w:tc>
        <w:tc>
          <w:tcPr>
            <w:tcW w:w="6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9"/>
              </w:rPr>
              <w:t>2017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17,152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20,367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22,214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$ 22,484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$ 22,790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$ 22,799</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$ 22,883</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$ 22,926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$ 22,933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18,203</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21,880</w:t>
            </w:r>
          </w:p>
        </w:tc>
        <w:tc>
          <w:tcPr>
            <w:tcW w:w="920" w:type="dxa"/>
            <w:vAlign w:val="bottom"/>
            <w:gridSpan w:val="6"/>
          </w:tcPr>
          <w:p>
            <w:pPr>
              <w:jc w:val="right"/>
              <w:ind w:right="20"/>
              <w:spacing w:after="0"/>
              <w:rPr>
                <w:sz w:val="20"/>
                <w:szCs w:val="20"/>
                <w:color w:val="auto"/>
              </w:rPr>
            </w:pPr>
            <w:r>
              <w:rPr>
                <w:rFonts w:ascii="Arial" w:cs="Arial" w:eastAsia="Arial" w:hAnsi="Arial"/>
                <w:sz w:val="18"/>
                <w:szCs w:val="18"/>
                <w:color w:val="auto"/>
              </w:rPr>
              <w:t>24,105</w:t>
            </w:r>
          </w:p>
        </w:tc>
        <w:tc>
          <w:tcPr>
            <w:tcW w:w="1000" w:type="dxa"/>
            <w:vAlign w:val="bottom"/>
            <w:gridSpan w:val="6"/>
          </w:tcPr>
          <w:p>
            <w:pPr>
              <w:jc w:val="right"/>
              <w:ind w:right="140"/>
              <w:spacing w:after="0"/>
              <w:rPr>
                <w:sz w:val="20"/>
                <w:szCs w:val="20"/>
                <w:color w:val="auto"/>
              </w:rPr>
            </w:pPr>
            <w:r>
              <w:rPr>
                <w:rFonts w:ascii="Arial" w:cs="Arial" w:eastAsia="Arial" w:hAnsi="Arial"/>
                <w:sz w:val="18"/>
                <w:szCs w:val="18"/>
                <w:color w:val="auto"/>
              </w:rPr>
              <w:t>24,412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24,784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4"/>
          </w:tcPr>
          <w:p>
            <w:pPr>
              <w:jc w:val="right"/>
              <w:ind w:right="200"/>
              <w:spacing w:after="0"/>
              <w:rPr>
                <w:sz w:val="20"/>
                <w:szCs w:val="20"/>
                <w:color w:val="auto"/>
              </w:rPr>
            </w:pPr>
            <w:r>
              <w:rPr>
                <w:rFonts w:ascii="Arial" w:cs="Arial" w:eastAsia="Arial" w:hAnsi="Arial"/>
                <w:sz w:val="18"/>
                <w:szCs w:val="18"/>
                <w:color w:val="auto"/>
                <w:w w:val="87"/>
              </w:rPr>
              <w:t>24,829</w:t>
            </w:r>
          </w:p>
        </w:tc>
        <w:tc>
          <w:tcPr>
            <w:tcW w:w="16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24,918</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25,103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18,100</w:t>
            </w:r>
          </w:p>
        </w:tc>
        <w:tc>
          <w:tcPr>
            <w:tcW w:w="9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21,491</w:t>
            </w: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21,633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7"/>
              </w:rPr>
              <w:t>22,810</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22,938</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23,063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2011</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19,116</w:t>
            </w:r>
          </w:p>
        </w:tc>
        <w:tc>
          <w:tcPr>
            <w:tcW w:w="20" w:type="dxa"/>
            <w:vAlign w:val="bottom"/>
          </w:tcPr>
          <w:p>
            <w:pPr>
              <w:spacing w:after="0"/>
              <w:rPr>
                <w:sz w:val="18"/>
                <w:szCs w:val="18"/>
                <w:color w:val="auto"/>
              </w:rPr>
            </w:pPr>
          </w:p>
        </w:tc>
        <w:tc>
          <w:tcPr>
            <w:tcW w:w="1000" w:type="dxa"/>
            <w:vAlign w:val="bottom"/>
            <w:gridSpan w:val="6"/>
          </w:tcPr>
          <w:p>
            <w:pPr>
              <w:jc w:val="right"/>
              <w:ind w:right="140"/>
              <w:spacing w:after="0"/>
              <w:rPr>
                <w:sz w:val="20"/>
                <w:szCs w:val="20"/>
                <w:color w:val="auto"/>
              </w:rPr>
            </w:pPr>
            <w:r>
              <w:rPr>
                <w:rFonts w:ascii="Arial" w:cs="Arial" w:eastAsia="Arial" w:hAnsi="Arial"/>
                <w:sz w:val="18"/>
                <w:szCs w:val="18"/>
                <w:color w:val="auto"/>
              </w:rPr>
              <w:t>22,161</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22,325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4"/>
          </w:tcPr>
          <w:p>
            <w:pPr>
              <w:jc w:val="right"/>
              <w:ind w:right="200"/>
              <w:spacing w:after="0"/>
              <w:rPr>
                <w:sz w:val="20"/>
                <w:szCs w:val="20"/>
                <w:color w:val="auto"/>
              </w:rPr>
            </w:pPr>
            <w:r>
              <w:rPr>
                <w:rFonts w:ascii="Arial" w:cs="Arial" w:eastAsia="Arial" w:hAnsi="Arial"/>
                <w:sz w:val="18"/>
                <w:szCs w:val="18"/>
                <w:color w:val="auto"/>
                <w:w w:val="87"/>
              </w:rPr>
              <w:t>23,024</w:t>
            </w:r>
          </w:p>
        </w:tc>
        <w:tc>
          <w:tcPr>
            <w:tcW w:w="16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23,339</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23,583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18,681</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7"/>
              </w:rPr>
              <w:t>21,888</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22,640</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22,726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20,077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4"/>
          </w:tcPr>
          <w:p>
            <w:pPr>
              <w:jc w:val="right"/>
              <w:ind w:right="200"/>
              <w:spacing w:after="0"/>
              <w:rPr>
                <w:sz w:val="20"/>
                <w:szCs w:val="20"/>
                <w:color w:val="auto"/>
              </w:rPr>
            </w:pPr>
            <w:r>
              <w:rPr>
                <w:rFonts w:ascii="Arial" w:cs="Arial" w:eastAsia="Arial" w:hAnsi="Arial"/>
                <w:sz w:val="18"/>
                <w:szCs w:val="18"/>
                <w:color w:val="auto"/>
                <w:w w:val="87"/>
              </w:rPr>
              <w:t>23,576</w:t>
            </w:r>
          </w:p>
        </w:tc>
        <w:tc>
          <w:tcPr>
            <w:tcW w:w="16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24,765</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24,918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7"/>
              </w:rPr>
              <w:t>22,744</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25,727</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27,076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23,401</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27,171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29,009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266,981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80" w:type="dxa"/>
            <w:vAlign w:val="bottom"/>
            <w:gridSpan w:val="23"/>
            <w:vMerge w:val="restart"/>
          </w:tcPr>
          <w:p>
            <w:pPr>
              <w:jc w:val="right"/>
              <w:ind w:right="40"/>
              <w:spacing w:after="0"/>
              <w:rPr>
                <w:sz w:val="20"/>
                <w:szCs w:val="20"/>
                <w:color w:val="auto"/>
              </w:rPr>
            </w:pPr>
            <w:r>
              <w:rPr>
                <w:rFonts w:ascii="Arial" w:cs="Arial" w:eastAsia="Arial" w:hAnsi="Arial"/>
                <w:sz w:val="18"/>
                <w:szCs w:val="18"/>
                <w:color w:val="auto"/>
                <w:w w:val="93"/>
              </w:rPr>
              <w:t>All outstanding liabilities prior to 2008, net of reinsurance</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4280" w:type="dxa"/>
            <w:vAlign w:val="bottom"/>
            <w:gridSpan w:val="23"/>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120" w:type="dxa"/>
            <w:vAlign w:val="bottom"/>
            <w:gridSpan w:val="33"/>
            <w:shd w:val="clear" w:color="auto" w:fill="CCEEFF"/>
          </w:tcPr>
          <w:p>
            <w:pPr>
              <w:jc w:val="right"/>
              <w:ind w:right="40"/>
              <w:spacing w:after="0"/>
              <w:rPr>
                <w:sz w:val="20"/>
                <w:szCs w:val="20"/>
                <w:color w:val="auto"/>
              </w:rPr>
            </w:pPr>
            <w:r>
              <w:rPr>
                <w:rFonts w:ascii="Arial" w:cs="Arial" w:eastAsia="Arial" w:hAnsi="Arial"/>
                <w:sz w:val="18"/>
                <w:szCs w:val="18"/>
                <w:color w:val="auto"/>
                <w:w w:val="95"/>
              </w:rPr>
              <w:t>Liabilities for Unpaid Losses and Loss Adjustment Expenses, net of reinsurance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1" w:name="page82"/>
    <w:bookmarkEnd w:id="8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Non-</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Standard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gridSpan w:val="19"/>
          </w:tcPr>
          <w:p>
            <w:pPr>
              <w:ind w:left="140"/>
              <w:spacing w:after="0"/>
              <w:rPr>
                <w:sz w:val="20"/>
                <w:szCs w:val="20"/>
                <w:color w:val="auto"/>
              </w:rPr>
            </w:pPr>
            <w:r>
              <w:rPr>
                <w:rFonts w:ascii="Arial" w:cs="Arial" w:eastAsia="Arial" w:hAnsi="Arial"/>
                <w:sz w:val="18"/>
                <w:szCs w:val="18"/>
                <w:b w:val="1"/>
                <w:bCs w:val="1"/>
                <w:color w:val="auto"/>
                <w:w w:val="94"/>
              </w:rPr>
              <w:t>Incurred Claims and Allocated Claim Adjustment Expenses, Net of Reinsurance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10"/>
          </w:tcPr>
          <w:p>
            <w:pPr>
              <w:jc w:val="right"/>
              <w:ind w:right="400"/>
              <w:spacing w:after="0"/>
              <w:rPr>
                <w:sz w:val="20"/>
                <w:szCs w:val="20"/>
                <w:color w:val="auto"/>
              </w:rPr>
            </w:pPr>
            <w:r>
              <w:rPr>
                <w:rFonts w:ascii="Arial" w:cs="Arial" w:eastAsia="Arial" w:hAnsi="Arial"/>
                <w:sz w:val="18"/>
                <w:szCs w:val="18"/>
                <w:b w:val="1"/>
                <w:bCs w:val="1"/>
                <w:color w:val="auto"/>
              </w:rPr>
              <w:t>For the Year Ended December 31,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7"/>
              </w:rPr>
              <w:t>At December 31, 2017</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gridSpan w:val="8"/>
          </w:tcPr>
          <w:p>
            <w:pPr>
              <w:jc w:val="right"/>
              <w:ind w:right="700"/>
              <w:spacing w:after="0"/>
              <w:rPr>
                <w:sz w:val="20"/>
                <w:szCs w:val="20"/>
                <w:color w:val="auto"/>
              </w:rPr>
            </w:pPr>
            <w:r>
              <w:rPr>
                <w:rFonts w:ascii="Arial" w:cs="Arial" w:eastAsia="Arial" w:hAnsi="Arial"/>
                <w:sz w:val="18"/>
                <w:szCs w:val="18"/>
                <w:b w:val="1"/>
                <w:bCs w:val="1"/>
                <w:color w:val="auto"/>
                <w:w w:val="91"/>
              </w:rPr>
              <w:t>(prior years unaudited)</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5"/>
              </w:rPr>
              <w:t>Total IBNR</w:t>
            </w: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Plus Expected</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Development</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on Reported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6"/>
              </w:rPr>
              <w:t>Reported</w:t>
            </w:r>
          </w:p>
        </w:tc>
        <w:tc>
          <w:tcPr>
            <w:tcW w:w="0" w:type="dxa"/>
            <w:vAlign w:val="bottom"/>
          </w:tcPr>
          <w:p>
            <w:pPr>
              <w:spacing w:after="0"/>
              <w:rPr>
                <w:sz w:val="1"/>
                <w:szCs w:val="1"/>
                <w:color w:val="auto"/>
              </w:rPr>
            </w:pPr>
          </w:p>
        </w:tc>
      </w:tr>
      <w:tr>
        <w:trPr>
          <w:trHeight w:val="194"/>
        </w:trPr>
        <w:tc>
          <w:tcPr>
            <w:tcW w:w="8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Year</w:t>
            </w:r>
          </w:p>
        </w:tc>
        <w:tc>
          <w:tcPr>
            <w:tcW w:w="76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6"/>
                <w:szCs w:val="16"/>
                <w:color w:val="auto"/>
              </w:rPr>
            </w:pPr>
          </w:p>
        </w:tc>
        <w:tc>
          <w:tcPr>
            <w:tcW w:w="7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6"/>
                <w:szCs w:val="16"/>
                <w:color w:val="auto"/>
              </w:rPr>
            </w:pPr>
          </w:p>
        </w:tc>
        <w:tc>
          <w:tcPr>
            <w:tcW w:w="66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rPr>
              <w:t>2010</w:t>
            </w:r>
          </w:p>
        </w:tc>
        <w:tc>
          <w:tcPr>
            <w:tcW w:w="80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6"/>
                <w:szCs w:val="16"/>
                <w:color w:val="auto"/>
              </w:rPr>
            </w:pPr>
          </w:p>
        </w:tc>
        <w:tc>
          <w:tcPr>
            <w:tcW w:w="66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6"/>
                <w:szCs w:val="16"/>
                <w:color w:val="auto"/>
              </w:rPr>
            </w:pPr>
          </w:p>
        </w:tc>
        <w:tc>
          <w:tcPr>
            <w:tcW w:w="72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6"/>
                <w:szCs w:val="16"/>
                <w:color w:val="auto"/>
              </w:rPr>
            </w:pPr>
          </w:p>
        </w:tc>
        <w:tc>
          <w:tcPr>
            <w:tcW w:w="74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6"/>
                <w:szCs w:val="16"/>
                <w:color w:val="auto"/>
              </w:rPr>
            </w:pPr>
          </w:p>
        </w:tc>
        <w:tc>
          <w:tcPr>
            <w:tcW w:w="64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6"/>
                <w:szCs w:val="16"/>
                <w:color w:val="auto"/>
              </w:rPr>
            </w:pPr>
          </w:p>
        </w:tc>
        <w:tc>
          <w:tcPr>
            <w:tcW w:w="74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6"/>
                <w:szCs w:val="16"/>
                <w:color w:val="auto"/>
              </w:rPr>
            </w:pPr>
          </w:p>
        </w:tc>
        <w:tc>
          <w:tcPr>
            <w:tcW w:w="66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1"/>
              </w:rPr>
              <w:t>Claims</w:t>
            </w:r>
          </w:p>
        </w:tc>
        <w:tc>
          <w:tcPr>
            <w:tcW w:w="940" w:type="dxa"/>
            <w:vAlign w:val="bottom"/>
            <w:gridSpan w:val="2"/>
          </w:tcPr>
          <w:p>
            <w:pPr>
              <w:jc w:val="center"/>
              <w:ind w:right="40"/>
              <w:spacing w:after="0" w:line="194" w:lineRule="exact"/>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420" w:type="dxa"/>
            <w:vAlign w:val="bottom"/>
            <w:gridSpan w:val="7"/>
          </w:tcPr>
          <w:p>
            <w:pPr>
              <w:spacing w:after="0" w:line="182" w:lineRule="exact"/>
              <w:rPr>
                <w:sz w:val="20"/>
                <w:szCs w:val="20"/>
                <w:color w:val="auto"/>
              </w:rPr>
            </w:pPr>
            <w:r>
              <w:rPr>
                <w:rFonts w:ascii="Arial" w:cs="Arial" w:eastAsia="Arial" w:hAnsi="Arial"/>
                <w:sz w:val="18"/>
                <w:szCs w:val="18"/>
                <w:color w:val="auto"/>
              </w:rPr>
              <w:t>(in thousands, except claim</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 w:type="dxa"/>
            <w:vAlign w:val="bottom"/>
            <w:gridSpan w:val="2"/>
          </w:tcPr>
          <w:p>
            <w:pPr>
              <w:spacing w:after="0"/>
              <w:rPr>
                <w:sz w:val="20"/>
                <w:szCs w:val="20"/>
                <w:color w:val="auto"/>
              </w:rPr>
            </w:pPr>
            <w:r>
              <w:rPr>
                <w:rFonts w:ascii="Arial" w:cs="Arial" w:eastAsia="Arial" w:hAnsi="Arial"/>
                <w:sz w:val="18"/>
                <w:szCs w:val="18"/>
                <w:color w:val="auto"/>
              </w:rPr>
              <w:t>counts)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$ 11,284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$ 11,029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$ 10,907</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$ 10,895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$ 10,902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$ 10,901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$ 10,914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$ 10,896</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$ 10,898</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$ 10,898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13,269</w:t>
            </w:r>
          </w:p>
        </w:tc>
        <w:tc>
          <w:tcPr>
            <w:tcW w:w="660" w:type="dxa"/>
            <w:vAlign w:val="bottom"/>
          </w:tcPr>
          <w:p>
            <w:pPr>
              <w:jc w:val="right"/>
              <w:spacing w:after="0"/>
              <w:rPr>
                <w:sz w:val="20"/>
                <w:szCs w:val="20"/>
                <w:color w:val="auto"/>
              </w:rPr>
            </w:pPr>
            <w:r>
              <w:rPr>
                <w:rFonts w:ascii="Arial" w:cs="Arial" w:eastAsia="Arial" w:hAnsi="Arial"/>
                <w:sz w:val="18"/>
                <w:szCs w:val="18"/>
                <w:color w:val="auto"/>
              </w:rPr>
              <w:t>12,790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12,702</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12,655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12,604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12,586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12,584</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12,584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12,584</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8,536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8,411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8,410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84"/>
              </w:rPr>
              <w:t>2011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8,129</w:t>
            </w:r>
          </w:p>
        </w:tc>
        <w:tc>
          <w:tcPr>
            <w:tcW w:w="660" w:type="dxa"/>
            <w:vAlign w:val="bottom"/>
          </w:tcPr>
          <w:p>
            <w:pPr>
              <w:jc w:val="right"/>
              <w:spacing w:after="0"/>
              <w:rPr>
                <w:sz w:val="20"/>
                <w:szCs w:val="20"/>
                <w:color w:val="auto"/>
              </w:rPr>
            </w:pPr>
            <w:r>
              <w:rPr>
                <w:rFonts w:ascii="Arial" w:cs="Arial" w:eastAsia="Arial" w:hAnsi="Arial"/>
                <w:sz w:val="18"/>
                <w:szCs w:val="18"/>
                <w:color w:val="auto"/>
              </w:rPr>
              <w:t>8,173</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8,178</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8,191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8,168</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8,168</w:t>
            </w:r>
          </w:p>
        </w:tc>
        <w:tc>
          <w:tcPr>
            <w:tcW w:w="660" w:type="dxa"/>
            <w:vAlign w:val="bottom"/>
          </w:tcPr>
          <w:p>
            <w:pPr>
              <w:jc w:val="right"/>
              <w:spacing w:after="0"/>
              <w:rPr>
                <w:sz w:val="20"/>
                <w:szCs w:val="20"/>
                <w:color w:val="auto"/>
              </w:rPr>
            </w:pPr>
            <w:r>
              <w:rPr>
                <w:rFonts w:ascii="Arial" w:cs="Arial" w:eastAsia="Arial" w:hAnsi="Arial"/>
                <w:sz w:val="18"/>
                <w:szCs w:val="18"/>
                <w:color w:val="auto"/>
              </w:rPr>
              <w:t>8,168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8,491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8,369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8,361</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11,063</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10,823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10,800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10,804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10,843</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7,297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9,727</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9,806</w:t>
            </w:r>
          </w:p>
        </w:tc>
        <w:tc>
          <w:tcPr>
            <w:tcW w:w="660" w:type="dxa"/>
            <w:vAlign w:val="bottom"/>
          </w:tcPr>
          <w:p>
            <w:pPr>
              <w:jc w:val="right"/>
              <w:spacing w:after="0"/>
              <w:rPr>
                <w:sz w:val="20"/>
                <w:szCs w:val="20"/>
                <w:color w:val="auto"/>
              </w:rPr>
            </w:pPr>
            <w:r>
              <w:rPr>
                <w:rFonts w:ascii="Arial" w:cs="Arial" w:eastAsia="Arial" w:hAnsi="Arial"/>
                <w:sz w:val="18"/>
                <w:szCs w:val="18"/>
                <w:color w:val="auto"/>
              </w:rPr>
              <w:t>9,655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30"/>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9,967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10,048</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434</w:t>
            </w:r>
          </w:p>
        </w:tc>
        <w:tc>
          <w:tcPr>
            <w:tcW w:w="9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23"/>
        </w:trPr>
        <w:tc>
          <w:tcPr>
            <w:tcW w:w="3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$ 95,209</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Non-Standard</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40" w:type="dxa"/>
            <w:vAlign w:val="bottom"/>
            <w:gridSpan w:val="20"/>
          </w:tcPr>
          <w:p>
            <w:pPr>
              <w:jc w:val="center"/>
              <w:ind w:right="16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Auto</w:t>
            </w:r>
          </w:p>
        </w:tc>
        <w:tc>
          <w:tcPr>
            <w:tcW w:w="6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10"/>
          </w:tcPr>
          <w:p>
            <w:pPr>
              <w:jc w:val="center"/>
              <w:ind w:right="380"/>
              <w:spacing w:after="0"/>
              <w:rPr>
                <w:sz w:val="20"/>
                <w:szCs w:val="20"/>
                <w:color w:val="auto"/>
              </w:rPr>
            </w:pPr>
            <w:r>
              <w:rPr>
                <w:rFonts w:ascii="Arial" w:cs="Arial" w:eastAsia="Arial" w:hAnsi="Arial"/>
                <w:sz w:val="18"/>
                <w:szCs w:val="18"/>
                <w:b w:val="1"/>
                <w:bCs w:val="1"/>
                <w:color w:val="auto"/>
                <w:w w:val="91"/>
              </w:rPr>
              <w:t>For the Year Ended December 31,</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Accident</w:t>
            </w:r>
          </w:p>
        </w:tc>
        <w:tc>
          <w:tcPr>
            <w:tcW w:w="6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5"/>
              </w:rPr>
              <w:t>(prior years unaudited)</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6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Year</w:t>
            </w:r>
          </w:p>
        </w:tc>
        <w:tc>
          <w:tcPr>
            <w:tcW w:w="136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6"/>
                <w:szCs w:val="16"/>
                <w:color w:val="auto"/>
              </w:rPr>
            </w:pPr>
          </w:p>
        </w:tc>
        <w:tc>
          <w:tcPr>
            <w:tcW w:w="840" w:type="dxa"/>
            <w:vAlign w:val="bottom"/>
            <w:gridSpan w:val="2"/>
          </w:tcPr>
          <w:p>
            <w:pPr>
              <w:jc w:val="right"/>
              <w:ind w:right="90"/>
              <w:spacing w:after="0" w:line="194" w:lineRule="exact"/>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6"/>
                <w:szCs w:val="16"/>
                <w:color w:val="auto"/>
              </w:rPr>
            </w:pPr>
          </w:p>
        </w:tc>
        <w:tc>
          <w:tcPr>
            <w:tcW w:w="820" w:type="dxa"/>
            <w:vAlign w:val="bottom"/>
            <w:gridSpan w:val="2"/>
          </w:tcPr>
          <w:p>
            <w:pPr>
              <w:jc w:val="right"/>
              <w:ind w:right="90"/>
              <w:spacing w:after="0" w:line="194" w:lineRule="exact"/>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6"/>
                <w:szCs w:val="16"/>
                <w:color w:val="auto"/>
              </w:rPr>
            </w:pPr>
          </w:p>
        </w:tc>
        <w:tc>
          <w:tcPr>
            <w:tcW w:w="920" w:type="dxa"/>
            <w:vAlign w:val="bottom"/>
            <w:gridSpan w:val="2"/>
          </w:tcPr>
          <w:p>
            <w:pPr>
              <w:jc w:val="right"/>
              <w:ind w:right="90"/>
              <w:spacing w:after="0" w:line="194" w:lineRule="exact"/>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6"/>
                <w:szCs w:val="16"/>
                <w:color w:val="auto"/>
              </w:rPr>
            </w:pPr>
          </w:p>
        </w:tc>
        <w:tc>
          <w:tcPr>
            <w:tcW w:w="68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6"/>
                <w:szCs w:val="16"/>
                <w:color w:val="auto"/>
              </w:rPr>
            </w:pPr>
          </w:p>
        </w:tc>
        <w:tc>
          <w:tcPr>
            <w:tcW w:w="76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6"/>
                <w:szCs w:val="16"/>
                <w:color w:val="auto"/>
              </w:rPr>
            </w:pPr>
          </w:p>
        </w:tc>
        <w:tc>
          <w:tcPr>
            <w:tcW w:w="78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66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6"/>
                <w:szCs w:val="16"/>
                <w:color w:val="auto"/>
              </w:rPr>
            </w:pPr>
          </w:p>
        </w:tc>
        <w:tc>
          <w:tcPr>
            <w:tcW w:w="68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6,123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9,878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10,680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10,852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$ 10,867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$ 10,901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$ 10,899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$ 10,896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$ 10,898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6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7,356</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11,621</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12,495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12,624</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12,602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12,584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12,584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4,788</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7,792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8,332</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8,411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2011</w:t>
            </w: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4,457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7,445</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7,984</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8,146</w:t>
            </w:r>
          </w:p>
        </w:tc>
        <w:tc>
          <w:tcPr>
            <w:tcW w:w="660" w:type="dxa"/>
            <w:vAlign w:val="bottom"/>
          </w:tcPr>
          <w:p>
            <w:pPr>
              <w:jc w:val="right"/>
              <w:spacing w:after="0"/>
              <w:rPr>
                <w:sz w:val="20"/>
                <w:szCs w:val="20"/>
                <w:color w:val="auto"/>
              </w:rPr>
            </w:pPr>
            <w:r>
              <w:rPr>
                <w:rFonts w:ascii="Arial" w:cs="Arial" w:eastAsia="Arial" w:hAnsi="Arial"/>
                <w:sz w:val="18"/>
                <w:szCs w:val="18"/>
                <w:color w:val="auto"/>
              </w:rPr>
              <w:t>8,168</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7,522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7,983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6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6,320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9,675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10,508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5,335</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6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89,399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gridSpan w:val="12"/>
            <w:vMerge w:val="restart"/>
          </w:tcPr>
          <w:p>
            <w:pPr>
              <w:jc w:val="right"/>
              <w:ind w:right="100"/>
              <w:spacing w:after="0"/>
              <w:rPr>
                <w:sz w:val="20"/>
                <w:szCs w:val="20"/>
                <w:color w:val="auto"/>
              </w:rPr>
            </w:pPr>
            <w:r>
              <w:rPr>
                <w:rFonts w:ascii="Arial" w:cs="Arial" w:eastAsia="Arial" w:hAnsi="Arial"/>
                <w:sz w:val="18"/>
                <w:szCs w:val="18"/>
                <w:color w:val="auto"/>
                <w:w w:val="93"/>
              </w:rPr>
              <w:t>All outstanding liabilities prior to 2008, net of reinsurance</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gridSpan w:val="1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0" w:type="dxa"/>
            <w:vAlign w:val="bottom"/>
            <w:gridSpan w:val="17"/>
            <w:shd w:val="clear" w:color="auto" w:fill="CCEEFF"/>
          </w:tcPr>
          <w:p>
            <w:pPr>
              <w:jc w:val="right"/>
              <w:ind w:right="100"/>
              <w:spacing w:after="0"/>
              <w:rPr>
                <w:sz w:val="20"/>
                <w:szCs w:val="20"/>
                <w:color w:val="auto"/>
              </w:rPr>
            </w:pPr>
            <w:r>
              <w:rPr>
                <w:rFonts w:ascii="Arial" w:cs="Arial" w:eastAsia="Arial" w:hAnsi="Arial"/>
                <w:sz w:val="18"/>
                <w:szCs w:val="18"/>
                <w:color w:val="auto"/>
                <w:w w:val="95"/>
              </w:rPr>
              <w:t>Liabilities for Unpaid Losses and Loss Adjustment Expenses, net of reinsurance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82" w:name="page83"/>
    <w:bookmarkEnd w:id="8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Home and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40" w:type="dxa"/>
            <w:vAlign w:val="bottom"/>
            <w:gridSpan w:val="35"/>
          </w:tcPr>
          <w:p>
            <w:pPr>
              <w:jc w:val="center"/>
              <w:ind w:right="120"/>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Farm</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16"/>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10"/>
          </w:tcPr>
          <w:p>
            <w:pPr>
              <w:jc w:val="right"/>
              <w:ind w:right="240"/>
              <w:spacing w:after="0"/>
              <w:rPr>
                <w:sz w:val="20"/>
                <w:szCs w:val="20"/>
                <w:color w:val="auto"/>
              </w:rPr>
            </w:pPr>
            <w:r>
              <w:rPr>
                <w:rFonts w:ascii="Arial" w:cs="Arial" w:eastAsia="Arial" w:hAnsi="Arial"/>
                <w:sz w:val="18"/>
                <w:szCs w:val="18"/>
                <w:b w:val="1"/>
                <w:bCs w:val="1"/>
                <w:color w:val="auto"/>
              </w:rPr>
              <w:t>At 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11"/>
          </w:tcPr>
          <w:p>
            <w:pPr>
              <w:ind w:left="20"/>
              <w:spacing w:after="0"/>
              <w:rPr>
                <w:sz w:val="20"/>
                <w:szCs w:val="20"/>
                <w:color w:val="auto"/>
              </w:rPr>
            </w:pPr>
            <w:r>
              <w:rPr>
                <w:rFonts w:ascii="Arial" w:cs="Arial" w:eastAsia="Arial" w:hAnsi="Arial"/>
                <w:sz w:val="18"/>
                <w:szCs w:val="18"/>
                <w:b w:val="1"/>
                <w:bCs w:val="1"/>
                <w:color w:val="auto"/>
              </w:rPr>
              <w:t>(prior years unaudited)</w:t>
            </w:r>
          </w:p>
        </w:tc>
        <w:tc>
          <w:tcPr>
            <w:tcW w:w="1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7"/>
              </w:rPr>
              <w:t>Total IBNR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Plus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Expected</w:t>
            </w:r>
          </w:p>
        </w:tc>
        <w:tc>
          <w:tcPr>
            <w:tcW w:w="9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0"/>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Development</w:t>
            </w:r>
          </w:p>
        </w:tc>
        <w:tc>
          <w:tcPr>
            <w:tcW w:w="9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Accident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on Reported</w:t>
            </w:r>
          </w:p>
        </w:tc>
        <w:tc>
          <w:tcPr>
            <w:tcW w:w="9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194"/>
        </w:trPr>
        <w:tc>
          <w:tcPr>
            <w:tcW w:w="9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Year</w:t>
            </w:r>
          </w:p>
        </w:tc>
        <w:tc>
          <w:tcPr>
            <w:tcW w:w="640" w:type="dxa"/>
            <w:vAlign w:val="bottom"/>
          </w:tcPr>
          <w:p>
            <w:pPr>
              <w:ind w:left="140"/>
              <w:spacing w:after="0" w:line="194" w:lineRule="exact"/>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6"/>
                <w:szCs w:val="16"/>
                <w:color w:val="auto"/>
              </w:rPr>
            </w:pPr>
          </w:p>
        </w:tc>
        <w:tc>
          <w:tcPr>
            <w:tcW w:w="74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w w:val="94"/>
              </w:rPr>
              <w:t>2014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6"/>
                <w:szCs w:val="16"/>
                <w:color w:val="auto"/>
              </w:rPr>
            </w:pPr>
          </w:p>
        </w:tc>
        <w:tc>
          <w:tcPr>
            <w:tcW w:w="740" w:type="dxa"/>
            <w:vAlign w:val="bottom"/>
            <w:gridSpan w:val="5"/>
          </w:tcPr>
          <w:p>
            <w:pPr>
              <w:jc w:val="right"/>
              <w:ind w:right="50"/>
              <w:spacing w:after="0" w:line="194"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90"/>
              <w:spacing w:after="0" w:line="194" w:lineRule="exact"/>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4"/>
          </w:tcPr>
          <w:p>
            <w:pPr>
              <w:jc w:val="center"/>
              <w:ind w:right="400"/>
              <w:spacing w:after="0" w:line="194" w:lineRule="exact"/>
              <w:rPr>
                <w:sz w:val="20"/>
                <w:szCs w:val="20"/>
                <w:color w:val="auto"/>
              </w:rPr>
            </w:pPr>
            <w:r>
              <w:rPr>
                <w:rFonts w:ascii="Arial" w:cs="Arial" w:eastAsia="Arial" w:hAnsi="Arial"/>
                <w:sz w:val="18"/>
                <w:szCs w:val="18"/>
                <w:b w:val="1"/>
                <w:bCs w:val="1"/>
                <w:color w:val="auto"/>
                <w:w w:val="91"/>
              </w:rPr>
              <w:t>Claims</w:t>
            </w:r>
          </w:p>
        </w:tc>
        <w:tc>
          <w:tcPr>
            <w:tcW w:w="120" w:type="dxa"/>
            <w:vAlign w:val="bottom"/>
          </w:tcPr>
          <w:p>
            <w:pPr>
              <w:spacing w:after="0"/>
              <w:rPr>
                <w:sz w:val="16"/>
                <w:szCs w:val="16"/>
                <w:color w:val="auto"/>
              </w:rPr>
            </w:pPr>
          </w:p>
        </w:tc>
        <w:tc>
          <w:tcPr>
            <w:tcW w:w="820" w:type="dxa"/>
            <w:vAlign w:val="bottom"/>
            <w:gridSpan w:val="4"/>
          </w:tcPr>
          <w:p>
            <w:pPr>
              <w:jc w:val="center"/>
              <w:ind w:right="160"/>
              <w:spacing w:after="0" w:line="194" w:lineRule="exact"/>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40" w:type="dxa"/>
            <w:vAlign w:val="bottom"/>
            <w:gridSpan w:val="3"/>
            <w:vMerge w:val="restart"/>
          </w:tcPr>
          <w:p>
            <w:pPr>
              <w:spacing w:after="0"/>
              <w:rPr>
                <w:sz w:val="20"/>
                <w:szCs w:val="20"/>
                <w:color w:val="auto"/>
              </w:rPr>
            </w:pPr>
            <w:r>
              <w:rPr>
                <w:rFonts w:ascii="Arial" w:cs="Arial" w:eastAsia="Arial" w:hAnsi="Arial"/>
                <w:sz w:val="18"/>
                <w:szCs w:val="18"/>
                <w:color w:val="auto"/>
                <w:w w:val="81"/>
              </w:rPr>
              <w:t>(in thousands,</w:t>
            </w:r>
          </w:p>
        </w:tc>
        <w:tc>
          <w:tcPr>
            <w:tcW w:w="6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40" w:type="dxa"/>
            <w:vAlign w:val="bottom"/>
            <w:gridSpan w:val="3"/>
            <w:vMerge w:val="continue"/>
          </w:tcPr>
          <w:p>
            <w:pPr>
              <w:spacing w:after="0"/>
              <w:rPr>
                <w:sz w:val="15"/>
                <w:szCs w:val="15"/>
                <w:color w:val="auto"/>
              </w:rPr>
            </w:pPr>
          </w:p>
        </w:tc>
        <w:tc>
          <w:tcPr>
            <w:tcW w:w="640" w:type="dxa"/>
            <w:vAlign w:val="bottom"/>
          </w:tcPr>
          <w:p>
            <w:pPr>
              <w:ind w:left="120"/>
              <w:spacing w:after="0" w:line="182" w:lineRule="exact"/>
              <w:rPr>
                <w:sz w:val="20"/>
                <w:szCs w:val="20"/>
                <w:color w:val="auto"/>
              </w:rPr>
            </w:pPr>
            <w:r>
              <w:rPr>
                <w:rFonts w:ascii="Arial" w:cs="Arial" w:eastAsia="Arial" w:hAnsi="Arial"/>
                <w:sz w:val="18"/>
                <w:szCs w:val="18"/>
                <w:color w:val="auto"/>
                <w:w w:val="94"/>
              </w:rPr>
              <w:t>except</w:t>
            </w: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60" w:type="dxa"/>
            <w:vAlign w:val="bottom"/>
            <w:gridSpan w:val="5"/>
          </w:tcPr>
          <w:p>
            <w:pPr>
              <w:spacing w:after="0"/>
              <w:rPr>
                <w:sz w:val="20"/>
                <w:szCs w:val="20"/>
                <w:color w:val="auto"/>
              </w:rPr>
            </w:pPr>
            <w:r>
              <w:rPr>
                <w:rFonts w:ascii="Arial" w:cs="Arial" w:eastAsia="Arial" w:hAnsi="Arial"/>
                <w:sz w:val="18"/>
                <w:szCs w:val="18"/>
                <w:color w:val="auto"/>
              </w:rPr>
              <w:t>claim counts)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2008</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$ 20,151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$ 19,591</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$ 19,913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$ 19,528</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$ 19,386</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$ 19,430</w:t>
            </w:r>
          </w:p>
        </w:tc>
        <w:tc>
          <w:tcPr>
            <w:tcW w:w="8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$ 19,138</w:t>
            </w: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$ 19,071</w:t>
            </w:r>
          </w:p>
        </w:tc>
        <w:tc>
          <w:tcPr>
            <w:tcW w:w="9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$ 19,071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19,072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2009</w:t>
            </w:r>
          </w:p>
        </w:tc>
        <w:tc>
          <w:tcPr>
            <w:tcW w:w="5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16,584</w:t>
            </w: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15,797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15,657</w:t>
            </w: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15,577</w:t>
            </w:r>
          </w:p>
        </w:tc>
        <w:tc>
          <w:tcPr>
            <w:tcW w:w="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16,065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16,074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16,001</w:t>
            </w:r>
          </w:p>
        </w:tc>
        <w:tc>
          <w:tcPr>
            <w:tcW w:w="940" w:type="dxa"/>
            <w:vAlign w:val="bottom"/>
            <w:gridSpan w:val="6"/>
          </w:tcPr>
          <w:p>
            <w:pPr>
              <w:jc w:val="right"/>
              <w:ind w:right="200"/>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18"/>
                <w:szCs w:val="18"/>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16,001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2010</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23,477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23,007</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22,454</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22,209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22,198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22,202</w:t>
            </w:r>
          </w:p>
        </w:tc>
        <w:tc>
          <w:tcPr>
            <w:tcW w:w="9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22,190</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22,190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2011</w:t>
            </w:r>
          </w:p>
        </w:tc>
        <w:tc>
          <w:tcPr>
            <w:tcW w:w="5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31,948</w:t>
            </w: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32,104</w:t>
            </w:r>
          </w:p>
        </w:tc>
        <w:tc>
          <w:tcPr>
            <w:tcW w:w="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32,113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31,771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31,684</w:t>
            </w:r>
          </w:p>
        </w:tc>
        <w:tc>
          <w:tcPr>
            <w:tcW w:w="940" w:type="dxa"/>
            <w:vAlign w:val="bottom"/>
            <w:gridSpan w:val="6"/>
          </w:tcPr>
          <w:p>
            <w:pPr>
              <w:jc w:val="right"/>
              <w:ind w:right="200"/>
              <w:spacing w:after="0"/>
              <w:rPr>
                <w:sz w:val="20"/>
                <w:szCs w:val="20"/>
                <w:color w:val="auto"/>
              </w:rPr>
            </w:pPr>
            <w:r>
              <w:rPr>
                <w:rFonts w:ascii="Arial" w:cs="Arial" w:eastAsia="Arial" w:hAnsi="Arial"/>
                <w:sz w:val="18"/>
                <w:szCs w:val="18"/>
                <w:color w:val="auto"/>
              </w:rPr>
              <w:t>31,388</w:t>
            </w:r>
          </w:p>
        </w:tc>
        <w:tc>
          <w:tcPr>
            <w:tcW w:w="100" w:type="dxa"/>
            <w:vAlign w:val="bottom"/>
          </w:tcPr>
          <w:p>
            <w:pPr>
              <w:spacing w:after="0"/>
              <w:rPr>
                <w:sz w:val="18"/>
                <w:szCs w:val="18"/>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31,306</w:t>
            </w:r>
          </w:p>
        </w:tc>
        <w:tc>
          <w:tcPr>
            <w:tcW w:w="2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2012</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25,179</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24,439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24,320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24,091</w:t>
            </w:r>
          </w:p>
        </w:tc>
        <w:tc>
          <w:tcPr>
            <w:tcW w:w="9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24,081</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24,079</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2013</w:t>
            </w:r>
          </w:p>
        </w:tc>
        <w:tc>
          <w:tcPr>
            <w:tcW w:w="5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29,976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29,217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28,531</w:t>
            </w:r>
          </w:p>
        </w:tc>
        <w:tc>
          <w:tcPr>
            <w:tcW w:w="940" w:type="dxa"/>
            <w:vAlign w:val="bottom"/>
            <w:gridSpan w:val="6"/>
          </w:tcPr>
          <w:p>
            <w:pPr>
              <w:jc w:val="right"/>
              <w:ind w:right="200"/>
              <w:spacing w:after="0"/>
              <w:rPr>
                <w:sz w:val="20"/>
                <w:szCs w:val="20"/>
                <w:color w:val="auto"/>
              </w:rPr>
            </w:pPr>
            <w:r>
              <w:rPr>
                <w:rFonts w:ascii="Arial" w:cs="Arial" w:eastAsia="Arial" w:hAnsi="Arial"/>
                <w:sz w:val="18"/>
                <w:szCs w:val="18"/>
                <w:color w:val="auto"/>
              </w:rPr>
              <w:t>28,315</w:t>
            </w:r>
          </w:p>
        </w:tc>
        <w:tc>
          <w:tcPr>
            <w:tcW w:w="100" w:type="dxa"/>
            <w:vAlign w:val="bottom"/>
          </w:tcPr>
          <w:p>
            <w:pPr>
              <w:spacing w:after="0"/>
              <w:rPr>
                <w:sz w:val="18"/>
                <w:szCs w:val="18"/>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28,286</w:t>
            </w:r>
          </w:p>
        </w:tc>
        <w:tc>
          <w:tcPr>
            <w:tcW w:w="2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2014</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36,663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36,001</w:t>
            </w:r>
          </w:p>
        </w:tc>
        <w:tc>
          <w:tcPr>
            <w:tcW w:w="9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35,770</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35,589</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2015</w:t>
            </w:r>
          </w:p>
        </w:tc>
        <w:tc>
          <w:tcPr>
            <w:tcW w:w="5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32,789</w:t>
            </w:r>
          </w:p>
        </w:tc>
        <w:tc>
          <w:tcPr>
            <w:tcW w:w="940" w:type="dxa"/>
            <w:vAlign w:val="bottom"/>
            <w:gridSpan w:val="6"/>
          </w:tcPr>
          <w:p>
            <w:pPr>
              <w:jc w:val="right"/>
              <w:ind w:right="200"/>
              <w:spacing w:after="0"/>
              <w:rPr>
                <w:sz w:val="20"/>
                <w:szCs w:val="20"/>
                <w:color w:val="auto"/>
              </w:rPr>
            </w:pPr>
            <w:r>
              <w:rPr>
                <w:rFonts w:ascii="Arial" w:cs="Arial" w:eastAsia="Arial" w:hAnsi="Arial"/>
                <w:sz w:val="18"/>
                <w:szCs w:val="18"/>
                <w:color w:val="auto"/>
              </w:rPr>
              <w:t>31,818</w:t>
            </w:r>
          </w:p>
        </w:tc>
        <w:tc>
          <w:tcPr>
            <w:tcW w:w="100" w:type="dxa"/>
            <w:vAlign w:val="bottom"/>
          </w:tcPr>
          <w:p>
            <w:pPr>
              <w:spacing w:after="0"/>
              <w:rPr>
                <w:sz w:val="18"/>
                <w:szCs w:val="18"/>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31,297</w:t>
            </w:r>
          </w:p>
        </w:tc>
        <w:tc>
          <w:tcPr>
            <w:tcW w:w="2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2016</w:t>
            </w:r>
          </w:p>
        </w:tc>
        <w:tc>
          <w:tcPr>
            <w:tcW w:w="5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45,825</w:t>
            </w:r>
          </w:p>
        </w:tc>
        <w:tc>
          <w:tcPr>
            <w:tcW w:w="10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44,510</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79"/>
              </w:rPr>
              <w:t>2017</w:t>
            </w:r>
          </w:p>
        </w:tc>
        <w:tc>
          <w:tcPr>
            <w:tcW w:w="5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3"/>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42,110</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1,707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294,440</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Home and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38"/>
          </w:tcPr>
          <w:p>
            <w:pPr>
              <w:ind w:left="580"/>
              <w:spacing w:after="0"/>
              <w:rPr>
                <w:sz w:val="20"/>
                <w:szCs w:val="20"/>
                <w:color w:val="auto"/>
              </w:rPr>
            </w:pPr>
            <w:r>
              <w:rPr>
                <w:rFonts w:ascii="Arial" w:cs="Arial" w:eastAsia="Arial" w:hAnsi="Arial"/>
                <w:sz w:val="18"/>
                <w:szCs w:val="18"/>
                <w:b w:val="1"/>
                <w:bCs w:val="1"/>
                <w:color w:val="auto"/>
              </w:rPr>
              <w:t>Paid Claims and Allocated Claim Adjustment Expenses, Net of Reinsurance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Farm</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20"/>
          </w:tcPr>
          <w:p>
            <w:pPr>
              <w:jc w:val="right"/>
              <w:ind w:right="220"/>
              <w:spacing w:after="0"/>
              <w:rPr>
                <w:sz w:val="20"/>
                <w:szCs w:val="20"/>
                <w:color w:val="auto"/>
              </w:rPr>
            </w:pPr>
            <w:r>
              <w:rPr>
                <w:rFonts w:ascii="Arial" w:cs="Arial" w:eastAsia="Arial" w:hAnsi="Arial"/>
                <w:sz w:val="18"/>
                <w:szCs w:val="18"/>
                <w:b w:val="1"/>
                <w:bCs w:val="1"/>
                <w:color w:val="auto"/>
              </w:rPr>
              <w:t>For the Year Ended December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Accident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w w:val="91"/>
              </w:rPr>
              <w:t>(prior years unaudited)</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94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w w:val="94"/>
              </w:rPr>
              <w:t>2008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ind w:right="30"/>
              <w:spacing w:after="0" w:line="194" w:lineRule="exact"/>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right"/>
              <w:ind w:right="10"/>
              <w:spacing w:after="0" w:line="194" w:lineRule="exact"/>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4"/>
          </w:tcPr>
          <w:p>
            <w:pPr>
              <w:jc w:val="right"/>
              <w:spacing w:after="0" w:line="194"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5"/>
          </w:tcPr>
          <w:p>
            <w:pPr>
              <w:jc w:val="right"/>
              <w:ind w:right="160"/>
              <w:spacing w:after="0" w:line="194" w:lineRule="exact"/>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16"/>
                <w:szCs w:val="16"/>
                <w:color w:val="auto"/>
              </w:rPr>
            </w:pPr>
          </w:p>
        </w:tc>
        <w:tc>
          <w:tcPr>
            <w:tcW w:w="740" w:type="dxa"/>
            <w:vAlign w:val="bottom"/>
            <w:gridSpan w:val="4"/>
          </w:tcPr>
          <w:p>
            <w:pPr>
              <w:jc w:val="right"/>
              <w:spacing w:after="0" w:line="194"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6"/>
                <w:szCs w:val="16"/>
                <w:color w:val="auto"/>
              </w:rPr>
            </w:pPr>
          </w:p>
        </w:tc>
        <w:tc>
          <w:tcPr>
            <w:tcW w:w="880" w:type="dxa"/>
            <w:vAlign w:val="bottom"/>
            <w:gridSpan w:val="4"/>
          </w:tcPr>
          <w:p>
            <w:pPr>
              <w:jc w:val="right"/>
              <w:ind w:right="70"/>
              <w:spacing w:after="0" w:line="194" w:lineRule="exact"/>
              <w:rPr>
                <w:sz w:val="20"/>
                <w:szCs w:val="20"/>
                <w:color w:val="auto"/>
              </w:rPr>
            </w:pPr>
            <w:r>
              <w:rPr>
                <w:rFonts w:ascii="Arial" w:cs="Arial" w:eastAsia="Arial" w:hAnsi="Arial"/>
                <w:sz w:val="18"/>
                <w:szCs w:val="18"/>
                <w:b w:val="1"/>
                <w:bCs w:val="1"/>
                <w:color w:val="auto"/>
              </w:rPr>
              <w:t>2015</w:t>
            </w:r>
          </w:p>
        </w:tc>
        <w:tc>
          <w:tcPr>
            <w:tcW w:w="78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9"/>
              </w:rPr>
              <w:t>2017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bottom w:val="single" w:sz="8" w:color="CCEEFF"/>
            </w:tcBorders>
            <w:gridSpan w:val="6"/>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CCEEFF"/>
            </w:tcBorders>
            <w:gridSpan w:val="3"/>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2008</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16,353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18,677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18,975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$ 19,302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$ 19,075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$ 19,077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$ 19,089</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$ 19,071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$ 19,071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2009</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12,657</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14,654</w:t>
            </w: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14,904</w:t>
            </w:r>
          </w:p>
        </w:tc>
        <w:tc>
          <w:tcPr>
            <w:tcW w:w="880" w:type="dxa"/>
            <w:vAlign w:val="bottom"/>
            <w:gridSpan w:val="6"/>
          </w:tcPr>
          <w:p>
            <w:pPr>
              <w:jc w:val="right"/>
              <w:ind w:right="40"/>
              <w:spacing w:after="0"/>
              <w:rPr>
                <w:sz w:val="20"/>
                <w:szCs w:val="20"/>
                <w:color w:val="auto"/>
              </w:rPr>
            </w:pPr>
            <w:r>
              <w:rPr>
                <w:rFonts w:ascii="Arial" w:cs="Arial" w:eastAsia="Arial" w:hAnsi="Arial"/>
                <w:sz w:val="18"/>
                <w:szCs w:val="18"/>
                <w:color w:val="auto"/>
              </w:rPr>
              <w:t>15,436</w:t>
            </w: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15,935</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15,960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16,000</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16,001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2010</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19,902</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21,940</w:t>
            </w:r>
          </w:p>
        </w:tc>
        <w:tc>
          <w:tcPr>
            <w:tcW w:w="8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21,955</w:t>
            </w: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22,068</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22,154</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22,190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2011</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29,399</w:t>
            </w:r>
          </w:p>
        </w:tc>
        <w:tc>
          <w:tcPr>
            <w:tcW w:w="880" w:type="dxa"/>
            <w:vAlign w:val="bottom"/>
            <w:gridSpan w:val="6"/>
          </w:tcPr>
          <w:p>
            <w:pPr>
              <w:jc w:val="right"/>
              <w:ind w:right="40"/>
              <w:spacing w:after="0"/>
              <w:rPr>
                <w:sz w:val="20"/>
                <w:szCs w:val="20"/>
                <w:color w:val="auto"/>
              </w:rPr>
            </w:pPr>
            <w:r>
              <w:rPr>
                <w:rFonts w:ascii="Arial" w:cs="Arial" w:eastAsia="Arial" w:hAnsi="Arial"/>
                <w:sz w:val="18"/>
                <w:szCs w:val="18"/>
                <w:color w:val="auto"/>
              </w:rPr>
              <w:t>33,019</w:t>
            </w: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31,126</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31,460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31,702</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31,277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2012</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21,761</w:t>
            </w: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23,863</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24,168</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24,075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2013</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23,354</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26,934</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27,183</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27,221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2014</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32,207</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35,199</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35,219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2015</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27,204</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30,164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2016</w:t>
            </w: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37,656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2017</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285,419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320" w:type="dxa"/>
            <w:vAlign w:val="bottom"/>
            <w:gridSpan w:val="24"/>
            <w:vMerge w:val="restart"/>
          </w:tcPr>
          <w:p>
            <w:pPr>
              <w:jc w:val="right"/>
              <w:ind w:right="80"/>
              <w:spacing w:after="0"/>
              <w:rPr>
                <w:sz w:val="20"/>
                <w:szCs w:val="20"/>
                <w:color w:val="auto"/>
              </w:rPr>
            </w:pPr>
            <w:r>
              <w:rPr>
                <w:rFonts w:ascii="Arial" w:cs="Arial" w:eastAsia="Arial" w:hAnsi="Arial"/>
                <w:sz w:val="18"/>
                <w:szCs w:val="18"/>
                <w:color w:val="auto"/>
                <w:w w:val="93"/>
              </w:rPr>
              <w:t>All outstanding liabilities prior to 2008, net of reinsurance</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320" w:type="dxa"/>
            <w:vAlign w:val="bottom"/>
            <w:gridSpan w:val="24"/>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60" w:type="dxa"/>
            <w:vAlign w:val="bottom"/>
            <w:gridSpan w:val="34"/>
            <w:shd w:val="clear" w:color="auto" w:fill="CCEEFF"/>
          </w:tcPr>
          <w:p>
            <w:pPr>
              <w:jc w:val="right"/>
              <w:ind w:right="80"/>
              <w:spacing w:after="0"/>
              <w:rPr>
                <w:sz w:val="20"/>
                <w:szCs w:val="20"/>
                <w:color w:val="auto"/>
              </w:rPr>
            </w:pPr>
            <w:r>
              <w:rPr>
                <w:rFonts w:ascii="Arial" w:cs="Arial" w:eastAsia="Arial" w:hAnsi="Arial"/>
                <w:sz w:val="18"/>
                <w:szCs w:val="18"/>
                <w:color w:val="auto"/>
                <w:w w:val="95"/>
              </w:rPr>
              <w:t>Liabilities for Unpaid Losses and Loss Adjustment Expenses, net of reinsurance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83" w:name="page84"/>
    <w:bookmarkEnd w:id="8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80" w:type="dxa"/>
            <w:vAlign w:val="bottom"/>
            <w:gridSpan w:val="37"/>
          </w:tcPr>
          <w:p>
            <w:pPr>
              <w:ind w:left="160"/>
              <w:spacing w:after="0"/>
              <w:rPr>
                <w:sz w:val="20"/>
                <w:szCs w:val="20"/>
                <w:color w:val="auto"/>
              </w:rPr>
            </w:pPr>
            <w:r>
              <w:rPr>
                <w:rFonts w:ascii="Arial" w:cs="Arial" w:eastAsia="Arial" w:hAnsi="Arial"/>
                <w:sz w:val="18"/>
                <w:szCs w:val="18"/>
                <w:b w:val="1"/>
                <w:bCs w:val="1"/>
                <w:color w:val="auto"/>
                <w:w w:val="91"/>
              </w:rPr>
              <w:t>Incurred Claims and Allocated Claim Adjustment Expenses, Net of Reinsurance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Crop</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20" w:type="dxa"/>
            <w:vAlign w:val="bottom"/>
            <w:gridSpan w:val="18"/>
          </w:tcPr>
          <w:p>
            <w:pPr>
              <w:jc w:val="right"/>
              <w:ind w:right="260"/>
              <w:spacing w:after="0"/>
              <w:rPr>
                <w:sz w:val="20"/>
                <w:szCs w:val="20"/>
                <w:color w:val="auto"/>
              </w:rPr>
            </w:pPr>
            <w:r>
              <w:rPr>
                <w:rFonts w:ascii="Arial" w:cs="Arial" w:eastAsia="Arial" w:hAnsi="Arial"/>
                <w:sz w:val="18"/>
                <w:szCs w:val="18"/>
                <w:b w:val="1"/>
                <w:bCs w:val="1"/>
                <w:color w:val="auto"/>
                <w:w w:val="98"/>
              </w:rPr>
              <w:t>For the Year Ended 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11"/>
          </w:tcPr>
          <w:p>
            <w:pPr>
              <w:jc w:val="right"/>
              <w:ind w:right="320"/>
              <w:spacing w:after="0"/>
              <w:rPr>
                <w:sz w:val="20"/>
                <w:szCs w:val="20"/>
                <w:color w:val="auto"/>
              </w:rPr>
            </w:pPr>
            <w:r>
              <w:rPr>
                <w:rFonts w:ascii="Arial" w:cs="Arial" w:eastAsia="Arial" w:hAnsi="Arial"/>
                <w:sz w:val="18"/>
                <w:szCs w:val="18"/>
                <w:b w:val="1"/>
                <w:bCs w:val="1"/>
                <w:color w:val="auto"/>
              </w:rPr>
              <w:t>At 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8"/>
                <w:szCs w:val="18"/>
                <w:b w:val="1"/>
                <w:bCs w:val="1"/>
                <w:color w:val="auto"/>
                <w:w w:val="93"/>
              </w:rPr>
              <w:t>(prior years unaudited)</w:t>
            </w: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420" w:type="dxa"/>
            <w:vAlign w:val="bottom"/>
            <w:gridSpan w:val="60"/>
          </w:tcPr>
          <w:p>
            <w:pPr>
              <w:spacing w:after="0"/>
              <w:rPr>
                <w:sz w:val="20"/>
                <w:szCs w:val="20"/>
                <w:color w:val="auto"/>
              </w:rPr>
            </w:pPr>
            <w:r>
              <w:rPr>
                <w:rFonts w:ascii="Arial" w:cs="Arial" w:eastAsia="Arial" w:hAnsi="Arial"/>
                <w:sz w:val="18"/>
                <w:szCs w:val="18"/>
                <w:b w:val="1"/>
                <w:bCs w:val="1"/>
                <w:color w:val="auto"/>
              </w:rPr>
              <w:t>Total IBNR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7"/>
              </w:rPr>
              <w:t>Plus Expected</w:t>
            </w:r>
          </w:p>
        </w:tc>
        <w:tc>
          <w:tcPr>
            <w:tcW w:w="9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Development</w:t>
            </w:r>
          </w:p>
        </w:tc>
        <w:tc>
          <w:tcPr>
            <w:tcW w:w="9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Accident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on Reported</w:t>
            </w:r>
          </w:p>
        </w:tc>
        <w:tc>
          <w:tcPr>
            <w:tcW w:w="9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6"/>
              </w:rPr>
              <w:t>Reported</w:t>
            </w:r>
          </w:p>
        </w:tc>
        <w:tc>
          <w:tcPr>
            <w:tcW w:w="0" w:type="dxa"/>
            <w:vAlign w:val="bottom"/>
          </w:tcPr>
          <w:p>
            <w:pPr>
              <w:spacing w:after="0"/>
              <w:rPr>
                <w:sz w:val="1"/>
                <w:szCs w:val="1"/>
                <w:color w:val="auto"/>
              </w:rPr>
            </w:pPr>
          </w:p>
        </w:tc>
      </w:tr>
      <w:tr>
        <w:trPr>
          <w:trHeight w:val="194"/>
        </w:trPr>
        <w:tc>
          <w:tcPr>
            <w:tcW w:w="8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Year</w:t>
            </w:r>
          </w:p>
        </w:tc>
        <w:tc>
          <w:tcPr>
            <w:tcW w:w="700" w:type="dxa"/>
            <w:vAlign w:val="bottom"/>
            <w:gridSpan w:val="2"/>
          </w:tcPr>
          <w:p>
            <w:pPr>
              <w:jc w:val="right"/>
              <w:ind w:right="30"/>
              <w:spacing w:after="0" w:line="194" w:lineRule="exact"/>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6"/>
                <w:szCs w:val="16"/>
                <w:color w:val="auto"/>
              </w:rPr>
            </w:pPr>
          </w:p>
        </w:tc>
        <w:tc>
          <w:tcPr>
            <w:tcW w:w="660" w:type="dxa"/>
            <w:vAlign w:val="bottom"/>
          </w:tcPr>
          <w:p>
            <w:pPr>
              <w:ind w:left="160"/>
              <w:spacing w:after="0" w:line="194" w:lineRule="exact"/>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right"/>
              <w:ind w:right="70"/>
              <w:spacing w:after="0" w:line="194"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tcPr>
          <w:p>
            <w:pPr>
              <w:jc w:val="right"/>
              <w:ind w:right="50"/>
              <w:spacing w:after="0" w:line="194" w:lineRule="exact"/>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w w:val="99"/>
              </w:rPr>
              <w:t>2013</w:t>
            </w:r>
          </w:p>
        </w:tc>
        <w:tc>
          <w:tcPr>
            <w:tcW w:w="80" w:type="dxa"/>
            <w:vAlign w:val="bottom"/>
          </w:tcPr>
          <w:p>
            <w:pPr>
              <w:spacing w:after="0"/>
              <w:rPr>
                <w:sz w:val="16"/>
                <w:szCs w:val="16"/>
                <w:color w:val="auto"/>
              </w:rPr>
            </w:pPr>
          </w:p>
        </w:tc>
        <w:tc>
          <w:tcPr>
            <w:tcW w:w="720" w:type="dxa"/>
            <w:vAlign w:val="bottom"/>
            <w:gridSpan w:val="4"/>
          </w:tcPr>
          <w:p>
            <w:pPr>
              <w:jc w:val="right"/>
              <w:ind w:right="50"/>
              <w:spacing w:after="0" w:line="194"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6"/>
                <w:szCs w:val="16"/>
                <w:color w:val="auto"/>
              </w:rPr>
            </w:pPr>
          </w:p>
        </w:tc>
        <w:tc>
          <w:tcPr>
            <w:tcW w:w="740" w:type="dxa"/>
            <w:vAlign w:val="bottom"/>
            <w:gridSpan w:val="5"/>
          </w:tcPr>
          <w:p>
            <w:pPr>
              <w:jc w:val="right"/>
              <w:ind w:right="70"/>
              <w:spacing w:after="0" w:line="194" w:lineRule="exact"/>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6"/>
                <w:szCs w:val="16"/>
                <w:color w:val="auto"/>
              </w:rPr>
            </w:pPr>
          </w:p>
        </w:tc>
        <w:tc>
          <w:tcPr>
            <w:tcW w:w="620" w:type="dxa"/>
            <w:vAlign w:val="bottom"/>
            <w:gridSpan w:val="4"/>
          </w:tcPr>
          <w:p>
            <w:pPr>
              <w:jc w:val="right"/>
              <w:spacing w:after="0" w:line="194"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6"/>
                <w:szCs w:val="16"/>
                <w:color w:val="auto"/>
              </w:rPr>
            </w:pPr>
          </w:p>
        </w:tc>
        <w:tc>
          <w:tcPr>
            <w:tcW w:w="74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6"/>
          </w:tcPr>
          <w:p>
            <w:pPr>
              <w:jc w:val="center"/>
              <w:ind w:right="220"/>
              <w:spacing w:after="0" w:line="194" w:lineRule="exact"/>
              <w:rPr>
                <w:sz w:val="20"/>
                <w:szCs w:val="20"/>
                <w:color w:val="auto"/>
              </w:rPr>
            </w:pPr>
            <w:r>
              <w:rPr>
                <w:rFonts w:ascii="Arial" w:cs="Arial" w:eastAsia="Arial" w:hAnsi="Arial"/>
                <w:sz w:val="18"/>
                <w:szCs w:val="18"/>
                <w:b w:val="1"/>
                <w:bCs w:val="1"/>
                <w:color w:val="auto"/>
                <w:w w:val="91"/>
              </w:rPr>
              <w:t>Claims</w:t>
            </w:r>
          </w:p>
        </w:tc>
        <w:tc>
          <w:tcPr>
            <w:tcW w:w="120" w:type="dxa"/>
            <w:vAlign w:val="bottom"/>
          </w:tcPr>
          <w:p>
            <w:pPr>
              <w:spacing w:after="0"/>
              <w:rPr>
                <w:sz w:val="16"/>
                <w:szCs w:val="16"/>
                <w:color w:val="auto"/>
              </w:rPr>
            </w:pPr>
          </w:p>
        </w:tc>
        <w:tc>
          <w:tcPr>
            <w:tcW w:w="820" w:type="dxa"/>
            <w:vAlign w:val="bottom"/>
            <w:gridSpan w:val="4"/>
          </w:tcPr>
          <w:p>
            <w:pPr>
              <w:jc w:val="center"/>
              <w:ind w:right="160"/>
              <w:spacing w:after="0" w:line="194" w:lineRule="exact"/>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360" w:type="dxa"/>
            <w:vAlign w:val="bottom"/>
            <w:gridSpan w:val="7"/>
          </w:tcPr>
          <w:p>
            <w:pPr>
              <w:spacing w:after="0" w:line="182" w:lineRule="exact"/>
              <w:rPr>
                <w:sz w:val="20"/>
                <w:szCs w:val="20"/>
                <w:color w:val="auto"/>
              </w:rPr>
            </w:pPr>
            <w:r>
              <w:rPr>
                <w:rFonts w:ascii="Arial" w:cs="Arial" w:eastAsia="Arial" w:hAnsi="Arial"/>
                <w:sz w:val="18"/>
                <w:szCs w:val="18"/>
                <w:color w:val="auto"/>
              </w:rPr>
              <w:t>(in thousands, except claim</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20" w:type="dxa"/>
            <w:vAlign w:val="bottom"/>
            <w:gridSpan w:val="60"/>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$ 20,534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$ 20,868</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$ 22,257</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$ 22,941</w:t>
            </w: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4"/>
              </w:rPr>
              <w:t>$ 22,941</w:t>
            </w:r>
          </w:p>
        </w:tc>
        <w:tc>
          <w:tcPr>
            <w:tcW w:w="8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$ 22,941</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9"/>
              </w:rPr>
              <w:t>$ 22,941</w:t>
            </w:r>
          </w:p>
        </w:tc>
        <w:tc>
          <w:tcPr>
            <w:tcW w:w="8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$ 22,941</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$ 22,941</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22,941</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17,517</w:t>
            </w: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15,450</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15,450</w:t>
            </w:r>
          </w:p>
        </w:tc>
        <w:tc>
          <w:tcPr>
            <w:tcW w:w="2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15,450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15,450</w:t>
            </w: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15,450</w:t>
            </w:r>
          </w:p>
        </w:tc>
        <w:tc>
          <w:tcPr>
            <w:tcW w:w="820" w:type="dxa"/>
            <w:vAlign w:val="bottom"/>
            <w:gridSpan w:val="6"/>
          </w:tcPr>
          <w:p>
            <w:pPr>
              <w:jc w:val="right"/>
              <w:ind w:right="80"/>
              <w:spacing w:after="0"/>
              <w:rPr>
                <w:sz w:val="20"/>
                <w:szCs w:val="20"/>
                <w:color w:val="auto"/>
              </w:rPr>
            </w:pPr>
            <w:r>
              <w:rPr>
                <w:rFonts w:ascii="Arial" w:cs="Arial" w:eastAsia="Arial" w:hAnsi="Arial"/>
                <w:sz w:val="18"/>
                <w:szCs w:val="18"/>
                <w:color w:val="auto"/>
              </w:rPr>
              <w:t>15,450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15,450</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15,450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20,742</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20,717</w:t>
            </w: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20,717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20,717</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20,717</w:t>
            </w:r>
          </w:p>
        </w:tc>
        <w:tc>
          <w:tcPr>
            <w:tcW w:w="8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20,717</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20,717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55,094</w:t>
            </w:r>
          </w:p>
        </w:tc>
        <w:tc>
          <w:tcPr>
            <w:tcW w:w="2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54,953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59,651</w:t>
            </w: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59,651</w:t>
            </w:r>
          </w:p>
        </w:tc>
        <w:tc>
          <w:tcPr>
            <w:tcW w:w="820" w:type="dxa"/>
            <w:vAlign w:val="bottom"/>
            <w:gridSpan w:val="6"/>
          </w:tcPr>
          <w:p>
            <w:pPr>
              <w:jc w:val="right"/>
              <w:ind w:right="80"/>
              <w:spacing w:after="0"/>
              <w:rPr>
                <w:sz w:val="20"/>
                <w:szCs w:val="20"/>
                <w:color w:val="auto"/>
              </w:rPr>
            </w:pPr>
            <w:r>
              <w:rPr>
                <w:rFonts w:ascii="Arial" w:cs="Arial" w:eastAsia="Arial" w:hAnsi="Arial"/>
                <w:sz w:val="18"/>
                <w:szCs w:val="18"/>
                <w:color w:val="auto"/>
              </w:rPr>
              <w:t>59,651</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59,651</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59,651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13,546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13,676</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13,673</w:t>
            </w:r>
          </w:p>
        </w:tc>
        <w:tc>
          <w:tcPr>
            <w:tcW w:w="8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13,673</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13,673</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13,673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40,976</w:t>
            </w: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39,665</w:t>
            </w:r>
          </w:p>
        </w:tc>
        <w:tc>
          <w:tcPr>
            <w:tcW w:w="820" w:type="dxa"/>
            <w:vAlign w:val="bottom"/>
            <w:gridSpan w:val="6"/>
          </w:tcPr>
          <w:p>
            <w:pPr>
              <w:jc w:val="right"/>
              <w:ind w:right="80"/>
              <w:spacing w:after="0"/>
              <w:rPr>
                <w:sz w:val="20"/>
                <w:szCs w:val="20"/>
                <w:color w:val="auto"/>
              </w:rPr>
            </w:pPr>
            <w:r>
              <w:rPr>
                <w:rFonts w:ascii="Arial" w:cs="Arial" w:eastAsia="Arial" w:hAnsi="Arial"/>
                <w:sz w:val="18"/>
                <w:szCs w:val="18"/>
                <w:color w:val="auto"/>
              </w:rPr>
              <w:t>39,665</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39,665</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39,665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22,686</w:t>
            </w:r>
          </w:p>
        </w:tc>
        <w:tc>
          <w:tcPr>
            <w:tcW w:w="8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20,333</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20,333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6"/>
          </w:tcPr>
          <w:p>
            <w:pPr>
              <w:jc w:val="right"/>
              <w:ind w:right="80"/>
              <w:spacing w:after="0"/>
              <w:rPr>
                <w:sz w:val="20"/>
                <w:szCs w:val="20"/>
                <w:color w:val="auto"/>
              </w:rPr>
            </w:pPr>
            <w:r>
              <w:rPr>
                <w:rFonts w:ascii="Arial" w:cs="Arial" w:eastAsia="Arial" w:hAnsi="Arial"/>
                <w:sz w:val="18"/>
                <w:szCs w:val="18"/>
                <w:color w:val="auto"/>
              </w:rPr>
              <w:t>13,813</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13,849</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13,849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20,209</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19,582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33,733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$ 259,594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00" w:type="dxa"/>
            <w:vAlign w:val="bottom"/>
            <w:gridSpan w:val="41"/>
          </w:tcPr>
          <w:p>
            <w:pPr>
              <w:jc w:val="center"/>
              <w:ind w:right="12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Crop</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21"/>
          </w:tcPr>
          <w:p>
            <w:pPr>
              <w:jc w:val="center"/>
              <w:ind w:right="340"/>
              <w:spacing w:after="0"/>
              <w:rPr>
                <w:sz w:val="20"/>
                <w:szCs w:val="20"/>
                <w:color w:val="auto"/>
              </w:rPr>
            </w:pPr>
            <w:r>
              <w:rPr>
                <w:rFonts w:ascii="Arial" w:cs="Arial" w:eastAsia="Arial" w:hAnsi="Arial"/>
                <w:sz w:val="18"/>
                <w:szCs w:val="18"/>
                <w:b w:val="1"/>
                <w:bCs w:val="1"/>
                <w:color w:val="auto"/>
                <w:w w:val="91"/>
              </w:rPr>
              <w:t>For the Year Ended December 31,</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Accident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11"/>
          </w:tcPr>
          <w:p>
            <w:pPr>
              <w:jc w:val="right"/>
              <w:ind w:right="100"/>
              <w:spacing w:after="0"/>
              <w:rPr>
                <w:sz w:val="20"/>
                <w:szCs w:val="20"/>
                <w:color w:val="auto"/>
              </w:rPr>
            </w:pPr>
            <w:r>
              <w:rPr>
                <w:rFonts w:ascii="Arial" w:cs="Arial" w:eastAsia="Arial" w:hAnsi="Arial"/>
                <w:sz w:val="18"/>
                <w:szCs w:val="18"/>
                <w:b w:val="1"/>
                <w:bCs w:val="1"/>
                <w:color w:val="auto"/>
                <w:w w:val="91"/>
              </w:rPr>
              <w:t>(prior years unaudited)</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40" w:type="dxa"/>
            <w:vAlign w:val="bottom"/>
            <w:gridSpan w:val="3"/>
            <w:vMerge w:val="continue"/>
          </w:tcPr>
          <w:p>
            <w:pPr>
              <w:spacing w:after="0"/>
              <w:rPr>
                <w:sz w:val="15"/>
                <w:szCs w:val="15"/>
                <w:color w:val="auto"/>
              </w:rPr>
            </w:pPr>
          </w:p>
        </w:tc>
        <w:tc>
          <w:tcPr>
            <w:tcW w:w="10580" w:type="dxa"/>
            <w:vAlign w:val="bottom"/>
            <w:gridSpan w:val="57"/>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rPr>
              <w:t>2008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5"/>
          </w:tcPr>
          <w:p>
            <w:pPr>
              <w:jc w:val="right"/>
              <w:ind w:right="30"/>
              <w:spacing w:after="0" w:line="194" w:lineRule="exact"/>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5"/>
          </w:tcPr>
          <w:p>
            <w:pPr>
              <w:jc w:val="right"/>
              <w:ind w:right="160"/>
              <w:spacing w:after="0" w:line="194" w:lineRule="exact"/>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6"/>
                <w:szCs w:val="16"/>
                <w:color w:val="auto"/>
              </w:rPr>
            </w:pPr>
          </w:p>
        </w:tc>
        <w:tc>
          <w:tcPr>
            <w:tcW w:w="660" w:type="dxa"/>
            <w:vAlign w:val="bottom"/>
            <w:gridSpan w:val="4"/>
          </w:tcPr>
          <w:p>
            <w:pPr>
              <w:jc w:val="right"/>
              <w:ind w:right="50"/>
              <w:spacing w:after="0" w:line="194" w:lineRule="exact"/>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6"/>
                <w:szCs w:val="16"/>
                <w:color w:val="auto"/>
              </w:rPr>
            </w:pPr>
          </w:p>
        </w:tc>
        <w:tc>
          <w:tcPr>
            <w:tcW w:w="760" w:type="dxa"/>
            <w:vAlign w:val="bottom"/>
            <w:gridSpan w:val="5"/>
          </w:tcPr>
          <w:p>
            <w:pPr>
              <w:jc w:val="right"/>
              <w:ind w:right="70"/>
              <w:spacing w:after="0" w:line="194" w:lineRule="exact"/>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w w:val="84"/>
              </w:rPr>
              <w:t>2015</w:t>
            </w:r>
          </w:p>
        </w:tc>
        <w:tc>
          <w:tcPr>
            <w:tcW w:w="120" w:type="dxa"/>
            <w:vAlign w:val="bottom"/>
          </w:tcPr>
          <w:p>
            <w:pPr>
              <w:spacing w:after="0"/>
              <w:rPr>
                <w:sz w:val="16"/>
                <w:szCs w:val="16"/>
                <w:color w:val="auto"/>
              </w:rPr>
            </w:pPr>
          </w:p>
        </w:tc>
        <w:tc>
          <w:tcPr>
            <w:tcW w:w="6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9"/>
              </w:rPr>
              <w:t>2017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bottom w:val="single" w:sz="8" w:color="CCEEFF"/>
            </w:tcBorders>
            <w:gridSpan w:val="6"/>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CCEEFF"/>
            </w:tcBorders>
            <w:gridSpan w:val="4"/>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CCEEFF"/>
            </w:tcBorders>
            <w:gridSpan w:val="3"/>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22,941</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  22,941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$ 22,941</w:t>
            </w:r>
          </w:p>
        </w:tc>
        <w:tc>
          <w:tcPr>
            <w:tcW w:w="2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$ 22,941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$ 22,941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$ 22,941</w:t>
            </w: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$ 22,941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$ 22,941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13,462</w:t>
            </w:r>
          </w:p>
        </w:tc>
        <w:tc>
          <w:tcPr>
            <w:tcW w:w="940" w:type="dxa"/>
            <w:vAlign w:val="bottom"/>
            <w:gridSpan w:val="7"/>
          </w:tcPr>
          <w:p>
            <w:pPr>
              <w:jc w:val="right"/>
              <w:ind w:right="20"/>
              <w:spacing w:after="0"/>
              <w:rPr>
                <w:sz w:val="20"/>
                <w:szCs w:val="20"/>
                <w:color w:val="auto"/>
              </w:rPr>
            </w:pPr>
            <w:r>
              <w:rPr>
                <w:rFonts w:ascii="Arial" w:cs="Arial" w:eastAsia="Arial" w:hAnsi="Arial"/>
                <w:sz w:val="18"/>
                <w:szCs w:val="18"/>
                <w:color w:val="auto"/>
              </w:rPr>
              <w:t>15,450</w:t>
            </w:r>
          </w:p>
        </w:tc>
        <w:tc>
          <w:tcPr>
            <w:tcW w:w="1120" w:type="dxa"/>
            <w:vAlign w:val="bottom"/>
            <w:gridSpan w:val="6"/>
          </w:tcPr>
          <w:p>
            <w:pPr>
              <w:jc w:val="right"/>
              <w:ind w:right="220"/>
              <w:spacing w:after="0"/>
              <w:rPr>
                <w:sz w:val="20"/>
                <w:szCs w:val="20"/>
                <w:color w:val="auto"/>
              </w:rPr>
            </w:pPr>
            <w:r>
              <w:rPr>
                <w:rFonts w:ascii="Arial" w:cs="Arial" w:eastAsia="Arial" w:hAnsi="Arial"/>
                <w:sz w:val="18"/>
                <w:szCs w:val="18"/>
                <w:color w:val="auto"/>
              </w:rPr>
              <w:t>15,450</w:t>
            </w:r>
          </w:p>
        </w:tc>
        <w:tc>
          <w:tcPr>
            <w:tcW w:w="800" w:type="dxa"/>
            <w:vAlign w:val="bottom"/>
            <w:gridSpan w:val="5"/>
          </w:tcPr>
          <w:p>
            <w:pPr>
              <w:jc w:val="right"/>
              <w:ind w:right="140"/>
              <w:spacing w:after="0"/>
              <w:rPr>
                <w:sz w:val="20"/>
                <w:szCs w:val="20"/>
                <w:color w:val="auto"/>
              </w:rPr>
            </w:pPr>
            <w:r>
              <w:rPr>
                <w:rFonts w:ascii="Arial" w:cs="Arial" w:eastAsia="Arial" w:hAnsi="Arial"/>
                <w:sz w:val="18"/>
                <w:szCs w:val="18"/>
                <w:color w:val="auto"/>
              </w:rPr>
              <w:t>15,450</w:t>
            </w:r>
          </w:p>
        </w:tc>
        <w:tc>
          <w:tcPr>
            <w:tcW w:w="840" w:type="dxa"/>
            <w:vAlign w:val="bottom"/>
            <w:gridSpan w:val="6"/>
          </w:tcPr>
          <w:p>
            <w:pPr>
              <w:jc w:val="right"/>
              <w:ind w:right="80"/>
              <w:spacing w:after="0"/>
              <w:rPr>
                <w:sz w:val="20"/>
                <w:szCs w:val="20"/>
                <w:color w:val="auto"/>
              </w:rPr>
            </w:pPr>
            <w:r>
              <w:rPr>
                <w:rFonts w:ascii="Arial" w:cs="Arial" w:eastAsia="Arial" w:hAnsi="Arial"/>
                <w:sz w:val="18"/>
                <w:szCs w:val="18"/>
                <w:color w:val="auto"/>
              </w:rPr>
              <w:t>15,450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15,450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15,450</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15,450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19,678</w:t>
            </w:r>
          </w:p>
        </w:tc>
        <w:tc>
          <w:tcPr>
            <w:tcW w:w="11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20,717</w:t>
            </w: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20,717</w:t>
            </w:r>
          </w:p>
        </w:tc>
        <w:tc>
          <w:tcPr>
            <w:tcW w:w="8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20,717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20,717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20,717</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20,717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2011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120" w:type="dxa"/>
            <w:vAlign w:val="bottom"/>
            <w:gridSpan w:val="6"/>
          </w:tcPr>
          <w:p>
            <w:pPr>
              <w:jc w:val="right"/>
              <w:ind w:right="220"/>
              <w:spacing w:after="0"/>
              <w:rPr>
                <w:sz w:val="20"/>
                <w:szCs w:val="20"/>
                <w:color w:val="auto"/>
              </w:rPr>
            </w:pPr>
            <w:r>
              <w:rPr>
                <w:rFonts w:ascii="Arial" w:cs="Arial" w:eastAsia="Arial" w:hAnsi="Arial"/>
                <w:sz w:val="18"/>
                <w:szCs w:val="18"/>
                <w:color w:val="auto"/>
              </w:rPr>
              <w:t>57,741</w:t>
            </w:r>
          </w:p>
        </w:tc>
        <w:tc>
          <w:tcPr>
            <w:tcW w:w="800" w:type="dxa"/>
            <w:vAlign w:val="bottom"/>
            <w:gridSpan w:val="5"/>
          </w:tcPr>
          <w:p>
            <w:pPr>
              <w:jc w:val="right"/>
              <w:ind w:right="140"/>
              <w:spacing w:after="0"/>
              <w:rPr>
                <w:sz w:val="20"/>
                <w:szCs w:val="20"/>
                <w:color w:val="auto"/>
              </w:rPr>
            </w:pPr>
            <w:r>
              <w:rPr>
                <w:rFonts w:ascii="Arial" w:cs="Arial" w:eastAsia="Arial" w:hAnsi="Arial"/>
                <w:sz w:val="18"/>
                <w:szCs w:val="18"/>
                <w:color w:val="auto"/>
              </w:rPr>
              <w:t>59,651</w:t>
            </w:r>
          </w:p>
        </w:tc>
        <w:tc>
          <w:tcPr>
            <w:tcW w:w="840" w:type="dxa"/>
            <w:vAlign w:val="bottom"/>
            <w:gridSpan w:val="6"/>
          </w:tcPr>
          <w:p>
            <w:pPr>
              <w:jc w:val="right"/>
              <w:ind w:right="80"/>
              <w:spacing w:after="0"/>
              <w:rPr>
                <w:sz w:val="20"/>
                <w:szCs w:val="20"/>
                <w:color w:val="auto"/>
              </w:rPr>
            </w:pPr>
            <w:r>
              <w:rPr>
                <w:rFonts w:ascii="Arial" w:cs="Arial" w:eastAsia="Arial" w:hAnsi="Arial"/>
                <w:sz w:val="18"/>
                <w:szCs w:val="18"/>
                <w:color w:val="auto"/>
              </w:rPr>
              <w:t>59,651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59,651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59,651</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59,651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13,078</w:t>
            </w:r>
          </w:p>
        </w:tc>
        <w:tc>
          <w:tcPr>
            <w:tcW w:w="8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13,673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13,673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13,673</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13,673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6"/>
          </w:tcPr>
          <w:p>
            <w:pPr>
              <w:jc w:val="right"/>
              <w:ind w:right="80"/>
              <w:spacing w:after="0"/>
              <w:rPr>
                <w:sz w:val="20"/>
                <w:szCs w:val="20"/>
                <w:color w:val="auto"/>
              </w:rPr>
            </w:pPr>
            <w:r>
              <w:rPr>
                <w:rFonts w:ascii="Arial" w:cs="Arial" w:eastAsia="Arial" w:hAnsi="Arial"/>
                <w:sz w:val="18"/>
                <w:szCs w:val="18"/>
                <w:color w:val="auto"/>
              </w:rPr>
              <w:t>35,511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39,665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39,665</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39,665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17,788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20,333</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20,333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12,866</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13,849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16,444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19,487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tcBorders>
              <w:top w:val="single" w:sz="8" w:color="CCEEFF"/>
              <w:bottom w:val="single" w:sz="8" w:color="CCEEFF"/>
            </w:tcBorders>
            <w:gridSpan w:val="55"/>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258,575</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20" w:type="dxa"/>
            <w:vAlign w:val="bottom"/>
            <w:gridSpan w:val="25"/>
            <w:vMerge w:val="restart"/>
          </w:tcPr>
          <w:p>
            <w:pPr>
              <w:jc w:val="right"/>
              <w:ind w:right="80"/>
              <w:spacing w:after="0"/>
              <w:rPr>
                <w:sz w:val="20"/>
                <w:szCs w:val="20"/>
                <w:color w:val="auto"/>
              </w:rPr>
            </w:pPr>
            <w:r>
              <w:rPr>
                <w:rFonts w:ascii="Arial" w:cs="Arial" w:eastAsia="Arial" w:hAnsi="Arial"/>
                <w:sz w:val="18"/>
                <w:szCs w:val="18"/>
                <w:color w:val="auto"/>
                <w:w w:val="93"/>
              </w:rPr>
              <w:t>All outstanding liabilities prior to 2008, net of reinsurance</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gridSpan w:val="25"/>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160" w:type="dxa"/>
            <w:vAlign w:val="bottom"/>
            <w:gridSpan w:val="36"/>
            <w:shd w:val="clear" w:color="auto" w:fill="CCEEFF"/>
          </w:tcPr>
          <w:p>
            <w:pPr>
              <w:jc w:val="right"/>
              <w:ind w:right="80"/>
              <w:spacing w:after="0"/>
              <w:rPr>
                <w:sz w:val="20"/>
                <w:szCs w:val="20"/>
                <w:color w:val="auto"/>
              </w:rPr>
            </w:pPr>
            <w:r>
              <w:rPr>
                <w:rFonts w:ascii="Arial" w:cs="Arial" w:eastAsia="Arial" w:hAnsi="Arial"/>
                <w:sz w:val="18"/>
                <w:szCs w:val="18"/>
                <w:color w:val="auto"/>
                <w:w w:val="95"/>
              </w:rPr>
              <w:t>Liabilities for Unpaid Losses and Loss Adjustment Expenses, net of reinsurance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presents a reconciliation of the net incurred and paid claims development tables to the liability for unpaid losses and loss adjustment expenses in our Consolidated Balance Sheet: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4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outstanding liabilities:</w:t>
            </w: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Private passenger auto</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Non-standard auto</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Home and farm</w:t>
            </w: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Crop</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All other</w:t>
            </w:r>
          </w:p>
        </w:tc>
        <w:tc>
          <w:tcPr>
            <w:tcW w:w="5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Reinsurance ceded:</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Private passenger auto</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Non-standard auto</w:t>
            </w:r>
          </w:p>
        </w:tc>
        <w:tc>
          <w:tcPr>
            <w:tcW w:w="5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Home and farm</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Crop</w:t>
            </w:r>
          </w:p>
        </w:tc>
        <w:tc>
          <w:tcPr>
            <w:tcW w:w="5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 other</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Gross liability for unpaid losses and loss adjustment expenses</w:t>
            </w: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45,890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55" w:gutter="0" w:footer="0" w:header="0"/>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55" w:gutter="0" w:footer="0" w:header="0"/>
          <w:type w:val="continuous"/>
        </w:sectPr>
      </w:pPr>
    </w:p>
    <w:bookmarkStart w:id="84" w:name="page85"/>
    <w:bookmarkEnd w:id="8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required supplementary information about average historical claims duration as of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gridSpan w:val="16"/>
          </w:tcPr>
          <w:p>
            <w:pPr>
              <w:jc w:val="right"/>
              <w:ind w:right="580"/>
              <w:spacing w:after="0"/>
              <w:rPr>
                <w:sz w:val="20"/>
                <w:szCs w:val="20"/>
                <w:color w:val="auto"/>
              </w:rPr>
            </w:pPr>
            <w:r>
              <w:rPr>
                <w:rFonts w:ascii="Arial" w:cs="Arial" w:eastAsia="Arial" w:hAnsi="Arial"/>
                <w:sz w:val="18"/>
                <w:szCs w:val="18"/>
                <w:b w:val="1"/>
                <w:bCs w:val="1"/>
                <w:color w:val="auto"/>
                <w:w w:val="94"/>
              </w:rPr>
              <w:t>Average Annual Percentage Payout of Incurred Claims by Age, Net of Reinsurance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242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Years</w:t>
            </w:r>
          </w:p>
        </w:tc>
        <w:tc>
          <w:tcPr>
            <w:tcW w:w="700" w:type="dxa"/>
            <w:vAlign w:val="bottom"/>
          </w:tcPr>
          <w:p>
            <w:pPr>
              <w:ind w:left="320"/>
              <w:spacing w:after="0" w:line="182" w:lineRule="exact"/>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5"/>
                <w:szCs w:val="15"/>
                <w:color w:val="auto"/>
              </w:rPr>
            </w:pPr>
          </w:p>
        </w:tc>
        <w:tc>
          <w:tcPr>
            <w:tcW w:w="7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5"/>
                <w:szCs w:val="15"/>
                <w:color w:val="auto"/>
              </w:rPr>
            </w:pPr>
          </w:p>
        </w:tc>
        <w:tc>
          <w:tcPr>
            <w:tcW w:w="6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5"/>
                <w:szCs w:val="15"/>
                <w:color w:val="auto"/>
              </w:rPr>
            </w:pPr>
          </w:p>
        </w:tc>
        <w:tc>
          <w:tcPr>
            <w:tcW w:w="6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5"/>
                <w:szCs w:val="15"/>
                <w:color w:val="auto"/>
              </w:rPr>
            </w:pPr>
          </w:p>
        </w:tc>
        <w:tc>
          <w:tcPr>
            <w:tcW w:w="6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5"/>
                <w:szCs w:val="15"/>
                <w:color w:val="auto"/>
              </w:rPr>
            </w:pPr>
          </w:p>
        </w:tc>
        <w:tc>
          <w:tcPr>
            <w:tcW w:w="6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5"/>
                <w:szCs w:val="15"/>
                <w:color w:val="auto"/>
              </w:rPr>
            </w:pPr>
          </w:p>
        </w:tc>
        <w:tc>
          <w:tcPr>
            <w:tcW w:w="6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5"/>
                <w:szCs w:val="15"/>
                <w:color w:val="auto"/>
              </w:rPr>
            </w:pPr>
          </w:p>
        </w:tc>
        <w:tc>
          <w:tcPr>
            <w:tcW w:w="68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7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53.7%</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Non-Standard Auto</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75.1%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Farm</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73.3%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Crop</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93.4%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w w:val="95"/>
              </w:rPr>
              <w:t>10.</w:t>
            </w:r>
          </w:p>
        </w:tc>
        <w:tc>
          <w:tcPr>
            <w:tcW w:w="5460" w:type="dxa"/>
            <w:vAlign w:val="bottom"/>
          </w:tcPr>
          <w:p>
            <w:pPr>
              <w:ind w:left="280"/>
              <w:spacing w:after="0"/>
              <w:rPr>
                <w:sz w:val="20"/>
                <w:szCs w:val="20"/>
                <w:color w:val="auto"/>
              </w:rPr>
            </w:pPr>
            <w:r>
              <w:rPr>
                <w:rFonts w:ascii="Arial" w:cs="Arial" w:eastAsia="Arial" w:hAnsi="Arial"/>
                <w:sz w:val="18"/>
                <w:szCs w:val="18"/>
                <w:b w:val="1"/>
                <w:bCs w:val="1"/>
                <w:color w:val="auto"/>
              </w:rPr>
              <w:t>Property and Equipment</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Property and equipment consisted of the following:</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 Useful</w:t>
            </w:r>
          </w:p>
        </w:tc>
        <w:tc>
          <w:tcPr>
            <w:tcW w:w="0" w:type="dxa"/>
            <w:vAlign w:val="bottom"/>
          </w:tcPr>
          <w:p>
            <w:pPr>
              <w:spacing w:after="0"/>
              <w:rPr>
                <w:sz w:val="1"/>
                <w:szCs w:val="1"/>
                <w:color w:val="auto"/>
              </w:rPr>
            </w:pPr>
          </w:p>
        </w:tc>
      </w:tr>
      <w:tr>
        <w:trPr>
          <w:trHeight w:val="234"/>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Cost:</w:t>
            </w: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0"/>
        </w:trPr>
        <w:tc>
          <w:tcPr>
            <w:tcW w:w="572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Real estate</w:t>
            </w:r>
          </w:p>
        </w:tc>
        <w:tc>
          <w:tcPr>
            <w:tcW w:w="16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10,633</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9,578</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10 - 31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120"/>
              <w:spacing w:after="0"/>
              <w:rPr>
                <w:sz w:val="20"/>
                <w:szCs w:val="20"/>
                <w:color w:val="auto"/>
              </w:rPr>
            </w:pPr>
            <w:r>
              <w:rPr>
                <w:rFonts w:ascii="Arial" w:cs="Arial" w:eastAsia="Arial" w:hAnsi="Arial"/>
                <w:sz w:val="18"/>
                <w:szCs w:val="18"/>
                <w:color w:val="auto"/>
              </w:rPr>
              <w:t>Electronic data processing equipment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1,288</w:t>
            </w: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Furniture and fixtures</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3,511</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gridSpan w:val="2"/>
          </w:tcPr>
          <w:p>
            <w:pPr>
              <w:ind w:left="120"/>
              <w:spacing w:after="0"/>
              <w:rPr>
                <w:sz w:val="20"/>
                <w:szCs w:val="20"/>
                <w:color w:val="auto"/>
              </w:rPr>
            </w:pPr>
            <w:r>
              <w:rPr>
                <w:rFonts w:ascii="Arial" w:cs="Arial" w:eastAsia="Arial" w:hAnsi="Arial"/>
                <w:sz w:val="18"/>
                <w:szCs w:val="18"/>
                <w:color w:val="auto"/>
              </w:rPr>
              <w:t>Automobiles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1,595</w:t>
            </w: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2-3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cost</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17,027</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00" w:type="dxa"/>
            <w:vAlign w:val="bottom"/>
            <w:gridSpan w:val="2"/>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(11,150)</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(11,646)</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property and equipment, net</w:t>
            </w:r>
          </w:p>
        </w:tc>
        <w:tc>
          <w:tcPr>
            <w:tcW w:w="13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2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$500, $441, and $523 during the years ended December 31, 2017, 2016 and 2015, respectively.</w:t>
      </w:r>
    </w:p>
    <w:p>
      <w:pPr>
        <w:spacing w:after="0" w:line="200" w:lineRule="exact"/>
        <w:rPr>
          <w:sz w:val="20"/>
          <w:szCs w:val="20"/>
          <w:color w:val="auto"/>
        </w:rPr>
      </w:pPr>
    </w:p>
    <w:p>
      <w:pPr>
        <w:spacing w:after="0" w:line="386"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$1,289, $1,258 and $1,230 for the years ended December 31, 2017, 2016 and 2015, respectively. Royalty amounts payable of $99 and $96 were accrued as a liability to the NDFB at December 31, 2017 and 2016, respectively.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5" w:name="page86"/>
    <w:bookmarkEnd w:id="8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illustrates the impact of including Battle Creek in our Consolidated Balance Sheets prior to intercompany eliminations: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Cash and cash equivalents (overdraft)</w:t>
            </w:r>
          </w:p>
        </w:tc>
        <w:tc>
          <w:tcPr>
            <w:tcW w:w="2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(726)</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Premiums and agents’ balances receivable</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4,055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Reinsurance recoverables </w:t>
            </w:r>
            <w:r>
              <w:rPr>
                <w:rFonts w:ascii="Arial" w:cs="Arial" w:eastAsia="Arial" w:hAnsi="Arial"/>
                <w:sz w:val="29"/>
                <w:szCs w:val="29"/>
                <w:color w:val="auto"/>
                <w:vertAlign w:val="superscript"/>
              </w:rPr>
              <w:t>(1)</w:t>
            </w:r>
          </w:p>
        </w:tc>
        <w:tc>
          <w:tcPr>
            <w:tcW w:w="2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20,932</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Accrued investment income</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 asset, net</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2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29,467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Liabilities:</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Unpaid losses and loss adjustment expenses</w:t>
            </w:r>
          </w:p>
        </w:tc>
        <w:tc>
          <w:tcPr>
            <w:tcW w:w="2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7,995</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Unearned premiums</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12,937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tcPr>
          <w:p>
            <w:pPr>
              <w:ind w:left="120"/>
              <w:spacing w:after="0" w:line="256" w:lineRule="exact"/>
              <w:rPr>
                <w:sz w:val="20"/>
                <w:szCs w:val="20"/>
                <w:color w:val="auto"/>
              </w:rPr>
            </w:pPr>
            <w:r>
              <w:rPr>
                <w:rFonts w:ascii="Arial" w:cs="Arial" w:eastAsia="Arial" w:hAnsi="Arial"/>
                <w:sz w:val="18"/>
                <w:szCs w:val="18"/>
                <w:color w:val="auto"/>
              </w:rPr>
              <w:t xml:space="preserve">Reinsurance payable </w:t>
            </w:r>
            <w:r>
              <w:rPr>
                <w:rFonts w:ascii="Arial" w:cs="Arial" w:eastAsia="Arial" w:hAnsi="Arial"/>
                <w:sz w:val="29"/>
                <w:szCs w:val="29"/>
                <w:color w:val="auto"/>
                <w:vertAlign w:val="superscript"/>
              </w:rPr>
              <w:t>(1)</w:t>
            </w:r>
          </w:p>
        </w:tc>
        <w:tc>
          <w:tcPr>
            <w:tcW w:w="2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965</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2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Equity:</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3,178</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equity</w:t>
            </w:r>
          </w:p>
        </w:tc>
        <w:tc>
          <w:tcPr>
            <w:tcW w:w="2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Total liabilities and equity</w:t>
            </w:r>
          </w:p>
        </w:tc>
        <w:tc>
          <w:tcPr>
            <w:tcW w:w="2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29,467</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27,886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960"/>
              <w:spacing w:after="0"/>
              <w:rPr>
                <w:sz w:val="20"/>
                <w:szCs w:val="20"/>
                <w:color w:val="auto"/>
              </w:rPr>
            </w:pPr>
            <w:r>
              <w:rPr>
                <w:rFonts w:ascii="Arial" w:cs="Arial" w:eastAsia="Arial" w:hAnsi="Arial"/>
                <w:sz w:val="18"/>
                <w:szCs w:val="18"/>
                <w:color w:val="auto"/>
              </w:rPr>
              <w:t>(1)  Amount eliminated in consolidation.</w:t>
            </w: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5368290" cy="4546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68290" cy="454660"/>
                    </a:xfrm>
                    <a:prstGeom prst="rect">
                      <a:avLst/>
                    </a:prstGeom>
                    <a:noFill/>
                  </pic:spPr>
                </pic:pic>
              </a:graphicData>
            </a:graphic>
          </wp:anchor>
        </w:drawing>
      </w:r>
    </w:p>
    <w:p>
      <w:pPr>
        <w:spacing w:after="0" w:line="356"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Total statutory revenues and expenses of Battle Creek after intercompany eliminations, which is limited to net investment income and certain miscellaneous other income and expenses, were $153 and $0 during the year ended December 31, 2017, $174 and $0 during the year ended December 31, 2016, and $129 and $0 during the year ended December 31, 2015.</w:t>
      </w:r>
    </w:p>
    <w:p>
      <w:pPr>
        <w:spacing w:after="0" w:line="200" w:lineRule="exact"/>
        <w:rPr>
          <w:sz w:val="20"/>
          <w:szCs w:val="20"/>
          <w:color w:val="auto"/>
        </w:rPr>
      </w:pPr>
    </w:p>
    <w:p>
      <w:pPr>
        <w:spacing w:after="0" w:line="328"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sponsors a money purchase plan that covers all eligible employees. Plan costs are funded annually as they are earned. The Company’s contributions expense to the money purchase plan totaled $854, $762, and $701 for 2017, 2016 and 2015, respectively.</w:t>
      </w:r>
    </w:p>
    <w:p>
      <w:pPr>
        <w:spacing w:after="0" w:line="13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also sponsors a 401(k) plan with an automatic contribution to all eligible employees and a matching contribution for eligible employees of 50% up to 3% of eligible compensation. The Company’s contributions expense to the 401(k) plan totaled $411, $422, and $390 for 2017, 2016 and 2015, respectively. All fees associated with both plans are deducted from the eligible employee accounts.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9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Effective April 28, 2016, the Board of Directors authorized a non-qualified deferred compensation plan covering key executives of the Company as designated by the Board of Directors. The Company’s policy is to fund the plan in a given calendar year by amounts that exceed the maximum contribution allowed by the Employee Retirement Income Security Act (“ERISA”), beginning in 2017. Funds deposited were $138 for the year ended December 31, 2017.</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primarily in common stock of the Company.</w:t>
      </w:r>
    </w:p>
    <w:p>
      <w:pPr>
        <w:sectPr>
          <w:pgSz w:w="11900" w:h="16838" w:orient="portrait"/>
          <w:cols w:equalWidth="0" w:num="1">
            <w:col w:w="11420"/>
          </w:cols>
          <w:pgMar w:left="240" w:top="226" w:right="239" w:bottom="1440" w:gutter="0" w:footer="0" w:header="0"/>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6" w:name="page87"/>
    <w:bookmarkEnd w:id="8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our initial public offering,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4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4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will not participate in the ESOP.</w:t>
      </w:r>
    </w:p>
    <w:p>
      <w:pPr>
        <w:spacing w:after="0" w:line="14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Plan.</w:t>
      </w:r>
    </w:p>
    <w:p>
      <w:pPr>
        <w:spacing w:after="0" w:line="14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3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 recognized compensation expense of $401 for the year ended December 31, 2017. At the end of 2017, 24,315 ESOP shares were released and allocated to participants, with a remainder of 215,685 ESOP shares in suspense at December 31, 2017. Using the Company’s year-end market price of $16.98, the fair value of the unearned ESOP shares was $3,662 at December 31, 2017.</w:t>
      </w:r>
    </w:p>
    <w:p>
      <w:pPr>
        <w:spacing w:after="0" w:line="200" w:lineRule="exact"/>
        <w:rPr>
          <w:sz w:val="20"/>
          <w:szCs w:val="20"/>
          <w:color w:val="auto"/>
        </w:rPr>
      </w:pPr>
    </w:p>
    <w:p>
      <w:pPr>
        <w:spacing w:after="0" w:line="328"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Nodak Insurance has a $3,000 line of credit with Wells Fargo Bank, N.A., of which there were no outstanding amounts as of December 31, 2017 or 2016. This line of credit is scheduled to expire on November 30, 2018.</w:t>
      </w:r>
    </w:p>
    <w:p>
      <w:pPr>
        <w:spacing w:after="0" w:line="200" w:lineRule="exact"/>
        <w:rPr>
          <w:sz w:val="20"/>
          <w:szCs w:val="20"/>
          <w:color w:val="auto"/>
        </w:rPr>
      </w:pPr>
    </w:p>
    <w:p>
      <w:pPr>
        <w:spacing w:after="0" w:line="318"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our provision for income tax expense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8,461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Deferred</w:t>
            </w: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(2,067)</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provision</w:t>
            </w:r>
          </w:p>
        </w:tc>
        <w:tc>
          <w:tcPr>
            <w:tcW w:w="36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8"/>
              </w:rPr>
              <w:t>6,394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680" w:type="dxa"/>
            <w:vAlign w:val="bottom"/>
            <w:vMerge w:val="restart"/>
          </w:tcPr>
          <w:p>
            <w:pPr>
              <w:jc w:val="right"/>
              <w:ind w:right="1230"/>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87" w:name="page88"/>
    <w:bookmarkEnd w:id="8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provision for income taxes differs from the amount that would be computed by applying the statutory federal rate to income before provision for income taxes as a result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Expected provision for federal income taxes</w:t>
            </w:r>
          </w:p>
        </w:tc>
        <w:tc>
          <w:tcPr>
            <w:tcW w:w="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7,702</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2,141</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Permanent differences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 conversion and IPO expenses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Impact of effective tax rate change on deferred income tax assets and liabilities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provision</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 expense for the year ended December 31, 2017 includes a reduction of $1,274 to current income tax expense due to a new corporate income tax rate for tax year 2018 and beyond, enacted on December 22, 2017. 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 The valuation allowance against certain deferred income tax assets decreased by $394 to $628 at December 31, 2017 from $1,022 at December 31, 2016.</w:t>
      </w:r>
    </w:p>
    <w:p>
      <w:pPr>
        <w:spacing w:after="0" w:line="14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income tax effects of temporary differences that give rise to significant portions of our deferred income tax assets and deferred income tax liabilities, valued at the new effective tax rate of 21% at December 31, 2017,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Unearned premium</w:t>
            </w:r>
          </w:p>
        </w:tc>
        <w:tc>
          <w:tcPr>
            <w:tcW w:w="29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2,657</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Unpaid losses and loss adjustment expenses</w:t>
            </w: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Carryovers</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income tax assets</w:t>
            </w:r>
          </w:p>
        </w:tc>
        <w:tc>
          <w:tcPr>
            <w:tcW w:w="26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policy acquisition costs</w:t>
            </w: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Net unrealized gains</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4,266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income tax liabilities</w:t>
            </w:r>
          </w:p>
        </w:tc>
        <w:tc>
          <w:tcPr>
            <w:tcW w:w="26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Net deferred income tax liability</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(1,911)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Valuation allowance</w:t>
            </w:r>
          </w:p>
        </w:tc>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 liability, net</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2017 and 2016, we had no unrecognized tax benefits, no accrued interest and penalties, and no significant uncertain tax positions.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interest and penalties were recognized during the years ended December 31, 2017, 2016, or 2015.</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At December 31, 2017 and 2016, the Company, other than Battle Creek, had no income tax related carryovers for net operating losses, alternative minimum tax credits, or capital losses. Battle Creek, which files its income tax returns on a stand-alone basis, had net operating loss carryovers of $4,951 and $5,159 at December 31, 2017 and 2016, respectively. The net operating loss carryforward expires beginning in 2021 through 2030. In 2016, a $247 capital loss carryover expired and none of the capital loss carryover was utilized against realized capital gains.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8" w:name="page89"/>
    <w:bookmarkEnd w:id="8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leased facilities, equipment, and software under non-cancellable operating leases expiring at various times through November 2017. Expenses related to these leases were $68, $74 and $236 for the years ended December 31, 2017, 2016 and 2015,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we have no minimum future commitments under non-cancellable leases.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sub-lease a portion of our home office building under non-cancellable operating leases.</w:t>
      </w:r>
    </w:p>
    <w:p>
      <w:pPr>
        <w:spacing w:after="0" w:line="200" w:lineRule="exact"/>
        <w:rPr>
          <w:sz w:val="20"/>
          <w:szCs w:val="20"/>
          <w:color w:val="auto"/>
        </w:rPr>
      </w:pPr>
    </w:p>
    <w:p>
      <w:pPr>
        <w:spacing w:after="0" w:line="386"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does not have any unrecorded or potential contingent liabilities or material commitments requiring the use of assets as of December 31, 2017 and 2016.</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17.</w:t>
            </w:r>
          </w:p>
        </w:tc>
        <w:tc>
          <w:tcPr>
            <w:tcW w:w="6700" w:type="dxa"/>
            <w:vAlign w:val="bottom"/>
          </w:tcPr>
          <w:p>
            <w:pPr>
              <w:ind w:left="140"/>
              <w:spacing w:after="0"/>
              <w:rPr>
                <w:sz w:val="20"/>
                <w:szCs w:val="20"/>
                <w:color w:val="auto"/>
              </w:rPr>
            </w:pPr>
            <w:r>
              <w:rPr>
                <w:rFonts w:ascii="Arial" w:cs="Arial" w:eastAsia="Arial" w:hAnsi="Arial"/>
                <w:sz w:val="18"/>
                <w:szCs w:val="18"/>
                <w:b w:val="1"/>
                <w:bCs w:val="1"/>
                <w:color w:val="auto"/>
              </w:rPr>
              <w:t>Common Stock</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6700" w:type="dxa"/>
            <w:vAlign w:val="bottom"/>
          </w:tcPr>
          <w:p>
            <w:pPr>
              <w:ind w:left="260"/>
              <w:spacing w:after="0"/>
              <w:rPr>
                <w:sz w:val="20"/>
                <w:szCs w:val="20"/>
                <w:color w:val="auto"/>
              </w:rPr>
            </w:pPr>
            <w:r>
              <w:rPr>
                <w:rFonts w:ascii="Arial" w:cs="Arial" w:eastAsia="Arial" w:hAnsi="Arial"/>
                <w:sz w:val="18"/>
                <w:szCs w:val="18"/>
                <w:color w:val="auto"/>
              </w:rPr>
              <w:t>Changes in the number of common stock shares outstanding are as follows:</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60" w:type="dxa"/>
            <w:vAlign w:val="bottom"/>
            <w:tcBorders>
              <w:bottom w:val="single" w:sz="8" w:color="auto"/>
            </w:tcBorders>
            <w:gridSpan w:val="5"/>
          </w:tcPr>
          <w:p>
            <w:pPr>
              <w:ind w:left="1100"/>
              <w:spacing w:after="0"/>
              <w:rPr>
                <w:sz w:val="20"/>
                <w:szCs w:val="20"/>
                <w:color w:val="auto"/>
              </w:rPr>
            </w:pPr>
            <w:r>
              <w:rPr>
                <w:rFonts w:ascii="Arial" w:cs="Arial" w:eastAsia="Arial" w:hAnsi="Arial"/>
                <w:sz w:val="18"/>
                <w:szCs w:val="18"/>
                <w:b w:val="1"/>
                <w:bCs w:val="1"/>
                <w:color w:val="auto"/>
                <w:w w:val="96"/>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Shares outstanding, beginning</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Initial public offering</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23,000,000</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Shares repurchased related to employee stock ownership plan</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(240,000)</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 repurchased</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(446,671)</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Issuance related to ESOP</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24,315</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outstanding, ending</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22,337,644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Shares were not available prior to the Company’s IPO in March 2017.</w:t>
      </w:r>
    </w:p>
    <w:p>
      <w:pPr>
        <w:spacing w:after="0" w:line="200" w:lineRule="exact"/>
        <w:rPr>
          <w:sz w:val="20"/>
          <w:szCs w:val="20"/>
          <w:color w:val="auto"/>
        </w:rPr>
      </w:pPr>
    </w:p>
    <w:p>
      <w:pPr>
        <w:spacing w:after="0" w:line="201"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Company is authorized to issue 25,000,000 shares of common stock, with a par value of $0.01. In addition, 5,000,000 shares of preferred stock, without par value, are authorized but have not been issued.</w:t>
      </w:r>
    </w:p>
    <w:p>
      <w:pPr>
        <w:spacing w:after="0" w:line="200" w:lineRule="exact"/>
        <w:rPr>
          <w:sz w:val="20"/>
          <w:szCs w:val="20"/>
          <w:color w:val="auto"/>
        </w:rPr>
      </w:pPr>
    </w:p>
    <w:p>
      <w:pPr>
        <w:spacing w:after="0" w:line="331"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At its 2017 Annual Shareholders’ Meeting, the NI Holdings 2017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1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ectPr>
          <w:pgSz w:w="11900" w:h="16838" w:orient="portrait"/>
          <w:cols w:equalWidth="0" w:num="1">
            <w:col w:w="11420"/>
          </w:cols>
          <w:pgMar w:left="240" w:top="233" w:right="239" w:bottom="1440" w:gutter="0" w:footer="0" w:header="0"/>
        </w:sectPr>
      </w:pP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9" w:name="page90"/>
    <w:bookmarkEnd w:id="8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December 1, 2017, the Compensation Committee awarded RSUs to non-employee directors and select employees. RSUs are promises to issue actual shares of common stock at the end of a vesting period. The RSUs granted to employees under the Plan were based on salary and generally vest 20% per year over a five-year period, while RSUs granted to non-employee directors vest in 2018. RSU participants accumulate an unvested right to receive cash dividend equivalents during the restricted period and do not have voting rights during the restricted period.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 recognizes stock-based compensation costs based on the grant date fair value over the vesting period of the awards. Estimated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4"/>
          </w:tcPr>
          <w:p>
            <w:pPr>
              <w:spacing w:after="0"/>
              <w:rPr>
                <w:sz w:val="20"/>
                <w:szCs w:val="20"/>
                <w:color w:val="auto"/>
              </w:rPr>
            </w:pPr>
            <w:r>
              <w:rPr>
                <w:rFonts w:ascii="Arial" w:cs="Arial" w:eastAsia="Arial" w:hAnsi="Arial"/>
                <w:sz w:val="18"/>
                <w:szCs w:val="18"/>
                <w:color w:val="auto"/>
                <w:w w:val="94"/>
              </w:rPr>
              <w:t>forfeitures are included in the determination of compensation costs. No forfeitures are currently estimated.</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w w:val="94"/>
              </w:rPr>
              <w:t>A summary of the Company’s outstanding restricted stock units is presented below:</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Grant-Date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December 31, 2016</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Grants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83,000</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outstanding at December 31, 2017</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65,500</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The following table shows a summary of RSU activity:</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423</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(148)</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RSU compensation expense, net of income taxes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275</w:t>
            </w: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grant-date fair value of vested RSUs at end of period</w:t>
            </w:r>
          </w:p>
        </w:tc>
        <w:tc>
          <w:tcPr>
            <w:tcW w:w="1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w w:val="91"/>
              </w:rPr>
              <w:t>Note: Share-based compensation was not available prior to the Company’s IPO in March 2017.</w:t>
            </w: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At December 31, 2017, there was $1,013 of unrecognized compensation cost related to outstanding RSUs. That cost is expected to be recognized over a weighted-average period of 1.06 years.</w:t>
      </w:r>
    </w:p>
    <w:p>
      <w:pPr>
        <w:spacing w:after="0" w:line="200" w:lineRule="exact"/>
        <w:rPr>
          <w:sz w:val="20"/>
          <w:szCs w:val="20"/>
          <w:color w:val="auto"/>
        </w:rPr>
      </w:pPr>
    </w:p>
    <w:p>
      <w:pPr>
        <w:spacing w:after="0" w:line="331"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described in Note 1, the conversion of the mutual company to a stock company resulted in the issuance of NI Holdings common shares on March 13, 2017. Earnings per share is computed by dividing net income available to common shareholders for the period by the weighted average number of common shares outstanding for the same period. The weighted average number of common shares outstanding was 22,512,401 for the year ended December 31, 2017. For the period prior to the date of the conversion, we assumed that the net common shares issued in the initial public offering of 22,760,000 shares were outstanding since January 1, 2017.</w:t>
      </w:r>
    </w:p>
    <w:p>
      <w:pPr>
        <w:spacing w:after="0" w:line="14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Unearned ESOP shares are not considered outstanding until they are released and allocated to plan participants. Unearned RSU shares are not considered outstanding until they are earned by award participants.</w:t>
      </w:r>
    </w:p>
    <w:p>
      <w:pPr>
        <w:spacing w:after="0" w:line="14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May 23, 2017, our Board of Directors approved an authorization for the repurchase of up to $8 million of the Company’s outstanding common stock. We completed the repurchase of 446,671 shares of our common stock for $8,037 during the three months ended June 30, 2017, and reflected the cost of this treasury stock as a reduction of equity within our Consolidated Balance Sheet as of December 31, 2017.</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we used in the basic and diluted per share computations for our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right"/>
              <w:ind w:right="85"/>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58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NI Holdings</w:t>
            </w:r>
          </w:p>
        </w:tc>
        <w:tc>
          <w:tcPr>
            <w:tcW w:w="18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15,991</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4,551</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Denominator:</w:t>
            </w:r>
          </w:p>
        </w:tc>
        <w:tc>
          <w:tcPr>
            <w:tcW w:w="1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1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22,512,401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Basic earnings per share</w:t>
            </w:r>
          </w:p>
        </w:tc>
        <w:tc>
          <w:tcPr>
            <w:tcW w:w="15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Borders>
              <w:bottom w:val="single" w:sz="8" w:color="CCEEFF"/>
            </w:tcBorders>
            <w:vMerge w:val="continue"/>
          </w:tcPr>
          <w:p>
            <w:pPr>
              <w:spacing w:after="0"/>
              <w:rPr>
                <w:sz w:val="20"/>
                <w:szCs w:val="20"/>
                <w:color w:val="auto"/>
              </w:rPr>
            </w:pPr>
          </w:p>
        </w:tc>
        <w:tc>
          <w:tcPr>
            <w:tcW w:w="15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Numerator:</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Net income attributable to NI Holdings</w:t>
            </w:r>
          </w:p>
        </w:tc>
        <w:tc>
          <w:tcPr>
            <w:tcW w:w="18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15,991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4,551</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17,456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Denominator:</w:t>
            </w:r>
          </w:p>
        </w:tc>
        <w:tc>
          <w:tcPr>
            <w:tcW w:w="1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22,512,401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380"/>
              <w:spacing w:after="0"/>
              <w:rPr>
                <w:sz w:val="20"/>
                <w:szCs w:val="20"/>
                <w:color w:val="auto"/>
              </w:rPr>
            </w:pPr>
            <w:r>
              <w:rPr>
                <w:rFonts w:ascii="Arial" w:cs="Arial" w:eastAsia="Arial" w:hAnsi="Arial"/>
                <w:sz w:val="18"/>
                <w:szCs w:val="18"/>
                <w:color w:val="auto"/>
              </w:rPr>
              <w:t>Add: Director and employee restricted stock units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Number of shares used in per share computations</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22,512,629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120"/>
              <w:spacing w:after="0"/>
              <w:rPr>
                <w:sz w:val="20"/>
                <w:szCs w:val="20"/>
                <w:color w:val="auto"/>
              </w:rPr>
            </w:pPr>
            <w:r>
              <w:rPr>
                <w:rFonts w:ascii="Arial" w:cs="Arial" w:eastAsia="Arial" w:hAnsi="Arial"/>
                <w:sz w:val="18"/>
                <w:szCs w:val="18"/>
                <w:color w:val="auto"/>
              </w:rPr>
              <w:t>Diluted earnings per share</w:t>
            </w:r>
          </w:p>
        </w:tc>
        <w:tc>
          <w:tcPr>
            <w:tcW w:w="15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0.71</w:t>
            </w:r>
          </w:p>
        </w:tc>
        <w:tc>
          <w:tcPr>
            <w:tcW w:w="1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n/a</w:t>
            </w: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have four primary reportable operating segments, which consist of private passenger auto insurance, non-standard auto insurance, home and farm insurance, and crop insurance. A fifth segment captures all other insurance coverages we sell, including commercial coverages and our assumed reinsurance lines of business. We operate only in the United States, and no single customer or agent provides 10 percent or more of our revenues. The following tables provide available information of these segments for the years ended December 31, 2017, 2016, and 2015. Prior years have been restated to reflect the change in segments. For presentation in these tables, “LAE” refers to loss adjustment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0"/>
              </w:rPr>
              <w:t>Year Ended December 31, 2017</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3"/>
              </w:rPr>
              <w:t>Private</w:t>
            </w:r>
          </w:p>
        </w:tc>
        <w:tc>
          <w:tcPr>
            <w:tcW w:w="16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Passenger</w:t>
            </w: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Home and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Auto</w:t>
            </w:r>
          </w:p>
        </w:tc>
        <w:tc>
          <w:tcPr>
            <w:tcW w:w="16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Farm</w:t>
            </w:r>
          </w:p>
        </w:tc>
        <w:tc>
          <w:tcPr>
            <w:tcW w:w="2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Crop</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All Other</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(3,061)</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(5,289)</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55,378</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58,395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Direct losses and LAE</w:t>
            </w:r>
          </w:p>
        </w:tc>
        <w:tc>
          <w:tcPr>
            <w:tcW w:w="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34,743</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8,690</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40,381</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36,110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4,193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Ceded losses and LAE</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(1,318)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20,627</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Underwriting and general</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16,888</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18,186</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1,867</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Fee and other income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capital gain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83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investments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Income before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83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attributable to NI</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Arial" w:cs="Arial" w:eastAsia="Arial" w:hAnsi="Arial"/>
          <w:sz w:val="18"/>
          <w:szCs w:val="18"/>
          <w:color w:val="auto"/>
        </w:rPr>
        <w:t>5,031</w:t>
      </w:r>
    </w:p>
    <w:p>
      <w:pPr>
        <w:spacing w:after="0" w:line="22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2,997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6,394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7886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46" w:lineRule="exact"/>
        <w:rPr>
          <w:sz w:val="20"/>
          <w:szCs w:val="20"/>
          <w:color w:val="auto"/>
        </w:rPr>
      </w:pPr>
    </w:p>
    <w:p>
      <w:pPr>
        <w:ind w:left="760" w:hanging="751"/>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15,991</w:t>
      </w:r>
    </w:p>
    <w:p>
      <w:pPr>
        <w:spacing w:after="0" w:line="23" w:lineRule="exact"/>
        <w:rPr>
          <w:sz w:val="20"/>
          <w:szCs w:val="20"/>
          <w:color w:val="auto"/>
        </w:rPr>
      </w:pPr>
    </w:p>
    <w:p>
      <w:pPr>
        <w:sectPr>
          <w:pgSz w:w="11900" w:h="16838" w:orient="portrait"/>
          <w:cols w:equalWidth="0" w:num="2">
            <w:col w:w="9340" w:space="720"/>
            <w:col w:w="136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5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Loss and LAE ratio</w:t>
            </w:r>
          </w:p>
        </w:tc>
        <w:tc>
          <w:tcPr>
            <w:tcW w:w="5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5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54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74.0%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 ratio</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Combined ratio</w:t>
            </w:r>
          </w:p>
        </w:tc>
        <w:tc>
          <w:tcPr>
            <w:tcW w:w="5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93.2%</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5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84.1%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Balances at December 31, 2017:</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Premiums receivable</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15,430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1,196</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7,856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   $</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25,632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Deferred policy acquisition</w:t>
            </w: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3,404</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4,638</w:t>
            </w:r>
          </w:p>
        </w:tc>
        <w:tc>
          <w:tcPr>
            <w:tcW w:w="5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Reinsurance recoverables</w:t>
            </w:r>
          </w:p>
        </w:tc>
        <w:tc>
          <w:tcPr>
            <w:tcW w:w="5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1,449</w:t>
            </w:r>
          </w:p>
        </w:tc>
        <w:tc>
          <w:tcPr>
            <w:tcW w:w="54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133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Receivable from Federal Crop</w:t>
            </w: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 Corporation</w:t>
            </w: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10,501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17,805</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10,510</w:t>
            </w: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1,152</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5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24,442</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1,762</w:t>
            </w:r>
          </w:p>
        </w:tc>
        <w:tc>
          <w:tcPr>
            <w:tcW w:w="5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32,691</w:t>
            </w:r>
          </w:p>
        </w:tc>
        <w:tc>
          <w:tcPr>
            <w:tcW w:w="54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type w:val="continuous"/>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0"/>
              </w:rPr>
              <w:t>Year Ended December 31, 2016</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Private</w:t>
            </w:r>
          </w:p>
        </w:tc>
        <w:tc>
          <w:tcPr>
            <w:tcW w:w="16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Home and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Auto</w:t>
            </w:r>
          </w:p>
        </w:tc>
        <w:tc>
          <w:tcPr>
            <w:tcW w:w="16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Farm</w:t>
            </w:r>
          </w:p>
        </w:tc>
        <w:tc>
          <w:tcPr>
            <w:tcW w:w="2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Crop</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All Other</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3,852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(8,203)</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tcPr>
          <w:p>
            <w:pPr>
              <w:ind w:left="240"/>
              <w:spacing w:after="0"/>
              <w:rPr>
                <w:sz w:val="20"/>
                <w:szCs w:val="20"/>
                <w:color w:val="auto"/>
              </w:rPr>
            </w:pPr>
            <w:r>
              <w:rPr>
                <w:rFonts w:ascii="Arial" w:cs="Arial" w:eastAsia="Arial" w:hAnsi="Arial"/>
                <w:sz w:val="18"/>
                <w:szCs w:val="18"/>
                <w:color w:val="auto"/>
              </w:rPr>
              <w:t>Net premiums earned</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48,250</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41,022</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65,119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23,173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7,112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1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(3,446)</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(21,749)</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(3,065)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Underwriting and general</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13,953</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15,821</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Underwriting gain (loss)</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capital gain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83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investments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Income before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83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attributable to NI</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3,644</w:t>
      </w:r>
    </w:p>
    <w:p>
      <w:pPr>
        <w:spacing w:after="0" w:line="22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5,681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1,479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32" w:lineRule="exact"/>
        <w:rPr>
          <w:sz w:val="20"/>
          <w:szCs w:val="20"/>
          <w:color w:val="auto"/>
        </w:rPr>
      </w:pPr>
    </w:p>
    <w:p>
      <w:pPr>
        <w:ind w:left="840" w:hanging="831"/>
        <w:spacing w:after="0"/>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4,551</w:t>
      </w:r>
    </w:p>
    <w:p>
      <w:pPr>
        <w:spacing w:after="0" w:line="46" w:lineRule="exact"/>
        <w:rPr>
          <w:sz w:val="20"/>
          <w:szCs w:val="20"/>
          <w:color w:val="auto"/>
        </w:rPr>
      </w:pPr>
    </w:p>
    <w:p>
      <w:pPr>
        <w:sectPr>
          <w:pgSz w:w="11900" w:h="16838" w:orient="portrait"/>
          <w:cols w:equalWidth="0" w:num="2">
            <w:col w:w="9340" w:space="720"/>
            <w:col w:w="136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5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Loss and LAE ratio</w:t>
            </w:r>
          </w:p>
        </w:tc>
        <w:tc>
          <w:tcPr>
            <w:tcW w:w="5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78.5%</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54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58.4%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 ratio</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13.6%</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Combined ratio</w:t>
            </w:r>
          </w:p>
        </w:tc>
        <w:tc>
          <w:tcPr>
            <w:tcW w:w="5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120.8%</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119.1%</w:t>
            </w:r>
          </w:p>
        </w:tc>
        <w:tc>
          <w:tcPr>
            <w:tcW w:w="54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72.1%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Balances at December 31, 2016:</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Premiums receivable</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13,390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6,671</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Deferred policy acquisition</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3,412</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4,998</w:t>
            </w:r>
          </w:p>
        </w:tc>
        <w:tc>
          <w:tcPr>
            <w:tcW w:w="5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Reinsurance recoverables</w:t>
            </w:r>
          </w:p>
        </w:tc>
        <w:tc>
          <w:tcPr>
            <w:tcW w:w="5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3,845</w:t>
            </w:r>
          </w:p>
        </w:tc>
        <w:tc>
          <w:tcPr>
            <w:tcW w:w="54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579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Receivable from Federal Crop</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 Corporation</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16,761</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24,713</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5,933</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15,483</w:t>
            </w: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4,270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5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22,119</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29,777</w:t>
            </w:r>
          </w:p>
        </w:tc>
        <w:tc>
          <w:tcPr>
            <w:tcW w:w="54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93" w:name="page94"/>
    <w:bookmarkEnd w:id="9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0"/>
              </w:rPr>
              <w:t>Year Ended December 31, 2015</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3"/>
              </w:rPr>
              <w:t>Private</w:t>
            </w:r>
          </w:p>
        </w:tc>
        <w:tc>
          <w:tcPr>
            <w:tcW w:w="16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Passenger</w:t>
            </w: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Home and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Auto</w:t>
            </w:r>
          </w:p>
        </w:tc>
        <w:tc>
          <w:tcPr>
            <w:tcW w:w="16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Farm</w:t>
            </w:r>
          </w:p>
        </w:tc>
        <w:tc>
          <w:tcPr>
            <w:tcW w:w="2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Crop</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All Other</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3,668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(2,738)</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(5,940)</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43,985</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11,373</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48,432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Direct losses and LAE</w:t>
            </w:r>
          </w:p>
        </w:tc>
        <w:tc>
          <w:tcPr>
            <w:tcW w:w="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30,303</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9,954</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34,501</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13,198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1,286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Ceded losses and LAE</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(3,923)</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(835)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Underwriting and general</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12,760</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14,877</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Fee and other income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capital gain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83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investments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Income before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83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attributable to NI</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3,571</w:t>
      </w:r>
    </w:p>
    <w:p>
      <w:pPr>
        <w:spacing w:after="0" w:line="22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823</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8,288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32" w:lineRule="exact"/>
        <w:rPr>
          <w:sz w:val="20"/>
          <w:szCs w:val="20"/>
          <w:color w:val="auto"/>
        </w:rPr>
      </w:pPr>
    </w:p>
    <w:p>
      <w:pPr>
        <w:ind w:left="760" w:hanging="751"/>
        <w:spacing w:after="0"/>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17,456</w:t>
      </w:r>
    </w:p>
    <w:p>
      <w:pPr>
        <w:spacing w:after="0" w:line="46" w:lineRule="exact"/>
        <w:rPr>
          <w:sz w:val="20"/>
          <w:szCs w:val="20"/>
          <w:color w:val="auto"/>
        </w:rPr>
      </w:pPr>
    </w:p>
    <w:p>
      <w:pPr>
        <w:sectPr>
          <w:pgSz w:w="11900" w:h="16838" w:orient="portrait"/>
          <w:cols w:equalWidth="0" w:num="2">
            <w:col w:w="9340" w:space="720"/>
            <w:col w:w="136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5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Loss and LAE ratio</w:t>
            </w:r>
          </w:p>
        </w:tc>
        <w:tc>
          <w:tcPr>
            <w:tcW w:w="5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5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54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42.9%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 ratio</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14.6%</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Combined ratio</w:t>
            </w:r>
          </w:p>
        </w:tc>
        <w:tc>
          <w:tcPr>
            <w:tcW w:w="5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5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54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57.6%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Balances at December 31, 2015: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Premiums receivable</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11,933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6,326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Deferred policy acquisition</w:t>
            </w: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4,790</w:t>
            </w:r>
          </w:p>
        </w:tc>
        <w:tc>
          <w:tcPr>
            <w:tcW w:w="5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Reinsurance recoverables</w:t>
            </w:r>
          </w:p>
        </w:tc>
        <w:tc>
          <w:tcPr>
            <w:tcW w:w="5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1,571</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2,230</w:t>
            </w:r>
          </w:p>
        </w:tc>
        <w:tc>
          <w:tcPr>
            <w:tcW w:w="54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302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Receivable from Federal Crop</w:t>
            </w: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 Corporation</w:t>
            </w: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14,002</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21,104</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5,680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9,989</w:t>
            </w: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1,240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5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20,498</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5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27,775</w:t>
            </w:r>
          </w:p>
        </w:tc>
        <w:tc>
          <w:tcPr>
            <w:tcW w:w="54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154"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realized capital gain on investments, other income excluding non-standard auto insurance fees, and income taxes for the Consolidated Statement of Operations statement. For the Consolidated Balance Sheet, those items include cash and investments, property and equipment, other assets, accrued expenses, federal income taxes recoverable or payable, and equity.</w:t>
      </w:r>
    </w:p>
    <w:p>
      <w:pPr>
        <w:sectPr>
          <w:pgSz w:w="11900" w:h="16838" w:orient="portrait"/>
          <w:cols w:equalWidth="0" w:num="1">
            <w:col w:w="11420"/>
          </w:cols>
          <w:pgMar w:left="240" w:top="226" w:right="239" w:bottom="1440" w:gutter="0" w:footer="0" w:header="0"/>
          <w:type w:val="continuous"/>
        </w:sectPr>
      </w:pP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4" w:name="page95"/>
    <w:bookmarkEnd w:id="9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Net Income, Capital and Surplus, and Dividend Restrictions</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table presents selected information, as filed with insurance regulatory authorities, for our insurance subsidiaries as determined in accordance with accounting practices prescribed or permitted by such insurance regulatory authorities as of and for the years ended December 31, 2017, 2016 and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Statutory capital and surplus</w:t>
            </w:r>
          </w:p>
        </w:tc>
        <w:tc>
          <w:tcPr>
            <w:tcW w:w="2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156,545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139,140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unassigned surplus</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151,545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139,140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Statutory net income</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13,915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American West:</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capital and surplus</w:t>
            </w:r>
          </w:p>
        </w:tc>
        <w:tc>
          <w:tcPr>
            <w:tcW w:w="2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12,409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Statutory unassigned surplus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net income</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Primero:</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Statutory capital and surplus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8,936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8,616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unassigned surplus</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Statutory net income</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Battle Creek:</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capital and surplus</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Statutory unassigned surplus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2,735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net income</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2017 and 2016 exceeded the amount of statutory capital and surplus necessary to satisfy regulatory requirements, including the RBC requirements, by a significant margin.</w:t>
      </w:r>
    </w:p>
    <w:p>
      <w:pPr>
        <w:spacing w:after="0" w:line="13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Amounts available for distribution to Nodak Insurance as dividends from its insurance subsidiaries without prior approval of insurance regulatory authorities are $1,241 in 2018 and $1,180 in 2017 from American West. Dividends available from Primero are $143 in 2018 and $0 in 2017.</w:t>
      </w:r>
    </w:p>
    <w:p>
      <w:pPr>
        <w:spacing w:after="0" w:line="9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amount available for payment of dividends from Nodak Insurance to NI Holdings after the conversion without the prior approval of the North Dakota Insurance Department is $15,654 based upon the policyholders’ surplus of Nodak Insurance at December 31, 2017.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in the year ended December 31, 2017.</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5" w:name="page96"/>
    <w:bookmarkEnd w:id="9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Statutory Filings to Amounts Reported Herein</w:t>
      </w:r>
    </w:p>
    <w:p>
      <w:pPr>
        <w:spacing w:after="0" w:line="18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Our insurance subsidiaries must file financial statements with state insurance regulatory authorities using accounting principles and practices prescribed or permitted by those authorities. We refer to these accounting principles and practices as statutory accounting principles (“SAP”). Accounting principles used to prepare these SAP financial statements differ from those used to prepare financial statements based on GAAP.</w:t>
      </w:r>
    </w:p>
    <w:p>
      <w:pPr>
        <w:spacing w:after="0" w:line="12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Reconciliations of statutory net income and capital and surplus, as determined using SAP, to the amounts included in the accompanying GAAP-basis financial statements are as follows as of and for the years ended December 31, 2017, 2016 and 2015: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equity on a GAAP basis</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Equity of non-statutory entities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(84,321)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in subsidiaries</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Non-admitted assets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policy acquisition costs</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Unrealized (gains) / losses on fixed income securities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(1,209)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 (losses) on investments carried at cost</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2,792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Surplus notes</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Aggregate statutory surplus of insurance subsidiaries</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on a GAAP basis</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15,612</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Losses on non-statutory entities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policy acquisition costs</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than temporary impairment losses</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Aggregate statutory net earnings</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80" w:type="dxa"/>
            <w:vAlign w:val="bottom"/>
            <w:vMerge w:val="restart"/>
          </w:tcPr>
          <w:p>
            <w:pPr>
              <w:jc w:val="right"/>
              <w:ind w:right="1230"/>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Data (Unaudited)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provides a summary of unaudited quarterly results for the periods presented. Earnings per share data is only available for the quarterly periods subsequent to the conversion and sale of stock.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For the year ended December 31, 2017</w:t>
            </w:r>
          </w:p>
        </w:tc>
        <w:tc>
          <w:tcPr>
            <w:tcW w:w="1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First Quarter</w:t>
            </w: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Fourth Quarter</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45,653</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52,525</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999</w:t>
            </w: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1,303</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1,404</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34,771</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47,616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56,566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50,187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27,740</w:t>
            </w: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47,655</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59,691</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32,048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non-controlling interest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13,439</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basic earnings per common share</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For the year ended December 31, 2016</w:t>
            </w:r>
          </w:p>
        </w:tc>
        <w:tc>
          <w:tcPr>
            <w:tcW w:w="1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First Quarter</w:t>
            </w: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Fourth Quarter</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30,115</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52,639</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982</w:t>
            </w: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820</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31,490</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38,806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59,135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21,788</w:t>
            </w: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41,472</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61,696</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32,674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non-controlling interest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basic earnings per common share</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r>
    </w:tbl>
    <w:p>
      <w:pPr>
        <w:spacing w:after="0" w:line="363"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Net investment income, total revenues, and total expenses have been reduced for prior quarters due to a reclassification to bring our figures from statutory accounting principles to U.S. generally accepted accounting principles. There was no impact to net income before non-controlling interest.</w:t>
      </w:r>
    </w:p>
    <w:p>
      <w:pPr>
        <w:spacing w:after="0" w:line="79"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evaluated subsequent events through March 7, 2018, the date these consolidated financial statements were available for issuance.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or disagreements with accountants on accounting and financial disclosure.</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Company’s Chief Executive Officer and Chief Financial Officer have reviewed and evaluated the effectiveness of the Company’s disclosure controls and procedures (as required by Exchange Act Rules 240.13a-15(b) and 15d-14(a)) as of December 31, 2017.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Internal Controls over Financial Reporting</w:t>
      </w:r>
    </w:p>
    <w:p>
      <w:pPr>
        <w:spacing w:after="0" w:line="18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that term is defined in Rule 13a-15(f) under the Exchange Act. Under the supervision and with the participation of our Chief Executive Officer and our Chief Financial Officer, our management has reviewed and evaluated the effectiveness of our internal control over financial reporting based on the framework and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(the “COSO</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Based on our evaluation under the COSO Framework, the Chief Executive Officer and Chief Financial Officer have concluded that the Company’s current internal control over financial reporting is effective, and that our consolidated financial statements we include in this Form 10-K Report present fairly, in all material respects, our financial position, results of operations, and cash flows in conformity with GAAP.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year ended December 31, 2017,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December 1, 2017, the Board of Directors awarded a total of 83,000 time-based Restricted Stock Unit grants to non-employee directors and certain executive officers of the Company, pursuant to grant agreements, the forms of which are attached as Exhibits 10.12 and 10.13 in this Annual Report on Form 10-K.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8" w:name="page99"/>
    <w:bookmarkEnd w:id="9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incorporate the response to this Item 10 by reference to our proxy statement we will file with the SEC on or about April 12, 2018 relating to our Annual Meeting of Shareholders that we will hold on May 22, 2018 (our “Proxy Statement”). We respond to this Item with respect to our executive officers by reference to Part I of this Annual Report on Form 10-K.</w:t>
      </w:r>
    </w:p>
    <w:p>
      <w:pPr>
        <w:spacing w:after="0" w:line="14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posted a copy of our Code of Ethics and Business Conduct on the Governance Highlights page of the Corporate Governance section of our website, www.niholdingsinc.com, which you can access free of charge. Information contained on the website is not incorporated by reference in, or considered part of, this Form 10-K. We intend to disclose on our website any amendments to, or waivers from, our Code of Ethics and Business Conduct that are required to be disclosed by law or NASDAQ Listing Rules.</w:t>
      </w:r>
    </w:p>
    <w:p>
      <w:pPr>
        <w:spacing w:after="0" w:line="200" w:lineRule="exact"/>
        <w:rPr>
          <w:sz w:val="20"/>
          <w:szCs w:val="20"/>
          <w:color w:val="auto"/>
        </w:rPr>
      </w:pPr>
    </w:p>
    <w:p>
      <w:pPr>
        <w:spacing w:after="0" w:line="3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11 by reference to our Proxy Statement.</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12 by reference to our Proxy Statement.</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13 by reference to our Proxy Statement.</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14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99" w:name="page100"/>
    <w:bookmarkEnd w:id="9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Financial Statements and Financial Statement Schedules</w:t>
      </w:r>
    </w:p>
    <w:p>
      <w:pPr>
        <w:spacing w:after="0" w:line="189"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18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Statements and</w:t>
      </w:r>
    </w:p>
    <w:p>
      <w:pPr>
        <w:spacing w:after="0" w:line="198" w:lineRule="exact"/>
        <w:rPr>
          <w:rFonts w:ascii="Arial" w:cs="Arial" w:eastAsia="Arial" w:hAnsi="Arial"/>
          <w:sz w:val="18"/>
          <w:szCs w:val="18"/>
          <w:color w:val="auto"/>
        </w:rPr>
      </w:pPr>
    </w:p>
    <w:p>
      <w:pPr>
        <w:ind w:left="660" w:right="5060" w:hanging="652"/>
        <w:spacing w:after="0" w:line="51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Financial Statement schedules required to be filed by Item 8 of this report. Schedule I Condensed financial information of registrant – NI Holdings, Inc.</w:t>
      </w:r>
    </w:p>
    <w:p>
      <w:pPr>
        <w:spacing w:after="0" w:line="1" w:lineRule="exact"/>
        <w:rPr>
          <w:rFonts w:ascii="Arial" w:cs="Arial" w:eastAsia="Arial" w:hAnsi="Arial"/>
          <w:sz w:val="16"/>
          <w:szCs w:val="16"/>
          <w:color w:val="auto"/>
        </w:rPr>
      </w:pPr>
    </w:p>
    <w:p>
      <w:pPr>
        <w:ind w:left="660" w:right="420"/>
        <w:spacing w:after="0" w:line="277" w:lineRule="auto"/>
        <w:rPr>
          <w:rFonts w:ascii="Arial" w:cs="Arial" w:eastAsia="Arial" w:hAnsi="Arial"/>
          <w:sz w:val="16"/>
          <w:szCs w:val="16"/>
          <w:color w:val="auto"/>
        </w:rPr>
      </w:pPr>
      <w:r>
        <w:rPr>
          <w:rFonts w:ascii="Arial" w:cs="Arial" w:eastAsia="Arial" w:hAnsi="Arial"/>
          <w:sz w:val="18"/>
          <w:szCs w:val="18"/>
          <w:color w:val="auto"/>
        </w:rPr>
        <w:t>All other financial schedules are not required under the related instructions, as they are inapplicable or the information has been included in the Consolidated Financial Statements, and therefore have been omitted.</w:t>
      </w:r>
    </w:p>
    <w:p>
      <w:pPr>
        <w:spacing w:after="0" w:line="143"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exhibits are required by Item 601 of Regulation S-K and are included as part of this Form 10-K:</w:t>
      </w:r>
    </w:p>
    <w:p>
      <w:pPr>
        <w:spacing w:after="0" w:line="184" w:lineRule="exact"/>
        <w:rPr>
          <w:rFonts w:ascii="Arial" w:cs="Arial" w:eastAsia="Arial" w:hAnsi="Arial"/>
          <w:sz w:val="18"/>
          <w:szCs w:val="18"/>
          <w:color w:val="auto"/>
        </w:rPr>
      </w:pPr>
    </w:p>
    <w:p>
      <w:pPr>
        <w:ind w:left="1300" w:right="100" w:hanging="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2.1</w:t>
      </w:r>
      <w:hyperlink r:id="rId139">
        <w:r>
          <w:rPr>
            <w:rFonts w:ascii="Arial" w:cs="Arial" w:eastAsia="Arial" w:hAnsi="Arial"/>
            <w:sz w:val="18"/>
            <w:szCs w:val="18"/>
            <w:u w:val="single" w:color="auto"/>
            <w:color w:val="0000EE"/>
          </w:rPr>
          <w:t>Plan of Mutual Property and Casualty Insurance Company Conversion and Minority Offering of Nodak Mutual Insurance Company, dated</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as of January 21, 2016 (1)</w:t>
        </w:r>
      </w:hyperlink>
    </w:p>
    <w:p>
      <w:pPr>
        <w:spacing w:after="0" w:line="129" w:lineRule="exact"/>
        <w:rPr>
          <w:rFonts w:ascii="Arial" w:cs="Arial" w:eastAsia="Arial" w:hAnsi="Arial"/>
          <w:sz w:val="18"/>
          <w:szCs w:val="18"/>
          <w:u w:val="single" w:color="auto"/>
          <w:color w:val="0000EE"/>
        </w:rPr>
      </w:pPr>
    </w:p>
    <w:p>
      <w:pPr>
        <w:ind w:left="660"/>
        <w:spacing w:after="0"/>
        <w:rPr>
          <w:rFonts w:ascii="Arial" w:cs="Arial" w:eastAsia="Arial" w:hAnsi="Arial"/>
          <w:sz w:val="17"/>
          <w:szCs w:val="17"/>
          <w:u w:val="single" w:color="auto"/>
          <w:color w:val="0000EE"/>
        </w:rPr>
      </w:pPr>
      <w:r>
        <w:rPr>
          <w:rFonts w:ascii="Arial" w:cs="Arial" w:eastAsia="Arial" w:hAnsi="Arial"/>
          <w:sz w:val="18"/>
          <w:szCs w:val="18"/>
          <w:color w:val="auto"/>
        </w:rPr>
        <w:t>3.1</w:t>
      </w:r>
      <w:hyperlink r:id="rId140">
        <w:r>
          <w:rPr>
            <w:rFonts w:ascii="Arial" w:cs="Arial" w:eastAsia="Arial" w:hAnsi="Arial"/>
            <w:sz w:val="17"/>
            <w:szCs w:val="17"/>
            <w:u w:val="single" w:color="auto"/>
            <w:color w:val="0000EE"/>
          </w:rPr>
          <w:t>Articles of Incorporation of NI Holdings, Inc. (1)</w:t>
        </w:r>
      </w:hyperlink>
    </w:p>
    <w:p>
      <w:pPr>
        <w:spacing w:after="0" w:line="198" w:lineRule="exact"/>
        <w:rPr>
          <w:rFonts w:ascii="Arial" w:cs="Arial" w:eastAsia="Arial" w:hAnsi="Arial"/>
          <w:sz w:val="17"/>
          <w:szCs w:val="17"/>
          <w:u w:val="single" w:color="auto"/>
          <w:color w:val="0000EE"/>
        </w:rPr>
      </w:pPr>
    </w:p>
    <w:p>
      <w:pPr>
        <w:ind w:left="660"/>
        <w:spacing w:after="0"/>
        <w:rPr>
          <w:rFonts w:ascii="Arial" w:cs="Arial" w:eastAsia="Arial" w:hAnsi="Arial"/>
          <w:sz w:val="17"/>
          <w:szCs w:val="17"/>
          <w:u w:val="single" w:color="auto"/>
          <w:color w:val="0000EE"/>
        </w:rPr>
      </w:pPr>
      <w:r>
        <w:rPr>
          <w:rFonts w:ascii="Arial" w:cs="Arial" w:eastAsia="Arial" w:hAnsi="Arial"/>
          <w:sz w:val="18"/>
          <w:szCs w:val="18"/>
          <w:color w:val="auto"/>
        </w:rPr>
        <w:t>3.2</w:t>
      </w:r>
      <w:hyperlink r:id="rId141">
        <w:r>
          <w:rPr>
            <w:rFonts w:ascii="Arial" w:cs="Arial" w:eastAsia="Arial" w:hAnsi="Arial"/>
            <w:sz w:val="17"/>
            <w:szCs w:val="17"/>
            <w:u w:val="single" w:color="auto"/>
            <w:color w:val="0000EE"/>
          </w:rPr>
          <w:t>Bylaws of NI Holdings, Inc. (1)</w:t>
        </w:r>
      </w:hyperlink>
    </w:p>
    <w:p>
      <w:pPr>
        <w:spacing w:after="0" w:line="184" w:lineRule="exact"/>
        <w:rPr>
          <w:rFonts w:ascii="Arial" w:cs="Arial" w:eastAsia="Arial" w:hAnsi="Arial"/>
          <w:sz w:val="17"/>
          <w:szCs w:val="17"/>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4.1</w:t>
      </w:r>
      <w:hyperlink r:id="rId142">
        <w:r>
          <w:rPr>
            <w:rFonts w:ascii="Arial" w:cs="Arial" w:eastAsia="Arial" w:hAnsi="Arial"/>
            <w:sz w:val="16"/>
            <w:szCs w:val="16"/>
            <w:u w:val="single" w:color="auto"/>
            <w:color w:val="0000EE"/>
          </w:rPr>
          <w:t>Form of certificate evidencing shares of common stock of NI Holdings, Inc. (1)</w:t>
        </w:r>
      </w:hyperlink>
    </w:p>
    <w:p>
      <w:pPr>
        <w:spacing w:after="0" w:line="184" w:lineRule="exact"/>
        <w:rPr>
          <w:rFonts w:ascii="Arial" w:cs="Arial" w:eastAsia="Arial" w:hAnsi="Arial"/>
          <w:sz w:val="16"/>
          <w:szCs w:val="16"/>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10.1</w:t>
      </w:r>
      <w:hyperlink r:id="rId143">
        <w:r>
          <w:rPr>
            <w:rFonts w:ascii="Arial" w:cs="Arial" w:eastAsia="Arial" w:hAnsi="Arial"/>
            <w:sz w:val="16"/>
            <w:szCs w:val="16"/>
            <w:u w:val="single" w:color="auto"/>
            <w:color w:val="0000EE"/>
          </w:rPr>
          <w:t>2016 NI Holdings, Inc. Equity Incentive Plan (1)</w:t>
        </w:r>
      </w:hyperlink>
    </w:p>
    <w:p>
      <w:pPr>
        <w:spacing w:after="0" w:line="198" w:lineRule="exact"/>
        <w:rPr>
          <w:rFonts w:ascii="Arial" w:cs="Arial" w:eastAsia="Arial" w:hAnsi="Arial"/>
          <w:sz w:val="16"/>
          <w:szCs w:val="16"/>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10.2</w:t>
      </w:r>
      <w:hyperlink r:id="rId144">
        <w:r>
          <w:rPr>
            <w:rFonts w:ascii="Arial" w:cs="Arial" w:eastAsia="Arial" w:hAnsi="Arial"/>
            <w:sz w:val="16"/>
            <w:szCs w:val="16"/>
            <w:u w:val="single" w:color="auto"/>
            <w:color w:val="0000EE"/>
          </w:rPr>
          <w:t>Nodak Mutual Insurance Company Nonqualified Deferred Compensation Plan (1)</w:t>
        </w:r>
      </w:hyperlink>
    </w:p>
    <w:p>
      <w:pPr>
        <w:spacing w:after="0" w:line="184" w:lineRule="exact"/>
        <w:rPr>
          <w:rFonts w:ascii="Arial" w:cs="Arial" w:eastAsia="Arial" w:hAnsi="Arial"/>
          <w:sz w:val="16"/>
          <w:szCs w:val="16"/>
          <w:u w:val="single" w:color="auto"/>
          <w:color w:val="0000EE"/>
        </w:rPr>
      </w:pPr>
    </w:p>
    <w:p>
      <w:pPr>
        <w:ind w:left="1300" w:right="680" w:hanging="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145">
        <w:r>
          <w:rPr>
            <w:rFonts w:ascii="Arial" w:cs="Arial" w:eastAsia="Arial" w:hAnsi="Arial"/>
            <w:sz w:val="18"/>
            <w:szCs w:val="18"/>
            <w:u w:val="single" w:color="auto"/>
            <w:color w:val="0000EE"/>
          </w:rPr>
          <w:t>Employment Agreement dated as of April 28, 2016, between Michael J. Alexander and Nodak Mutual Insurance Company and NI</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Holdings, Inc. (1)</w:t>
        </w:r>
      </w:hyperlink>
    </w:p>
    <w:p>
      <w:pPr>
        <w:spacing w:after="0" w:line="129" w:lineRule="exact"/>
        <w:rPr>
          <w:rFonts w:ascii="Arial" w:cs="Arial" w:eastAsia="Arial" w:hAnsi="Arial"/>
          <w:sz w:val="18"/>
          <w:szCs w:val="18"/>
          <w:u w:val="single" w:color="auto"/>
          <w:color w:val="0000EE"/>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10.4#   </w:t>
      </w:r>
      <w:hyperlink r:id="rId146">
        <w:r>
          <w:rPr>
            <w:rFonts w:ascii="Arial" w:cs="Arial" w:eastAsia="Arial" w:hAnsi="Arial"/>
            <w:sz w:val="16"/>
            <w:szCs w:val="16"/>
            <w:u w:val="single" w:color="auto"/>
            <w:color w:val="0000EE"/>
          </w:rPr>
          <w:t>Employment Agreement dated as of April 28, 2016, between Brian R. Doom and Nodak Mutual Insurance Company and NI Holdings, Inc.</w:t>
        </w:r>
      </w:hyperlink>
    </w:p>
    <w:p>
      <w:pPr>
        <w:spacing w:after="0" w:line="46" w:lineRule="exact"/>
        <w:rPr>
          <w:rFonts w:ascii="Arial" w:cs="Arial" w:eastAsia="Arial" w:hAnsi="Arial"/>
          <w:sz w:val="16"/>
          <w:szCs w:val="16"/>
          <w:color w:val="auto"/>
        </w:rPr>
      </w:pPr>
    </w:p>
    <w:p>
      <w:pPr>
        <w:ind w:left="1300"/>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(1)</w:t>
        </w:r>
      </w:hyperlink>
    </w:p>
    <w:p>
      <w:pPr>
        <w:spacing w:after="0" w:line="183" w:lineRule="exact"/>
        <w:rPr>
          <w:rFonts w:ascii="Arial" w:cs="Arial" w:eastAsia="Arial" w:hAnsi="Arial"/>
          <w:sz w:val="18"/>
          <w:szCs w:val="18"/>
          <w:u w:val="single" w:color="auto"/>
          <w:color w:val="0000EE"/>
        </w:rPr>
      </w:pPr>
    </w:p>
    <w:p>
      <w:pPr>
        <w:ind w:left="1300" w:right="100" w:hanging="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10.5# </w:t>
      </w:r>
      <w:hyperlink r:id="rId147">
        <w:r>
          <w:rPr>
            <w:rFonts w:ascii="Arial" w:cs="Arial" w:eastAsia="Arial" w:hAnsi="Arial"/>
            <w:sz w:val="18"/>
            <w:szCs w:val="18"/>
            <w:u w:val="single" w:color="auto"/>
            <w:color w:val="0000EE"/>
          </w:rPr>
          <w:t>Employment Agreement dated as of April 28, 2016, between Patrick W. Duncan and Nodak Mutual Insurance Company and NI Holdings,</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EE"/>
          </w:rPr>
          <w:t>Inc. (1)</w:t>
        </w:r>
      </w:hyperlink>
    </w:p>
    <w:p>
      <w:pPr>
        <w:spacing w:after="0" w:line="129" w:lineRule="exact"/>
        <w:rPr>
          <w:rFonts w:ascii="Arial" w:cs="Arial" w:eastAsia="Arial" w:hAnsi="Arial"/>
          <w:sz w:val="18"/>
          <w:szCs w:val="18"/>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10.6</w:t>
      </w:r>
      <w:hyperlink r:id="rId148">
        <w:r>
          <w:rPr>
            <w:rFonts w:ascii="Arial" w:cs="Arial" w:eastAsia="Arial" w:hAnsi="Arial"/>
            <w:sz w:val="16"/>
            <w:szCs w:val="16"/>
            <w:u w:val="single" w:color="auto"/>
            <w:color w:val="0000EE"/>
          </w:rPr>
          <w:t>Trademark License Agreement dated as of October 1, 2016 between North Dakota Farm Bureau and Nodak Mutual Insurance Company (1)</w:t>
        </w:r>
      </w:hyperlink>
    </w:p>
    <w:p>
      <w:pPr>
        <w:spacing w:after="0" w:line="184" w:lineRule="exact"/>
        <w:rPr>
          <w:rFonts w:ascii="Arial" w:cs="Arial" w:eastAsia="Arial" w:hAnsi="Arial"/>
          <w:sz w:val="16"/>
          <w:szCs w:val="16"/>
          <w:u w:val="single" w:color="auto"/>
          <w:color w:val="0000EE"/>
        </w:rPr>
      </w:pPr>
    </w:p>
    <w:p>
      <w:pPr>
        <w:ind w:left="1300" w:right="120" w:hanging="648"/>
        <w:spacing w:after="0" w:line="291" w:lineRule="auto"/>
        <w:rPr>
          <w:rFonts w:ascii="Arial" w:cs="Arial" w:eastAsia="Arial" w:hAnsi="Arial"/>
          <w:sz w:val="16"/>
          <w:szCs w:val="16"/>
          <w:u w:val="single" w:color="auto"/>
          <w:color w:val="0000EE"/>
        </w:rPr>
      </w:pPr>
      <w:r>
        <w:rPr>
          <w:rFonts w:ascii="Arial" w:cs="Arial" w:eastAsia="Arial" w:hAnsi="Arial"/>
          <w:sz w:val="18"/>
          <w:szCs w:val="18"/>
          <w:color w:val="auto"/>
        </w:rPr>
        <w:t>10.7</w:t>
      </w:r>
      <w:hyperlink r:id="rId149">
        <w:r>
          <w:rPr>
            <w:rFonts w:ascii="Arial" w:cs="Arial" w:eastAsia="Arial" w:hAnsi="Arial"/>
            <w:sz w:val="16"/>
            <w:szCs w:val="16"/>
            <w:u w:val="single" w:color="auto"/>
            <w:color w:val="0000EE"/>
          </w:rPr>
          <w:t>Multiple Peril Crop/Livestock Insurance Full Service Agency Agreement among American Farm Bureau Insurance Services, Inc. and</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Nodak Mutual Insurance Company, American West Insurance Company and Battle Creek Mutual Insurance Company for Crop Year 2016</w:t>
        </w:r>
      </w:hyperlink>
    </w:p>
    <w:p>
      <w:pPr>
        <w:ind w:left="1300"/>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(1)</w:t>
        </w:r>
      </w:hyperlink>
    </w:p>
    <w:p>
      <w:pPr>
        <w:spacing w:after="0" w:line="183" w:lineRule="exact"/>
        <w:rPr>
          <w:rFonts w:ascii="Arial" w:cs="Arial" w:eastAsia="Arial" w:hAnsi="Arial"/>
          <w:sz w:val="18"/>
          <w:szCs w:val="18"/>
          <w:u w:val="single" w:color="auto"/>
          <w:color w:val="0000EE"/>
        </w:rPr>
      </w:pPr>
    </w:p>
    <w:p>
      <w:pPr>
        <w:ind w:left="1300" w:right="60" w:hanging="648"/>
        <w:spacing w:after="0" w:line="308" w:lineRule="auto"/>
        <w:rPr>
          <w:rFonts w:ascii="Arial" w:cs="Arial" w:eastAsia="Arial" w:hAnsi="Arial"/>
          <w:sz w:val="17"/>
          <w:szCs w:val="17"/>
          <w:u w:val="single" w:color="auto"/>
          <w:color w:val="0000EE"/>
        </w:rPr>
      </w:pPr>
      <w:r>
        <w:rPr>
          <w:rFonts w:ascii="Arial" w:cs="Arial" w:eastAsia="Arial" w:hAnsi="Arial"/>
          <w:sz w:val="18"/>
          <w:szCs w:val="18"/>
          <w:color w:val="auto"/>
        </w:rPr>
        <w:t>10.8</w:t>
      </w:r>
      <w:hyperlink r:id="rId150">
        <w:r>
          <w:rPr>
            <w:rFonts w:ascii="Arial" w:cs="Arial" w:eastAsia="Arial" w:hAnsi="Arial"/>
            <w:sz w:val="17"/>
            <w:szCs w:val="17"/>
            <w:u w:val="single" w:color="auto"/>
            <w:color w:val="0000EE"/>
          </w:rPr>
          <w:t>Crop Hail Insurance Full Service Agency Agreement among American Farm Bureau Insurance Services, Inc. and Nodak Mutual Insurance</w:t>
        </w:r>
      </w:hyperlink>
      <w:r>
        <w:rPr>
          <w:rFonts w:ascii="Arial" w:cs="Arial" w:eastAsia="Arial" w:hAnsi="Arial"/>
          <w:sz w:val="17"/>
          <w:szCs w:val="17"/>
          <w:u w:val="single" w:color="auto"/>
          <w:color w:val="0000EE"/>
        </w:rPr>
        <w:t xml:space="preserve"> </w:t>
      </w:r>
      <w:hyperlink r:id="rId150">
        <w:r>
          <w:rPr>
            <w:rFonts w:ascii="Arial" w:cs="Arial" w:eastAsia="Arial" w:hAnsi="Arial"/>
            <w:sz w:val="17"/>
            <w:szCs w:val="17"/>
            <w:u w:val="single" w:color="auto"/>
            <w:color w:val="0000EE"/>
          </w:rPr>
          <w:t>Company, American West Insurance Company and Battle Creek Mutual Insurance Company for Crop Year 2016 (1)</w:t>
        </w:r>
      </w:hyperlink>
    </w:p>
    <w:p>
      <w:pPr>
        <w:spacing w:after="0" w:line="106" w:lineRule="exact"/>
        <w:rPr>
          <w:rFonts w:ascii="Arial" w:cs="Arial" w:eastAsia="Arial" w:hAnsi="Arial"/>
          <w:sz w:val="17"/>
          <w:szCs w:val="17"/>
          <w:u w:val="single" w:color="auto"/>
          <w:color w:val="0000EE"/>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10.9#   </w:t>
      </w:r>
      <w:hyperlink r:id="rId151">
        <w:r>
          <w:rPr>
            <w:rFonts w:ascii="Arial" w:cs="Arial" w:eastAsia="Arial" w:hAnsi="Arial"/>
            <w:sz w:val="18"/>
            <w:szCs w:val="18"/>
            <w:u w:val="single" w:color="auto"/>
            <w:color w:val="0000EE"/>
          </w:rPr>
          <w:t>Nodak Mutual Insurance Company Cash Incentive Bonus Plan (3)</w:t>
        </w:r>
      </w:hyperlink>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10.10#  </w:t>
      </w:r>
      <w:hyperlink r:id="rId152">
        <w:r>
          <w:rPr>
            <w:rFonts w:ascii="Arial" w:cs="Arial" w:eastAsia="Arial" w:hAnsi="Arial"/>
            <w:sz w:val="18"/>
            <w:szCs w:val="18"/>
            <w:u w:val="single" w:color="auto"/>
            <w:color w:val="0000EE"/>
          </w:rPr>
          <w:t>NI Holdings, Inc. Employee Stock Ownership Plan (1)</w:t>
        </w:r>
      </w:hyperlink>
    </w:p>
    <w:p>
      <w:pPr>
        <w:spacing w:after="0" w:line="198" w:lineRule="exact"/>
        <w:rPr>
          <w:rFonts w:ascii="Arial" w:cs="Arial" w:eastAsia="Arial" w:hAnsi="Arial"/>
          <w:sz w:val="18"/>
          <w:szCs w:val="18"/>
          <w:color w:val="auto"/>
        </w:rPr>
      </w:pPr>
    </w:p>
    <w:p>
      <w:pPr>
        <w:ind w:left="1300" w:right="400" w:hanging="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153">
        <w:r>
          <w:rPr>
            <w:rFonts w:ascii="Arial" w:cs="Arial" w:eastAsia="Arial" w:hAnsi="Arial"/>
            <w:sz w:val="18"/>
            <w:szCs w:val="18"/>
            <w:u w:val="single" w:color="auto"/>
            <w:color w:val="0000EE"/>
          </w:rPr>
          <w:t>Affiliation Agreement dated as of December 30, 2010 between Nodak Mutual Insurance Company and Battle Creek Mutual Insurance</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EE"/>
          </w:rPr>
          <w:t>Company (2)</w:t>
        </w:r>
      </w:hyperlink>
    </w:p>
    <w:p>
      <w:pPr>
        <w:spacing w:after="0" w:line="129"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10.12*# </w:t>
      </w:r>
      <w:hyperlink w:anchor="page105">
        <w:r>
          <w:rPr>
            <w:rFonts w:ascii="Arial" w:cs="Arial" w:eastAsia="Arial" w:hAnsi="Arial"/>
            <w:sz w:val="18"/>
            <w:szCs w:val="18"/>
            <w:u w:val="single" w:color="auto"/>
            <w:color w:val="0000EE"/>
          </w:rPr>
          <w:t>NI Holdings, Inc. Time-Based Restricted Stock Unit Agreement for Named Executive Officers</w:t>
        </w:r>
      </w:hyperlink>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10.13*# </w:t>
      </w:r>
      <w:hyperlink w:anchor="page109">
        <w:r>
          <w:rPr>
            <w:rFonts w:ascii="Arial" w:cs="Arial" w:eastAsia="Arial" w:hAnsi="Arial"/>
            <w:sz w:val="18"/>
            <w:szCs w:val="18"/>
            <w:u w:val="single" w:color="auto"/>
            <w:color w:val="0000EE"/>
          </w:rPr>
          <w:t>NI Holdings, Inc. Time-Based Restricted Stock Unit Agreement for Non-Employee Directors</w:t>
        </w:r>
      </w:hyperlink>
    </w:p>
    <w:p>
      <w:pPr>
        <w:spacing w:after="0" w:line="225" w:lineRule="exact"/>
        <w:rPr>
          <w:rFonts w:ascii="Arial" w:cs="Arial" w:eastAsia="Arial" w:hAnsi="Arial"/>
          <w:sz w:val="18"/>
          <w:szCs w:val="18"/>
          <w:u w:val="single" w:color="auto"/>
          <w:color w:val="0000EE"/>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00" w:name="page101"/>
    <w:bookmarkEnd w:id="10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155">
        <w:r>
          <w:rPr>
            <w:rFonts w:ascii="Arial" w:cs="Arial" w:eastAsia="Arial" w:hAnsi="Arial"/>
            <w:sz w:val="16"/>
            <w:szCs w:val="16"/>
            <w:u w:val="single" w:color="auto"/>
            <w:color w:val="0000EE"/>
          </w:rPr>
          <w:t>Subsidiaries of NI Holdings, Inc. (1)</w:t>
        </w:r>
      </w:hyperlink>
    </w:p>
    <w:p>
      <w:pPr>
        <w:spacing w:after="0" w:line="185" w:lineRule="exact"/>
        <w:rPr>
          <w:sz w:val="20"/>
          <w:szCs w:val="20"/>
          <w:color w:val="auto"/>
        </w:rPr>
      </w:pPr>
    </w:p>
    <w:p>
      <w:pPr>
        <w:ind w:left="1300" w:right="440" w:hanging="647"/>
        <w:spacing w:after="0" w:line="277" w:lineRule="auto"/>
        <w:tabs>
          <w:tab w:leader="none" w:pos="1280" w:val="left"/>
        </w:tabs>
        <w:rPr>
          <w:rFonts w:ascii="Arial" w:cs="Arial" w:eastAsia="Arial" w:hAnsi="Arial"/>
          <w:sz w:val="18"/>
          <w:szCs w:val="18"/>
          <w:color w:val="0000EE"/>
        </w:rPr>
      </w:pPr>
      <w:r>
        <w:rPr>
          <w:rFonts w:ascii="Arial" w:cs="Arial" w:eastAsia="Arial" w:hAnsi="Arial"/>
          <w:sz w:val="18"/>
          <w:szCs w:val="18"/>
          <w:color w:val="auto"/>
        </w:rPr>
        <w:t>31.1*</w:t>
      </w:r>
      <w:r>
        <w:rPr>
          <w:sz w:val="20"/>
          <w:szCs w:val="20"/>
          <w:color w:val="auto"/>
        </w:rPr>
        <w:tab/>
      </w:r>
      <w:hyperlink w:anchor="page112">
        <w:r>
          <w:rPr>
            <w:rFonts w:ascii="Arial" w:cs="Arial" w:eastAsia="Arial" w:hAnsi="Arial"/>
            <w:sz w:val="18"/>
            <w:szCs w:val="18"/>
            <w:u w:val="single" w:color="auto"/>
            <w:color w:val="0000EE"/>
          </w:rPr>
          <w:t>Certification of Principal Executive Officer Pursuant to Rules 13a-14(a) and 15d-14(a) under the Securities Exchange Act of 1934, as</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Adopted Pursuant to Section 302 of the Sarbanes-Oxley Act of 2002</w:t>
        </w:r>
        <w:r>
          <w:rPr>
            <w:rFonts w:ascii="Arial" w:cs="Arial" w:eastAsia="Arial" w:hAnsi="Arial"/>
            <w:sz w:val="18"/>
            <w:szCs w:val="18"/>
            <w:color w:val="000000"/>
          </w:rPr>
          <w:t>.</w:t>
        </w:r>
      </w:hyperlink>
    </w:p>
    <w:p>
      <w:pPr>
        <w:spacing w:after="0" w:line="143" w:lineRule="exact"/>
        <w:rPr>
          <w:sz w:val="20"/>
          <w:szCs w:val="20"/>
          <w:color w:val="auto"/>
        </w:rPr>
      </w:pPr>
    </w:p>
    <w:p>
      <w:pPr>
        <w:ind w:left="1300" w:right="480" w:hanging="647"/>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113">
        <w:r>
          <w:rPr>
            <w:rFonts w:ascii="Arial" w:cs="Arial" w:eastAsia="Arial" w:hAnsi="Arial"/>
            <w:sz w:val="18"/>
            <w:szCs w:val="18"/>
            <w:u w:val="single" w:color="auto"/>
            <w:color w:val="0000EE"/>
          </w:rPr>
          <w:t>Certification of Principal Financial Officer Pursuant to Rules 13a-14(a) and 15d-14(a) under the Securities Exchange Act of 1934, as</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Adopted Pursuant to Section 302 of the Sarbanes-Oxley Act of 2002.</w:t>
        </w:r>
      </w:hyperlink>
    </w:p>
    <w:p>
      <w:pPr>
        <w:spacing w:after="0" w:line="130" w:lineRule="exact"/>
        <w:rPr>
          <w:sz w:val="20"/>
          <w:szCs w:val="20"/>
          <w:color w:val="auto"/>
        </w:rPr>
      </w:pPr>
    </w:p>
    <w:p>
      <w:pPr>
        <w:ind w:left="1300" w:right="280" w:hanging="639"/>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w:anchor="page114">
        <w:r>
          <w:rPr>
            <w:rFonts w:ascii="Arial" w:cs="Arial" w:eastAsia="Arial" w:hAnsi="Arial"/>
            <w:sz w:val="18"/>
            <w:szCs w:val="18"/>
            <w:u w:val="single" w:color="auto"/>
            <w:color w:val="0000EE"/>
          </w:rPr>
          <w:t>Certification of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114">
        <w:r>
          <w:rPr>
            <w:rFonts w:ascii="Arial" w:cs="Arial" w:eastAsia="Arial" w:hAnsi="Arial"/>
            <w:sz w:val="18"/>
            <w:szCs w:val="18"/>
            <w:u w:val="single" w:color="auto"/>
            <w:color w:val="0000EE"/>
          </w:rPr>
          <w:t>Section 906 of the Sarbanes-Oxley Act of 2002.</w:t>
        </w:r>
      </w:hyperlink>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101.INS**XBRL Instance Document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101.SCH**XBRL Taxonomy Extension Schema Linkbase Document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101.CAL**XBRL Taxonomy Extension Calculation Linkbase Document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101.DEF**XBRL Taxonomy Extension Definition Linkbase Document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101.LAB**XBRL Taxonomy Extension Label Linkbase Document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101.PRE**XBRL Taxonomy Extension Presentation Linkbase Document</w:t>
      </w:r>
    </w:p>
    <w:p>
      <w:pPr>
        <w:spacing w:after="0" w:line="18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firstLine="8"/>
        <w:spacing w:after="0" w:line="264"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41"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ind w:right="620" w:firstLine="8"/>
        <w:spacing w:after="0" w:line="277" w:lineRule="auto"/>
        <w:tabs>
          <w:tab w:leader="none" w:pos="5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(File No. 333-214057) filed with the SEC on October 11, 2016, and incorporated herein by reference.</w:t>
      </w:r>
    </w:p>
    <w:p>
      <w:pPr>
        <w:spacing w:after="0" w:line="143" w:lineRule="exact"/>
        <w:rPr>
          <w:rFonts w:ascii="Arial" w:cs="Arial" w:eastAsia="Arial" w:hAnsi="Arial"/>
          <w:sz w:val="18"/>
          <w:szCs w:val="18"/>
          <w:color w:val="auto"/>
        </w:rPr>
      </w:pPr>
    </w:p>
    <w:p>
      <w:pPr>
        <w:ind w:right="700" w:firstLine="8"/>
        <w:spacing w:after="0" w:line="277" w:lineRule="auto"/>
        <w:tabs>
          <w:tab w:leader="none" w:pos="5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as an exhibit to Amendment No. 1 to the Company’s Registration Statement on Form S-1 (File No. 333-214057) filed with the SEC on November 14, 2016, and incorporated herein by reference.</w:t>
      </w:r>
    </w:p>
    <w:p>
      <w:pPr>
        <w:spacing w:after="0" w:line="129" w:lineRule="exact"/>
        <w:rPr>
          <w:rFonts w:ascii="Arial" w:cs="Arial" w:eastAsia="Arial" w:hAnsi="Arial"/>
          <w:sz w:val="18"/>
          <w:szCs w:val="18"/>
          <w:color w:val="auto"/>
        </w:rPr>
      </w:pPr>
    </w:p>
    <w:p>
      <w:pPr>
        <w:ind w:right="100" w:firstLine="8"/>
        <w:spacing w:after="0" w:line="277" w:lineRule="auto"/>
        <w:tabs>
          <w:tab w:leader="none" w:pos="5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as an exhibit to Amendment No. 4 to the Company’s Registration Statement on Form S-1 (File No. 333-214057) filed with the SEC on January 12, 2017, and incorporated herein by reference.</w:t>
      </w:r>
    </w:p>
    <w:p>
      <w:pPr>
        <w:spacing w:after="0" w:line="200" w:lineRule="exact"/>
        <w:rPr>
          <w:sz w:val="20"/>
          <w:szCs w:val="20"/>
          <w:color w:val="auto"/>
        </w:rPr>
      </w:pP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01" w:name="page102"/>
    <w:bookmarkEnd w:id="10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 – Condensed financial information of registrant – NI Holdings,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NI Holdings, Inc. was formed on March 13, 2017. The following condensed financial information begins with that date.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40" w:type="dxa"/>
            <w:vAlign w:val="bottom"/>
            <w:tcBorders>
              <w:bottom w:val="single" w:sz="8" w:color="auto"/>
            </w:tcBorders>
          </w:tcPr>
          <w:p>
            <w:pPr>
              <w:ind w:left="4700"/>
              <w:spacing w:after="0"/>
              <w:rPr>
                <w:sz w:val="20"/>
                <w:szCs w:val="20"/>
                <w:color w:val="auto"/>
              </w:rPr>
            </w:pPr>
            <w:r>
              <w:rPr>
                <w:rFonts w:ascii="Arial" w:cs="Arial" w:eastAsia="Arial" w:hAnsi="Arial"/>
                <w:sz w:val="18"/>
                <w:szCs w:val="18"/>
                <w:b w:val="1"/>
                <w:bCs w:val="1"/>
                <w:color w:val="auto"/>
              </w:rPr>
              <w:t>Condensed Balance Sheet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19"/>
                <w:szCs w:val="19"/>
                <w:color w:val="auto"/>
              </w:rPr>
            </w:pP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securities, at fair value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Equity securities, at fair value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cash and investments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Investment in wholly-owned subsidiaries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168,103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income tax recoverable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254,890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252,394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vMerge w:val="restart"/>
          </w:tcPr>
          <w:p>
            <w:pPr>
              <w:ind w:left="4300"/>
              <w:spacing w:after="0"/>
              <w:rPr>
                <w:sz w:val="20"/>
                <w:szCs w:val="20"/>
                <w:color w:val="auto"/>
              </w:rPr>
            </w:pPr>
            <w:r>
              <w:rPr>
                <w:rFonts w:ascii="Arial" w:cs="Arial" w:eastAsia="Arial" w:hAnsi="Arial"/>
                <w:sz w:val="18"/>
                <w:szCs w:val="18"/>
                <w:b w:val="1"/>
                <w:bCs w:val="1"/>
                <w:color w:val="auto"/>
              </w:rPr>
              <w:t>Condensed Statement of Operations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984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840" w:type="dxa"/>
            <w:vAlign w:val="bottom"/>
          </w:tcPr>
          <w:p>
            <w:pPr>
              <w:spacing w:after="0"/>
              <w:rPr>
                <w:sz w:val="20"/>
                <w:szCs w:val="20"/>
                <w:color w:val="auto"/>
              </w:rPr>
            </w:pP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 and other income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Net investment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realized capital gain on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underwriting and general expenses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Income (loss) before income taxes and equity in undistributed net income of subsidiaries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Income (loss) before equity in undistributed net income of subsidiaries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undistributed net income of subsidiaries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Net income attributable to NI Holdings, Inc.</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Comprehensive Income</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net of income taxes: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Unrealized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Unrealized gain on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net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 Ended</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u w:val="single" w:color="auto"/>
          <w:color w:val="auto"/>
        </w:rPr>
        <w:t>December 31, 2017</w:t>
      </w:r>
    </w:p>
    <w:p>
      <w:pPr>
        <w:spacing w:after="0" w:line="32" w:lineRule="exact"/>
        <w:rPr>
          <w:sz w:val="20"/>
          <w:szCs w:val="20"/>
          <w:color w:val="auto"/>
        </w:rPr>
      </w:pPr>
    </w:p>
    <w:p>
      <w:pPr>
        <w:ind w:left="960" w:hanging="953"/>
        <w:spacing w:after="0"/>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15,991</w:t>
      </w:r>
    </w:p>
    <w:p>
      <w:pPr>
        <w:spacing w:after="0" w:line="24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990</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1,986</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2,976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9175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38" w:lineRule="exact"/>
        <w:rPr>
          <w:sz w:val="20"/>
          <w:szCs w:val="20"/>
          <w:color w:val="auto"/>
        </w:rPr>
      </w:pPr>
    </w:p>
    <w:p>
      <w:pPr>
        <w:ind w:left="960" w:hanging="953"/>
        <w:spacing w:after="0"/>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18,967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9175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9175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40" w:space="720"/>
            <w:col w:w="1560"/>
          </w:cols>
          <w:pgMar w:left="240" w:top="226" w:right="239" w:bottom="1440" w:gutter="0" w:footer="0" w:header="0"/>
          <w:type w:val="continuous"/>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2" w:name="page103"/>
    <w:bookmarkEnd w:id="10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 of Cash Flows</w:t>
      </w:r>
    </w:p>
    <w:p>
      <w:pPr>
        <w:spacing w:after="0" w:line="27" w:lineRule="exact"/>
        <w:rPr>
          <w:sz w:val="20"/>
          <w:szCs w:val="20"/>
          <w:color w:val="auto"/>
        </w:rPr>
      </w:pPr>
    </w:p>
    <w:p>
      <w:pPr>
        <w:jc w:val="center"/>
        <w:ind w:left="976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ind w:left="9760"/>
        <w:spacing w:after="0"/>
        <w:rPr>
          <w:sz w:val="20"/>
          <w:szCs w:val="20"/>
          <w:color w:val="auto"/>
        </w:rPr>
      </w:pPr>
      <w:r>
        <w:rPr>
          <w:rFonts w:ascii="Arial" w:cs="Arial" w:eastAsia="Arial" w:hAnsi="Arial"/>
          <w:sz w:val="16"/>
          <w:szCs w:val="16"/>
          <w:b w:val="1"/>
          <w:bCs w:val="1"/>
          <w:color w:val="auto"/>
        </w:rPr>
        <w:t>December 31, 2017</w:t>
      </w:r>
    </w:p>
    <w:p>
      <w:pPr>
        <w:sectPr>
          <w:pgSz w:w="11900" w:h="16838" w:orient="portrait"/>
          <w:cols w:equalWidth="0" w:num="1">
            <w:col w:w="11380"/>
          </w:cols>
          <w:pgMar w:left="240" w:top="226" w:right="27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 attributable to NI Holdings, Inc.</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Equity in undistributed net income of subsidiaries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Net adjustments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purchase of fixed income and equity securities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cash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issuance of common stock</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Loan to employee stock ownership plan</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960" w:hanging="953"/>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15,991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(16,222)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2,072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9175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75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(77,718)</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75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93,145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(2,400)</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82,708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75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1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6,831</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ind w:left="1040" w:hanging="1033"/>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6,831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9175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40" w:space="720"/>
            <w:col w:w="1520"/>
          </w:cols>
          <w:pgMar w:left="240" w:top="226" w:right="27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the parent-company-only financial statements, the Company’s investment in subsidiaries is stated at cost plus equity in undistributed earnings of subsidiaries since inception. The parent-company-only financial statements should be read in conjunction with the Company’s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B – Dividends from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received no dividends from its subsidiaries since being formed on March 13,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103" w:name="page104"/>
    <w:bookmarkEnd w:id="10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3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7, 2018.</w:t>
      </w:r>
    </w:p>
    <w:p>
      <w:pPr>
        <w:spacing w:after="0" w:line="13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-10160</wp:posOffset>
            </wp:positionV>
            <wp:extent cx="21170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Michael J. Alexander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7, 2018, by the following persons on behalf of the registrant and in the capacities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138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5040" w:type="dxa"/>
            <w:vAlign w:val="bottom"/>
            <w:gridSpan w:val="2"/>
          </w:tcPr>
          <w:p>
            <w:pPr>
              <w:ind w:left="2080"/>
              <w:spacing w:after="0"/>
              <w:rPr>
                <w:sz w:val="20"/>
                <w:szCs w:val="20"/>
                <w:color w:val="auto"/>
              </w:rPr>
            </w:pPr>
            <w:r>
              <w:rPr>
                <w:rFonts w:ascii="Arial" w:cs="Arial" w:eastAsia="Arial" w:hAnsi="Arial"/>
                <w:sz w:val="18"/>
                <w:szCs w:val="18"/>
                <w:color w:val="auto"/>
              </w:rPr>
              <w:t>Capacity</w:t>
            </w:r>
          </w:p>
        </w:tc>
        <w:tc>
          <w:tcPr>
            <w:tcW w:w="2720" w:type="dxa"/>
            <w:vAlign w:val="bottom"/>
          </w:tcPr>
          <w:p>
            <w:pPr>
              <w:ind w:left="1180"/>
              <w:spacing w:after="0"/>
              <w:rPr>
                <w:sz w:val="20"/>
                <w:szCs w:val="20"/>
                <w:color w:val="auto"/>
              </w:rPr>
            </w:pPr>
            <w:r>
              <w:rPr>
                <w:rFonts w:ascii="Arial" w:cs="Arial" w:eastAsia="Arial" w:hAnsi="Arial"/>
                <w:sz w:val="18"/>
                <w:szCs w:val="18"/>
                <w:color w:val="auto"/>
              </w:rPr>
              <w:t>Date</w:t>
            </w:r>
          </w:p>
        </w:tc>
      </w:tr>
      <w:tr>
        <w:trPr>
          <w:trHeight w:val="195"/>
        </w:trPr>
        <w:tc>
          <w:tcPr>
            <w:tcW w:w="3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w:t>
            </w:r>
          </w:p>
        </w:tc>
        <w:tc>
          <w:tcPr>
            <w:tcW w:w="240" w:type="dxa"/>
            <w:vAlign w:val="bottom"/>
          </w:tcPr>
          <w:p>
            <w:pPr>
              <w:spacing w:after="0"/>
              <w:rPr>
                <w:sz w:val="16"/>
                <w:szCs w:val="16"/>
                <w:color w:val="auto"/>
              </w:rPr>
            </w:pPr>
          </w:p>
        </w:tc>
        <w:tc>
          <w:tcPr>
            <w:tcW w:w="2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March 7, 2018</w:t>
            </w:r>
          </w:p>
        </w:tc>
      </w:tr>
      <w:tr>
        <w:trPr>
          <w:trHeight w:val="23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 Director</w:t>
            </w:r>
          </w:p>
        </w:tc>
        <w:tc>
          <w:tcPr>
            <w:tcW w:w="2720" w:type="dxa"/>
            <w:vAlign w:val="bottom"/>
          </w:tcPr>
          <w:p>
            <w:pPr>
              <w:spacing w:after="0"/>
              <w:rPr>
                <w:sz w:val="20"/>
                <w:szCs w:val="20"/>
                <w:color w:val="auto"/>
              </w:rPr>
            </w:pP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Michael J. Alexander</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04"/>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w:t>
            </w:r>
          </w:p>
        </w:tc>
        <w:tc>
          <w:tcPr>
            <w:tcW w:w="2720" w:type="dxa"/>
            <w:vAlign w:val="bottom"/>
          </w:tcPr>
          <w:p>
            <w:pPr>
              <w:spacing w:after="0"/>
              <w:rPr>
                <w:sz w:val="20"/>
                <w:szCs w:val="20"/>
                <w:color w:val="auto"/>
              </w:rPr>
            </w:pPr>
            <w:r>
              <w:rPr>
                <w:rFonts w:ascii="Arial" w:cs="Arial" w:eastAsia="Arial" w:hAnsi="Arial"/>
                <w:sz w:val="18"/>
                <w:szCs w:val="18"/>
                <w:color w:val="auto"/>
              </w:rPr>
              <w:t>March 7, 2018</w:t>
            </w:r>
          </w:p>
        </w:tc>
      </w:tr>
      <w:tr>
        <w:trPr>
          <w:trHeight w:val="23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2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2720" w:type="dxa"/>
            <w:vAlign w:val="bottom"/>
          </w:tcPr>
          <w:p>
            <w:pPr>
              <w:spacing w:after="0"/>
              <w:rPr>
                <w:sz w:val="20"/>
                <w:szCs w:val="20"/>
                <w:color w:val="auto"/>
              </w:rPr>
            </w:pP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Brian R. Doom</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K. Aasmundstad</w:t>
            </w:r>
          </w:p>
        </w:tc>
        <w:tc>
          <w:tcPr>
            <w:tcW w:w="2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spacing w:after="0"/>
              <w:rPr>
                <w:sz w:val="20"/>
                <w:szCs w:val="20"/>
                <w:color w:val="auto"/>
              </w:rPr>
            </w:pPr>
            <w:r>
              <w:rPr>
                <w:rFonts w:ascii="Arial" w:cs="Arial" w:eastAsia="Arial" w:hAnsi="Arial"/>
                <w:sz w:val="18"/>
                <w:szCs w:val="18"/>
                <w:color w:val="auto"/>
              </w:rPr>
              <w:t>March 7,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Eric K. Aasmundstad</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 Devlin</w:t>
            </w:r>
          </w:p>
        </w:tc>
        <w:tc>
          <w:tcPr>
            <w:tcW w:w="2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spacing w:after="0"/>
              <w:rPr>
                <w:sz w:val="20"/>
                <w:szCs w:val="20"/>
                <w:color w:val="auto"/>
              </w:rPr>
            </w:pPr>
            <w:r>
              <w:rPr>
                <w:rFonts w:ascii="Arial" w:cs="Arial" w:eastAsia="Arial" w:hAnsi="Arial"/>
                <w:sz w:val="18"/>
                <w:szCs w:val="18"/>
                <w:color w:val="auto"/>
              </w:rPr>
              <w:t>March 7,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William R. Devlin</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Duaine C. Espegard</w:t>
            </w:r>
          </w:p>
        </w:tc>
        <w:tc>
          <w:tcPr>
            <w:tcW w:w="2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spacing w:after="0"/>
              <w:rPr>
                <w:sz w:val="20"/>
                <w:szCs w:val="20"/>
                <w:color w:val="auto"/>
              </w:rPr>
            </w:pPr>
            <w:r>
              <w:rPr>
                <w:rFonts w:ascii="Arial" w:cs="Arial" w:eastAsia="Arial" w:hAnsi="Arial"/>
                <w:sz w:val="18"/>
                <w:szCs w:val="18"/>
                <w:color w:val="auto"/>
              </w:rPr>
              <w:t>March 7,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Duaine C. Espegard</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R. Missling</w:t>
            </w:r>
          </w:p>
        </w:tc>
        <w:tc>
          <w:tcPr>
            <w:tcW w:w="2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spacing w:after="0"/>
              <w:rPr>
                <w:sz w:val="20"/>
                <w:szCs w:val="20"/>
                <w:color w:val="auto"/>
              </w:rPr>
            </w:pPr>
            <w:r>
              <w:rPr>
                <w:rFonts w:ascii="Arial" w:cs="Arial" w:eastAsia="Arial" w:hAnsi="Arial"/>
                <w:sz w:val="18"/>
                <w:szCs w:val="18"/>
                <w:color w:val="auto"/>
              </w:rPr>
              <w:t>March 7,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Jeffrey R. Missling</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V. Marlow</w:t>
            </w:r>
          </w:p>
        </w:tc>
        <w:tc>
          <w:tcPr>
            <w:tcW w:w="2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spacing w:after="0"/>
              <w:rPr>
                <w:sz w:val="20"/>
                <w:szCs w:val="20"/>
                <w:color w:val="auto"/>
              </w:rPr>
            </w:pPr>
            <w:r>
              <w:rPr>
                <w:rFonts w:ascii="Arial" w:cs="Arial" w:eastAsia="Arial" w:hAnsi="Arial"/>
                <w:sz w:val="18"/>
                <w:szCs w:val="18"/>
                <w:color w:val="auto"/>
              </w:rPr>
              <w:t>March 7,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Stephen V. Marlow</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Time-Based Restricted Stock Unit Agreement for Named Executive Officers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5360" w:type="dxa"/>
            <w:vAlign w:val="bottom"/>
            <w:tcBorders>
              <w:top w:val="single" w:sz="8" w:color="auto"/>
              <w:bottom w:val="single" w:sz="8" w:color="auto"/>
              <w:right w:val="single" w:sz="8" w:color="auto"/>
            </w:tcBorders>
          </w:tcPr>
          <w:p>
            <w:pPr>
              <w:spacing w:after="0"/>
              <w:rPr>
                <w:sz w:val="3"/>
                <w:szCs w:val="3"/>
                <w:color w:val="auto"/>
              </w:rPr>
            </w:pPr>
          </w:p>
        </w:tc>
        <w:tc>
          <w:tcPr>
            <w:tcW w:w="6020" w:type="dxa"/>
            <w:vAlign w:val="bottom"/>
            <w:tcBorders>
              <w:top w:val="single" w:sz="8" w:color="auto"/>
              <w:bottom w:val="single" w:sz="8" w:color="auto"/>
              <w:right w:val="single" w:sz="8" w:color="auto"/>
            </w:tcBorders>
          </w:tcPr>
          <w:p>
            <w:pPr>
              <w:spacing w:after="0"/>
              <w:rPr>
                <w:sz w:val="3"/>
                <w:szCs w:val="3"/>
                <w:color w:val="auto"/>
              </w:rPr>
            </w:pPr>
          </w:p>
        </w:tc>
      </w:tr>
      <w:tr>
        <w:trPr>
          <w:trHeight w:val="359"/>
        </w:trPr>
        <w:tc>
          <w:tcPr>
            <w:tcW w:w="40" w:type="dxa"/>
            <w:vAlign w:val="bottom"/>
            <w:tcBorders>
              <w:right w:val="single" w:sz="8" w:color="auto"/>
            </w:tcBorders>
            <w:shd w:val="clear" w:color="auto" w:fill="000000"/>
          </w:tcPr>
          <w:p>
            <w:pPr>
              <w:spacing w:after="0"/>
              <w:rPr>
                <w:sz w:val="24"/>
                <w:szCs w:val="24"/>
                <w:color w:val="auto"/>
              </w:rPr>
            </w:pPr>
          </w:p>
        </w:tc>
        <w:tc>
          <w:tcPr>
            <w:tcW w:w="5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 of Participant: [___________]</w:t>
            </w:r>
          </w:p>
        </w:tc>
        <w:tc>
          <w:tcPr>
            <w:tcW w:w="6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Date of Grant:</w:t>
            </w:r>
          </w:p>
        </w:tc>
      </w:tr>
      <w:tr>
        <w:trPr>
          <w:trHeight w:val="162"/>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5360" w:type="dxa"/>
            <w:vAlign w:val="bottom"/>
            <w:tcBorders>
              <w:bottom w:val="single" w:sz="8" w:color="auto"/>
              <w:right w:val="single" w:sz="8" w:color="auto"/>
            </w:tcBorders>
          </w:tcPr>
          <w:p>
            <w:pPr>
              <w:spacing w:after="0"/>
              <w:rPr>
                <w:sz w:val="14"/>
                <w:szCs w:val="14"/>
                <w:color w:val="auto"/>
              </w:rPr>
            </w:pPr>
          </w:p>
        </w:tc>
        <w:tc>
          <w:tcPr>
            <w:tcW w:w="6020" w:type="dxa"/>
            <w:vAlign w:val="bottom"/>
            <w:tcBorders>
              <w:bottom w:val="single" w:sz="8" w:color="auto"/>
              <w:right w:val="single" w:sz="8" w:color="auto"/>
            </w:tcBorders>
          </w:tcPr>
          <w:p>
            <w:pPr>
              <w:spacing w:after="0"/>
              <w:rPr>
                <w:sz w:val="14"/>
                <w:szCs w:val="14"/>
                <w:color w:val="auto"/>
              </w:rPr>
            </w:pPr>
          </w:p>
        </w:tc>
      </w:tr>
      <w:tr>
        <w:trPr>
          <w:trHeight w:val="372"/>
        </w:trPr>
        <w:tc>
          <w:tcPr>
            <w:tcW w:w="40" w:type="dxa"/>
            <w:vAlign w:val="bottom"/>
            <w:tcBorders>
              <w:right w:val="single" w:sz="8" w:color="auto"/>
            </w:tcBorders>
            <w:shd w:val="clear" w:color="auto" w:fill="000000"/>
          </w:tcPr>
          <w:p>
            <w:pPr>
              <w:spacing w:after="0"/>
              <w:rPr>
                <w:sz w:val="24"/>
                <w:szCs w:val="24"/>
                <w:color w:val="auto"/>
              </w:rPr>
            </w:pPr>
          </w:p>
        </w:tc>
        <w:tc>
          <w:tcPr>
            <w:tcW w:w="5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 of Units Covered: [___________]</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Vesting Commencement Date:</w:t>
            </w:r>
          </w:p>
        </w:tc>
      </w:tr>
      <w:tr>
        <w:trPr>
          <w:trHeight w:val="162"/>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5360" w:type="dxa"/>
            <w:vAlign w:val="bottom"/>
            <w:tcBorders>
              <w:bottom w:val="single" w:sz="8" w:color="auto"/>
              <w:right w:val="single" w:sz="8" w:color="auto"/>
            </w:tcBorders>
          </w:tcPr>
          <w:p>
            <w:pPr>
              <w:spacing w:after="0"/>
              <w:rPr>
                <w:sz w:val="14"/>
                <w:szCs w:val="14"/>
                <w:color w:val="auto"/>
              </w:rPr>
            </w:pPr>
          </w:p>
        </w:tc>
        <w:tc>
          <w:tcPr>
            <w:tcW w:w="6020" w:type="dxa"/>
            <w:vAlign w:val="bottom"/>
            <w:tcBorders>
              <w:bottom w:val="single" w:sz="8" w:color="auto"/>
              <w:right w:val="single" w:sz="8" w:color="auto"/>
            </w:tcBorders>
          </w:tcPr>
          <w:p>
            <w:pPr>
              <w:spacing w:after="0"/>
              <w:rPr>
                <w:sz w:val="14"/>
                <w:szCs w:val="14"/>
                <w:color w:val="auto"/>
              </w:rPr>
            </w:pPr>
          </w:p>
        </w:tc>
      </w:tr>
      <w:tr>
        <w:trPr>
          <w:trHeight w:val="372"/>
        </w:trPr>
        <w:tc>
          <w:tcPr>
            <w:tcW w:w="40" w:type="dxa"/>
            <w:vAlign w:val="bottom"/>
            <w:tcBorders>
              <w:right w:val="single" w:sz="8" w:color="auto"/>
            </w:tcBorders>
            <w:shd w:val="clear" w:color="auto" w:fill="000000"/>
          </w:tcPr>
          <w:p>
            <w:pPr>
              <w:spacing w:after="0"/>
              <w:rPr>
                <w:sz w:val="24"/>
                <w:szCs w:val="24"/>
                <w:color w:val="auto"/>
              </w:rPr>
            </w:pPr>
          </w:p>
        </w:tc>
        <w:tc>
          <w:tcPr>
            <w:tcW w:w="5360" w:type="dxa"/>
            <w:vAlign w:val="bottom"/>
            <w:tcBorders>
              <w:right w:val="single" w:sz="8" w:color="auto"/>
            </w:tcBorders>
          </w:tcPr>
          <w:p>
            <w:pPr>
              <w:spacing w:after="0"/>
              <w:rPr>
                <w:sz w:val="24"/>
                <w:szCs w:val="24"/>
                <w:color w:val="auto"/>
              </w:rPr>
            </w:pPr>
          </w:p>
        </w:tc>
        <w:tc>
          <w:tcPr>
            <w:tcW w:w="6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Vesting Dates:</w:t>
            </w:r>
          </w:p>
        </w:tc>
      </w:tr>
      <w:tr>
        <w:trPr>
          <w:trHeight w:val="540"/>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5360" w:type="dxa"/>
            <w:vAlign w:val="bottom"/>
            <w:tcBorders>
              <w:bottom w:val="single" w:sz="8" w:color="auto"/>
              <w:right w:val="single" w:sz="8" w:color="auto"/>
            </w:tcBorders>
          </w:tcPr>
          <w:p>
            <w:pPr>
              <w:spacing w:after="0"/>
              <w:rPr>
                <w:sz w:val="24"/>
                <w:szCs w:val="24"/>
                <w:color w:val="auto"/>
              </w:rPr>
            </w:pPr>
          </w:p>
        </w:tc>
        <w:tc>
          <w:tcPr>
            <w:tcW w:w="60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5360" w:type="dxa"/>
            <w:vAlign w:val="bottom"/>
            <w:tcBorders>
              <w:bottom w:val="single" w:sz="8" w:color="auto"/>
              <w:right w:val="single" w:sz="8" w:color="auto"/>
            </w:tcBorders>
          </w:tcPr>
          <w:p>
            <w:pPr>
              <w:spacing w:after="0" w:line="20" w:lineRule="exact"/>
              <w:rPr>
                <w:sz w:val="1"/>
                <w:szCs w:val="1"/>
                <w:color w:val="auto"/>
              </w:rPr>
            </w:pPr>
          </w:p>
        </w:tc>
        <w:tc>
          <w:tcPr>
            <w:tcW w:w="602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RESTRICTED STOCK UNIT AGREEMENT (this “Agreement”) governs the Stock Unit Award granted by NI HOLDINGS, INC., a North Dakota corporation (the “Company”) to the above-named individual (the “Participant”), in accordance with and subject to the provisions of the Company’s 2017 Stock and Incentive Plan (the “Plan”). A copy of the Plan has been made available to the Participant. Unless the context indicates otherwise, capitalized terms that are not defined in this Agreement shall have the meaning set forth in the Plan.</w:t>
      </w:r>
    </w:p>
    <w:p>
      <w:pPr>
        <w:spacing w:after="0" w:line="187"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Grant of Restricted Stock Units.</w:t>
      </w:r>
    </w:p>
    <w:p>
      <w:pPr>
        <w:spacing w:after="0" w:line="225" w:lineRule="exact"/>
        <w:rPr>
          <w:rFonts w:ascii="Arial" w:cs="Arial" w:eastAsia="Arial" w:hAnsi="Arial"/>
          <w:sz w:val="18"/>
          <w:szCs w:val="18"/>
          <w:color w:val="auto"/>
        </w:rPr>
      </w:pPr>
    </w:p>
    <w:p>
      <w:pPr>
        <w:jc w:val="both"/>
        <w:ind w:right="180" w:firstLine="1305"/>
        <w:spacing w:after="0" w:line="259" w:lineRule="auto"/>
        <w:tabs>
          <w:tab w:leader="none" w:pos="1787"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accordance with the Plan, and effective as of the Date of Grant specified above, the Company has granted to the Participant the number of Stock Units specified at the beginning of this Agreement (collectively, the “Restricted Stock Units,” and each a “Restricted Stock Unit.”). Each Restricted Unit represents the right to receive a share of Common Stock (a “Share”) and dividend equivalent amounts corresponding to the Share, subject to the terms and conditions of this Agreement and the Plan.</w:t>
      </w:r>
    </w:p>
    <w:p>
      <w:pPr>
        <w:spacing w:after="0" w:line="186" w:lineRule="exact"/>
        <w:rPr>
          <w:rFonts w:ascii="Arial" w:cs="Arial" w:eastAsia="Arial" w:hAnsi="Arial"/>
          <w:sz w:val="18"/>
          <w:szCs w:val="18"/>
          <w:color w:val="auto"/>
        </w:rPr>
      </w:pPr>
    </w:p>
    <w:p>
      <w:pPr>
        <w:ind w:right="40" w:firstLine="1305"/>
        <w:spacing w:after="0" w:line="259" w:lineRule="auto"/>
        <w:tabs>
          <w:tab w:leader="none" w:pos="1776"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Restricted Stock Units granted to the Participant shall be credited to an account in the Participant’s name. This account shall be a record of book-keeping entries only and shall be utilized solely as a device for the measurement and determination of the number of Shares to be issued to or in respect of the Participant pursuant to this Agreement. Restricted Stock Units may not be transferred by the Participant without the Committee’s prior written consent other than by will or the laws of descent and distribution.</w:t>
      </w:r>
    </w:p>
    <w:p>
      <w:pPr>
        <w:spacing w:after="0" w:line="187" w:lineRule="exact"/>
        <w:rPr>
          <w:sz w:val="20"/>
          <w:szCs w:val="20"/>
          <w:color w:val="auto"/>
        </w:rPr>
      </w:pPr>
    </w:p>
    <w:p>
      <w:pPr>
        <w:ind w:left="1360" w:hanging="704"/>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Vesting of the Shares.</w:t>
      </w:r>
    </w:p>
    <w:p>
      <w:pPr>
        <w:spacing w:after="0" w:line="225" w:lineRule="exact"/>
        <w:rPr>
          <w:rFonts w:ascii="Arial" w:cs="Arial" w:eastAsia="Arial" w:hAnsi="Arial"/>
          <w:sz w:val="18"/>
          <w:szCs w:val="18"/>
          <w:color w:val="auto"/>
        </w:rPr>
      </w:pPr>
    </w:p>
    <w:p>
      <w:pPr>
        <w:ind w:right="280" w:firstLine="1305"/>
        <w:spacing w:after="0" w:line="302" w:lineRule="auto"/>
        <w:tabs>
          <w:tab w:leader="none" w:pos="1787"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Participant’s interest in the Restricted Stock Units shall vest and become non-forfeitable on each of the vesting dates set forth above (each a “Vesting Date”) if the Participant remains in the continuous employ of the Company or an Affiliate from the Vesting Commencement Date through each applicable Vesting Date. Except as provided in paragraphs 2(b) through (e) below, if the Participant’s employment with the Company or an Affiliate is terminated prior to a Vesting Date, any Restricted Stock Units that remain unvested as of the date of such termination shall be forfeited.</w:t>
      </w:r>
    </w:p>
    <w:p>
      <w:pPr>
        <w:spacing w:after="0" w:line="154" w:lineRule="exact"/>
        <w:rPr>
          <w:rFonts w:ascii="Arial" w:cs="Arial" w:eastAsia="Arial" w:hAnsi="Arial"/>
          <w:sz w:val="16"/>
          <w:szCs w:val="16"/>
          <w:color w:val="auto"/>
        </w:rPr>
      </w:pPr>
    </w:p>
    <w:p>
      <w:pPr>
        <w:ind w:firstLine="1305"/>
        <w:spacing w:after="0" w:line="264" w:lineRule="auto"/>
        <w:tabs>
          <w:tab w:leader="none" w:pos="17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the Participant remains in the continuous employ of the Company or an Affiliate from the Vesting Commencement Date until the date the Participant’s employment is terminated due to Disability or death that occurs before the last Vesting Date, then any Restricted Stock Units that remain unvested will vest in full and become non-forfeitable as of the date of such termination.</w:t>
      </w:r>
    </w:p>
    <w:p>
      <w:pPr>
        <w:spacing w:after="0" w:line="181" w:lineRule="exact"/>
        <w:rPr>
          <w:rFonts w:ascii="Arial" w:cs="Arial" w:eastAsia="Arial" w:hAnsi="Arial"/>
          <w:sz w:val="18"/>
          <w:szCs w:val="18"/>
          <w:color w:val="auto"/>
        </w:rPr>
      </w:pPr>
    </w:p>
    <w:p>
      <w:pPr>
        <w:jc w:val="both"/>
        <w:ind w:right="180" w:firstLine="1305"/>
        <w:spacing w:after="0" w:line="259" w:lineRule="auto"/>
        <w:tabs>
          <w:tab w:leader="none" w:pos="17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the Participant remains in the continuous employ of the Company or an Affiliate from the Vesting Commencement Date until the Participant’s Retirement Age, then any Restricted Stock Units that remain unvested upon attainment of Retirement Age will cease to be forfeitable upon the Participant’s subsequent termination of employment for any reason other than Cause; but rather, such Units shall remain outstanding and continue to “vest” and become payable upon each applicable Vesting Date.</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ind w:right="120" w:firstLine="1305"/>
        <w:spacing w:after="0" w:line="272" w:lineRule="auto"/>
        <w:tabs>
          <w:tab w:leader="none" w:pos="1787"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If the Participant remains in the continuous employ of the Company or an Affiliate from the Vesting Commencement Date until the Participant incurs an Involuntary Termination Due to Position Elimination or Reorganization that occurs before the last Vesting Date, then any Restricted Stock Units that remain unvested will vest in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number of the Restricted Stock Units.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number of Restricted Stock Units that vest shall be determined by multiplying the unvested Restricted Stock Units corresponding to a particular Vesting Date by a fraction, the numerator of which is the number of full and partial calendar months of the Participant’s employment with the Company or an Affiliate from the first day of the Vesting Commencement Date to the date of termination, and the denominator of which is the number of full calendar months from the Vesting Commencement Date to the Vesting Date. A partial month of service shall count as a full month.</w:t>
      </w:r>
    </w:p>
    <w:p>
      <w:pPr>
        <w:spacing w:after="0" w:line="177" w:lineRule="exact"/>
        <w:rPr>
          <w:rFonts w:ascii="Arial" w:cs="Arial" w:eastAsia="Arial" w:hAnsi="Arial"/>
          <w:sz w:val="17"/>
          <w:szCs w:val="17"/>
          <w:color w:val="auto"/>
        </w:rPr>
      </w:pPr>
    </w:p>
    <w:p>
      <w:pPr>
        <w:ind w:right="120" w:firstLine="1305"/>
        <w:spacing w:after="0" w:line="272" w:lineRule="auto"/>
        <w:tabs>
          <w:tab w:leader="none" w:pos="1766"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the Participant remains in the continuous employ of the Company or an Affiliate from the Vesting Commencement Date until a Change in Control that occurs before the last Vesting Date, and the Participant’s Restricted Stock Units are neither assumed nor substituted or replaced with similar rights (or cash equivalent value thereof), then any Restricted Stock Units that remain unvested will vest in full and become non-forfeitable upon the Change in Control. If the Participant’s Restricted Stock Units are assumed (or substituted or replaced with an award of equivalent value), then, in addition to the circumstances described in paragraphs (a) through (d) above, if the Participant is involuntarily terminated without Cause or resigns for Good Reason within twenty four (24) months following the Change in Control but prior to a Vesting Date, any Restricted Stock Units (or replacement award) that remains unvested will vest in full and become non-forfeitable as of the date of such termination.</w:t>
      </w:r>
    </w:p>
    <w:p>
      <w:pPr>
        <w:spacing w:after="0" w:line="177" w:lineRule="exact"/>
        <w:rPr>
          <w:rFonts w:ascii="Arial" w:cs="Arial" w:eastAsia="Arial" w:hAnsi="Arial"/>
          <w:sz w:val="17"/>
          <w:szCs w:val="17"/>
          <w:color w:val="auto"/>
        </w:rPr>
      </w:pPr>
    </w:p>
    <w:p>
      <w:pPr>
        <w:ind w:left="1380" w:hanging="724"/>
        <w:spacing w:after="0"/>
        <w:tabs>
          <w:tab w:leader="none" w:pos="1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Issuance and Settlement.</w:t>
      </w:r>
    </w:p>
    <w:p>
      <w:pPr>
        <w:spacing w:after="0" w:line="225" w:lineRule="exact"/>
        <w:rPr>
          <w:rFonts w:ascii="Arial" w:cs="Arial" w:eastAsia="Arial" w:hAnsi="Arial"/>
          <w:sz w:val="18"/>
          <w:szCs w:val="18"/>
          <w:color w:val="auto"/>
        </w:rPr>
      </w:pPr>
    </w:p>
    <w:p>
      <w:pPr>
        <w:ind w:firstLine="1305"/>
        <w:spacing w:after="0" w:line="293" w:lineRule="auto"/>
        <w:tabs>
          <w:tab w:leader="none" w:pos="1787" w:val="left"/>
        </w:tabs>
        <w:numPr>
          <w:ilvl w:val="1"/>
          <w:numId w:val="58"/>
        </w:numPr>
        <w:rPr>
          <w:rFonts w:ascii="Arial" w:cs="Arial" w:eastAsia="Arial" w:hAnsi="Arial"/>
          <w:sz w:val="16"/>
          <w:szCs w:val="16"/>
          <w:color w:val="auto"/>
        </w:rPr>
      </w:pPr>
      <w:r>
        <w:rPr>
          <w:rFonts w:ascii="Arial" w:cs="Arial" w:eastAsia="Arial" w:hAnsi="Arial"/>
          <w:sz w:val="16"/>
          <w:szCs w:val="16"/>
          <w:color w:val="auto"/>
        </w:rPr>
        <w:t>After any Restricted Stock Units vest in accordance with Section 2, the Company shall cause to be issued to the Participant, or to the Participant’s designated beneficiary or estate in the event of the Participant’s death, one Share in payment and settlement of each vested Restricted Stock Unit, subject to applicable required tax withholding. The Committee shall cause the Shares issuable in connection with the vesting of any such Restricted Stock Units to be issued as soon as practicable after vesting, but in all events no later than 30 days after vesting, and the Participant shall have no power to affect the timing of such issuance. Such issuance shall be evidenced by a stock certificate or appropriate entry on the books of the Company or a duly authorized transfer agent of the Company and shall be in complete settlement and satisfaction of such vested Restricted Stock Units.</w:t>
      </w:r>
    </w:p>
    <w:p>
      <w:pPr>
        <w:spacing w:after="0" w:line="164" w:lineRule="exact"/>
        <w:rPr>
          <w:rFonts w:ascii="Arial" w:cs="Arial" w:eastAsia="Arial" w:hAnsi="Arial"/>
          <w:sz w:val="16"/>
          <w:szCs w:val="16"/>
          <w:color w:val="auto"/>
        </w:rPr>
      </w:pPr>
    </w:p>
    <w:p>
      <w:pPr>
        <w:ind w:right="200" w:firstLine="1305"/>
        <w:spacing w:after="0" w:line="264" w:lineRule="auto"/>
        <w:tabs>
          <w:tab w:leader="none" w:pos="1776"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Notwithstanding the foregoing, if the Participant has attained or will attain Retirement Age prior to the last Vesting Date under this Agreement, such Units shall be treated as “deferred compensation” subject to section 409A of the Internal Revenue Code (the “Code”). In such case, the following special provisions shall apply to the payment of the underlying Shares:</w:t>
      </w:r>
    </w:p>
    <w:p>
      <w:pPr>
        <w:spacing w:after="0" w:line="181" w:lineRule="exact"/>
        <w:rPr>
          <w:rFonts w:ascii="Arial" w:cs="Arial" w:eastAsia="Arial" w:hAnsi="Arial"/>
          <w:sz w:val="18"/>
          <w:szCs w:val="18"/>
          <w:color w:val="auto"/>
        </w:rPr>
      </w:pPr>
    </w:p>
    <w:p>
      <w:pPr>
        <w:ind w:right="180" w:firstLine="1953"/>
        <w:spacing w:after="0" w:line="264" w:lineRule="auto"/>
        <w:tabs>
          <w:tab w:leader="none" w:pos="2395"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any Restricted Stock Units vest and become payable on account of a Change in Control, the Restricted Stock Units shall not become payable (even though non-forfeitable) unless the Change in Control constitutes a “change in control event” as defined in Treasury Regulations promulgated under section 409A of the Code; and</w:t>
      </w:r>
    </w:p>
    <w:p>
      <w:pPr>
        <w:spacing w:after="0" w:line="181" w:lineRule="exact"/>
        <w:rPr>
          <w:rFonts w:ascii="Arial" w:cs="Arial" w:eastAsia="Arial" w:hAnsi="Arial"/>
          <w:sz w:val="18"/>
          <w:szCs w:val="18"/>
          <w:color w:val="auto"/>
        </w:rPr>
      </w:pPr>
    </w:p>
    <w:p>
      <w:pPr>
        <w:ind w:right="80" w:firstLine="1953"/>
        <w:spacing w:after="0" w:line="255" w:lineRule="auto"/>
        <w:tabs>
          <w:tab w:leader="none" w:pos="2395"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any Restricted Stock Units vest and become payable on account of the Participant’s (A) Involuntary Termination Due to Position Elimination or Reorganization or (B) involuntary termination without Cause or resignation for Good Reason on or after a Change in Control, the Restricted Stock Units shall not become payable (even though non-forfeitable) unless the termination constitutes a “separation from service” as defined in Treasury Regulations promulgated under section 409A of the Code. In addition, if the Participant is a Specified Employee, payment on account of separation from service hereunder shall be made as of the date that is six months following the Participant’s separation from service (or, if earlier, upon the Participant’s death).</w:t>
      </w:r>
    </w:p>
    <w:p>
      <w:pPr>
        <w:spacing w:after="0" w:line="193" w:lineRule="exact"/>
        <w:rPr>
          <w:rFonts w:ascii="Arial" w:cs="Arial" w:eastAsia="Arial" w:hAnsi="Arial"/>
          <w:sz w:val="18"/>
          <w:szCs w:val="18"/>
          <w:color w:val="auto"/>
        </w:rPr>
      </w:pPr>
    </w:p>
    <w:p>
      <w:pPr>
        <w:ind w:right="60" w:firstLine="1305"/>
        <w:spacing w:after="0" w:line="297" w:lineRule="auto"/>
        <w:tabs>
          <w:tab w:leader="none" w:pos="1776"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Participant may elect to satisfy any applicable required tax arising in relation to the Restricted Stock Units by (i) delivering cash (including check, draft, money order or wire transfer made payable to the order of the Company) or (ii) having the Company withhold a portion of the Shares otherwise to be delivered having a Fair Market Value equal to the amount of such tax liability (subject to any limitations required under applicable financial accounting standards to avoid liability accounting for the Award). In the case of clause (ii), the Company will not deliver to the Participant any fractional Shares (or equivalent cash value) remaining after reduction for taxes; rather, any remaining fractional Shares will be cancelled without payment.</w:t>
      </w:r>
    </w:p>
    <w:p>
      <w:pPr>
        <w:spacing w:after="0" w:line="15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IV. Shareholder Rights. The Restricted Stock Units do not entitle the Participant to any rights of a shareholder of the Company. Notwithstanding the foregoing, the Participant shall accumulate an unvested right to payment of cash dividend equivalents on the Shares underlying Restricted Stock Units if cash dividends are declared by the Company on the Shares on or after the Date of Grant. Such dividend equivalents will be in an amount of cash per Restricted Stock Unit equal to the cash dividend paid with respect to one Share, subject to applicable required tax withholding. The Participant shall be entitled solely to payment of accumulated dividend equivalents with respect to the number of Restricted Stock Units equal to the number of Shares that become issuable to the Participant pursuant to this Agreement. Dividend equivalents will be paid to the Participant as soon as administratively possible following the date that the Shares are issued to the Participant. The Participant shall not be entitled to dividend equivalents with respect to dividends declared prior to the Date of Grant. All dividend equivalents accumulated with respect to forfeited Restricted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06" w:name="page107"/>
    <w:bookmarkEnd w:id="106"/>
    <w:p>
      <w:pPr>
        <w:ind w:right="360"/>
        <w:spacing w:after="0" w:line="277" w:lineRule="auto"/>
        <w:rPr>
          <w:sz w:val="20"/>
          <w:szCs w:val="20"/>
          <w:color w:val="auto"/>
        </w:rPr>
      </w:pPr>
      <w:r>
        <w:rPr>
          <w:rFonts w:ascii="Arial" w:cs="Arial" w:eastAsia="Arial" w:hAnsi="Arial"/>
          <w:sz w:val="18"/>
          <w:szCs w:val="18"/>
          <w:color w:val="auto"/>
        </w:rPr>
        <w:t>Stock Units shall also be irrevocably forfeited. As of the date of issuance of Shares underlying Restricted Stock Units, the Participant shall have all of the rights of a shareholder of the Company with respect to any Shares issued pursuant hereto.</w:t>
      </w:r>
    </w:p>
    <w:p>
      <w:pPr>
        <w:spacing w:after="0" w:line="170" w:lineRule="exact"/>
        <w:rPr>
          <w:sz w:val="20"/>
          <w:szCs w:val="20"/>
          <w:color w:val="auto"/>
        </w:rPr>
      </w:pPr>
    </w:p>
    <w:p>
      <w:pPr>
        <w:ind w:left="1340" w:hanging="684"/>
        <w:spacing w:after="0"/>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Definitions. For purposes of this Agreement, the following shall have the following meanings:</w:t>
      </w:r>
    </w:p>
    <w:p>
      <w:pPr>
        <w:spacing w:after="0" w:line="225" w:lineRule="exact"/>
        <w:rPr>
          <w:rFonts w:ascii="Arial" w:cs="Arial" w:eastAsia="Arial" w:hAnsi="Arial"/>
          <w:sz w:val="18"/>
          <w:szCs w:val="18"/>
          <w:color w:val="auto"/>
        </w:rPr>
      </w:pPr>
    </w:p>
    <w:p>
      <w:pPr>
        <w:ind w:right="80" w:firstLine="1305"/>
        <w:spacing w:after="0" w:line="287" w:lineRule="auto"/>
        <w:tabs>
          <w:tab w:leader="none" w:pos="1787" w:val="left"/>
        </w:tabs>
        <w:numPr>
          <w:ilvl w:val="2"/>
          <w:numId w:val="59"/>
        </w:numPr>
        <w:rPr>
          <w:rFonts w:ascii="Arial" w:cs="Arial" w:eastAsia="Arial" w:hAnsi="Arial"/>
          <w:sz w:val="16"/>
          <w:szCs w:val="16"/>
          <w:color w:val="auto"/>
        </w:rPr>
      </w:pPr>
      <w:r>
        <w:rPr>
          <w:rFonts w:ascii="Arial" w:cs="Arial" w:eastAsia="Arial" w:hAnsi="Arial"/>
          <w:sz w:val="16"/>
          <w:szCs w:val="16"/>
          <w:color w:val="auto"/>
        </w:rPr>
        <w:t xml:space="preserve">“Cause” means (i) the Participant’s willful conduct that is demonstrably and materially injurious to the Company or an Affiliate, monetarily or otherwise; (ii) the Participant’s material breach of written agreement between the Participant and the Company; (iii) the Participant’s breach of the Participant’s fiduciary duties to the Company or an Affiliate; (iv) the Participant’s conviction of any crime (or entering a plea of guilty or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crime) constituting a felony; or (v) the Participant’s entering into an agreement or consent decree or being the subject of any regulatory order that in any of such cases prohibits the Participant from serving as an officer or director of a company that has publicly traded securities. A termination of the Participant shall not be for “Cause” unless the decision to terminate the Participant is set forth in a resolution of the Board to that effect and which specifies the particulars thereof and that is approved by a majority of the members of the Board (exclusive of the Participant if the Participant is a member of the Board) adopted at a meeting called and held for such purpose (after reasonable notice to the Participant and an opportunity for the Participant to be heard before the Board). No act or failure to act by the Participant will be deemed “willful” if it was done or omitted to be done by the Participant in good faith or with a reasonable belief on the part of the Participant that the action or omission was in the best interests of the Company or an Affiliate. Any act or failure to act by the Participant based upon authority given pursuant to a resolution duly adopted by the Board or based on the advice of counsel to the Company shall be conclusively presumed to be done or omitted to be done by the Participant in good faith and in the best interest of the Company and its Affiliates.</w:t>
      </w:r>
    </w:p>
    <w:p>
      <w:pPr>
        <w:spacing w:after="0" w:line="168" w:lineRule="exact"/>
        <w:rPr>
          <w:rFonts w:ascii="Arial" w:cs="Arial" w:eastAsia="Arial" w:hAnsi="Arial"/>
          <w:sz w:val="16"/>
          <w:szCs w:val="16"/>
          <w:color w:val="auto"/>
        </w:rPr>
      </w:pPr>
    </w:p>
    <w:p>
      <w:pPr>
        <w:ind w:left="1780" w:hanging="475"/>
        <w:spacing w:after="0"/>
        <w:tabs>
          <w:tab w:leader="none" w:pos="17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“Change in Control” means:</w:t>
      </w:r>
    </w:p>
    <w:p>
      <w:pPr>
        <w:spacing w:after="0" w:line="225" w:lineRule="exact"/>
        <w:rPr>
          <w:rFonts w:ascii="Arial" w:cs="Arial" w:eastAsia="Arial" w:hAnsi="Arial"/>
          <w:sz w:val="18"/>
          <w:szCs w:val="18"/>
          <w:color w:val="auto"/>
        </w:rPr>
      </w:pPr>
    </w:p>
    <w:p>
      <w:pPr>
        <w:ind w:firstLine="1953"/>
        <w:spacing w:after="0" w:line="285" w:lineRule="auto"/>
        <w:tabs>
          <w:tab w:leader="none" w:pos="2395" w:val="left"/>
        </w:tabs>
        <w:numPr>
          <w:ilvl w:val="3"/>
          <w:numId w:val="59"/>
        </w:numPr>
        <w:rPr>
          <w:rFonts w:ascii="Arial" w:cs="Arial" w:eastAsia="Arial" w:hAnsi="Arial"/>
          <w:sz w:val="16"/>
          <w:szCs w:val="16"/>
          <w:color w:val="auto"/>
        </w:rPr>
      </w:pPr>
      <w:r>
        <w:rPr>
          <w:rFonts w:ascii="Arial" w:cs="Arial" w:eastAsia="Arial" w:hAnsi="Arial"/>
          <w:sz w:val="16"/>
          <w:szCs w:val="16"/>
          <w:color w:val="auto"/>
        </w:rPr>
        <w:t>the approval of the shareholders of the Company, and consummation, of (A) any consolidation, merger or statutory share exchange of the Company with any person in which the surviving entity would not have as its directors at least a majority of the Incumbent Board and as a result of which those persons who were shareholders of the Company immediately prior to such transaction would not hold, immediately after such transaction, at least 50% of the Voting Power of the Company then outstanding or the combined voting power of the surviving entity’s then outstanding voting securities; (B) any sale, lease, exchange or other transfer in one transaction or series of related transactions substantially all of the assets of the Company; or</w:t>
      </w:r>
    </w:p>
    <w:p>
      <w:pPr>
        <w:spacing w:after="0" w:line="2" w:lineRule="exact"/>
        <w:rPr>
          <w:rFonts w:ascii="Arial" w:cs="Arial" w:eastAsia="Arial" w:hAnsi="Arial"/>
          <w:sz w:val="16"/>
          <w:szCs w:val="16"/>
          <w:color w:val="auto"/>
        </w:rPr>
      </w:pPr>
    </w:p>
    <w:p>
      <w:pPr>
        <w:jc w:val="both"/>
        <w:ind w:right="400" w:firstLine="8"/>
        <w:spacing w:after="0" w:line="255" w:lineRule="auto"/>
        <w:tabs>
          <w:tab w:leader="none" w:pos="2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adoption of any plan or proposal for the complete or partial liquidation or dissolution of the Company. For purposes of this Section 5(a), “Voting Power” when used with reference to the Company shall mean the voting power of all classes and series of capital stock of the Company now or hereafter authorized; or</w:t>
      </w:r>
    </w:p>
    <w:p>
      <w:pPr>
        <w:spacing w:after="0" w:line="190" w:lineRule="exact"/>
        <w:rPr>
          <w:rFonts w:ascii="Arial" w:cs="Arial" w:eastAsia="Arial" w:hAnsi="Arial"/>
          <w:sz w:val="18"/>
          <w:szCs w:val="18"/>
          <w:color w:val="auto"/>
        </w:rPr>
      </w:pPr>
    </w:p>
    <w:p>
      <w:pPr>
        <w:ind w:right="100" w:firstLine="1953"/>
        <w:spacing w:after="0" w:line="259" w:lineRule="auto"/>
        <w:tabs>
          <w:tab w:leader="none" w:pos="2395" w:val="left"/>
        </w:tabs>
        <w:numPr>
          <w:ilvl w:val="3"/>
          <w:numId w:val="60"/>
        </w:numPr>
        <w:rPr>
          <w:rFonts w:ascii="Arial" w:cs="Arial" w:eastAsia="Arial" w:hAnsi="Arial"/>
          <w:sz w:val="18"/>
          <w:szCs w:val="18"/>
          <w:color w:val="auto"/>
        </w:rPr>
      </w:pPr>
      <w:r>
        <w:rPr>
          <w:rFonts w:ascii="Arial" w:cs="Arial" w:eastAsia="Arial" w:hAnsi="Arial"/>
          <w:sz w:val="18"/>
          <w:szCs w:val="18"/>
          <w:color w:val="auto"/>
        </w:rPr>
        <w:t>the individuals who, as of the date of this Agreement, are members of the Board of Directors of the Company (the “Incumbent Board”) cease for any reason to constitute at least a majority of the Board (provided, however, that if the election or nomination for election by the Company’s shareholders of any new director was approved by a vote of at least a majority of the Incumbent Board, such new director shall be considered to be a member of the Incumbent Board).</w:t>
      </w:r>
    </w:p>
    <w:p>
      <w:pPr>
        <w:spacing w:after="0" w:line="186" w:lineRule="exact"/>
        <w:rPr>
          <w:rFonts w:ascii="Arial" w:cs="Arial" w:eastAsia="Arial" w:hAnsi="Arial"/>
          <w:sz w:val="18"/>
          <w:szCs w:val="18"/>
          <w:color w:val="auto"/>
        </w:rPr>
      </w:pPr>
    </w:p>
    <w:p>
      <w:pPr>
        <w:ind w:right="280" w:firstLine="1305"/>
        <w:spacing w:after="0" w:line="264" w:lineRule="auto"/>
        <w:tabs>
          <w:tab w:leader="none" w:pos="1776" w:val="left"/>
        </w:tabs>
        <w:numPr>
          <w:ilvl w:val="2"/>
          <w:numId w:val="60"/>
        </w:numPr>
        <w:rPr>
          <w:rFonts w:ascii="Arial" w:cs="Arial" w:eastAsia="Arial" w:hAnsi="Arial"/>
          <w:sz w:val="18"/>
          <w:szCs w:val="18"/>
          <w:color w:val="auto"/>
        </w:rPr>
      </w:pPr>
      <w:r>
        <w:rPr>
          <w:rFonts w:ascii="Arial" w:cs="Arial" w:eastAsia="Arial" w:hAnsi="Arial"/>
          <w:sz w:val="18"/>
          <w:szCs w:val="18"/>
          <w:color w:val="auto"/>
        </w:rPr>
        <w:t>“Disability” means the Participant has been determined, by a physician selected by the Company and reasonably acceptable to the Participant, to be unable to engage in any substantial gainful activity by reason of a medically determinable physical or mental impairment that can be expected to result in death or can be expected to last for a continuous period of not less than 12 months.</w:t>
      </w:r>
    </w:p>
    <w:p>
      <w:pPr>
        <w:spacing w:after="0" w:line="181" w:lineRule="exact"/>
        <w:rPr>
          <w:rFonts w:ascii="Arial" w:cs="Arial" w:eastAsia="Arial" w:hAnsi="Arial"/>
          <w:sz w:val="18"/>
          <w:szCs w:val="18"/>
          <w:color w:val="auto"/>
        </w:rPr>
      </w:pPr>
    </w:p>
    <w:p>
      <w:pPr>
        <w:ind w:right="20" w:firstLine="1305"/>
        <w:spacing w:after="0" w:line="287" w:lineRule="auto"/>
        <w:tabs>
          <w:tab w:leader="none" w:pos="1787" w:val="left"/>
        </w:tabs>
        <w:numPr>
          <w:ilvl w:val="2"/>
          <w:numId w:val="60"/>
        </w:numPr>
        <w:rPr>
          <w:rFonts w:ascii="Arial" w:cs="Arial" w:eastAsia="Arial" w:hAnsi="Arial"/>
          <w:sz w:val="16"/>
          <w:szCs w:val="16"/>
          <w:color w:val="auto"/>
        </w:rPr>
      </w:pPr>
      <w:r>
        <w:rPr>
          <w:rFonts w:ascii="Arial" w:cs="Arial" w:eastAsia="Arial" w:hAnsi="Arial"/>
          <w:sz w:val="16"/>
          <w:szCs w:val="16"/>
          <w:color w:val="auto"/>
        </w:rPr>
        <w:t>“Good Reason” means without the express written consent of the Participant (i) a change in the Participant’s position with the Company or an Affiliate which results in a material diminution of the Participant’s authority, duties or responsibilities; (ii) a material reduction by the Company or an Affiliate in the annual rate of the Participant’s base salary; or (iii) a change in the location of the Participant’s principal office to a different place that is more than fifty miles from the Participant’s principal office immediately prior to such change. A reduction in the Participant’s rate of annual base pay shall be material if the rate of annual base salary on any date is less than ninety percent (90%) of the Participant’s highest rate of annual base pay as in effect on any date in the preceding thirty-six (36) months. Notwithstanding the two preceding sentences, a change in the Participant’s duties or responsibilities shall not constitute Good Reason, and the Participant shall not have Good Reason to resign, solely because the Company does not have common shares or other securities that are publicly traded. A resignation by the Participant shall not be with “Good Reason” unless the Participant gives the Company written notice specifying the event or condition that the Participant asserts constitutes Good Reason, the notice is given no more than ninety days after the occurrence of the event or initial existence of the condition that the Participant asserts constitutes Good Reason and the Company has failed to remedy or cure the event or condition during the thirty day period after such written notice is given to the Company.</w:t>
      </w:r>
    </w:p>
    <w:p>
      <w:pPr>
        <w:spacing w:after="0" w:line="172" w:lineRule="exact"/>
        <w:rPr>
          <w:rFonts w:ascii="Arial" w:cs="Arial" w:eastAsia="Arial" w:hAnsi="Arial"/>
          <w:sz w:val="16"/>
          <w:szCs w:val="16"/>
          <w:color w:val="auto"/>
        </w:rPr>
      </w:pPr>
    </w:p>
    <w:p>
      <w:pPr>
        <w:ind w:right="460" w:firstLine="1305"/>
        <w:spacing w:after="0" w:line="277" w:lineRule="auto"/>
        <w:tabs>
          <w:tab w:leader="none" w:pos="1766" w:val="left"/>
        </w:tabs>
        <w:numPr>
          <w:ilvl w:val="2"/>
          <w:numId w:val="60"/>
        </w:numPr>
        <w:rPr>
          <w:rFonts w:ascii="Arial" w:cs="Arial" w:eastAsia="Arial" w:hAnsi="Arial"/>
          <w:sz w:val="18"/>
          <w:szCs w:val="18"/>
          <w:color w:val="auto"/>
        </w:rPr>
      </w:pPr>
      <w:r>
        <w:rPr>
          <w:rFonts w:ascii="Arial" w:cs="Arial" w:eastAsia="Arial" w:hAnsi="Arial"/>
          <w:sz w:val="18"/>
          <w:szCs w:val="18"/>
          <w:color w:val="auto"/>
        </w:rPr>
        <w:t>“Involuntary Termination Due to Position Elimination or Reorganization” means an involuntary termination of the Participant’s employment by the Company or its Affiliates due to a job elimination, reduction in force,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7" w:name="page108"/>
    <w:bookmarkEnd w:id="107"/>
    <w:p>
      <w:pPr>
        <w:ind w:right="400"/>
        <w:spacing w:after="0" w:line="277" w:lineRule="auto"/>
        <w:rPr>
          <w:sz w:val="20"/>
          <w:szCs w:val="20"/>
          <w:color w:val="auto"/>
        </w:rPr>
      </w:pPr>
      <w:r>
        <w:rPr>
          <w:rFonts w:ascii="Arial" w:cs="Arial" w:eastAsia="Arial" w:hAnsi="Arial"/>
          <w:sz w:val="18"/>
          <w:szCs w:val="18"/>
          <w:color w:val="auto"/>
        </w:rPr>
        <w:t>restructuring or other circumstances the Committee deems appropriate, in its sole discretion, as qualifying as an Involuntary Termination Due to Position Elimination or Reorganization.</w:t>
      </w:r>
    </w:p>
    <w:p>
      <w:pPr>
        <w:spacing w:after="0" w:line="170" w:lineRule="exact"/>
        <w:rPr>
          <w:sz w:val="20"/>
          <w:szCs w:val="20"/>
          <w:color w:val="auto"/>
        </w:rPr>
      </w:pPr>
    </w:p>
    <w:p>
      <w:pPr>
        <w:ind w:right="520" w:firstLine="1305"/>
        <w:spacing w:after="0" w:line="342" w:lineRule="auto"/>
        <w:tabs>
          <w:tab w:leader="none" w:pos="1742"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“Retirement Age” means the Participant has both attained age sixty (60) and accumulated at least seventy (70) points. The Participant’s points shall equal the sum of the participant’s age (in years) plus completed full years of employment with the Company and its Affiliates.</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VI. No Right to Continued Employment. This Agreement and the grant of the Stock Unit Award do not give the Participant any rights with respect to continued employment by the Company or an Affiliate. This Agreement and the grant of the Stock Unit Award shall not interfere with the right of the Company or an Affiliate to terminate the Participant’s employment.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VII. Change in Capital Structure. In accordance with the terms of the Plan, the terms of this Agreement and the number and kind of Shares shall be adjusted as the Board determines to be equitably required in the event the Company effects one or more stock dividends, stock split-ups, subdivisions or consolidations of shares or other similar changes in capitalization.</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VIII. Governing Law; Venue. The laws of the State of North Dakota shall govern all matters arising out of or relating to this Agreement including, without limitation, its validity, interpretation, construction and performance but without giving effect to the conflict of laws principles that may require the application of the laws of another jurisdiction. Any party bringing a legal action or proceeding against any other party arising out of or relating to this Agreement may bring the legal action or proceeding in the United States District Court for the District of North Dakota or in any court of the State of North Dakota sitting in Fargo, North Dakota. Each party waives, to the fullest extent permitted by law (i) any objection it may now or later have to the laying of venue of any legal action or proceeding arising out of or relating to this Agreement brought in a court described in the preceding sentence and (ii) any claim that any legal action or proceeding brought in any such court has been brought in an inconvenient forum.</w:t>
      </w:r>
    </w:p>
    <w:p>
      <w:pPr>
        <w:spacing w:after="0" w:line="178"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IX. Conflicts. In the event of any conflict between the provisions of the Plan as in effect on the Date of Grant and this Agreement, the provisions of the Plan shall govern. All references herein to the Plan shall mean the Plan as in effect on the Date of Grant.</w:t>
      </w:r>
    </w:p>
    <w:p>
      <w:pPr>
        <w:spacing w:after="0" w:line="147" w:lineRule="exact"/>
        <w:rPr>
          <w:sz w:val="20"/>
          <w:szCs w:val="20"/>
          <w:color w:val="auto"/>
        </w:rPr>
      </w:pPr>
    </w:p>
    <w:p>
      <w:pPr>
        <w:ind w:right="200" w:firstLine="656"/>
        <w:spacing w:after="0" w:line="277"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Participant Bound by Plan. The Participant hereby acknowledges that a copy of the Plan has been made available to the Participant and the Participant agrees to be bound by all of the terms and provisions of the Plan.</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XI. Binding Effect. Subject to the limitations stated above and in the Plan, this Agreement shall be binding upon the Participant and the Participant’s successors in interest and the Company and any successors of the Company.</w:t>
      </w:r>
    </w:p>
    <w:p>
      <w:pPr>
        <w:spacing w:after="0" w:line="17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7"/>
          <w:szCs w:val="17"/>
          <w:color w:val="auto"/>
        </w:rPr>
        <w:t>XII.</w:t>
      </w:r>
      <w:r>
        <w:rPr>
          <w:sz w:val="20"/>
          <w:szCs w:val="20"/>
          <w:color w:val="auto"/>
        </w:rPr>
        <w:tab/>
      </w:r>
      <w:r>
        <w:rPr>
          <w:rFonts w:ascii="Arial" w:cs="Arial" w:eastAsia="Arial" w:hAnsi="Arial"/>
          <w:sz w:val="17"/>
          <w:szCs w:val="17"/>
          <w:color w:val="auto"/>
        </w:rPr>
        <w:t>Recoupment. The Participant acknowledges and agrees that the Participant’s rights in the Restricted Stock Units, the Shares and any</w:t>
      </w:r>
    </w:p>
    <w:p>
      <w:pPr>
        <w:spacing w:after="0" w:line="3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dividends, dividend equivalents or other distributions paid or payable with respect to the Restricted Stock Units and the Shares are subject to recoupment or repayment if, and to the extent that, such action is required under applicable law or any Company recoupment or “clawback” policy.</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Company and the Participant have executed this Restricted Stock Unit Agreement as of the date first set forth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NI HOLDINGS, INC.</w:t>
            </w:r>
          </w:p>
        </w:tc>
        <w:tc>
          <w:tcPr>
            <w:tcW w:w="7520" w:type="dxa"/>
            <w:vAlign w:val="bottom"/>
            <w:gridSpan w:val="2"/>
          </w:tcPr>
          <w:p>
            <w:pPr>
              <w:ind w:left="3300"/>
              <w:spacing w:after="0"/>
              <w:rPr>
                <w:sz w:val="20"/>
                <w:szCs w:val="20"/>
                <w:color w:val="auto"/>
              </w:rPr>
            </w:pPr>
            <w:r>
              <w:rPr>
                <w:rFonts w:ascii="Arial" w:cs="Arial" w:eastAsia="Arial" w:hAnsi="Arial"/>
                <w:sz w:val="18"/>
                <w:szCs w:val="18"/>
                <w:color w:val="auto"/>
              </w:rPr>
              <w:t>[NAME OF PARTICIPANT]</w:t>
            </w:r>
          </w:p>
        </w:tc>
        <w:tc>
          <w:tcPr>
            <w:tcW w:w="0" w:type="dxa"/>
            <w:vAlign w:val="bottom"/>
          </w:tcPr>
          <w:p>
            <w:pPr>
              <w:spacing w:after="0"/>
              <w:rPr>
                <w:sz w:val="1"/>
                <w:szCs w:val="1"/>
                <w:color w:val="auto"/>
              </w:rPr>
            </w:pPr>
          </w:p>
        </w:tc>
      </w:tr>
      <w:tr>
        <w:trPr>
          <w:trHeight w:val="648"/>
        </w:trPr>
        <w:tc>
          <w:tcPr>
            <w:tcW w:w="3900" w:type="dxa"/>
            <w:vAlign w:val="bottom"/>
            <w:gridSpan w:val="2"/>
          </w:tcPr>
          <w:p>
            <w:pPr>
              <w:spacing w:after="0"/>
              <w:rPr>
                <w:sz w:val="20"/>
                <w:szCs w:val="20"/>
                <w:color w:val="auto"/>
              </w:rPr>
            </w:pPr>
            <w:r>
              <w:rPr>
                <w:rFonts w:ascii="Arial" w:cs="Arial" w:eastAsia="Arial" w:hAnsi="Arial"/>
                <w:sz w:val="18"/>
                <w:szCs w:val="18"/>
                <w:color w:val="auto"/>
              </w:rPr>
              <w:t>By:</w:t>
            </w:r>
          </w:p>
        </w:tc>
        <w:tc>
          <w:tcPr>
            <w:tcW w:w="7520" w:type="dxa"/>
            <w:vAlign w:val="bottom"/>
            <w:gridSpan w:val="2"/>
          </w:tcPr>
          <w:p>
            <w:pPr>
              <w:ind w:left="330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Borders>
              <w:top w:val="single" w:sz="8" w:color="auto"/>
              <w:bottom w:val="single" w:sz="8" w:color="auto"/>
            </w:tcBorders>
          </w:tcPr>
          <w:p>
            <w:pPr>
              <w:spacing w:after="0"/>
              <w:rPr>
                <w:sz w:val="18"/>
                <w:szCs w:val="18"/>
                <w:color w:val="auto"/>
              </w:rPr>
            </w:pPr>
          </w:p>
        </w:tc>
        <w:tc>
          <w:tcPr>
            <w:tcW w:w="4280" w:type="dxa"/>
            <w:vAlign w:val="bottom"/>
          </w:tcPr>
          <w:p>
            <w:pPr>
              <w:ind w:left="3300"/>
              <w:spacing w:after="0"/>
              <w:rPr>
                <w:sz w:val="20"/>
                <w:szCs w:val="20"/>
                <w:color w:val="auto"/>
              </w:rPr>
            </w:pPr>
            <w:r>
              <w:rPr>
                <w:rFonts w:ascii="Arial" w:cs="Arial" w:eastAsia="Arial" w:hAnsi="Arial"/>
                <w:sz w:val="18"/>
                <w:szCs w:val="18"/>
                <w:color w:val="auto"/>
              </w:rPr>
              <w:t>Date:</w:t>
            </w:r>
          </w:p>
        </w:tc>
        <w:tc>
          <w:tcPr>
            <w:tcW w:w="32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18"/>
                <w:szCs w:val="18"/>
                <w:color w:val="auto"/>
              </w:rPr>
            </w:pPr>
          </w:p>
        </w:tc>
        <w:tc>
          <w:tcPr>
            <w:tcW w:w="4280" w:type="dxa"/>
            <w:vAlign w:val="bottom"/>
            <w:vMerge w:val="restart"/>
          </w:tcPr>
          <w:p>
            <w:pPr>
              <w:jc w:val="right"/>
              <w:ind w:right="2250"/>
              <w:spacing w:after="0"/>
              <w:rPr>
                <w:sz w:val="20"/>
                <w:szCs w:val="20"/>
                <w:color w:val="auto"/>
              </w:rPr>
            </w:pPr>
            <w:r>
              <w:rPr>
                <w:rFonts w:ascii="Arial" w:cs="Arial" w:eastAsia="Arial" w:hAnsi="Arial"/>
                <w:sz w:val="18"/>
                <w:szCs w:val="18"/>
                <w:color w:val="auto"/>
              </w:rPr>
              <w:t>105</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6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vMerge w:val="continue"/>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Time-Based Restricted Stock Unit Agreement for Non-Employee Directors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5360" w:type="dxa"/>
            <w:vAlign w:val="bottom"/>
            <w:tcBorders>
              <w:top w:val="single" w:sz="8" w:color="auto"/>
              <w:bottom w:val="single" w:sz="8" w:color="auto"/>
              <w:right w:val="single" w:sz="8" w:color="auto"/>
            </w:tcBorders>
          </w:tcPr>
          <w:p>
            <w:pPr>
              <w:spacing w:after="0"/>
              <w:rPr>
                <w:sz w:val="3"/>
                <w:szCs w:val="3"/>
                <w:color w:val="auto"/>
              </w:rPr>
            </w:pPr>
          </w:p>
        </w:tc>
        <w:tc>
          <w:tcPr>
            <w:tcW w:w="6020" w:type="dxa"/>
            <w:vAlign w:val="bottom"/>
            <w:tcBorders>
              <w:top w:val="single" w:sz="8" w:color="auto"/>
              <w:bottom w:val="single" w:sz="8" w:color="auto"/>
              <w:right w:val="single" w:sz="8" w:color="auto"/>
            </w:tcBorders>
          </w:tcPr>
          <w:p>
            <w:pPr>
              <w:spacing w:after="0"/>
              <w:rPr>
                <w:sz w:val="3"/>
                <w:szCs w:val="3"/>
                <w:color w:val="auto"/>
              </w:rPr>
            </w:pPr>
          </w:p>
        </w:tc>
      </w:tr>
      <w:tr>
        <w:trPr>
          <w:trHeight w:val="359"/>
        </w:trPr>
        <w:tc>
          <w:tcPr>
            <w:tcW w:w="40" w:type="dxa"/>
            <w:vAlign w:val="bottom"/>
            <w:tcBorders>
              <w:right w:val="single" w:sz="8" w:color="auto"/>
            </w:tcBorders>
            <w:shd w:val="clear" w:color="auto" w:fill="000000"/>
          </w:tcPr>
          <w:p>
            <w:pPr>
              <w:spacing w:after="0"/>
              <w:rPr>
                <w:sz w:val="24"/>
                <w:szCs w:val="24"/>
                <w:color w:val="auto"/>
              </w:rPr>
            </w:pPr>
          </w:p>
        </w:tc>
        <w:tc>
          <w:tcPr>
            <w:tcW w:w="5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 of Participant: [___________]</w:t>
            </w:r>
          </w:p>
        </w:tc>
        <w:tc>
          <w:tcPr>
            <w:tcW w:w="6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Date of Grant:</w:t>
            </w:r>
          </w:p>
        </w:tc>
      </w:tr>
      <w:tr>
        <w:trPr>
          <w:trHeight w:val="162"/>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5360" w:type="dxa"/>
            <w:vAlign w:val="bottom"/>
            <w:tcBorders>
              <w:bottom w:val="single" w:sz="8" w:color="auto"/>
              <w:right w:val="single" w:sz="8" w:color="auto"/>
            </w:tcBorders>
          </w:tcPr>
          <w:p>
            <w:pPr>
              <w:spacing w:after="0"/>
              <w:rPr>
                <w:sz w:val="14"/>
                <w:szCs w:val="14"/>
                <w:color w:val="auto"/>
              </w:rPr>
            </w:pPr>
          </w:p>
        </w:tc>
        <w:tc>
          <w:tcPr>
            <w:tcW w:w="6020" w:type="dxa"/>
            <w:vAlign w:val="bottom"/>
            <w:tcBorders>
              <w:bottom w:val="single" w:sz="8" w:color="auto"/>
              <w:right w:val="single" w:sz="8" w:color="auto"/>
            </w:tcBorders>
          </w:tcPr>
          <w:p>
            <w:pPr>
              <w:spacing w:after="0"/>
              <w:rPr>
                <w:sz w:val="14"/>
                <w:szCs w:val="14"/>
                <w:color w:val="auto"/>
              </w:rPr>
            </w:pPr>
          </w:p>
        </w:tc>
      </w:tr>
      <w:tr>
        <w:trPr>
          <w:trHeight w:val="372"/>
        </w:trPr>
        <w:tc>
          <w:tcPr>
            <w:tcW w:w="40" w:type="dxa"/>
            <w:vAlign w:val="bottom"/>
            <w:tcBorders>
              <w:right w:val="single" w:sz="8" w:color="auto"/>
            </w:tcBorders>
            <w:shd w:val="clear" w:color="auto" w:fill="000000"/>
          </w:tcPr>
          <w:p>
            <w:pPr>
              <w:spacing w:after="0"/>
              <w:rPr>
                <w:sz w:val="24"/>
                <w:szCs w:val="24"/>
                <w:color w:val="auto"/>
              </w:rPr>
            </w:pPr>
          </w:p>
        </w:tc>
        <w:tc>
          <w:tcPr>
            <w:tcW w:w="5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 of Units Covered: [___________]</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Vesting Commencement Date:</w:t>
            </w:r>
          </w:p>
        </w:tc>
      </w:tr>
      <w:tr>
        <w:trPr>
          <w:trHeight w:val="162"/>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5360" w:type="dxa"/>
            <w:vAlign w:val="bottom"/>
            <w:tcBorders>
              <w:bottom w:val="single" w:sz="8" w:color="auto"/>
              <w:right w:val="single" w:sz="8" w:color="auto"/>
            </w:tcBorders>
          </w:tcPr>
          <w:p>
            <w:pPr>
              <w:spacing w:after="0"/>
              <w:rPr>
                <w:sz w:val="14"/>
                <w:szCs w:val="14"/>
                <w:color w:val="auto"/>
              </w:rPr>
            </w:pPr>
          </w:p>
        </w:tc>
        <w:tc>
          <w:tcPr>
            <w:tcW w:w="6020" w:type="dxa"/>
            <w:vAlign w:val="bottom"/>
            <w:tcBorders>
              <w:bottom w:val="single" w:sz="8" w:color="auto"/>
              <w:right w:val="single" w:sz="8" w:color="auto"/>
            </w:tcBorders>
          </w:tcPr>
          <w:p>
            <w:pPr>
              <w:spacing w:after="0"/>
              <w:rPr>
                <w:sz w:val="14"/>
                <w:szCs w:val="14"/>
                <w:color w:val="auto"/>
              </w:rPr>
            </w:pPr>
          </w:p>
        </w:tc>
      </w:tr>
      <w:tr>
        <w:trPr>
          <w:trHeight w:val="372"/>
        </w:trPr>
        <w:tc>
          <w:tcPr>
            <w:tcW w:w="40" w:type="dxa"/>
            <w:vAlign w:val="bottom"/>
            <w:tcBorders>
              <w:right w:val="single" w:sz="8" w:color="auto"/>
            </w:tcBorders>
            <w:shd w:val="clear" w:color="auto" w:fill="000000"/>
          </w:tcPr>
          <w:p>
            <w:pPr>
              <w:spacing w:after="0"/>
              <w:rPr>
                <w:sz w:val="24"/>
                <w:szCs w:val="24"/>
                <w:color w:val="auto"/>
              </w:rPr>
            </w:pPr>
          </w:p>
        </w:tc>
        <w:tc>
          <w:tcPr>
            <w:tcW w:w="5360" w:type="dxa"/>
            <w:vAlign w:val="bottom"/>
            <w:tcBorders>
              <w:right w:val="single" w:sz="8" w:color="auto"/>
            </w:tcBorders>
          </w:tcPr>
          <w:p>
            <w:pPr>
              <w:spacing w:after="0"/>
              <w:rPr>
                <w:sz w:val="24"/>
                <w:szCs w:val="24"/>
                <w:color w:val="auto"/>
              </w:rPr>
            </w:pPr>
          </w:p>
        </w:tc>
        <w:tc>
          <w:tcPr>
            <w:tcW w:w="6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Vesting Date:</w:t>
            </w:r>
          </w:p>
        </w:tc>
      </w:tr>
      <w:tr>
        <w:trPr>
          <w:trHeight w:val="540"/>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5360" w:type="dxa"/>
            <w:vAlign w:val="bottom"/>
            <w:tcBorders>
              <w:bottom w:val="single" w:sz="8" w:color="auto"/>
              <w:right w:val="single" w:sz="8" w:color="auto"/>
            </w:tcBorders>
          </w:tcPr>
          <w:p>
            <w:pPr>
              <w:spacing w:after="0"/>
              <w:rPr>
                <w:sz w:val="24"/>
                <w:szCs w:val="24"/>
                <w:color w:val="auto"/>
              </w:rPr>
            </w:pPr>
          </w:p>
        </w:tc>
        <w:tc>
          <w:tcPr>
            <w:tcW w:w="60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5360" w:type="dxa"/>
            <w:vAlign w:val="bottom"/>
            <w:tcBorders>
              <w:bottom w:val="single" w:sz="8" w:color="auto"/>
              <w:right w:val="single" w:sz="8" w:color="auto"/>
            </w:tcBorders>
          </w:tcPr>
          <w:p>
            <w:pPr>
              <w:spacing w:after="0" w:line="20" w:lineRule="exact"/>
              <w:rPr>
                <w:sz w:val="1"/>
                <w:szCs w:val="1"/>
                <w:color w:val="auto"/>
              </w:rPr>
            </w:pPr>
          </w:p>
        </w:tc>
        <w:tc>
          <w:tcPr>
            <w:tcW w:w="602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RESTRICTED STOCK UNIT AGREEMENT (this “Agreement”) governs the Stock Unit Award granted by NI HOLDINGS, INC., a North Dakota corporation (the “Company”) to the above-named individual (the “Participant”), in accordance with and subject to the provisions of the Company’s 2017 Stock and Incentive Plan (the “Plan”). A copy of the Plan has been made available to the Participant. Unless the context indicates otherwise, capitalized terms that are not defined in this Agreement shall have the meaning set forth in the Plan.</w:t>
      </w:r>
    </w:p>
    <w:p>
      <w:pPr>
        <w:spacing w:after="0" w:line="187"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Grant of Restricted Stock Units.</w:t>
      </w:r>
    </w:p>
    <w:p>
      <w:pPr>
        <w:spacing w:after="0" w:line="225" w:lineRule="exact"/>
        <w:rPr>
          <w:rFonts w:ascii="Arial" w:cs="Arial" w:eastAsia="Arial" w:hAnsi="Arial"/>
          <w:sz w:val="18"/>
          <w:szCs w:val="18"/>
          <w:color w:val="auto"/>
        </w:rPr>
      </w:pPr>
    </w:p>
    <w:p>
      <w:pPr>
        <w:jc w:val="both"/>
        <w:ind w:right="180" w:firstLine="1305"/>
        <w:spacing w:after="0" w:line="259" w:lineRule="auto"/>
        <w:tabs>
          <w:tab w:leader="none" w:pos="1787" w:val="left"/>
        </w:tabs>
        <w:numPr>
          <w:ilvl w:val="2"/>
          <w:numId w:val="63"/>
        </w:numPr>
        <w:rPr>
          <w:rFonts w:ascii="Arial" w:cs="Arial" w:eastAsia="Arial" w:hAnsi="Arial"/>
          <w:sz w:val="18"/>
          <w:szCs w:val="18"/>
          <w:color w:val="auto"/>
        </w:rPr>
      </w:pPr>
      <w:r>
        <w:rPr>
          <w:rFonts w:ascii="Arial" w:cs="Arial" w:eastAsia="Arial" w:hAnsi="Arial"/>
          <w:sz w:val="18"/>
          <w:szCs w:val="18"/>
          <w:color w:val="auto"/>
        </w:rPr>
        <w:t>In accordance with the Plan, and effective as of the Date of Grant specified above, the Company has granted to the Participant the number of Stock Units specified at the beginning of this Agreement (collectively, the “Restricted Stock Units,” and each a “Restricted Stock Unit.”). Each Restricted Unit represents the right to receive a share of Common Stock (a “Share”) and dividend equivalent amounts corresponding to the Share, subject to the terms and conditions of this Agreement and the Plan.</w:t>
      </w:r>
    </w:p>
    <w:p>
      <w:pPr>
        <w:spacing w:after="0" w:line="186" w:lineRule="exact"/>
        <w:rPr>
          <w:rFonts w:ascii="Arial" w:cs="Arial" w:eastAsia="Arial" w:hAnsi="Arial"/>
          <w:sz w:val="18"/>
          <w:szCs w:val="18"/>
          <w:color w:val="auto"/>
        </w:rPr>
      </w:pPr>
    </w:p>
    <w:p>
      <w:pPr>
        <w:ind w:right="40" w:firstLine="1305"/>
        <w:spacing w:after="0" w:line="259" w:lineRule="auto"/>
        <w:tabs>
          <w:tab w:leader="none" w:pos="1776"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Restricted Stock Units granted to the Participant shall be credited to an account in the Participant’s name. This account shall be a record of book-keeping entries only and shall be utilized solely as a device for the measurement and determination of the number of Shares to be issued to or in respect of the Participant pursuant to this Agreement. Restricted Stock Units may not be transferred by the Participant without the Committee’s prior written consent other than by will or the laws of descent and distribution.</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Vesting of the Shares.</w:t>
      </w:r>
    </w:p>
    <w:p>
      <w:pPr>
        <w:spacing w:after="0" w:line="225" w:lineRule="exact"/>
        <w:rPr>
          <w:rFonts w:ascii="Arial" w:cs="Arial" w:eastAsia="Arial" w:hAnsi="Arial"/>
          <w:sz w:val="18"/>
          <w:szCs w:val="18"/>
          <w:color w:val="auto"/>
        </w:rPr>
      </w:pPr>
    </w:p>
    <w:p>
      <w:pPr>
        <w:ind w:firstLine="1305"/>
        <w:spacing w:after="0" w:line="279" w:lineRule="auto"/>
        <w:tabs>
          <w:tab w:leader="none" w:pos="1787" w:val="left"/>
        </w:tabs>
        <w:numPr>
          <w:ilvl w:val="2"/>
          <w:numId w:val="63"/>
        </w:numPr>
        <w:rPr>
          <w:rFonts w:ascii="Arial" w:cs="Arial" w:eastAsia="Arial" w:hAnsi="Arial"/>
          <w:sz w:val="17"/>
          <w:szCs w:val="17"/>
          <w:color w:val="auto"/>
        </w:rPr>
      </w:pPr>
      <w:r>
        <w:rPr>
          <w:rFonts w:ascii="Arial" w:cs="Arial" w:eastAsia="Arial" w:hAnsi="Arial"/>
          <w:sz w:val="17"/>
          <w:szCs w:val="17"/>
          <w:color w:val="auto"/>
        </w:rPr>
        <w:t>The Participant’s interest in the Restricted Stock Units shall vest and become non-forfeitable on the vesting date(s) set forth above (each a “Vesting Date”) if the Participant remains in the continuous service on the Company’s Board of Directors (the “Board”) from the Vesting Commencement Date through each applicable Vesting Date. Except as provided in paragraphs 2(b) through (d) below, if the Participant’s service on the Board is terminated prior to a Vesting Date, any Restricted Stock Units that remain unvested as of the date of such termination shall be forfeited.</w:t>
      </w:r>
    </w:p>
    <w:p>
      <w:pPr>
        <w:spacing w:after="0" w:line="171" w:lineRule="exact"/>
        <w:rPr>
          <w:rFonts w:ascii="Arial" w:cs="Arial" w:eastAsia="Arial" w:hAnsi="Arial"/>
          <w:sz w:val="17"/>
          <w:szCs w:val="17"/>
          <w:color w:val="auto"/>
        </w:rPr>
      </w:pPr>
    </w:p>
    <w:p>
      <w:pPr>
        <w:ind w:right="260" w:firstLine="1305"/>
        <w:spacing w:after="0" w:line="264" w:lineRule="auto"/>
        <w:tabs>
          <w:tab w:leader="none" w:pos="1776"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the Participant remains on the Board from the Vesting Commencement Date until the date the Participant’s service is terminated due to Disability or death that occurs before the Vesting Date, then any Restricted Stock Units that remain unvested will vest in full and become non-forfeitable as of the date of such termination.</w:t>
      </w:r>
    </w:p>
    <w:p>
      <w:pPr>
        <w:spacing w:after="0" w:line="181" w:lineRule="exact"/>
        <w:rPr>
          <w:rFonts w:ascii="Arial" w:cs="Arial" w:eastAsia="Arial" w:hAnsi="Arial"/>
          <w:sz w:val="18"/>
          <w:szCs w:val="18"/>
          <w:color w:val="auto"/>
        </w:rPr>
      </w:pPr>
    </w:p>
    <w:p>
      <w:pPr>
        <w:ind w:right="40" w:firstLine="1305"/>
        <w:spacing w:after="0" w:line="276" w:lineRule="auto"/>
        <w:tabs>
          <w:tab w:leader="none" w:pos="1776" w:val="left"/>
        </w:tabs>
        <w:numPr>
          <w:ilvl w:val="2"/>
          <w:numId w:val="63"/>
        </w:numPr>
        <w:rPr>
          <w:rFonts w:ascii="Arial" w:cs="Arial" w:eastAsia="Arial" w:hAnsi="Arial"/>
          <w:sz w:val="17"/>
          <w:szCs w:val="17"/>
          <w:color w:val="auto"/>
        </w:rPr>
      </w:pPr>
      <w:r>
        <w:rPr>
          <w:rFonts w:ascii="Arial" w:cs="Arial" w:eastAsia="Arial" w:hAnsi="Arial"/>
          <w:sz w:val="17"/>
          <w:szCs w:val="17"/>
          <w:color w:val="auto"/>
        </w:rPr>
        <w:t>If the Participant voluntarily resigns from the Board for any reason prior to the Vesting Date (other than due to Disability), then the Restricted Stock Units will vest in a pro rata number of the Restricted Stock Units. The pro rata number of Restricted Stock Units that vest shall be determined by multiplying the unvested Restricted Stock Units by a fraction, the numerator of which is the number of full and partial calendar months of the Participant’s service with Board from the first day of the Vesting Commencement Date to the date of resignation, and the denominator of which is the number of full calendar months from the Vesting Commencement Date to the Vesting Date. A partial month of service shall count as a full month.</w:t>
      </w:r>
    </w:p>
    <w:p>
      <w:pPr>
        <w:spacing w:after="0" w:line="172" w:lineRule="exact"/>
        <w:rPr>
          <w:rFonts w:ascii="Arial" w:cs="Arial" w:eastAsia="Arial" w:hAnsi="Arial"/>
          <w:sz w:val="17"/>
          <w:szCs w:val="17"/>
          <w:color w:val="auto"/>
        </w:rPr>
      </w:pPr>
    </w:p>
    <w:p>
      <w:pPr>
        <w:ind w:right="500" w:firstLine="1305"/>
        <w:spacing w:after="0" w:line="342" w:lineRule="auto"/>
        <w:tabs>
          <w:tab w:leader="none" w:pos="1787" w:val="left"/>
        </w:tabs>
        <w:numPr>
          <w:ilvl w:val="2"/>
          <w:numId w:val="63"/>
        </w:numPr>
        <w:rPr>
          <w:rFonts w:ascii="Arial" w:cs="Arial" w:eastAsia="Arial" w:hAnsi="Arial"/>
          <w:sz w:val="16"/>
          <w:szCs w:val="16"/>
          <w:color w:val="auto"/>
        </w:rPr>
      </w:pPr>
      <w:r>
        <w:rPr>
          <w:rFonts w:ascii="Arial" w:cs="Arial" w:eastAsia="Arial" w:hAnsi="Arial"/>
          <w:sz w:val="16"/>
          <w:szCs w:val="16"/>
          <w:color w:val="auto"/>
        </w:rPr>
        <w:t>If the Participant remains on the Board from the Vesting Commencement Date until a Change in Control that occurs before the Vesting Date, then any Restricted Stock Units that remain unvested will vest in full and become non-forfeitable upon the Change in Control.</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ind w:left="1200" w:hanging="544"/>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Issuance and Settlement.</w:t>
      </w:r>
    </w:p>
    <w:p>
      <w:pPr>
        <w:spacing w:after="0" w:line="225" w:lineRule="exact"/>
        <w:rPr>
          <w:rFonts w:ascii="Arial" w:cs="Arial" w:eastAsia="Arial" w:hAnsi="Arial"/>
          <w:sz w:val="18"/>
          <w:szCs w:val="18"/>
          <w:color w:val="auto"/>
        </w:rPr>
      </w:pPr>
    </w:p>
    <w:p>
      <w:pPr>
        <w:ind w:right="20" w:firstLine="1305"/>
        <w:spacing w:after="0" w:line="273" w:lineRule="auto"/>
        <w:tabs>
          <w:tab w:leader="none" w:pos="1787" w:val="left"/>
        </w:tabs>
        <w:numPr>
          <w:ilvl w:val="1"/>
          <w:numId w:val="64"/>
        </w:numPr>
        <w:rPr>
          <w:rFonts w:ascii="Arial" w:cs="Arial" w:eastAsia="Arial" w:hAnsi="Arial"/>
          <w:sz w:val="17"/>
          <w:szCs w:val="17"/>
          <w:color w:val="auto"/>
        </w:rPr>
      </w:pPr>
      <w:r>
        <w:rPr>
          <w:rFonts w:ascii="Arial" w:cs="Arial" w:eastAsia="Arial" w:hAnsi="Arial"/>
          <w:sz w:val="17"/>
          <w:szCs w:val="17"/>
          <w:color w:val="auto"/>
        </w:rPr>
        <w:t>After any Restricted Stock Units vest in accordance with Section 2, the Company shall cause to be issued to the Participant, or to the Participant’s designated beneficiary or estate in the event of the Participant’s death, one Share in payment and settlement of each vested Restricted Stock Unit. The Committee shall cause the Shares issuable in connection with the vesting of any such Restricted Stock Units to be issued as soon as practicable after vesting, but in all events no later than 30 days after vesting, and the Participant shall have no power to affect the timing of such issuance. Such issuance shall be evidenced by a stock certificate or appropriate entry on the books of the Company or a duly authorized transfer agent of the Company and shall be in complete settlement and satisfaction of such vested Restricted Stock Units.</w:t>
      </w:r>
    </w:p>
    <w:p>
      <w:pPr>
        <w:spacing w:after="0" w:line="178" w:lineRule="exact"/>
        <w:rPr>
          <w:rFonts w:ascii="Arial" w:cs="Arial" w:eastAsia="Arial" w:hAnsi="Arial"/>
          <w:sz w:val="17"/>
          <w:szCs w:val="17"/>
          <w:color w:val="auto"/>
        </w:rPr>
      </w:pPr>
    </w:p>
    <w:p>
      <w:pPr>
        <w:ind w:right="40" w:firstLine="1305"/>
        <w:spacing w:after="0" w:line="293" w:lineRule="auto"/>
        <w:tabs>
          <w:tab w:leader="none" w:pos="1776" w:val="left"/>
        </w:tabs>
        <w:numPr>
          <w:ilvl w:val="1"/>
          <w:numId w:val="64"/>
        </w:numPr>
        <w:rPr>
          <w:rFonts w:ascii="Arial" w:cs="Arial" w:eastAsia="Arial" w:hAnsi="Arial"/>
          <w:sz w:val="16"/>
          <w:szCs w:val="16"/>
          <w:color w:val="auto"/>
        </w:rPr>
      </w:pPr>
      <w:r>
        <w:rPr>
          <w:rFonts w:ascii="Arial" w:cs="Arial" w:eastAsia="Arial" w:hAnsi="Arial"/>
          <w:sz w:val="16"/>
          <w:szCs w:val="16"/>
          <w:color w:val="auto"/>
        </w:rPr>
        <w:t>Notwithstanding the foregoing, the Restricted Stock Units shall be treated as “deferred compensation” subject to section 409A of the Internal Revenue Code (the “Code”) if they are not otherwise exempt under the “short-term” deferral exemption. In such case, if any Restricted Stock Units vest and become payable on account of a Change in Control, the Restricted Stock Units shall not become payable (even though non-forfeitable) unless the Change in Control constitutes a “change in control event” as defined in Treasury Regulations promulgated under section 409A of the Code. In addition, if any Units vest and become payable on account of a Participant’s resignation from the Board, the Units shall not become payable (even though non-forfeitable) unless the resignation constitutes a “separation from service” as defined in Treasury Regulations promulgated under section 409A of the Code.</w:t>
      </w:r>
    </w:p>
    <w:p>
      <w:pPr>
        <w:spacing w:after="0" w:line="16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IV. Shareholder Rights. The Restricted Stock Units do not entitle the Participant to any rights of a shareholder of the Company. Notwithstanding the foregoing, the Participant shall accumulate an unvested right to payment of cash dividend equivalents on the Shares underlying Restricted Stock Units if cash dividends are declared by the Company on the Shares on or after the Date of Grant. Such dividend equivalents will be in an amount of cash per Restricted Stock Unit equal to the cash dividend paid with respect to one Share. The Participant shall be entitled solely to payment of accumulated dividend equivalents with respect to the number of Restricted Stock Units equal to the number of Shares that become issuable to the Participant pursuant to this Agreement. Dividend equivalents will be paid to the Participant as soon as administratively possible following the date that the Shares are issued to the Participant. The Participant shall not be entitled to dividend equivalents with respect to dividends declared prior to the Date of Grant. All dividend equivalents accumulated with respect to forfeited Restricted Stock Units shall also be irrevocably forfeited. As of the date of issuance of Shares underlying Restricted Stock Units, the Participant shall have all of the rights of a shareholder of the Company with respect to any Shares issued pursuant hereto.</w:t>
      </w:r>
    </w:p>
    <w:p>
      <w:pPr>
        <w:spacing w:after="0" w:line="167" w:lineRule="exact"/>
        <w:rPr>
          <w:sz w:val="20"/>
          <w:szCs w:val="20"/>
          <w:color w:val="auto"/>
        </w:rPr>
      </w:pPr>
    </w:p>
    <w:p>
      <w:pPr>
        <w:ind w:left="1120" w:hanging="464"/>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Definitions. For purposes of this Agreement, the following shall have the following meanings:</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“Change in Control” means:</w:t>
      </w:r>
    </w:p>
    <w:p>
      <w:pPr>
        <w:spacing w:after="0" w:line="225" w:lineRule="exact"/>
        <w:rPr>
          <w:rFonts w:ascii="Arial" w:cs="Arial" w:eastAsia="Arial" w:hAnsi="Arial"/>
          <w:sz w:val="18"/>
          <w:szCs w:val="18"/>
          <w:color w:val="auto"/>
        </w:rPr>
      </w:pPr>
    </w:p>
    <w:p>
      <w:pPr>
        <w:ind w:firstLine="1953"/>
        <w:spacing w:after="0" w:line="285" w:lineRule="auto"/>
        <w:tabs>
          <w:tab w:leader="none" w:pos="2395" w:val="left"/>
        </w:tabs>
        <w:numPr>
          <w:ilvl w:val="3"/>
          <w:numId w:val="65"/>
        </w:numPr>
        <w:rPr>
          <w:rFonts w:ascii="Arial" w:cs="Arial" w:eastAsia="Arial" w:hAnsi="Arial"/>
          <w:sz w:val="16"/>
          <w:szCs w:val="16"/>
          <w:color w:val="auto"/>
        </w:rPr>
      </w:pPr>
      <w:r>
        <w:rPr>
          <w:rFonts w:ascii="Arial" w:cs="Arial" w:eastAsia="Arial" w:hAnsi="Arial"/>
          <w:sz w:val="16"/>
          <w:szCs w:val="16"/>
          <w:color w:val="auto"/>
        </w:rPr>
        <w:t>the approval of the shareholders of the Company, and consummation, of (A) any consolidation, merger or statutory share exchange of the Company with any person in which the surviving entity would not have as its directors at least a majority of the Incumbent Board and as a result of which those persons who were shareholders of the Company immediately prior to such transaction would not hold, immediately after such transaction, at least 50% of the Voting Power of the Company then outstanding or the combined voting power of the surviving entity’s then outstanding voting securities; (B) any sale, lease, exchange or other transfer in one transaction or series of related transactions substantially all of the assets of the Company; or</w:t>
      </w:r>
    </w:p>
    <w:p>
      <w:pPr>
        <w:spacing w:after="0" w:line="2" w:lineRule="exact"/>
        <w:rPr>
          <w:rFonts w:ascii="Arial" w:cs="Arial" w:eastAsia="Arial" w:hAnsi="Arial"/>
          <w:sz w:val="16"/>
          <w:szCs w:val="16"/>
          <w:color w:val="auto"/>
        </w:rPr>
      </w:pPr>
    </w:p>
    <w:p>
      <w:pPr>
        <w:jc w:val="both"/>
        <w:ind w:right="400" w:firstLine="8"/>
        <w:spacing w:after="0" w:line="255" w:lineRule="auto"/>
        <w:tabs>
          <w:tab w:leader="none" w:pos="2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adoption of any plan or proposal for the complete or partial liquidation or dissolution of the Company. For purposes of this Section 5(a), “Voting Power” when used with reference to the Company shall mean the voting power of all classes and series of capital stock of the Company now or hereafter authorized; or</w:t>
      </w:r>
    </w:p>
    <w:p>
      <w:pPr>
        <w:spacing w:after="0" w:line="190" w:lineRule="exact"/>
        <w:rPr>
          <w:rFonts w:ascii="Arial" w:cs="Arial" w:eastAsia="Arial" w:hAnsi="Arial"/>
          <w:sz w:val="18"/>
          <w:szCs w:val="18"/>
          <w:color w:val="auto"/>
        </w:rPr>
      </w:pPr>
    </w:p>
    <w:p>
      <w:pPr>
        <w:ind w:right="100" w:firstLine="1953"/>
        <w:spacing w:after="0" w:line="259" w:lineRule="auto"/>
        <w:tabs>
          <w:tab w:leader="none" w:pos="2395" w:val="left"/>
        </w:tabs>
        <w:numPr>
          <w:ilvl w:val="3"/>
          <w:numId w:val="66"/>
        </w:numPr>
        <w:rPr>
          <w:rFonts w:ascii="Arial" w:cs="Arial" w:eastAsia="Arial" w:hAnsi="Arial"/>
          <w:sz w:val="18"/>
          <w:szCs w:val="18"/>
          <w:color w:val="auto"/>
        </w:rPr>
      </w:pPr>
      <w:r>
        <w:rPr>
          <w:rFonts w:ascii="Arial" w:cs="Arial" w:eastAsia="Arial" w:hAnsi="Arial"/>
          <w:sz w:val="18"/>
          <w:szCs w:val="18"/>
          <w:color w:val="auto"/>
        </w:rPr>
        <w:t>the individuals who, as of the date of this Agreement, are members of the Board of Directors of the Company (the “Incumbent Board”) cease for any reason to constitute at least a majority of the Board (provided, however, that if the election or nomination for election by the Company’s shareholders of any new director was approved by a vote of at least a majority of the Incumbent Board, such new director shall be considered to be a member of the Incumbent Board).</w:t>
      </w:r>
    </w:p>
    <w:p>
      <w:pPr>
        <w:spacing w:after="0" w:line="186" w:lineRule="exact"/>
        <w:rPr>
          <w:rFonts w:ascii="Arial" w:cs="Arial" w:eastAsia="Arial" w:hAnsi="Arial"/>
          <w:sz w:val="18"/>
          <w:szCs w:val="18"/>
          <w:color w:val="auto"/>
        </w:rPr>
      </w:pPr>
    </w:p>
    <w:p>
      <w:pPr>
        <w:ind w:right="280" w:firstLine="1305"/>
        <w:spacing w:after="0" w:line="264" w:lineRule="auto"/>
        <w:tabs>
          <w:tab w:leader="none" w:pos="1776" w:val="left"/>
        </w:tabs>
        <w:numPr>
          <w:ilvl w:val="2"/>
          <w:numId w:val="66"/>
        </w:numPr>
        <w:rPr>
          <w:rFonts w:ascii="Arial" w:cs="Arial" w:eastAsia="Arial" w:hAnsi="Arial"/>
          <w:sz w:val="18"/>
          <w:szCs w:val="18"/>
          <w:color w:val="auto"/>
        </w:rPr>
      </w:pPr>
      <w:r>
        <w:rPr>
          <w:rFonts w:ascii="Arial" w:cs="Arial" w:eastAsia="Arial" w:hAnsi="Arial"/>
          <w:sz w:val="18"/>
          <w:szCs w:val="18"/>
          <w:color w:val="auto"/>
        </w:rPr>
        <w:t>“Disability” means the Participant has been determined, by a physician selected by the Company and reasonably acceptable to the Participant, to be unable to engage in any substantial gainful activity by reason of a medically determinable physical or mental impairment that can be expected to result in death or can be expected to last for a continuous period of not less than 12 months.</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VI. No Right to Continued Service. This Agreement and the grant of the Stock Unit Award do not give the Participant any rights with respect to continued service with the Company or an Affiliate.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0" w:name="page111"/>
    <w:bookmarkEnd w:id="110"/>
    <w:p>
      <w:pPr>
        <w:ind w:right="120" w:firstLine="648"/>
        <w:spacing w:after="0" w:line="264" w:lineRule="auto"/>
        <w:rPr>
          <w:sz w:val="20"/>
          <w:szCs w:val="20"/>
          <w:color w:val="auto"/>
        </w:rPr>
      </w:pPr>
      <w:r>
        <w:rPr>
          <w:rFonts w:ascii="Arial" w:cs="Arial" w:eastAsia="Arial" w:hAnsi="Arial"/>
          <w:sz w:val="18"/>
          <w:szCs w:val="18"/>
          <w:color w:val="auto"/>
        </w:rPr>
        <w:t>VII. Change in Capital Structure. In accordance with the terms of the Plan, the terms of this Agreement and the number and kind of Shares shall be adjusted as the Board determines to be equitably required in the event the Company effects one or more stock dividends, stock split-ups, subdivisions or consolidations of shares or other similar changes in capitalization.</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VIII. Governing Law; Venue. The laws of the State of North Dakota shall govern all matters arising out of or relating to this Agreement including, without limitation, its validity, interpretation, construction and performance but without giving effect to the conflict of laws principles that may require the application of the laws of another jurisdiction. Any party bringing a legal action or proceeding against any other party arising out of or relating to this Agreement may bring the legal action or proceeding in the United States District Court for the District of North Dakota or in any court of the State of North Dakota sitting in Fargo, North Dakota. Each party waives, to the fullest extent permitted by law (i) any objection it may now or later have to the laying of venue of any legal action or proceeding arising out of or relating to this Agreement brought in a court described in the preceding sentence and (ii) any claim that any legal action or proceeding brought in any such court has been brought in an inconvenient forum.</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IX. Conflicts. In the event of any conflict between the provisions of the Plan as in effect on the Date of Grant and this Agreement, the provisions of the Plan shall govern. All references herein to the Plan shall mean the Plan as in effect on the Date of Grant.</w:t>
      </w:r>
    </w:p>
    <w:p>
      <w:pPr>
        <w:spacing w:after="0" w:line="170" w:lineRule="exact"/>
        <w:rPr>
          <w:sz w:val="20"/>
          <w:szCs w:val="20"/>
          <w:color w:val="auto"/>
        </w:rPr>
      </w:pPr>
    </w:p>
    <w:p>
      <w:pPr>
        <w:ind w:right="280" w:firstLine="656"/>
        <w:spacing w:after="0" w:line="277" w:lineRule="auto"/>
        <w:tabs>
          <w:tab w:leader="none" w:pos="11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Participant Bound by Plan. The Participant hereby acknowledges that a copy of the Plan has been made available to the Participant and the Participant agrees to be bound by all of the terms and provisions of the Plan.</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XI. Binding Effect. Subject to the limitations stated above and in the Plan, this Agreement shall be binding upon the Participant and the Participant’s successors in interest and the Company and any successors of the Company.</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Company and the Participant have executed this Restricted Stock Unit Agreement as of the date first set forth above.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NI HOLDINGS, INC.</w:t>
            </w:r>
          </w:p>
        </w:tc>
        <w:tc>
          <w:tcPr>
            <w:tcW w:w="7520" w:type="dxa"/>
            <w:vAlign w:val="bottom"/>
            <w:gridSpan w:val="2"/>
          </w:tcPr>
          <w:p>
            <w:pPr>
              <w:ind w:left="3300"/>
              <w:spacing w:after="0"/>
              <w:rPr>
                <w:sz w:val="20"/>
                <w:szCs w:val="20"/>
                <w:color w:val="auto"/>
              </w:rPr>
            </w:pPr>
            <w:r>
              <w:rPr>
                <w:rFonts w:ascii="Arial" w:cs="Arial" w:eastAsia="Arial" w:hAnsi="Arial"/>
                <w:sz w:val="18"/>
                <w:szCs w:val="18"/>
                <w:color w:val="auto"/>
              </w:rPr>
              <w:t>[NAME OF PARTICIPANT]</w:t>
            </w:r>
          </w:p>
        </w:tc>
        <w:tc>
          <w:tcPr>
            <w:tcW w:w="0" w:type="dxa"/>
            <w:vAlign w:val="bottom"/>
          </w:tcPr>
          <w:p>
            <w:pPr>
              <w:spacing w:after="0"/>
              <w:rPr>
                <w:sz w:val="1"/>
                <w:szCs w:val="1"/>
                <w:color w:val="auto"/>
              </w:rPr>
            </w:pPr>
          </w:p>
        </w:tc>
      </w:tr>
      <w:tr>
        <w:trPr>
          <w:trHeight w:val="648"/>
        </w:trPr>
        <w:tc>
          <w:tcPr>
            <w:tcW w:w="3900" w:type="dxa"/>
            <w:vAlign w:val="bottom"/>
            <w:gridSpan w:val="2"/>
          </w:tcPr>
          <w:p>
            <w:pPr>
              <w:spacing w:after="0"/>
              <w:rPr>
                <w:sz w:val="20"/>
                <w:szCs w:val="20"/>
                <w:color w:val="auto"/>
              </w:rPr>
            </w:pPr>
            <w:r>
              <w:rPr>
                <w:rFonts w:ascii="Arial" w:cs="Arial" w:eastAsia="Arial" w:hAnsi="Arial"/>
                <w:sz w:val="18"/>
                <w:szCs w:val="18"/>
                <w:color w:val="auto"/>
              </w:rPr>
              <w:t>By:</w:t>
            </w:r>
          </w:p>
        </w:tc>
        <w:tc>
          <w:tcPr>
            <w:tcW w:w="7520" w:type="dxa"/>
            <w:vAlign w:val="bottom"/>
            <w:gridSpan w:val="2"/>
          </w:tcPr>
          <w:p>
            <w:pPr>
              <w:ind w:left="330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Borders>
              <w:top w:val="single" w:sz="8" w:color="auto"/>
              <w:bottom w:val="single" w:sz="8" w:color="auto"/>
            </w:tcBorders>
          </w:tcPr>
          <w:p>
            <w:pPr>
              <w:spacing w:after="0"/>
              <w:rPr>
                <w:sz w:val="18"/>
                <w:szCs w:val="18"/>
                <w:color w:val="auto"/>
              </w:rPr>
            </w:pPr>
          </w:p>
        </w:tc>
        <w:tc>
          <w:tcPr>
            <w:tcW w:w="4280" w:type="dxa"/>
            <w:vAlign w:val="bottom"/>
          </w:tcPr>
          <w:p>
            <w:pPr>
              <w:ind w:left="3300"/>
              <w:spacing w:after="0"/>
              <w:rPr>
                <w:sz w:val="20"/>
                <w:szCs w:val="20"/>
                <w:color w:val="auto"/>
              </w:rPr>
            </w:pPr>
            <w:r>
              <w:rPr>
                <w:rFonts w:ascii="Arial" w:cs="Arial" w:eastAsia="Arial" w:hAnsi="Arial"/>
                <w:sz w:val="18"/>
                <w:szCs w:val="18"/>
                <w:color w:val="auto"/>
              </w:rPr>
              <w:t>Date:</w:t>
            </w:r>
          </w:p>
        </w:tc>
        <w:tc>
          <w:tcPr>
            <w:tcW w:w="32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18"/>
                <w:szCs w:val="18"/>
                <w:color w:val="auto"/>
              </w:rPr>
            </w:pPr>
          </w:p>
        </w:tc>
        <w:tc>
          <w:tcPr>
            <w:tcW w:w="4280" w:type="dxa"/>
            <w:vAlign w:val="bottom"/>
            <w:vMerge w:val="restart"/>
          </w:tcPr>
          <w:p>
            <w:pPr>
              <w:jc w:val="right"/>
              <w:ind w:right="2250"/>
              <w:spacing w:after="0"/>
              <w:rPr>
                <w:sz w:val="20"/>
                <w:szCs w:val="20"/>
                <w:color w:val="auto"/>
              </w:rPr>
            </w:pPr>
            <w:r>
              <w:rPr>
                <w:rFonts w:ascii="Arial" w:cs="Arial" w:eastAsia="Arial" w:hAnsi="Arial"/>
                <w:sz w:val="18"/>
                <w:szCs w:val="18"/>
                <w:color w:val="auto"/>
              </w:rPr>
              <w:t>108</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6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vMerge w:val="continue"/>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19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1380"/>
              <w:spacing w:after="0"/>
              <w:rPr>
                <w:sz w:val="20"/>
                <w:szCs w:val="20"/>
                <w:color w:val="auto"/>
              </w:rPr>
            </w:pPr>
            <w:r>
              <w:rPr>
                <w:rFonts w:ascii="Arial" w:cs="Arial" w:eastAsia="Arial" w:hAnsi="Arial"/>
                <w:sz w:val="18"/>
                <w:szCs w:val="18"/>
                <w:color w:val="auto"/>
              </w:rPr>
              <w:t>March 7, 2018</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3800" w:type="dxa"/>
            <w:vAlign w:val="bottom"/>
          </w:tcPr>
          <w:p>
            <w:pPr>
              <w:spacing w:after="0"/>
              <w:rPr>
                <w:sz w:val="20"/>
                <w:szCs w:val="20"/>
                <w:color w:val="auto"/>
              </w:rPr>
            </w:pPr>
          </w:p>
        </w:tc>
      </w:tr>
      <w:tr>
        <w:trPr>
          <w:trHeight w:val="195"/>
        </w:trPr>
        <w:tc>
          <w:tcPr>
            <w:tcW w:w="380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38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380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3800" w:type="dxa"/>
            <w:vAlign w:val="bottom"/>
          </w:tcPr>
          <w:p>
            <w:pPr>
              <w:spacing w:after="0"/>
              <w:rPr>
                <w:sz w:val="20"/>
                <w:szCs w:val="20"/>
                <w:color w:val="auto"/>
              </w:rPr>
            </w:pPr>
          </w:p>
        </w:tc>
      </w:tr>
      <w:tr>
        <w:trPr>
          <w:trHeight w:val="453"/>
        </w:trPr>
        <w:tc>
          <w:tcPr>
            <w:tcW w:w="38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109</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19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1380"/>
              <w:spacing w:after="0"/>
              <w:rPr>
                <w:sz w:val="20"/>
                <w:szCs w:val="20"/>
                <w:color w:val="auto"/>
              </w:rPr>
            </w:pPr>
            <w:r>
              <w:rPr>
                <w:rFonts w:ascii="Arial" w:cs="Arial" w:eastAsia="Arial" w:hAnsi="Arial"/>
                <w:sz w:val="18"/>
                <w:szCs w:val="18"/>
                <w:color w:val="auto"/>
              </w:rPr>
              <w:t>March 7, 2018</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3800" w:type="dxa"/>
            <w:vAlign w:val="bottom"/>
          </w:tcPr>
          <w:p>
            <w:pPr>
              <w:spacing w:after="0"/>
              <w:rPr>
                <w:sz w:val="20"/>
                <w:szCs w:val="20"/>
                <w:color w:val="auto"/>
              </w:rPr>
            </w:pPr>
          </w:p>
        </w:tc>
      </w:tr>
      <w:tr>
        <w:trPr>
          <w:trHeight w:val="195"/>
        </w:trPr>
        <w:tc>
          <w:tcPr>
            <w:tcW w:w="380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Brian R. Doom</w:t>
            </w:r>
          </w:p>
        </w:tc>
        <w:tc>
          <w:tcPr>
            <w:tcW w:w="38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80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3800" w:type="dxa"/>
            <w:vAlign w:val="bottom"/>
          </w:tcPr>
          <w:p>
            <w:pPr>
              <w:spacing w:after="0"/>
              <w:rPr>
                <w:sz w:val="20"/>
                <w:szCs w:val="20"/>
                <w:color w:val="auto"/>
              </w:rPr>
            </w:pPr>
          </w:p>
        </w:tc>
      </w:tr>
      <w:tr>
        <w:trPr>
          <w:trHeight w:val="453"/>
        </w:trPr>
        <w:tc>
          <w:tcPr>
            <w:tcW w:w="38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110</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of NI Holdings, Inc. (the “Company”) on Form 10-K for the period ended December 31, 2017,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1380"/>
              <w:spacing w:after="0"/>
              <w:rPr>
                <w:sz w:val="20"/>
                <w:szCs w:val="20"/>
                <w:color w:val="auto"/>
              </w:rPr>
            </w:pPr>
            <w:r>
              <w:rPr>
                <w:rFonts w:ascii="Arial" w:cs="Arial" w:eastAsia="Arial" w:hAnsi="Arial"/>
                <w:sz w:val="18"/>
                <w:szCs w:val="18"/>
                <w:color w:val="auto"/>
              </w:rPr>
              <w:t>March 7, 2018</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3800" w:type="dxa"/>
            <w:vAlign w:val="bottom"/>
          </w:tcPr>
          <w:p>
            <w:pPr>
              <w:spacing w:after="0"/>
              <w:rPr>
                <w:sz w:val="20"/>
                <w:szCs w:val="20"/>
                <w:color w:val="auto"/>
              </w:rPr>
            </w:pPr>
          </w:p>
        </w:tc>
      </w:tr>
      <w:tr>
        <w:trPr>
          <w:trHeight w:val="195"/>
        </w:trPr>
        <w:tc>
          <w:tcPr>
            <w:tcW w:w="380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38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380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3800" w:type="dxa"/>
            <w:vAlign w:val="bottom"/>
          </w:tcPr>
          <w:p>
            <w:pPr>
              <w:spacing w:after="0"/>
              <w:rPr>
                <w:sz w:val="20"/>
                <w:szCs w:val="20"/>
                <w:color w:val="auto"/>
              </w:rPr>
            </w:pPr>
          </w:p>
        </w:tc>
      </w:tr>
      <w:tr>
        <w:trPr>
          <w:trHeight w:val="648"/>
        </w:trPr>
        <w:tc>
          <w:tcPr>
            <w:tcW w:w="3800" w:type="dxa"/>
            <w:vAlign w:val="bottom"/>
          </w:tcPr>
          <w:p>
            <w:pPr>
              <w:ind w:left="1380"/>
              <w:spacing w:after="0"/>
              <w:rPr>
                <w:sz w:val="20"/>
                <w:szCs w:val="20"/>
                <w:color w:val="auto"/>
              </w:rPr>
            </w:pPr>
            <w:r>
              <w:rPr>
                <w:rFonts w:ascii="Arial" w:cs="Arial" w:eastAsia="Arial" w:hAnsi="Arial"/>
                <w:sz w:val="18"/>
                <w:szCs w:val="18"/>
                <w:color w:val="auto"/>
              </w:rPr>
              <w:t>March 7, 2018</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380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Brian R. Doom</w:t>
            </w:r>
          </w:p>
        </w:tc>
        <w:tc>
          <w:tcPr>
            <w:tcW w:w="38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80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3800" w:type="dxa"/>
            <w:vAlign w:val="bottom"/>
          </w:tcPr>
          <w:p>
            <w:pPr>
              <w:spacing w:after="0"/>
              <w:rPr>
                <w:sz w:val="20"/>
                <w:szCs w:val="20"/>
                <w:color w:val="auto"/>
              </w:rPr>
            </w:pPr>
          </w:p>
        </w:tc>
      </w:tr>
      <w:tr>
        <w:trPr>
          <w:trHeight w:val="453"/>
        </w:trPr>
        <w:tc>
          <w:tcPr>
            <w:tcW w:w="38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115</w:t>
            </w:r>
          </w:p>
        </w:tc>
        <w:tc>
          <w:tcPr>
            <w:tcW w:w="3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decimal"/>
      <w:start w:val="2"/>
    </w:lvl>
  </w:abstractNum>
  <w:abstractNum w:abstractNumId="22">
    <w:nsid w:val="542289EC"/>
    <w:multiLevelType w:val="hybridMultilevel"/>
    <w:lvl w:ilvl="0">
      <w:lvlJc w:val="left"/>
      <w:lvlText w:val="%1."/>
      <w:numFmt w:val="decimal"/>
      <w:start w:val="3"/>
    </w:lvl>
  </w:abstractNum>
  <w:abstractNum w:abstractNumId="23">
    <w:nsid w:val="6DE91B18"/>
    <w:multiLevelType w:val="hybridMultilevel"/>
    <w:lvl w:ilvl="0">
      <w:lvlJc w:val="left"/>
      <w:lvlText w:val="%1."/>
      <w:numFmt w:val="decimal"/>
      <w:start w:val="4"/>
    </w:lvl>
  </w:abstractNum>
  <w:abstractNum w:abstractNumId="24">
    <w:nsid w:val="38437FDB"/>
    <w:multiLevelType w:val="hybridMultilevel"/>
    <w:lvl w:ilvl="0">
      <w:lvlJc w:val="left"/>
      <w:lvlText w:val="%1."/>
      <w:numFmt w:val="decimal"/>
      <w:start w:val="5"/>
    </w:lvl>
  </w:abstractNum>
  <w:abstractNum w:abstractNumId="25">
    <w:nsid w:val="7644A45C"/>
    <w:multiLevelType w:val="hybridMultilevel"/>
    <w:lvl w:ilvl="0">
      <w:lvlJc w:val="left"/>
      <w:lvlText w:val="%1."/>
      <w:numFmt w:val="decimal"/>
      <w:start w:val="6"/>
    </w:lvl>
  </w:abstractNum>
  <w:abstractNum w:abstractNumId="26">
    <w:nsid w:val="32FFF902"/>
    <w:multiLevelType w:val="hybridMultilevel"/>
    <w:lvl w:ilvl="0">
      <w:lvlJc w:val="left"/>
      <w:lvlText w:val="%1."/>
      <w:numFmt w:val="decimal"/>
      <w:start w:val="7"/>
    </w:lvl>
  </w:abstractNum>
  <w:abstractNum w:abstractNumId="27">
    <w:nsid w:val="684A481A"/>
    <w:multiLevelType w:val="hybridMultilevel"/>
    <w:lvl w:ilvl="0">
      <w:lvlJc w:val="left"/>
      <w:lvlText w:val="%1."/>
      <w:numFmt w:val="decimal"/>
      <w:start w:val="9"/>
    </w:lvl>
  </w:abstractNum>
  <w:abstractNum w:abstractNumId="28">
    <w:nsid w:val="579478FE"/>
    <w:multiLevelType w:val="hybridMultilevel"/>
    <w:lvl w:ilvl="0">
      <w:lvlJc w:val="left"/>
      <w:lvlText w:val="%1."/>
      <w:numFmt w:val="decimal"/>
      <w:start w:val="11"/>
    </w:lvl>
  </w:abstractNum>
  <w:abstractNum w:abstractNumId="29">
    <w:nsid w:val="749ABB43"/>
    <w:multiLevelType w:val="hybridMultilevel"/>
    <w:lvl w:ilvl="0">
      <w:lvlJc w:val="left"/>
      <w:lvlText w:val="%1."/>
      <w:numFmt w:val="decimal"/>
      <w:start w:val="12"/>
    </w:lvl>
  </w:abstractNum>
  <w:abstractNum w:abstractNumId="30">
    <w:nsid w:val="3DC240FB"/>
    <w:multiLevelType w:val="hybridMultilevel"/>
    <w:lvl w:ilvl="0">
      <w:lvlJc w:val="left"/>
      <w:lvlText w:val="%1."/>
      <w:numFmt w:val="decimal"/>
      <w:start w:val="13"/>
    </w:lvl>
  </w:abstractNum>
  <w:abstractNum w:abstractNumId="31">
    <w:nsid w:val="1BA026FA"/>
    <w:multiLevelType w:val="hybridMultilevel"/>
    <w:lvl w:ilvl="0">
      <w:lvlJc w:val="left"/>
      <w:lvlText w:val="%1."/>
      <w:numFmt w:val="decimal"/>
      <w:start w:val="14"/>
    </w:lvl>
  </w:abstractNum>
  <w:abstractNum w:abstractNumId="32">
    <w:nsid w:val="79A1DEAA"/>
    <w:multiLevelType w:val="hybridMultilevel"/>
    <w:lvl w:ilvl="0">
      <w:lvlJc w:val="left"/>
      <w:lvlText w:val="%1."/>
      <w:numFmt w:val="decimal"/>
      <w:start w:val="15"/>
    </w:lvl>
  </w:abstractNum>
  <w:abstractNum w:abstractNumId="33">
    <w:nsid w:val="75C6C33A"/>
    <w:multiLevelType w:val="hybridMultilevel"/>
    <w:lvl w:ilvl="0">
      <w:lvlJc w:val="left"/>
      <w:lvlText w:val="%1."/>
      <w:numFmt w:val="decimal"/>
      <w:start w:val="16"/>
    </w:lvl>
  </w:abstractNum>
  <w:abstractNum w:abstractNumId="34">
    <w:nsid w:val="12E685FB"/>
    <w:multiLevelType w:val="hybridMultilevel"/>
    <w:lvl w:ilvl="0">
      <w:lvlJc w:val="left"/>
      <w:lvlText w:val="%1."/>
      <w:numFmt w:val="decimal"/>
      <w:start w:val="18"/>
    </w:lvl>
  </w:abstractNum>
  <w:abstractNum w:abstractNumId="35">
    <w:nsid w:val="70C6A529"/>
    <w:multiLevelType w:val="hybridMultilevel"/>
    <w:lvl w:ilvl="0">
      <w:lvlJc w:val="left"/>
      <w:lvlText w:val="%1."/>
      <w:numFmt w:val="decimal"/>
      <w:start w:val="19"/>
    </w:lvl>
  </w:abstractNum>
  <w:abstractNum w:abstractNumId="36">
    <w:nsid w:val="520EEDD1"/>
    <w:multiLevelType w:val="hybridMultilevel"/>
    <w:lvl w:ilvl="0">
      <w:lvlJc w:val="left"/>
      <w:lvlText w:val="%1."/>
      <w:numFmt w:val="decimal"/>
      <w:start w:val="20"/>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21"/>
    </w:lvl>
  </w:abstractNum>
  <w:abstractNum w:abstractNumId="41">
    <w:nsid w:val="275AC794"/>
    <w:multiLevelType w:val="hybridMultilevel"/>
    <w:lvl w:ilvl="0">
      <w:lvlJc w:val="left"/>
      <w:lvlText w:val="%1."/>
      <w:numFmt w:val="decimal"/>
      <w:start w:val="22"/>
    </w:lvl>
  </w:abstractNum>
  <w:abstractNum w:abstractNumId="42">
    <w:nsid w:val="39386575"/>
    <w:multiLevelType w:val="hybridMultilevel"/>
    <w:lvl w:ilvl="0">
      <w:lvlJc w:val="left"/>
      <w:lvlText w:val="%1."/>
      <w:numFmt w:val="decimal"/>
      <w:start w:val="23"/>
    </w:lvl>
  </w:abstractNum>
  <w:abstractNum w:abstractNumId="43">
    <w:nsid w:val="1CF10FD8"/>
    <w:multiLevelType w:val="hybridMultilevel"/>
    <w:lvl w:ilvl="0">
      <w:lvlJc w:val="left"/>
      <w:lvlText w:val="%1."/>
      <w:numFmt w:val="decimal"/>
      <w:start w:val="24"/>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upperLetter"/>
      <w:start w:val="9"/>
    </w:lvl>
    <w:lvl w:ilvl="1">
      <w:lvlJc w:val="left"/>
      <w:lvlText w:val="%2."/>
      <w:numFmt w:val="upperLetter"/>
      <w:start w:val="1"/>
    </w:lvl>
  </w:abstractNum>
  <w:abstractNum w:abstractNumId="55">
    <w:nsid w:val="77AE35EB"/>
    <w:multiLevelType w:val="hybridMultilevel"/>
    <w:lvl w:ilvl="0">
      <w:lvlJc w:val="left"/>
      <w:lvlText w:val="%1."/>
      <w:numFmt w:val="upperLetter"/>
      <w:start w:val="35"/>
    </w:lvl>
    <w:lvl w:ilvl="1">
      <w:lvlJc w:val="left"/>
      <w:lvlText w:val="%2."/>
      <w:numFmt w:val="upperLetter"/>
      <w:start w:val="1"/>
    </w:lvl>
  </w:abstractNum>
  <w:abstractNum w:abstractNumId="56">
    <w:nsid w:val="579BE4F1"/>
    <w:multiLevelType w:val="hybridMultilevel"/>
    <w:lvl w:ilvl="0">
      <w:lvlJc w:val="left"/>
      <w:lvlText w:val="%1"/>
      <w:numFmt w:val="upperLetter"/>
      <w:start w:val="1"/>
    </w:lvl>
    <w:lvl w:ilvl="1">
      <w:lvlJc w:val="left"/>
      <w:lvlText w:val="%2."/>
      <w:numFmt w:val="upperLetter"/>
      <w:start w:val="4"/>
    </w:lvl>
    <w:lvl w:ilvl="2">
      <w:lvlJc w:val="left"/>
      <w:lvlText w:val="%3"/>
      <w:numFmt w:val="decimal"/>
      <w:start w:val="1"/>
    </w:lvl>
  </w:abstractNum>
  <w:abstractNum w:abstractNumId="57">
    <w:nsid w:val="310C50B3"/>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58">
    <w:nsid w:val="5FF87E05"/>
    <w:multiLevelType w:val="hybridMultilevel"/>
    <w:lvl w:ilvl="0">
      <w:lvlJc w:val="left"/>
      <w:lvlText w:val="%1"/>
      <w:numFmt w:val="upperLetter"/>
      <w:start w:val="1"/>
    </w:lvl>
    <w:lvl w:ilvl="1">
      <w:lvlJc w:val="left"/>
      <w:lvlText w:val="%2."/>
      <w:numFmt w:val="upperLetter"/>
      <w:start w:val="22"/>
    </w:lvl>
    <w:lvl w:ilvl="2">
      <w:lvlJc w:val="left"/>
      <w:lvlText w:val="%3."/>
      <w:numFmt w:val="upperLetter"/>
      <w:start w:val="1"/>
    </w:lvl>
    <w:lvl w:ilvl="3">
      <w:lvlJc w:val="left"/>
      <w:lvlText w:val="%4."/>
      <w:numFmt w:val="decimal"/>
      <w:start w:val="1"/>
    </w:lvl>
  </w:abstractNum>
  <w:abstractNum w:abstractNumId="59">
    <w:nsid w:val="2F305DEF"/>
    <w:multiLevelType w:val="hybridMultilevel"/>
    <w:lvl w:ilvl="0">
      <w:lvlJc w:val="left"/>
      <w:lvlText w:val="(%1)"/>
      <w:numFmt w:val="upperLetter"/>
      <w:start w:val="3"/>
    </w:lvl>
    <w:lvl w:ilvl="1">
      <w:lvlJc w:val="left"/>
      <w:lvlText w:val="%2"/>
      <w:numFmt w:val="upperLetter"/>
      <w:start w:val="1"/>
    </w:lvl>
    <w:lvl w:ilvl="2">
      <w:lvlJc w:val="left"/>
      <w:lvlText w:val="%3."/>
      <w:numFmt w:val="upperLetter"/>
      <w:start w:val="2"/>
    </w:lvl>
    <w:lvl w:ilvl="3">
      <w:lvlJc w:val="left"/>
      <w:lvlText w:val="%4."/>
      <w:numFmt w:val="decimal"/>
      <w:start w:val="2"/>
    </w:lvl>
  </w:abstractNum>
  <w:abstractNum w:abstractNumId="60">
    <w:nsid w:val="25A70BF7"/>
    <w:multiLevelType w:val="hybridMultilevel"/>
    <w:lvl w:ilvl="0">
      <w:lvlJc w:val="left"/>
      <w:lvlText w:val="%1."/>
      <w:numFmt w:val="upperLetter"/>
      <w:start w:val="6"/>
    </w:lvl>
  </w:abstractNum>
  <w:abstractNum w:abstractNumId="61">
    <w:nsid w:val="1DBABF00"/>
    <w:multiLevelType w:val="hybridMultilevel"/>
    <w:lvl w:ilvl="0">
      <w:lvlJc w:val="left"/>
      <w:lvlText w:val="%1."/>
      <w:numFmt w:val="upperLetter"/>
      <w:start w:val="24"/>
    </w:lvl>
  </w:abstractNum>
  <w:abstractNum w:abstractNumId="62">
    <w:nsid w:val="4AD084E9"/>
    <w:multiLevelType w:val="hybridMultilevel"/>
    <w:lvl w:ilvl="0">
      <w:lvlJc w:val="left"/>
      <w:lvlText w:val="%1."/>
      <w:numFmt w:val="upperLetter"/>
      <w:start w:val="9"/>
    </w:lvl>
    <w:lvl w:ilvl="1">
      <w:lvlJc w:val="left"/>
      <w:lvlText w:val="%2."/>
      <w:numFmt w:val="upperLetter"/>
      <w:start w:val="34"/>
    </w:lvl>
    <w:lvl w:ilvl="2">
      <w:lvlJc w:val="left"/>
      <w:lvlText w:val="%3."/>
      <w:numFmt w:val="upperLetter"/>
      <w:start w:val="1"/>
    </w:lvl>
  </w:abstractNum>
  <w:abstractNum w:abstractNumId="63">
    <w:nsid w:val="1F48EAA1"/>
    <w:multiLevelType w:val="hybridMultilevel"/>
    <w:lvl w:ilvl="0">
      <w:lvlJc w:val="left"/>
      <w:lvlText w:val="%1."/>
      <w:numFmt w:val="upperLetter"/>
      <w:start w:val="61"/>
    </w:lvl>
    <w:lvl w:ilvl="1">
      <w:lvlJc w:val="left"/>
      <w:lvlText w:val="%2."/>
      <w:numFmt w:val="upperLetter"/>
      <w:start w:val="1"/>
    </w:lvl>
  </w:abstractNum>
  <w:abstractNum w:abstractNumId="64">
    <w:nsid w:val="1381823A"/>
    <w:multiLevelType w:val="hybridMultilevel"/>
    <w:lvl w:ilvl="0">
      <w:lvlJc w:val="left"/>
      <w:lvlText w:val="%1"/>
      <w:numFmt w:val="upperLetter"/>
      <w:start w:val="1"/>
    </w:lvl>
    <w:lvl w:ilvl="1">
      <w:lvlJc w:val="left"/>
      <w:lvlText w:val="%2."/>
      <w:numFmt w:val="upperLetter"/>
      <w:start w:val="22"/>
    </w:lvl>
    <w:lvl w:ilvl="2">
      <w:lvlJc w:val="left"/>
      <w:lvlText w:val="%3."/>
      <w:numFmt w:val="upperLetter"/>
      <w:start w:val="1"/>
    </w:lvl>
    <w:lvl w:ilvl="3">
      <w:lvlJc w:val="left"/>
      <w:lvlText w:val="%4."/>
      <w:numFmt w:val="decimal"/>
      <w:start w:val="1"/>
    </w:lvl>
  </w:abstractNum>
  <w:abstractNum w:abstractNumId="65">
    <w:nsid w:val="5DB70AE5"/>
    <w:multiLevelType w:val="hybridMultilevel"/>
    <w:lvl w:ilvl="0">
      <w:lvlJc w:val="left"/>
      <w:lvlText w:val="(%1)"/>
      <w:numFmt w:val="upperLetter"/>
      <w:start w:val="3"/>
    </w:lvl>
    <w:lvl w:ilvl="1">
      <w:lvlJc w:val="left"/>
      <w:lvlText w:val="%2"/>
      <w:numFmt w:val="upperLetter"/>
      <w:start w:val="1"/>
    </w:lvl>
    <w:lvl w:ilvl="2">
      <w:lvlJc w:val="left"/>
      <w:lvlText w:val="%3."/>
      <w:numFmt w:val="upperLetter"/>
      <w:start w:val="1"/>
    </w:lvl>
    <w:lvl w:ilvl="3">
      <w:lvlJc w:val="left"/>
      <w:lvlText w:val="%4."/>
      <w:numFmt w:val="decimal"/>
      <w:start w:val="2"/>
    </w:lvl>
  </w:abstractNum>
  <w:abstractNum w:abstractNumId="66">
    <w:nsid w:val="100F8FCA"/>
    <w:multiLevelType w:val="hybridMultilevel"/>
    <w:lvl w:ilvl="0">
      <w:lvlJc w:val="left"/>
      <w:lvlText w:val="%1."/>
      <w:numFmt w:val="upperLetter"/>
      <w:start w:val="24"/>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4"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39" Type="http://schemas.openxmlformats.org/officeDocument/2006/relationships/hyperlink" Target="http://www.sec.gov/Archives/edgar/data/1681206/000117494716003227/c449499_ex2-1.htm" TargetMode="External"/><Relationship Id="rId140" Type="http://schemas.openxmlformats.org/officeDocument/2006/relationships/hyperlink" Target="http://www.sec.gov/Archives/edgar/data/1681206/000117494716003227/c449499_ex3-1.htm" TargetMode="External"/><Relationship Id="rId141" Type="http://schemas.openxmlformats.org/officeDocument/2006/relationships/hyperlink" Target="http://www.sec.gov/Archives/edgar/data/1681206/000117494716003227/c449499_ex3-2.htm" TargetMode="External"/><Relationship Id="rId142" Type="http://schemas.openxmlformats.org/officeDocument/2006/relationships/hyperlink" Target="http://www.sec.gov/Archives/edgar/data/1681206/000117494716003227/c449499_ex4-1.htm" TargetMode="External"/><Relationship Id="rId143" Type="http://schemas.openxmlformats.org/officeDocument/2006/relationships/hyperlink" Target="http://www.sec.gov/Archives/edgar/data/1681206/000117494716003227/c449499_ex10-1.htm" TargetMode="External"/><Relationship Id="rId144" Type="http://schemas.openxmlformats.org/officeDocument/2006/relationships/hyperlink" Target="http://www.sec.gov/Archives/edgar/data/1681206/000117494716003227/c449499_ex10-2.htm" TargetMode="External"/><Relationship Id="rId145" Type="http://schemas.openxmlformats.org/officeDocument/2006/relationships/hyperlink" Target="http://www.sec.gov/Archives/edgar/data/1681206/000117494716003227/c449499_ex10-3.htm" TargetMode="External"/><Relationship Id="rId146" Type="http://schemas.openxmlformats.org/officeDocument/2006/relationships/hyperlink" Target="http://www.sec.gov/Archives/edgar/data/1681206/000117494716003227/c449499_ex10-4.htm" TargetMode="External"/><Relationship Id="rId147" Type="http://schemas.openxmlformats.org/officeDocument/2006/relationships/hyperlink" Target="http://www.sec.gov/Archives/edgar/data/1681206/000117494716003227/c449499_ex10-5.htm" TargetMode="External"/><Relationship Id="rId148" Type="http://schemas.openxmlformats.org/officeDocument/2006/relationships/hyperlink" Target="http://www.sec.gov/Archives/edgar/data/1681206/000117494716003227/c449499_ex10-6.htm" TargetMode="External"/><Relationship Id="rId149" Type="http://schemas.openxmlformats.org/officeDocument/2006/relationships/hyperlink" Target="http://www.sec.gov/Archives/edgar/data/1681206/000117494716003227/c449499_ex10-7.htm" TargetMode="External"/><Relationship Id="rId150" Type="http://schemas.openxmlformats.org/officeDocument/2006/relationships/hyperlink" Target="http://www.sec.gov/Archives/edgar/data/1681206/000117494716003227/c449499_ex10-8.htm" TargetMode="External"/><Relationship Id="rId151" Type="http://schemas.openxmlformats.org/officeDocument/2006/relationships/hyperlink" Target="http://www.sec.gov/Archives/edgar/data/1681206/000117494717000043/c456080_ex10-9.htm" TargetMode="External"/><Relationship Id="rId152" Type="http://schemas.openxmlformats.org/officeDocument/2006/relationships/hyperlink" Target="http://www.sec.gov/Archives/edgar/data/1681206/000117494716003227/c449499_ex10-9.htm" TargetMode="External"/><Relationship Id="rId153" Type="http://schemas.openxmlformats.org/officeDocument/2006/relationships/hyperlink" Target="http://www.sec.gov/Archives/edgar/data/1681206/000117494716003406/c452442_ex10-11.htm" TargetMode="External"/><Relationship Id="rId155" Type="http://schemas.openxmlformats.org/officeDocument/2006/relationships/hyperlink" Target="http://www.sec.gov/Archives/edgar/data/1681206/000117494716003227/c449499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2019-12-29T00:09:55Z</dcterms:created>
  <dcterms:modified xsi:type="dcterms:W3CDTF">2019-12-29T00:09:55Z</dcterms:modified>
</cp:coreProperties>
</file>