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1520" w:firstLine="8"/>
        <w:spacing w:after="0" w:line="282"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6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spacing w:after="0"/>
        <w:tabs>
          <w:tab w:leader="none" w:pos="3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1508125</wp:posOffset>
            </wp:positionH>
            <wp:positionV relativeFrom="paragraph">
              <wp:posOffset>-20320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320"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rPr>
              <w:t>NORTH DAKOTA</w:t>
            </w: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(State or other jurisdiction of</w:t>
            </w:r>
          </w:p>
        </w:tc>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1"/>
              </w:rPr>
              <w:t>incorporation or organization)</w:t>
            </w:r>
          </w:p>
        </w:tc>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1101 First Avenue North</w:t>
            </w:r>
          </w:p>
        </w:tc>
        <w:tc>
          <w:tcPr>
            <w:tcW w:w="1520" w:type="dxa"/>
            <w:vAlign w:val="bottom"/>
          </w:tcPr>
          <w:p>
            <w:pPr>
              <w:spacing w:after="0"/>
              <w:rPr>
                <w:sz w:val="24"/>
                <w:szCs w:val="24"/>
                <w:color w:val="auto"/>
              </w:rPr>
            </w:pPr>
          </w:p>
        </w:tc>
      </w:tr>
      <w:tr>
        <w:trPr>
          <w:trHeight w:val="216"/>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2"/>
              </w:rPr>
              <w:t>Fargo, North Dakota</w:t>
            </w: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58102</w:t>
            </w:r>
          </w:p>
        </w:tc>
      </w:tr>
      <w:tr>
        <w:trPr>
          <w:trHeight w:val="234"/>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(Zip Code)</w:t>
            </w:r>
          </w:p>
        </w:tc>
      </w:tr>
      <w:tr>
        <w:trPr>
          <w:trHeight w:val="333"/>
        </w:trPr>
        <w:tc>
          <w:tcPr>
            <w:tcW w:w="6440" w:type="dxa"/>
            <w:vAlign w:val="bottom"/>
          </w:tcPr>
          <w:p>
            <w:pPr>
              <w:jc w:val="right"/>
              <w:ind w:right="1450"/>
              <w:spacing w:after="0"/>
              <w:rPr>
                <w:sz w:val="20"/>
                <w:szCs w:val="20"/>
                <w:color w:val="auto"/>
              </w:rPr>
            </w:pPr>
            <w:r>
              <w:rPr>
                <w:rFonts w:ascii="Arial" w:cs="Arial" w:eastAsia="Arial" w:hAnsi="Arial"/>
                <w:sz w:val="18"/>
                <w:szCs w:val="18"/>
                <w:b w:val="1"/>
                <w:bCs w:val="1"/>
                <w:color w:val="auto"/>
              </w:rPr>
              <w:t>(701) 298-4200</w:t>
            </w:r>
          </w:p>
        </w:tc>
        <w:tc>
          <w:tcPr>
            <w:tcW w:w="1520" w:type="dxa"/>
            <w:vAlign w:val="bottom"/>
          </w:tcPr>
          <w:p>
            <w:pPr>
              <w:spacing w:after="0"/>
              <w:rPr>
                <w:sz w:val="24"/>
                <w:szCs w:val="24"/>
                <w:color w:val="auto"/>
              </w:rPr>
            </w:pPr>
          </w:p>
        </w:tc>
      </w:tr>
      <w:tr>
        <w:trPr>
          <w:trHeight w:val="234"/>
        </w:trPr>
        <w:tc>
          <w:tcPr>
            <w:tcW w:w="644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212"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360" w:type="dxa"/>
            <w:vAlign w:val="bottom"/>
          </w:tcPr>
          <w:p>
            <w:pPr>
              <w:spacing w:after="0"/>
              <w:rPr>
                <w:sz w:val="18"/>
                <w:szCs w:val="18"/>
                <w:color w:val="auto"/>
              </w:rPr>
            </w:pPr>
          </w:p>
        </w:tc>
        <w:tc>
          <w:tcPr>
            <w:tcW w:w="200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Trading Symbol(s)</w:t>
            </w:r>
          </w:p>
        </w:tc>
        <w:tc>
          <w:tcPr>
            <w:tcW w:w="10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6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Common Stock, $0.01 par value per share</w:t>
            </w:r>
          </w:p>
        </w:tc>
        <w:tc>
          <w:tcPr>
            <w:tcW w:w="5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ind w:right="1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right="1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7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tab/>
        <w:t xml:space="preserve">No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July 31, 2023 was 20,862,795.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83" w:right="499" w:bottom="1440" w:gutter="0" w:footer="0" w:header="0"/>
        </w:sect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83"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80" w:type="dxa"/>
            <w:vAlign w:val="bottom"/>
            <w:gridSpan w:val="10"/>
          </w:tcPr>
          <w:p>
            <w:pPr>
              <w:ind w:left="9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r>
      <w:tr>
        <w:trPr>
          <w:trHeight w:val="351"/>
        </w:trPr>
        <w:tc>
          <w:tcPr>
            <w:tcW w:w="29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5"/>
              </w:rPr>
              <w:t>FORWARD-LOOKING STATEMENTS</w:t>
            </w:r>
          </w:p>
        </w:tc>
        <w:tc>
          <w:tcPr>
            <w:tcW w:w="782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0760" w:type="dxa"/>
            <w:vAlign w:val="bottom"/>
            <w:gridSpan w:val="25"/>
          </w:tcPr>
          <w:p>
            <w:pPr>
              <w:spacing w:after="0"/>
              <w:rPr>
                <w:sz w:val="20"/>
                <w:szCs w:val="20"/>
                <w:color w:val="auto"/>
              </w:rPr>
            </w:pPr>
            <w:r>
              <w:rPr>
                <w:rFonts w:ascii="Arial" w:cs="Arial" w:eastAsia="Arial" w:hAnsi="Arial"/>
                <w:sz w:val="18"/>
                <w:szCs w:val="18"/>
                <w:color w:val="0000EE"/>
              </w:rPr>
              <w:t>Part I. - FINANCIAL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2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Item 1. - Financial Statements</w:t>
            </w:r>
          </w:p>
        </w:tc>
        <w:tc>
          <w:tcPr>
            <w:tcW w:w="786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Arial" w:cs="Arial" w:eastAsia="Arial" w:hAnsi="Arial"/>
                <w:sz w:val="18"/>
                <w:szCs w:val="18"/>
                <w:color w:val="0000EE"/>
              </w:rPr>
              <w:t>Consolidated Balance Sheet – June 30, 2023 (Unaudited) and December 31, 2022</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Consolidated Statements of Operations (Unaudited) – Three Months and Six Months Ended June 30, 2023 and 2022</w:t>
            </w:r>
          </w:p>
        </w:tc>
        <w:tc>
          <w:tcPr>
            <w:tcW w:w="13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Consolidated Statements of Comprehensive Income (Loss) (Unaudited) – Three Months and Six Months Ended June 30, 2023 and</w:t>
            </w:r>
          </w:p>
        </w:tc>
        <w:tc>
          <w:tcPr>
            <w:tcW w:w="28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80" w:type="dxa"/>
            <w:vAlign w:val="bottom"/>
            <w:gridSpan w:val="3"/>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74"/>
              </w:rPr>
              <w:t>2022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Consolidated Statements of Changes in Shareholders’ Equity (Unaudited) – Three Months and Six Months Ended June 30, 2023</w:t>
            </w:r>
          </w:p>
        </w:tc>
        <w:tc>
          <w:tcPr>
            <w:tcW w:w="4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2"/>
              </w:rPr>
              <w:t>and 2022</w:t>
            </w:r>
          </w:p>
        </w:tc>
        <w:tc>
          <w:tcPr>
            <w:tcW w:w="864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Statements of Cash Flows (Unaudited) – Six Months Ended June 30, 2023 and 2022</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Notes to Unaudited Consolidated Financial Statements</w:t>
            </w:r>
          </w:p>
        </w:tc>
        <w:tc>
          <w:tcPr>
            <w:tcW w:w="3100" w:type="dxa"/>
            <w:vAlign w:val="bottom"/>
            <w:tcBorders>
              <w:top w:val="single" w:sz="8" w:color="0000EE"/>
            </w:tcBorders>
            <w:gridSpan w:val="5"/>
          </w:tcPr>
          <w:p>
            <w:pPr>
              <w:spacing w:after="0"/>
              <w:rPr>
                <w:sz w:val="17"/>
                <w:szCs w:val="17"/>
                <w:color w:val="auto"/>
              </w:rPr>
            </w:pPr>
          </w:p>
        </w:tc>
        <w:tc>
          <w:tcPr>
            <w:tcW w:w="262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12"/>
        </w:trPr>
        <w:tc>
          <w:tcPr>
            <w:tcW w:w="720" w:type="dxa"/>
            <w:vAlign w:val="bottom"/>
          </w:tcPr>
          <w:p>
            <w:pPr>
              <w:spacing w:after="0"/>
              <w:rPr>
                <w:sz w:val="24"/>
                <w:szCs w:val="24"/>
                <w:color w:val="auto"/>
              </w:rPr>
            </w:pPr>
          </w:p>
        </w:tc>
        <w:tc>
          <w:tcPr>
            <w:tcW w:w="71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Item 2. - Management’s Discussion and Analysis of Financial Condition and Results of Operations</w:t>
            </w:r>
          </w:p>
        </w:tc>
        <w:tc>
          <w:tcPr>
            <w:tcW w:w="29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720" w:type="dxa"/>
            <w:vAlign w:val="bottom"/>
          </w:tcPr>
          <w:p>
            <w:pPr>
              <w:spacing w:after="0"/>
              <w:rPr>
                <w:sz w:val="17"/>
                <w:szCs w:val="17"/>
                <w:color w:val="auto"/>
              </w:rPr>
            </w:pPr>
          </w:p>
        </w:tc>
        <w:tc>
          <w:tcPr>
            <w:tcW w:w="49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Item 3. - Quantitative and Qualitative Disclosures about Market Risk</w:t>
            </w:r>
          </w:p>
        </w:tc>
        <w:tc>
          <w:tcPr>
            <w:tcW w:w="506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720" w:type="dxa"/>
            <w:vAlign w:val="bottom"/>
          </w:tcPr>
          <w:p>
            <w:pPr>
              <w:spacing w:after="0"/>
              <w:rPr>
                <w:sz w:val="17"/>
                <w:szCs w:val="17"/>
                <w:color w:val="auto"/>
              </w:rPr>
            </w:pPr>
          </w:p>
        </w:tc>
        <w:tc>
          <w:tcPr>
            <w:tcW w:w="24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Item 4. - Controls and Procedures</w:t>
            </w:r>
          </w:p>
        </w:tc>
        <w:tc>
          <w:tcPr>
            <w:tcW w:w="760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412"/>
        </w:trPr>
        <w:tc>
          <w:tcPr>
            <w:tcW w:w="10760" w:type="dxa"/>
            <w:vAlign w:val="bottom"/>
            <w:gridSpan w:val="25"/>
          </w:tcPr>
          <w:p>
            <w:pPr>
              <w:spacing w:after="0"/>
              <w:rPr>
                <w:sz w:val="20"/>
                <w:szCs w:val="20"/>
                <w:color w:val="auto"/>
              </w:rPr>
            </w:pPr>
            <w:r>
              <w:rPr>
                <w:rFonts w:ascii="Arial" w:cs="Arial" w:eastAsia="Arial" w:hAnsi="Arial"/>
                <w:sz w:val="18"/>
                <w:szCs w:val="18"/>
                <w:color w:val="0000EE"/>
              </w:rPr>
              <w:t>Part II. - OTHER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10040" w:type="dxa"/>
            <w:vAlign w:val="bottom"/>
            <w:gridSpan w:val="24"/>
          </w:tcPr>
          <w:p>
            <w:pPr>
              <w:spacing w:after="0"/>
              <w:rPr>
                <w:sz w:val="20"/>
                <w:szCs w:val="20"/>
                <w:color w:val="auto"/>
              </w:rPr>
            </w:pPr>
            <w:r>
              <w:rPr>
                <w:rFonts w:ascii="Arial" w:cs="Arial" w:eastAsia="Arial" w:hAnsi="Arial"/>
                <w:sz w:val="18"/>
                <w:szCs w:val="18"/>
                <w:color w:val="0000EE"/>
              </w:rPr>
              <w:t>Item 1. - Legal Proceedings</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72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Item 1A. - Risk Factors</w:t>
            </w:r>
          </w:p>
        </w:tc>
        <w:tc>
          <w:tcPr>
            <w:tcW w:w="804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7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0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Item 2. - Unregistered Sales of Equity Securities and Use of Proceeds</w:t>
            </w:r>
          </w:p>
        </w:tc>
        <w:tc>
          <w:tcPr>
            <w:tcW w:w="502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720" w:type="dxa"/>
            <w:vAlign w:val="bottom"/>
          </w:tcPr>
          <w:p>
            <w:pPr>
              <w:spacing w:after="0"/>
              <w:rPr>
                <w:sz w:val="17"/>
                <w:szCs w:val="17"/>
                <w:color w:val="auto"/>
              </w:rPr>
            </w:pPr>
          </w:p>
        </w:tc>
        <w:tc>
          <w:tcPr>
            <w:tcW w:w="29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Item 3. - Defaults upon Senior Securities</w:t>
            </w:r>
          </w:p>
        </w:tc>
        <w:tc>
          <w:tcPr>
            <w:tcW w:w="708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20" w:type="dxa"/>
            <w:vAlign w:val="bottom"/>
          </w:tcPr>
          <w:p>
            <w:pPr>
              <w:spacing w:after="0"/>
              <w:rPr>
                <w:sz w:val="17"/>
                <w:szCs w:val="17"/>
                <w:color w:val="auto"/>
              </w:rPr>
            </w:pPr>
          </w:p>
        </w:tc>
        <w:tc>
          <w:tcPr>
            <w:tcW w:w="24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Item 4. - Mine Safety Disclosures</w:t>
            </w:r>
          </w:p>
        </w:tc>
        <w:tc>
          <w:tcPr>
            <w:tcW w:w="760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20" w:type="dxa"/>
            <w:vAlign w:val="bottom"/>
          </w:tcPr>
          <w:p>
            <w:pPr>
              <w:spacing w:after="0"/>
              <w:rPr>
                <w:sz w:val="17"/>
                <w:szCs w:val="17"/>
                <w:color w:val="auto"/>
              </w:rPr>
            </w:pPr>
          </w:p>
        </w:tc>
        <w:tc>
          <w:tcPr>
            <w:tcW w:w="10040" w:type="dxa"/>
            <w:vAlign w:val="bottom"/>
            <w:gridSpan w:val="24"/>
          </w:tcPr>
          <w:p>
            <w:pPr>
              <w:spacing w:after="0" w:line="196" w:lineRule="exact"/>
              <w:rPr>
                <w:sz w:val="20"/>
                <w:szCs w:val="20"/>
                <w:color w:val="auto"/>
              </w:rPr>
            </w:pPr>
            <w:r>
              <w:rPr>
                <w:rFonts w:ascii="Arial" w:cs="Arial" w:eastAsia="Arial" w:hAnsi="Arial"/>
                <w:sz w:val="18"/>
                <w:szCs w:val="18"/>
                <w:color w:val="0000EE"/>
              </w:rPr>
              <w:t>Item 5. - Other Information</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20" w:type="dxa"/>
            <w:vAlign w:val="bottom"/>
          </w:tcPr>
          <w:p>
            <w:pPr>
              <w:spacing w:after="0"/>
              <w:rPr>
                <w:sz w:val="17"/>
                <w:szCs w:val="17"/>
                <w:color w:val="auto"/>
              </w:rPr>
            </w:pPr>
          </w:p>
        </w:tc>
        <w:tc>
          <w:tcPr>
            <w:tcW w:w="19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Item 6. - Exhibits</w:t>
            </w:r>
          </w:p>
        </w:tc>
        <w:tc>
          <w:tcPr>
            <w:tcW w:w="806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20" w:type="dxa"/>
            <w:vAlign w:val="bottom"/>
          </w:tcPr>
          <w:p>
            <w:pPr>
              <w:spacing w:after="0"/>
              <w:rPr>
                <w:sz w:val="17"/>
                <w:szCs w:val="17"/>
                <w:color w:val="auto"/>
              </w:rPr>
            </w:pPr>
          </w:p>
        </w:tc>
        <w:tc>
          <w:tcPr>
            <w:tcW w:w="12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Signatures</w:t>
            </w:r>
          </w:p>
        </w:tc>
        <w:tc>
          <w:tcPr>
            <w:tcW w:w="8780" w:type="dxa"/>
            <w:vAlign w:val="bottom"/>
            <w:gridSpan w:val="2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7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IMPORTANT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 (“Form 10-Q"):</w:t>
      </w:r>
    </w:p>
    <w:p>
      <w:pPr>
        <w:spacing w:after="0" w:line="185" w:lineRule="exact"/>
        <w:rPr>
          <w:sz w:val="20"/>
          <w:szCs w:val="20"/>
          <w:color w:val="auto"/>
        </w:rPr>
      </w:pPr>
    </w:p>
    <w:p>
      <w:pPr>
        <w:ind w:left="66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30" w:lineRule="exact"/>
        <w:rPr>
          <w:rFonts w:ascii="Arial" w:cs="Arial" w:eastAsia="Arial" w:hAnsi="Arial"/>
          <w:sz w:val="16"/>
          <w:szCs w:val="16"/>
          <w:color w:val="auto"/>
        </w:rPr>
      </w:pPr>
    </w:p>
    <w:p>
      <w:pPr>
        <w:jc w:val="both"/>
        <w:ind w:left="660" w:right="3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refers to Nodak Insurance Company or Nodak Mutual Insurance Company interchangeably;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07"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w:t>
      </w:r>
    </w:p>
    <w:p>
      <w:pPr>
        <w:spacing w:after="0" w:line="159" w:lineRule="exact"/>
        <w:rPr>
          <w:rFonts w:ascii="Arial" w:cs="Arial" w:eastAsia="Arial" w:hAnsi="Arial"/>
          <w:sz w:val="18"/>
          <w:szCs w:val="18"/>
          <w:color w:val="auto"/>
        </w:rPr>
      </w:pPr>
    </w:p>
    <w:p>
      <w:pPr>
        <w:ind w:left="660" w:right="36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198" w:lineRule="exact"/>
        <w:rPr>
          <w:rFonts w:ascii="Arial" w:cs="Arial" w:eastAsia="Arial" w:hAnsi="Arial"/>
          <w:sz w:val="18"/>
          <w:szCs w:val="18"/>
          <w:color w:val="auto"/>
        </w:rPr>
      </w:pPr>
    </w:p>
    <w:p>
      <w:pPr>
        <w:jc w:val="both"/>
        <w:ind w:left="660" w:right="24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“Westminster” refers to Westminster American Insurance Company. On January 1, 2020, NI Holdings completed the acquisition of 100% of the common stock of Westminster from the private shareholder of Westminster, and Westminster became a consolidated subsidiary of NI Holdings. Westminster is a property and casualty insurance company specializing in commercial multi-peril insurance in the Mid-Atlantic states; and</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Agency” refers to Nodak Agency, Inc. Nodak Agency is a wholly-owned subsidiary of Nodak Insurance.</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operating and financial performance, business plans, and prospects;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reviews, capital allocation objectives, dividends, and share repurchases;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for and prospects of acquisitions, dispositions, and other business development activities, and our ability to successfully capitalize on these opportunities;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future pandemic and related economic conditions, including the potential impact on the Company's investments;</w:t>
      </w:r>
    </w:p>
    <w:p>
      <w:pPr>
        <w:spacing w:after="0" w:line="184"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agent network;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cyclical changes in the insurance industry, competition, and innovation and emerging technologies;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impact of or changes to existing or new government regulations or laws;</w:t>
      </w:r>
    </w:p>
    <w:p>
      <w:pPr>
        <w:spacing w:after="0" w:line="184"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anticipate and respond to macroeconomic, geopolitical, health and industry trends, pandemics, acts of war, and other large-scale crises;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future growth, including additional necessary capital, systems, and personnel.</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Form 10-Q and in the Part I, Item 1A, “Risk Factors” section in our Annual Report on Form 10-K for the year ended December 31, 2022 (“2022 Annual Report”). The occurrence of any of the risks identified in the Part I, Item 1A, “Risk Factors” section of the 2022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38"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4"/>
        </w:trPr>
        <w:tc>
          <w:tcPr>
            <w:tcW w:w="1280" w:type="dxa"/>
            <w:vAlign w:val="bottom"/>
            <w:tcBorders>
              <w:top w:val="single" w:sz="8" w:color="0000EE"/>
            </w:tcBorders>
          </w:tcPr>
          <w:p>
            <w:pPr>
              <w:spacing w:after="0"/>
              <w:rPr>
                <w:sz w:val="24"/>
                <w:szCs w:val="24"/>
                <w:color w:val="auto"/>
              </w:rPr>
            </w:pPr>
          </w:p>
        </w:tc>
        <w:tc>
          <w:tcPr>
            <w:tcW w:w="6940" w:type="dxa"/>
            <w:vAlign w:val="bottom"/>
          </w:tcPr>
          <w:p>
            <w:pPr>
              <w:ind w:left="276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June 30, 2023</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2022</w:t>
            </w:r>
          </w:p>
        </w:tc>
      </w:tr>
      <w:tr>
        <w:trPr>
          <w:trHeight w:val="210"/>
        </w:trPr>
        <w:tc>
          <w:tcPr>
            <w:tcW w:w="12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(Unaudited)</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52,636</w:t>
            </w:r>
          </w:p>
        </w:tc>
        <w:tc>
          <w:tcPr>
            <w:tcW w:w="2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47,002</w:t>
            </w:r>
          </w:p>
        </w:tc>
        <w:tc>
          <w:tcPr>
            <w:tcW w:w="100" w:type="dxa"/>
            <w:vAlign w:val="bottom"/>
          </w:tcPr>
          <w:p>
            <w:pPr>
              <w:spacing w:after="0"/>
              <w:rPr>
                <w:sz w:val="18"/>
                <w:szCs w:val="18"/>
                <w:color w:val="auto"/>
              </w:rPr>
            </w:pPr>
          </w:p>
        </w:tc>
      </w:tr>
      <w:tr>
        <w:trPr>
          <w:trHeight w:val="202"/>
        </w:trPr>
        <w:tc>
          <w:tcPr>
            <w:tcW w:w="82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Fixed income securities, at fair value (net of allowance for expected credit losses of $0 at June 30, 2023 and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 at December 31, 2022)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332,989</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100" w:type="dxa"/>
            <w:vAlign w:val="bottom"/>
            <w:shd w:val="clear" w:color="auto" w:fill="CCEEFF"/>
          </w:tcPr>
          <w:p>
            <w:pPr>
              <w:spacing w:after="0"/>
              <w:rPr>
                <w:sz w:val="20"/>
                <w:szCs w:val="20"/>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Equity securities, at fair value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24,654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52,393</w:t>
            </w:r>
          </w:p>
        </w:tc>
        <w:tc>
          <w:tcPr>
            <w:tcW w:w="100" w:type="dxa"/>
            <w:vAlign w:val="bottom"/>
          </w:tcPr>
          <w:p>
            <w:pPr>
              <w:spacing w:after="0"/>
              <w:rPr>
                <w:sz w:val="18"/>
                <w:szCs w:val="18"/>
                <w:color w:val="auto"/>
              </w:rPr>
            </w:pPr>
          </w:p>
        </w:tc>
      </w:tr>
      <w:tr>
        <w:trPr>
          <w:trHeight w:val="229"/>
        </w:trPr>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8220" w:type="dxa"/>
            <w:vAlign w:val="bottom"/>
            <w:gridSpan w:val="2"/>
          </w:tcPr>
          <w:p>
            <w:pPr>
              <w:ind w:left="320"/>
              <w:spacing w:after="0"/>
              <w:rPr>
                <w:sz w:val="20"/>
                <w:szCs w:val="20"/>
                <w:color w:val="auto"/>
              </w:rPr>
            </w:pPr>
            <w:r>
              <w:rPr>
                <w:rFonts w:ascii="Arial" w:cs="Arial" w:eastAsia="Arial" w:hAnsi="Arial"/>
                <w:sz w:val="18"/>
                <w:szCs w:val="18"/>
                <w:color w:val="auto"/>
              </w:rPr>
              <w:t>Total cash and investments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412,284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404,724</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2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Premiums and agents' balances receivable (net of allowance for expected credit losses of $434 at June 30,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2023 and $425 at December 31, 2022)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106,946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62,173</w:t>
            </w:r>
          </w:p>
        </w:tc>
        <w:tc>
          <w:tcPr>
            <w:tcW w:w="100" w:type="dxa"/>
            <w:vAlign w:val="bottom"/>
          </w:tcPr>
          <w:p>
            <w:pPr>
              <w:spacing w:after="0"/>
              <w:rPr>
                <w:sz w:val="20"/>
                <w:szCs w:val="20"/>
                <w:color w:val="auto"/>
              </w:rPr>
            </w:pP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Reinsurance premiums receivable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r>
      <w:tr>
        <w:trPr>
          <w:trHeight w:val="202"/>
        </w:trPr>
        <w:tc>
          <w:tcPr>
            <w:tcW w:w="82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Reinsurance recoverables on losses (net of allowance for expected credit losses of $0 at June 30, 2023 and $0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 December 31, 2022)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53,508</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37,575</w:t>
            </w:r>
          </w:p>
        </w:tc>
        <w:tc>
          <w:tcPr>
            <w:tcW w:w="100" w:type="dxa"/>
            <w:vAlign w:val="bottom"/>
            <w:shd w:val="clear" w:color="auto" w:fill="CCEEFF"/>
          </w:tcPr>
          <w:p>
            <w:pPr>
              <w:spacing w:after="0"/>
              <w:rPr>
                <w:sz w:val="20"/>
                <w:szCs w:val="20"/>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Income tax recoverable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12,327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Receivable from Federal Crop Insurance Corporation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14,032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19"/>
                <w:szCs w:val="19"/>
                <w:color w:val="auto"/>
              </w:rPr>
            </w:pPr>
          </w:p>
        </w:tc>
      </w:tr>
      <w:tr>
        <w:trPr>
          <w:trHeight w:val="263"/>
        </w:trPr>
        <w:tc>
          <w:tcPr>
            <w:tcW w:w="8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687,198</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12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232,038</w:t>
            </w:r>
          </w:p>
        </w:tc>
        <w:tc>
          <w:tcPr>
            <w:tcW w:w="2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190,459</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148,513</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22,053</w:t>
            </w:r>
          </w:p>
        </w:tc>
        <w:tc>
          <w:tcPr>
            <w:tcW w:w="100" w:type="dxa"/>
            <w:vAlign w:val="bottom"/>
          </w:tcPr>
          <w:p>
            <w:pPr>
              <w:spacing w:after="0"/>
              <w:rPr>
                <w:sz w:val="19"/>
                <w:szCs w:val="19"/>
                <w:color w:val="auto"/>
              </w:rPr>
            </w:pPr>
          </w:p>
        </w:tc>
      </w:tr>
      <w:tr>
        <w:trPr>
          <w:trHeight w:val="210"/>
        </w:trPr>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446,815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361,025</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2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Common stock, $0.01 par value, authorized: 25,000,000 shares; issued: 23,000,000 shares; and outstanding:</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2023 – 20,885,978 shares, 2022 – 21,076,255 shares</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95,671</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Unearned employee stock ownership plan shares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214,121</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 net of income taxes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(26,986)</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(29,286)</w:t>
            </w:r>
          </w:p>
        </w:tc>
      </w:tr>
      <w:tr>
        <w:trPr>
          <w:trHeight w:val="216"/>
        </w:trPr>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2023 – 2,019,912 shares, 2022 – 1,829,635 shares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(28,818)</w:t>
            </w:r>
          </w:p>
        </w:tc>
      </w:tr>
      <w:tr>
        <w:trPr>
          <w:trHeight w:val="230"/>
        </w:trPr>
        <w:tc>
          <w:tcPr>
            <w:tcW w:w="82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r>
      <w:tr>
        <w:trPr>
          <w:trHeight w:val="210"/>
        </w:trPr>
        <w:tc>
          <w:tcPr>
            <w:tcW w:w="8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240,383</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3"/>
        </w:trPr>
        <w:tc>
          <w:tcPr>
            <w:tcW w:w="8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687,198</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614,232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13"/>
        </w:trPr>
        <w:tc>
          <w:tcPr>
            <w:tcW w:w="82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822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 (Unaudited)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per share data)</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6"/>
          </w:tcPr>
          <w:p>
            <w:pPr>
              <w:jc w:val="right"/>
              <w:ind w:right="441"/>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24"/>
                <w:szCs w:val="24"/>
                <w:color w:val="auto"/>
              </w:rPr>
            </w:pPr>
          </w:p>
        </w:tc>
        <w:tc>
          <w:tcPr>
            <w:tcW w:w="222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2220" w:type="dxa"/>
            <w:vAlign w:val="bottom"/>
            <w:gridSpan w:val="6"/>
          </w:tcPr>
          <w:p>
            <w:pPr>
              <w:jc w:val="right"/>
              <w:ind w:right="881"/>
              <w:spacing w:after="0"/>
              <w:rPr>
                <w:sz w:val="20"/>
                <w:szCs w:val="20"/>
                <w:color w:val="auto"/>
              </w:rPr>
            </w:pPr>
            <w:r>
              <w:rPr>
                <w:rFonts w:ascii="Arial" w:cs="Arial" w:eastAsia="Arial" w:hAnsi="Arial"/>
                <w:sz w:val="18"/>
                <w:szCs w:val="18"/>
                <w:b w:val="1"/>
                <w:bCs w:val="1"/>
                <w:color w:val="auto"/>
              </w:rPr>
              <w:t>June 30,</w:t>
            </w:r>
          </w:p>
        </w:tc>
      </w:tr>
      <w:tr>
        <w:trPr>
          <w:trHeight w:val="223"/>
        </w:trPr>
        <w:tc>
          <w:tcPr>
            <w:tcW w:w="12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ind w:left="16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94,146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84,496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171,773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154,083</w:t>
            </w:r>
          </w:p>
        </w:tc>
        <w:tc>
          <w:tcPr>
            <w:tcW w:w="10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Fee and other income</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ind w:left="16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4,744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8"/>
                <w:szCs w:val="18"/>
                <w:color w:val="auto"/>
              </w:rPr>
            </w:pPr>
          </w:p>
        </w:tc>
      </w:tr>
      <w:tr>
        <w:trPr>
          <w:trHeight w:val="229"/>
        </w:trPr>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investment gains (losses)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(11,136)</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(16,664)</w:t>
            </w:r>
          </w:p>
        </w:tc>
      </w:tr>
      <w:tr>
        <w:trPr>
          <w:trHeight w:val="210"/>
        </w:trPr>
        <w:tc>
          <w:tcPr>
            <w:tcW w:w="64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96,976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75,790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178,532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141,930</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136,331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39,167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31,867</w:t>
            </w:r>
          </w:p>
        </w:tc>
        <w:tc>
          <w:tcPr>
            <w:tcW w:w="100" w:type="dxa"/>
            <w:vAlign w:val="bottom"/>
          </w:tcPr>
          <w:p>
            <w:pPr>
              <w:spacing w:after="0"/>
              <w:rPr>
                <w:sz w:val="18"/>
                <w:szCs w:val="18"/>
                <w:color w:val="auto"/>
              </w:rPr>
            </w:pPr>
          </w:p>
        </w:tc>
      </w:tr>
      <w:tr>
        <w:trPr>
          <w:trHeight w:val="230"/>
        </w:trPr>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shd w:val="clear" w:color="auto" w:fill="CCEEFF"/>
          </w:tcPr>
          <w:p>
            <w:pPr>
              <w:spacing w:after="0"/>
              <w:rPr>
                <w:sz w:val="19"/>
                <w:szCs w:val="19"/>
                <w:color w:val="auto"/>
              </w:rPr>
            </w:pPr>
          </w:p>
        </w:tc>
      </w:tr>
      <w:tr>
        <w:trPr>
          <w:trHeight w:val="209"/>
        </w:trPr>
        <w:tc>
          <w:tcPr>
            <w:tcW w:w="6400" w:type="dxa"/>
            <w:vAlign w:val="bottom"/>
            <w:gridSpan w:val="2"/>
          </w:tcPr>
          <w:p>
            <w:pPr>
              <w:ind w:left="32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134,841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198,374</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(10,404)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(59,051)</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(15,917)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(56,444)</w:t>
            </w:r>
          </w:p>
        </w:tc>
      </w:tr>
      <w:tr>
        <w:trPr>
          <w:trHeight w:val="229"/>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(12,415)</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(11,847)</w:t>
            </w:r>
          </w:p>
        </w:tc>
      </w:tr>
      <w:tr>
        <w:trPr>
          <w:trHeight w:val="210"/>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100" w:type="dxa"/>
            <w:vAlign w:val="bottom"/>
          </w:tcPr>
          <w:p>
            <w:pPr>
              <w:spacing w:after="0"/>
              <w:rPr>
                <w:sz w:val="18"/>
                <w:szCs w:val="18"/>
                <w:color w:val="auto"/>
              </w:rPr>
            </w:pPr>
          </w:p>
        </w:tc>
      </w:tr>
      <w:tr>
        <w:trPr>
          <w:trHeight w:val="229"/>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(596)</w:t>
            </w:r>
          </w:p>
        </w:tc>
      </w:tr>
      <w:tr>
        <w:trPr>
          <w:trHeight w:val="22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NI Holdings,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(0.38)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(2.06)</w:t>
            </w:r>
          </w:p>
        </w:tc>
      </w:tr>
      <w:tr>
        <w:trPr>
          <w:trHeight w:val="236"/>
        </w:trPr>
        <w:tc>
          <w:tcPr>
            <w:tcW w:w="6400" w:type="dxa"/>
            <w:vAlign w:val="bottom"/>
            <w:tcBorders>
              <w:top w:val="single" w:sz="8" w:color="CCEEFF"/>
              <w:bottom w:val="single" w:sz="8" w:color="CCEEFF"/>
            </w:tcBorders>
            <w:gridSpan w:val="2"/>
            <w:shd w:val="clear" w:color="auto" w:fill="CCEEFF"/>
          </w:tcPr>
          <w:p>
            <w:pPr>
              <w:ind w:left="14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6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197"/>
        </w:trPr>
        <w:tc>
          <w:tcPr>
            <w:tcW w:w="12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data:</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4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7"/>
              </w:rPr>
              <w:t>Weighted average common shares outstanding used in basic per common share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calculations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21,281,542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21,379,803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21,325,007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21,376,298</w:t>
            </w:r>
          </w:p>
        </w:tc>
        <w:tc>
          <w:tcPr>
            <w:tcW w:w="100" w:type="dxa"/>
            <w:vAlign w:val="bottom"/>
          </w:tcPr>
          <w:p>
            <w:pPr>
              <w:spacing w:after="0"/>
              <w:rPr>
                <w:sz w:val="20"/>
                <w:szCs w:val="20"/>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Dilutive securities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400" w:type="dxa"/>
            <w:vAlign w:val="bottom"/>
            <w:gridSpan w:val="2"/>
          </w:tcPr>
          <w:p>
            <w:pPr>
              <w:ind w:left="140"/>
              <w:spacing w:after="0"/>
              <w:rPr>
                <w:sz w:val="20"/>
                <w:szCs w:val="20"/>
                <w:color w:val="auto"/>
              </w:rPr>
            </w:pPr>
            <w:r>
              <w:rPr>
                <w:rFonts w:ascii="Arial" w:cs="Arial" w:eastAsia="Arial" w:hAnsi="Arial"/>
                <w:sz w:val="18"/>
                <w:szCs w:val="18"/>
                <w:color w:val="auto"/>
                <w:w w:val="95"/>
              </w:rPr>
              <w:t>Weighted average common shares used in diluted per common share calculations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21,281,542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21,379,803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21,325,007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21,376,298</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10"/>
          </w:tcPr>
          <w:p>
            <w:pPr>
              <w:jc w:val="right"/>
              <w:ind w:right="461"/>
              <w:spacing w:after="0"/>
              <w:rPr>
                <w:sz w:val="20"/>
                <w:szCs w:val="20"/>
                <w:color w:val="auto"/>
              </w:rPr>
            </w:pPr>
            <w:r>
              <w:rPr>
                <w:rFonts w:ascii="Arial" w:cs="Arial" w:eastAsia="Arial" w:hAnsi="Arial"/>
                <w:sz w:val="18"/>
                <w:szCs w:val="18"/>
                <w:b w:val="1"/>
                <w:bCs w:val="1"/>
                <w:color w:val="auto"/>
                <w:w w:val="96"/>
              </w:rPr>
              <w:t>Three Months Ended June 30, 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10"/>
          </w:tcPr>
          <w:p>
            <w:pPr>
              <w:jc w:val="right"/>
              <w:ind w:right="601"/>
              <w:spacing w:after="0"/>
              <w:rPr>
                <w:sz w:val="20"/>
                <w:szCs w:val="20"/>
                <w:color w:val="auto"/>
              </w:rPr>
            </w:pPr>
            <w:r>
              <w:rPr>
                <w:rFonts w:ascii="Arial" w:cs="Arial" w:eastAsia="Arial" w:hAnsi="Arial"/>
                <w:sz w:val="18"/>
                <w:szCs w:val="18"/>
                <w:b w:val="1"/>
                <w:bCs w:val="1"/>
                <w:color w:val="auto"/>
                <w:w w:val="99"/>
              </w:rPr>
              <w:t>Six Months Ended June 30, 2023</w:t>
            </w:r>
          </w:p>
        </w:tc>
      </w:tr>
      <w:tr>
        <w:trPr>
          <w:trHeight w:val="191"/>
        </w:trPr>
        <w:tc>
          <w:tcPr>
            <w:tcW w:w="3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161"/>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161"/>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22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5"/>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2"/>
              </w:rPr>
              <w:t>to Non-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5"/>
              </w:rPr>
              <w:t>Attributable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2"/>
              </w:rPr>
              <w:t>to Non-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9"/>
              </w:rPr>
              <w:t>to NI</w:t>
            </w:r>
          </w:p>
        </w:tc>
        <w:tc>
          <w:tcPr>
            <w:tcW w:w="80" w:type="dxa"/>
            <w:vAlign w:val="bottom"/>
          </w:tcPr>
          <w:p>
            <w:pPr>
              <w:spacing w:after="0"/>
              <w:rPr>
                <w:sz w:val="18"/>
                <w:szCs w:val="18"/>
                <w:color w:val="auto"/>
              </w:rPr>
            </w:pPr>
          </w:p>
        </w:tc>
        <w:tc>
          <w:tcPr>
            <w:tcW w:w="124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3"/>
              </w:rPr>
              <w:t>Controlling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9"/>
              </w:rPr>
              <w:t>to NI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1"/>
              </w:rPr>
              <w:t>Controlling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Holdings, 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5"/>
          </w:tcPr>
          <w:p>
            <w:pPr>
              <w:ind w:left="80"/>
              <w:spacing w:after="0"/>
              <w:rPr>
                <w:sz w:val="20"/>
                <w:szCs w:val="20"/>
                <w:color w:val="auto"/>
              </w:rPr>
            </w:pPr>
            <w:r>
              <w:rPr>
                <w:rFonts w:ascii="Arial" w:cs="Arial" w:eastAsia="Arial" w:hAnsi="Arial"/>
                <w:sz w:val="18"/>
                <w:szCs w:val="18"/>
                <w:b w:val="1"/>
                <w:bCs w:val="1"/>
                <w:color w:val="auto"/>
              </w:rPr>
              <w:t>Holdings, Inc.</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Total</w:t>
            </w:r>
          </w:p>
        </w:tc>
      </w:tr>
      <w:tr>
        <w:trPr>
          <w:trHeight w:val="209"/>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10"/>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Other comprehensive income (loss), before income</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Holding gains (losses) on investments</w:t>
            </w: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(2,954)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(3,094)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8"/>
                <w:szCs w:val="18"/>
                <w:color w:val="auto"/>
              </w:rPr>
            </w:pPr>
          </w:p>
        </w:tc>
      </w:tr>
      <w:tr>
        <w:trPr>
          <w:trHeight w:val="202"/>
        </w:trPr>
        <w:tc>
          <w:tcPr>
            <w:tcW w:w="3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 realized</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included in net loss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1"/>
                <w:szCs w:val="21"/>
                <w:color w:val="auto"/>
              </w:rPr>
            </w:pPr>
          </w:p>
        </w:tc>
      </w:tr>
      <w:tr>
        <w:trPr>
          <w:trHeight w:val="182"/>
        </w:trPr>
        <w:tc>
          <w:tcPr>
            <w:tcW w:w="3820" w:type="dxa"/>
            <w:vAlign w:val="bottom"/>
          </w:tcPr>
          <w:p>
            <w:pPr>
              <w:ind w:left="340"/>
              <w:spacing w:after="0" w:line="182" w:lineRule="exact"/>
              <w:rPr>
                <w:sz w:val="20"/>
                <w:szCs w:val="20"/>
                <w:color w:val="auto"/>
              </w:rPr>
            </w:pPr>
            <w:r>
              <w:rPr>
                <w:rFonts w:ascii="Arial" w:cs="Arial" w:eastAsia="Arial" w:hAnsi="Arial"/>
                <w:sz w:val="18"/>
                <w:szCs w:val="18"/>
                <w:color w:val="auto"/>
              </w:rPr>
              <w:t>Other comprehensive income (loss), before</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(2,906)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tax benefit (expense) related to items of</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(708)</w:t>
            </w:r>
          </w:p>
        </w:tc>
      </w:tr>
      <w:tr>
        <w:trPr>
          <w:trHeight w:val="195"/>
        </w:trPr>
        <w:tc>
          <w:tcPr>
            <w:tcW w:w="3820" w:type="dxa"/>
            <w:vAlign w:val="bottom"/>
            <w:tcBorders>
              <w:top w:val="single" w:sz="8" w:color="CCEEFF"/>
            </w:tcBorders>
          </w:tcPr>
          <w:p>
            <w:pPr>
              <w:ind w:left="340"/>
              <w:spacing w:after="0" w:line="195" w:lineRule="exact"/>
              <w:rPr>
                <w:sz w:val="20"/>
                <w:szCs w:val="20"/>
                <w:color w:val="auto"/>
              </w:rPr>
            </w:pPr>
            <w:r>
              <w:rPr>
                <w:rFonts w:ascii="Arial" w:cs="Arial" w:eastAsia="Arial" w:hAnsi="Arial"/>
                <w:sz w:val="18"/>
                <w:szCs w:val="18"/>
                <w:color w:val="auto"/>
              </w:rPr>
              <w:t>Other comprehensive income (loss), net of</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44"/>
        </w:trPr>
        <w:tc>
          <w:tcPr>
            <w:tcW w:w="38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(2,246)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r>
      <w:tr>
        <w:trPr>
          <w:trHeight w:val="209"/>
        </w:trPr>
        <w:tc>
          <w:tcPr>
            <w:tcW w:w="3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(10,260)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(221)</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(10,481)</w:t>
            </w: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(10,032)</w:t>
            </w: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(296)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(10,328)</w:t>
            </w: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10"/>
          </w:tcPr>
          <w:p>
            <w:pPr>
              <w:jc w:val="right"/>
              <w:ind w:right="461"/>
              <w:spacing w:after="0"/>
              <w:rPr>
                <w:sz w:val="20"/>
                <w:szCs w:val="20"/>
                <w:color w:val="auto"/>
              </w:rPr>
            </w:pPr>
            <w:r>
              <w:rPr>
                <w:rFonts w:ascii="Arial" w:cs="Arial" w:eastAsia="Arial" w:hAnsi="Arial"/>
                <w:sz w:val="18"/>
                <w:szCs w:val="18"/>
                <w:b w:val="1"/>
                <w:bCs w:val="1"/>
                <w:color w:val="auto"/>
                <w:w w:val="96"/>
              </w:rPr>
              <w:t>Three Months Ended June 30,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10"/>
          </w:tcPr>
          <w:p>
            <w:pPr>
              <w:jc w:val="right"/>
              <w:ind w:right="581"/>
              <w:spacing w:after="0"/>
              <w:rPr>
                <w:sz w:val="20"/>
                <w:szCs w:val="20"/>
                <w:color w:val="auto"/>
              </w:rPr>
            </w:pPr>
            <w:r>
              <w:rPr>
                <w:rFonts w:ascii="Arial" w:cs="Arial" w:eastAsia="Arial" w:hAnsi="Arial"/>
                <w:sz w:val="18"/>
                <w:szCs w:val="18"/>
                <w:b w:val="1"/>
                <w:bCs w:val="1"/>
                <w:color w:val="auto"/>
              </w:rPr>
              <w:t>Six Months Ended June 30, 2022</w:t>
            </w:r>
          </w:p>
        </w:tc>
      </w:tr>
      <w:tr>
        <w:trPr>
          <w:trHeight w:val="191"/>
        </w:trPr>
        <w:tc>
          <w:tcPr>
            <w:tcW w:w="3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161"/>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161"/>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22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5"/>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to Non-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5"/>
              </w:rPr>
              <w:t>Attributable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to Non-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to NI</w:t>
            </w:r>
          </w:p>
        </w:tc>
        <w:tc>
          <w:tcPr>
            <w:tcW w:w="80" w:type="dxa"/>
            <w:vAlign w:val="bottom"/>
          </w:tcPr>
          <w:p>
            <w:pPr>
              <w:spacing w:after="0"/>
              <w:rPr>
                <w:sz w:val="18"/>
                <w:szCs w:val="18"/>
                <w:color w:val="auto"/>
              </w:rPr>
            </w:pPr>
          </w:p>
        </w:tc>
        <w:tc>
          <w:tcPr>
            <w:tcW w:w="124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1"/>
              </w:rPr>
              <w:t>Controlling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4"/>
              </w:rPr>
              <w:t>to NI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1"/>
              </w:rPr>
              <w:t>Controlling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Holdings, Inc.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Holdings, Inc.</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9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Total</w:t>
            </w:r>
          </w:p>
        </w:tc>
      </w:tr>
      <w:tr>
        <w:trPr>
          <w:trHeight w:val="20"/>
        </w:trPr>
        <w:tc>
          <w:tcPr>
            <w:tcW w:w="3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(45,910)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(726)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(46,636)</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(44,001)</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(44,597)</w:t>
            </w:r>
          </w:p>
        </w:tc>
      </w:tr>
      <w:tr>
        <w:trPr>
          <w:trHeight w:val="210"/>
        </w:trPr>
        <w:tc>
          <w:tcPr>
            <w:tcW w:w="3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Other comprehensive income (loss), before income</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Holding gains (losses) on investments</w:t>
            </w: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(15,738)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(35,935)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(37,282)</w:t>
            </w:r>
          </w:p>
        </w:tc>
      </w:tr>
      <w:tr>
        <w:trPr>
          <w:trHeight w:val="202"/>
        </w:trPr>
        <w:tc>
          <w:tcPr>
            <w:tcW w:w="3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 realized</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included in net loss</w:t>
            </w: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r>
      <w:tr>
        <w:trPr>
          <w:trHeight w:val="195"/>
        </w:trPr>
        <w:tc>
          <w:tcPr>
            <w:tcW w:w="3820" w:type="dxa"/>
            <w:vAlign w:val="bottom"/>
            <w:tcBorders>
              <w:top w:val="single" w:sz="8" w:color="CCEEFF"/>
            </w:tcBorders>
          </w:tcPr>
          <w:p>
            <w:pPr>
              <w:ind w:left="340"/>
              <w:spacing w:after="0" w:line="195" w:lineRule="exact"/>
              <w:rPr>
                <w:sz w:val="20"/>
                <w:szCs w:val="20"/>
                <w:color w:val="auto"/>
              </w:rPr>
            </w:pPr>
            <w:r>
              <w:rPr>
                <w:rFonts w:ascii="Arial" w:cs="Arial" w:eastAsia="Arial" w:hAnsi="Arial"/>
                <w:sz w:val="18"/>
                <w:szCs w:val="18"/>
                <w:color w:val="auto"/>
              </w:rPr>
              <w:t>Other comprehensive income (loss), before</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(15,633)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(35,873)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(37,220)</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tax benefit (expense) related to items of</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8,154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CEEFF"/>
          </w:tcPr>
          <w:p>
            <w:pPr>
              <w:spacing w:after="0"/>
              <w:rPr>
                <w:sz w:val="21"/>
                <w:szCs w:val="21"/>
                <w:color w:val="auto"/>
              </w:rPr>
            </w:pPr>
          </w:p>
        </w:tc>
      </w:tr>
      <w:tr>
        <w:trPr>
          <w:trHeight w:val="182"/>
        </w:trPr>
        <w:tc>
          <w:tcPr>
            <w:tcW w:w="3820" w:type="dxa"/>
            <w:vAlign w:val="bottom"/>
          </w:tcPr>
          <w:p>
            <w:pPr>
              <w:ind w:left="340"/>
              <w:spacing w:after="0" w:line="182" w:lineRule="exact"/>
              <w:rPr>
                <w:sz w:val="20"/>
                <w:szCs w:val="20"/>
                <w:color w:val="auto"/>
              </w:rPr>
            </w:pPr>
            <w:r>
              <w:rPr>
                <w:rFonts w:ascii="Arial" w:cs="Arial" w:eastAsia="Arial" w:hAnsi="Arial"/>
                <w:sz w:val="18"/>
                <w:szCs w:val="18"/>
                <w:color w:val="auto"/>
              </w:rPr>
              <w:t>Other comprehensive income (loss), net of</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8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(12,080)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(27,719)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(28,760)</w:t>
            </w:r>
          </w:p>
        </w:tc>
      </w:tr>
      <w:tr>
        <w:trPr>
          <w:trHeight w:val="209"/>
        </w:trPr>
        <w:tc>
          <w:tcPr>
            <w:tcW w:w="38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(57,990)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(1,228)</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(59,218)</w:t>
            </w:r>
          </w:p>
        </w:tc>
        <w:tc>
          <w:tcPr>
            <w:tcW w:w="3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(71,720)</w:t>
            </w: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(1,637)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(73,357)</w:t>
            </w: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9"/>
              </w:rPr>
              <w:t>Employee</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Comprehensive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9"/>
              </w:rPr>
              <w:t>Income (Loss),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74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7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9"/>
              </w:rPr>
              <w:t>Paid-in</w:t>
            </w:r>
          </w:p>
        </w:tc>
        <w:tc>
          <w:tcPr>
            <w:tcW w:w="60" w:type="dxa"/>
            <w:vAlign w:val="bottom"/>
          </w:tcPr>
          <w:p>
            <w:pPr>
              <w:spacing w:after="0"/>
              <w:rPr>
                <w:sz w:val="18"/>
                <w:szCs w:val="18"/>
                <w:color w:val="auto"/>
              </w:rPr>
            </w:pPr>
          </w:p>
        </w:tc>
        <w:tc>
          <w:tcPr>
            <w:tcW w:w="100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60" w:type="dxa"/>
            <w:vAlign w:val="bottom"/>
          </w:tcPr>
          <w:p>
            <w:pPr>
              <w:spacing w:after="0"/>
              <w:rPr>
                <w:sz w:val="18"/>
                <w:szCs w:val="18"/>
                <w:color w:val="auto"/>
              </w:rPr>
            </w:pPr>
          </w:p>
        </w:tc>
        <w:tc>
          <w:tcPr>
            <w:tcW w:w="134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Net of Income</w:t>
            </w:r>
          </w:p>
        </w:tc>
        <w:tc>
          <w:tcPr>
            <w:tcW w:w="84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81"/>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Capital</w:t>
            </w:r>
          </w:p>
        </w:tc>
        <w:tc>
          <w:tcPr>
            <w:tcW w:w="140" w:type="dxa"/>
            <w:vAlign w:val="bottom"/>
          </w:tcPr>
          <w:p>
            <w:pPr>
              <w:spacing w:after="0"/>
              <w:rPr>
                <w:sz w:val="20"/>
                <w:szCs w:val="20"/>
                <w:color w:val="auto"/>
              </w:rPr>
            </w:pPr>
          </w:p>
        </w:tc>
        <w:tc>
          <w:tcPr>
            <w:tcW w:w="1060" w:type="dxa"/>
            <w:vAlign w:val="bottom"/>
            <w:gridSpan w:val="4"/>
          </w:tcPr>
          <w:p>
            <w:pPr>
              <w:jc w:val="center"/>
              <w:ind w:right="21"/>
              <w:spacing w:after="0"/>
              <w:rPr>
                <w:sz w:val="20"/>
                <w:szCs w:val="20"/>
                <w:color w:val="auto"/>
              </w:rPr>
            </w:pPr>
            <w:r>
              <w:rPr>
                <w:rFonts w:ascii="Arial" w:cs="Arial" w:eastAsia="Arial" w:hAnsi="Arial"/>
                <w:sz w:val="18"/>
                <w:szCs w:val="18"/>
                <w:b w:val="1"/>
                <w:bCs w:val="1"/>
                <w:color w:val="auto"/>
                <w:w w:val="89"/>
              </w:rPr>
              <w:t>Plan Shares</w:t>
            </w:r>
          </w:p>
        </w:tc>
        <w:tc>
          <w:tcPr>
            <w:tcW w:w="6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Taxes</w:t>
            </w:r>
          </w:p>
        </w:tc>
        <w:tc>
          <w:tcPr>
            <w:tcW w:w="84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0"/>
        </w:trPr>
        <w:tc>
          <w:tcPr>
            <w:tcW w:w="27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1, 2023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95,568</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$ 209,710</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(24,848)</w:t>
            </w:r>
          </w:p>
        </w:tc>
        <w:tc>
          <w:tcPr>
            <w:tcW w:w="840" w:type="dxa"/>
            <w:vAlign w:val="bottom"/>
            <w:tcBorders>
              <w:righ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7"/>
              </w:rPr>
              <w:t>$ (28,803)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253,071</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(8,122)</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(8,235)</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income (loss),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(2,138)</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(2,246)</w:t>
            </w: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(2,602)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r>
      <w:tr>
        <w:trPr>
          <w:trHeight w:val="229"/>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vested award shares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Balance, June 30, 2023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$ 201,518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(26,986</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(31,122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240,383</w:t>
            </w: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2"/>
          </w:tcPr>
          <w:p>
            <w:pPr>
              <w:jc w:val="right"/>
              <w:ind w:right="850"/>
              <w:spacing w:after="0"/>
              <w:rPr>
                <w:sz w:val="20"/>
                <w:szCs w:val="20"/>
                <w:color w:val="auto"/>
              </w:rPr>
            </w:pPr>
            <w:r>
              <w:rPr>
                <w:rFonts w:ascii="Arial" w:cs="Arial" w:eastAsia="Arial" w:hAnsi="Arial"/>
                <w:sz w:val="18"/>
                <w:szCs w:val="18"/>
                <w:b w:val="1"/>
                <w:bCs w:val="1"/>
                <w:color w:val="auto"/>
                <w:w w:val="89"/>
              </w:rPr>
              <w:t>Six Months Ended June 30, 2023</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1"/>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Employee</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7"/>
              </w:rPr>
              <w:t>Comprehensive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9"/>
              </w:rPr>
              <w:t>Income (Loss),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74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7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6"/>
              </w:rPr>
              <w:t>Paid-in</w:t>
            </w:r>
          </w:p>
        </w:tc>
        <w:tc>
          <w:tcPr>
            <w:tcW w:w="60" w:type="dxa"/>
            <w:vAlign w:val="bottom"/>
          </w:tcPr>
          <w:p>
            <w:pPr>
              <w:spacing w:after="0"/>
              <w:rPr>
                <w:sz w:val="18"/>
                <w:szCs w:val="18"/>
                <w:color w:val="auto"/>
              </w:rPr>
            </w:pPr>
          </w:p>
        </w:tc>
        <w:tc>
          <w:tcPr>
            <w:tcW w:w="10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2"/>
              </w:rPr>
              <w:t>Ownership</w:t>
            </w:r>
          </w:p>
        </w:tc>
        <w:tc>
          <w:tcPr>
            <w:tcW w:w="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60" w:type="dxa"/>
            <w:vAlign w:val="bottom"/>
          </w:tcPr>
          <w:p>
            <w:pPr>
              <w:spacing w:after="0"/>
              <w:rPr>
                <w:sz w:val="18"/>
                <w:szCs w:val="18"/>
                <w:color w:val="auto"/>
              </w:rPr>
            </w:pPr>
          </w:p>
        </w:tc>
        <w:tc>
          <w:tcPr>
            <w:tcW w:w="134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Net of Income</w:t>
            </w:r>
          </w:p>
        </w:tc>
        <w:tc>
          <w:tcPr>
            <w:tcW w:w="84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7"/>
              </w:rPr>
              <w:t>Plan Shares</w:t>
            </w:r>
          </w:p>
        </w:tc>
        <w:tc>
          <w:tcPr>
            <w:tcW w:w="6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2"/>
              </w:rPr>
              <w:t>Taxes</w:t>
            </w:r>
          </w:p>
        </w:tc>
        <w:tc>
          <w:tcPr>
            <w:tcW w:w="84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95,671</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$ 214,121</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(29,286)</w:t>
            </w:r>
          </w:p>
        </w:tc>
        <w:tc>
          <w:tcPr>
            <w:tcW w:w="84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0"/>
              </w:rPr>
              <w:t>$ (28,818)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253,207</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(12,332)</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(12,735)</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income (loss),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2,300</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2,407</w:t>
            </w:r>
          </w:p>
        </w:tc>
        <w:tc>
          <w:tcPr>
            <w:tcW w:w="80" w:type="dxa"/>
            <w:vAlign w:val="bottom"/>
          </w:tcPr>
          <w:p>
            <w:pPr>
              <w:spacing w:after="0"/>
              <w:rPr>
                <w:sz w:val="20"/>
                <w:szCs w:val="20"/>
                <w:color w:val="auto"/>
              </w:rPr>
            </w:pP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(3,223)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(3,223)</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8"/>
                <w:szCs w:val="18"/>
                <w:color w:val="auto"/>
              </w:rPr>
            </w:pPr>
          </w:p>
        </w:tc>
      </w:tr>
      <w:tr>
        <w:trPr>
          <w:trHeight w:val="230"/>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vested award shares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r>
      <w:tr>
        <w:trPr>
          <w:trHeight w:val="20"/>
        </w:trPr>
        <w:tc>
          <w:tcPr>
            <w:tcW w:w="27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Balance, June 30, 2023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95,750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2"/>
              </w:rPr>
              <w:t>$ 201,518</w:t>
            </w:r>
          </w:p>
        </w:tc>
        <w:tc>
          <w:tcPr>
            <w:tcW w:w="120" w:type="dxa"/>
            <w:vAlign w:val="bottom"/>
          </w:tcPr>
          <w:p>
            <w:pPr>
              <w:spacing w:after="0"/>
              <w:rPr>
                <w:sz w:val="20"/>
                <w:szCs w:val="20"/>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(26,986)</w:t>
            </w: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 (31,122)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240,383</w:t>
            </w:r>
          </w:p>
        </w:tc>
        <w:tc>
          <w:tcPr>
            <w:tcW w:w="8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12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1"/>
              </w:rPr>
              <w:t>Unearned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5"/>
              </w:rPr>
              <w:t>Other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9"/>
              </w:rPr>
              <w:t>Employee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7"/>
              </w:rPr>
              <w:t>Comprehensive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4"/>
          </w:tcPr>
          <w:p>
            <w:pPr>
              <w:ind w:left="120"/>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92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9"/>
              </w:rPr>
              <w:t>Stock</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9"/>
              </w:rPr>
              <w:t>Income (Loss),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74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84"/>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89"/>
              </w:rPr>
              <w:t>Paid-in</w:t>
            </w:r>
          </w:p>
        </w:tc>
        <w:tc>
          <w:tcPr>
            <w:tcW w:w="106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Ownership</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0"/>
              </w:rPr>
              <w:t>Net of Income</w:t>
            </w:r>
          </w:p>
        </w:tc>
        <w:tc>
          <w:tcPr>
            <w:tcW w:w="84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r>
      <w:tr>
        <w:trPr>
          <w:trHeight w:val="234"/>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81"/>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89"/>
              </w:rPr>
              <w:t>Capital</w:t>
            </w:r>
          </w:p>
        </w:tc>
        <w:tc>
          <w:tcPr>
            <w:tcW w:w="106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5"/>
              </w:rPr>
              <w:t>Plan Shares</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12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6"/>
              </w:rPr>
              <w:t>Taxes</w:t>
            </w:r>
          </w:p>
        </w:tc>
        <w:tc>
          <w:tcPr>
            <w:tcW w:w="84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7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1, 2022</w:t>
            </w: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96,517</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$ 269,142</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 (25,825)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(45,910)</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(46,636)</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income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of income 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(12,080)</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(12,582)</w:t>
            </w: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vested award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7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Balance, June 30, 2022</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96,827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(1,184)</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$ 223,217</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(22,482)</w:t>
            </w: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w w:val="87"/>
              </w:rPr>
              <w:t>$ (26,569)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272,611</w:t>
            </w:r>
          </w:p>
        </w:tc>
        <w:tc>
          <w:tcPr>
            <w:tcW w:w="8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ind w:right="861"/>
              <w:spacing w:after="0"/>
              <w:rPr>
                <w:sz w:val="20"/>
                <w:szCs w:val="20"/>
                <w:color w:val="auto"/>
              </w:rPr>
            </w:pPr>
            <w:r>
              <w:rPr>
                <w:rFonts w:ascii="Arial" w:cs="Arial" w:eastAsia="Arial" w:hAnsi="Arial"/>
                <w:sz w:val="18"/>
                <w:szCs w:val="18"/>
                <w:b w:val="1"/>
                <w:bCs w:val="1"/>
                <w:color w:val="auto"/>
                <w:w w:val="88"/>
              </w:rPr>
              <w:t>Six Months Ended June 30, 2022</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1"/>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6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1"/>
              </w:rPr>
              <w:t>Unearned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5"/>
              </w:rPr>
              <w:t>Other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9"/>
              </w:rPr>
              <w:t>Employee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7"/>
              </w:rPr>
              <w:t>Comprehensive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9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5"/>
              </w:rPr>
              <w:t>Stock</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9"/>
              </w:rPr>
              <w:t>Income (Loss),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7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6"/>
              </w:rPr>
              <w:t>Paid-in</w:t>
            </w:r>
          </w:p>
        </w:tc>
        <w:tc>
          <w:tcPr>
            <w:tcW w:w="106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2"/>
              </w:rPr>
              <w:t>Ownership</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0"/>
              </w:rPr>
              <w:t>Net of Income</w:t>
            </w:r>
          </w:p>
        </w:tc>
        <w:tc>
          <w:tcPr>
            <w:tcW w:w="84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r>
      <w:tr>
        <w:trPr>
          <w:trHeight w:val="234"/>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06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7"/>
              </w:rPr>
              <w:t>Plan Shares</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12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2"/>
              </w:rPr>
              <w:t>Taxes</w:t>
            </w:r>
          </w:p>
        </w:tc>
        <w:tc>
          <w:tcPr>
            <w:tcW w:w="84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$ 267,207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5,237</w:t>
            </w:r>
          </w:p>
        </w:tc>
        <w:tc>
          <w:tcPr>
            <w:tcW w:w="84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0"/>
              </w:rPr>
              <w:t>$ (26,452)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347,413</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(44,001)</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(44,597)</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income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of income 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(27,719)</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(28,760)</w:t>
            </w:r>
          </w:p>
        </w:tc>
      </w:tr>
      <w:tr>
        <w:trPr>
          <w:trHeight w:val="216"/>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r>
      <w:tr>
        <w:trPr>
          <w:trHeight w:val="230"/>
        </w:trPr>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vested award shares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Balance, June 30, 2022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96,827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$ 223,217</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(26,569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272,611</w:t>
            </w: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(12,735)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40"/>
              <w:spacing w:after="0"/>
              <w:rPr>
                <w:sz w:val="20"/>
                <w:szCs w:val="20"/>
                <w:color w:val="auto"/>
              </w:rPr>
            </w:pPr>
            <w:r>
              <w:rPr>
                <w:rFonts w:ascii="Arial" w:cs="Arial" w:eastAsia="Arial" w:hAnsi="Arial"/>
                <w:sz w:val="18"/>
                <w:szCs w:val="18"/>
                <w:color w:val="auto"/>
              </w:rPr>
              <w:t>Net investment losses (gains)</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84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39,167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40"/>
              <w:spacing w:after="0"/>
              <w:rPr>
                <w:sz w:val="20"/>
                <w:szCs w:val="20"/>
                <w:color w:val="auto"/>
              </w:rPr>
            </w:pPr>
            <w:r>
              <w:rPr>
                <w:rFonts w:ascii="Arial" w:cs="Arial" w:eastAsia="Arial" w:hAnsi="Arial"/>
                <w:sz w:val="18"/>
                <w:szCs w:val="18"/>
                <w:color w:val="auto"/>
              </w:rPr>
              <w:t>Deferral of policy acquisition costs</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(43,523)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(37,837)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amortization of premiums and discounts on investments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400"/>
              <w:spacing w:after="0"/>
              <w:rPr>
                <w:sz w:val="20"/>
                <w:szCs w:val="20"/>
                <w:color w:val="auto"/>
              </w:rPr>
            </w:pPr>
            <w:r>
              <w:rPr>
                <w:rFonts w:ascii="Arial" w:cs="Arial" w:eastAsia="Arial" w:hAnsi="Arial"/>
                <w:sz w:val="18"/>
                <w:szCs w:val="18"/>
                <w:color w:val="auto"/>
              </w:rPr>
              <w:t>Premiums and agents’ balances receivable</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(44,773)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(56,884)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Reinsurance premiums receivable / payable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400"/>
              <w:spacing w:after="0"/>
              <w:rPr>
                <w:sz w:val="20"/>
                <w:szCs w:val="20"/>
                <w:color w:val="auto"/>
              </w:rPr>
            </w:pPr>
            <w:r>
              <w:rPr>
                <w:rFonts w:ascii="Arial" w:cs="Arial" w:eastAsia="Arial" w:hAnsi="Arial"/>
                <w:sz w:val="18"/>
                <w:szCs w:val="18"/>
                <w:color w:val="auto"/>
              </w:rPr>
              <w:t>Reinsurance recoverables on losses</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(15,933)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recoverable / payable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8420" w:type="dxa"/>
            <w:vAlign w:val="bottom"/>
          </w:tcPr>
          <w:p>
            <w:pPr>
              <w:ind w:left="40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Crop Insurance Corporation receivable / payable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Unpaid losses and loss adjustment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41,579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40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36,837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7,374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20" w:type="dxa"/>
            <w:vAlign w:val="bottom"/>
          </w:tcPr>
          <w:p>
            <w:pPr>
              <w:ind w:left="580"/>
              <w:spacing w:after="0"/>
              <w:rPr>
                <w:sz w:val="20"/>
                <w:szCs w:val="20"/>
                <w:color w:val="auto"/>
              </w:rPr>
            </w:pPr>
            <w:r>
              <w:rPr>
                <w:rFonts w:ascii="Arial" w:cs="Arial" w:eastAsia="Arial" w:hAnsi="Arial"/>
                <w:sz w:val="18"/>
                <w:szCs w:val="18"/>
                <w:color w:val="auto"/>
              </w:rPr>
              <w:t>Net cash flows from operating activities</w:t>
            </w: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7,916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and sales of fixed income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19,239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40"/>
              <w:spacing w:after="0"/>
              <w:rPr>
                <w:sz w:val="20"/>
                <w:szCs w:val="20"/>
                <w:color w:val="auto"/>
              </w:rPr>
            </w:pPr>
            <w:r>
              <w:rPr>
                <w:rFonts w:ascii="Arial" w:cs="Arial" w:eastAsia="Arial" w:hAnsi="Arial"/>
                <w:sz w:val="18"/>
                <w:szCs w:val="18"/>
                <w:color w:val="auto"/>
              </w:rPr>
              <w:t>Proceeds from sales of equity securities</w:t>
            </w: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33,223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fixed income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(46,833)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16"/>
        </w:trPr>
        <w:tc>
          <w:tcPr>
            <w:tcW w:w="8420" w:type="dxa"/>
            <w:vAlign w:val="bottom"/>
          </w:tcPr>
          <w:p>
            <w:pPr>
              <w:ind w:left="140"/>
              <w:spacing w:after="0"/>
              <w:rPr>
                <w:sz w:val="20"/>
                <w:szCs w:val="20"/>
                <w:color w:val="auto"/>
              </w:rPr>
            </w:pPr>
            <w:r>
              <w:rPr>
                <w:rFonts w:ascii="Arial" w:cs="Arial" w:eastAsia="Arial" w:hAnsi="Arial"/>
                <w:sz w:val="18"/>
                <w:szCs w:val="18"/>
                <w:color w:val="auto"/>
              </w:rPr>
              <w:t>Purchases of equity securities</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(3,755)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(10,171)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8420" w:type="dxa"/>
            <w:vAlign w:val="bottom"/>
          </w:tcPr>
          <w:p>
            <w:pPr>
              <w:ind w:left="140"/>
              <w:spacing w:after="0"/>
              <w:rPr>
                <w:sz w:val="20"/>
                <w:szCs w:val="20"/>
                <w:color w:val="auto"/>
              </w:rPr>
            </w:pPr>
            <w:r>
              <w:rPr>
                <w:rFonts w:ascii="Arial" w:cs="Arial" w:eastAsia="Arial" w:hAnsi="Arial"/>
                <w:sz w:val="18"/>
                <w:szCs w:val="18"/>
                <w:color w:val="auto"/>
              </w:rPr>
              <w:t>Proceeds from sales of property and equipment</w:t>
            </w: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40"/>
              <w:spacing w:after="0"/>
              <w:rPr>
                <w:sz w:val="20"/>
                <w:szCs w:val="20"/>
                <w:color w:val="auto"/>
              </w:rPr>
            </w:pPr>
            <w:r>
              <w:rPr>
                <w:rFonts w:ascii="Arial" w:cs="Arial" w:eastAsia="Arial" w:hAnsi="Arial"/>
                <w:sz w:val="18"/>
                <w:szCs w:val="18"/>
                <w:color w:val="auto"/>
              </w:rPr>
              <w:t>Purchases of treasury stock</w:t>
            </w: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(3,223)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 payment on Westminster consideration payable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Issuance of vested award shares</w:t>
            </w:r>
          </w:p>
        </w:tc>
        <w:tc>
          <w:tcPr>
            <w:tcW w:w="200" w:type="dxa"/>
            <w:vAlign w:val="bottom"/>
          </w:tcPr>
          <w:p>
            <w:pPr>
              <w:spacing w:after="0"/>
              <w:rPr>
                <w:sz w:val="19"/>
                <w:szCs w:val="19"/>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84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52,636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Federal and state income taxes paid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20" w:type="dxa"/>
            <w:vAlign w:val="bottom"/>
          </w:tcPr>
          <w:p>
            <w:pPr>
              <w:spacing w:after="0"/>
              <w:rPr>
                <w:sz w:val="20"/>
                <w:szCs w:val="20"/>
                <w:color w:val="auto"/>
              </w:rPr>
            </w:pPr>
            <w:r>
              <w:rPr>
                <w:rFonts w:ascii="Arial" w:cs="Arial" w:eastAsia="Arial" w:hAnsi="Arial"/>
                <w:sz w:val="18"/>
                <w:szCs w:val="18"/>
                <w:b w:val="1"/>
                <w:bCs w:val="1"/>
                <w:color w:val="FFFFFF"/>
              </w:rPr>
              <w:t>Notes to Unaudited Consolidated Financial Statements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233" w:right="339" w:bottom="1440" w:gutter="0" w:footer="0" w:header="0"/>
        </w:sectPr>
      </w:pPr>
    </w:p>
    <w:p>
      <w:pPr>
        <w:jc w:val="center"/>
        <w:ind w:right="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These unaudited consolidated financial statements include the financial position and results of operations of NI Holdings and the following other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Nodak Insurance Company</w:t>
      </w:r>
    </w:p>
    <w:p>
      <w:pPr>
        <w:spacing w:after="0" w:line="22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Nodak Agency,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West Insurance Company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personal auto coverage in North Dakota, as well as crop hail and Federal multi-peril crop insurance coverages in Minnesota and South Dakota.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Primero Insurance Company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Battle Creek is a property and casualty insurance company writing private passenger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Consolidated Balance Sheets and its net income or loss is excluded from net income or loss attributed to NI Holdings in our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Auto Insurance Company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Westminster American Insurance Company</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acquired by NI Holdings on January 1, 2020, via a stock purchase agreement.</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3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2022 Annual Report.</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Consolidated Balance Sheet at December 31, 2022, has been derived from the audited consolidated financial statements at that date but does not include all of the information and footnotes required by GAAP for complete financial statements.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periods ended June 30, 2023, are not necessarily indicative of the results that may be expected for the year ended December 31, 2023.</w:t>
      </w:r>
    </w:p>
    <w:p>
      <w:pPr>
        <w:spacing w:after="0" w:line="14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2022 Annual Report describes the accounting policies and estimates that are critical to the understanding of our results of operations, financial condition, and liquidity. The accounting policies and estimation processes described in the 2022 Annual Report were consistently applied to the unaudited consolidated financial statements as of and for the six months ended June 30, 2023 and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Prior to December 31, 2022, we were classified as an emerging growth company (“EGC”) and elected to use the extended transition period for complying with certain new or revised financial accounting standards from the Financial Accounting Standards Board (“FASB”) pursuant to Section 13(a) of the Exchange Act. However, beginning on December 31, 2022, we are no longer an EGC and are now unable to delay adoption of these new or revised accounting standards, or to take advantage of reduced corporate governance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9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information regarding accounting pronouncements that the Company adopted during the periods presented, see Item II, Part 8, Note 2 “Recent Accounting Pronouncements” section of the 2022 Annual Report.</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amortized cost and estimated fair value of fixed income securities as of June 30, 2023, and December 31, 2022,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8"/>
              </w:rPr>
              <w:t>June 30, 2023</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Cost or</w:t>
            </w:r>
          </w:p>
        </w:tc>
        <w:tc>
          <w:tcPr>
            <w:tcW w:w="11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Allowance for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1"/>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Expected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8"/>
                <w:szCs w:val="18"/>
                <w:color w:val="auto"/>
              </w:rPr>
            </w:pPr>
          </w:p>
        </w:tc>
        <w:tc>
          <w:tcPr>
            <w:tcW w:w="12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Credit 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9,941</w:t>
            </w:r>
          </w:p>
        </w:tc>
        <w:tc>
          <w:tcPr>
            <w:tcW w:w="2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58,753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(14,403)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135,866</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62,623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56,772</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30,300</w:t>
            </w:r>
          </w:p>
        </w:tc>
        <w:tc>
          <w:tcPr>
            <w:tcW w:w="14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53,025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(4,703)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48,351</w:t>
            </w:r>
          </w:p>
        </w:tc>
        <w:tc>
          <w:tcPr>
            <w:tcW w:w="100" w:type="dxa"/>
            <w:vAlign w:val="bottom"/>
            <w:shd w:val="clear" w:color="auto" w:fill="CCEEFF"/>
          </w:tcPr>
          <w:p>
            <w:pPr>
              <w:spacing w:after="0"/>
              <w:rPr>
                <w:sz w:val="18"/>
                <w:szCs w:val="18"/>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r>
      <w:tr>
        <w:trPr>
          <w:trHeight w:val="263"/>
        </w:trPr>
        <w:tc>
          <w:tcPr>
            <w:tcW w:w="5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369,526</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426"/>
        </w:trPr>
        <w:tc>
          <w:tcPr>
            <w:tcW w:w="5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0"/>
              </w:rPr>
              <w:t>December 31, 2022</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Cost or</w:t>
            </w:r>
          </w:p>
        </w:tc>
        <w:tc>
          <w:tcPr>
            <w:tcW w:w="11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Allowance for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1"/>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Expected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8"/>
                <w:szCs w:val="18"/>
                <w:color w:val="auto"/>
              </w:rPr>
            </w:pPr>
          </w:p>
        </w:tc>
        <w:tc>
          <w:tcPr>
            <w:tcW w:w="12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Credit 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Gains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11,174</w:t>
            </w:r>
          </w:p>
        </w:tc>
        <w:tc>
          <w:tcPr>
            <w:tcW w:w="2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60,342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(6,454)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53,926</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121,159</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53,254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30,837</w:t>
            </w:r>
          </w:p>
        </w:tc>
        <w:tc>
          <w:tcPr>
            <w:tcW w:w="14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26,135</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45,786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w:t>
            </w:r>
          </w:p>
        </w:tc>
        <w:tc>
          <w:tcPr>
            <w:tcW w:w="100" w:type="dxa"/>
            <w:vAlign w:val="bottom"/>
            <w:shd w:val="clear" w:color="auto" w:fill="CCEEFF"/>
          </w:tcPr>
          <w:p>
            <w:pPr>
              <w:spacing w:after="0"/>
              <w:rPr>
                <w:sz w:val="18"/>
                <w:szCs w:val="18"/>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19"/>
                <w:szCs w:val="19"/>
                <w:color w:val="auto"/>
              </w:rPr>
            </w:pPr>
          </w:p>
        </w:tc>
      </w:tr>
      <w:tr>
        <w:trPr>
          <w:trHeight w:val="263"/>
        </w:trPr>
        <w:tc>
          <w:tcPr>
            <w:tcW w:w="5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342,977</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20" w:right="580"/>
        <w:spacing w:after="0" w:line="277"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5"/>
          </w:tcPr>
          <w:p>
            <w:pPr>
              <w:ind w:left="44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84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Due to mature: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12,199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74,773</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75,928</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35,659</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130,586</w:t>
            </w:r>
          </w:p>
        </w:tc>
        <w:tc>
          <w:tcPr>
            <w:tcW w:w="100" w:type="dxa"/>
            <w:vAlign w:val="bottom"/>
          </w:tcPr>
          <w:p>
            <w:pPr>
              <w:spacing w:after="0"/>
              <w:rPr>
                <w:sz w:val="18"/>
                <w:szCs w:val="18"/>
                <w:color w:val="auto"/>
              </w:rPr>
            </w:pPr>
          </w:p>
        </w:tc>
      </w:tr>
      <w:tr>
        <w:trPr>
          <w:trHeight w:val="23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00" w:type="dxa"/>
            <w:vAlign w:val="bottom"/>
          </w:tcPr>
          <w:p>
            <w:pPr>
              <w:ind w:left="340"/>
              <w:spacing w:after="0"/>
              <w:rPr>
                <w:sz w:val="20"/>
                <w:szCs w:val="20"/>
                <w:color w:val="auto"/>
              </w:rPr>
            </w:pPr>
            <w:r>
              <w:rPr>
                <w:rFonts w:ascii="Arial" w:cs="Arial" w:eastAsia="Arial" w:hAnsi="Arial"/>
                <w:sz w:val="18"/>
                <w:szCs w:val="18"/>
                <w:color w:val="auto"/>
              </w:rPr>
              <w:t>Total fixed income securities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369,526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332,989</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84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77,031</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65,966</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114,353</w:t>
            </w:r>
          </w:p>
        </w:tc>
        <w:tc>
          <w:tcPr>
            <w:tcW w:w="100" w:type="dxa"/>
            <w:vAlign w:val="bottom"/>
          </w:tcPr>
          <w:p>
            <w:pPr>
              <w:spacing w:after="0"/>
              <w:rPr>
                <w:sz w:val="18"/>
                <w:szCs w:val="18"/>
                <w:color w:val="auto"/>
              </w:rPr>
            </w:pPr>
          </w:p>
        </w:tc>
      </w:tr>
      <w:tr>
        <w:trPr>
          <w:trHeight w:val="229"/>
        </w:trPr>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9"/>
                <w:szCs w:val="19"/>
                <w:color w:val="auto"/>
              </w:rPr>
            </w:pPr>
          </w:p>
        </w:tc>
      </w:tr>
      <w:tr>
        <w:trPr>
          <w:trHeight w:val="223"/>
        </w:trPr>
        <w:tc>
          <w:tcPr>
            <w:tcW w:w="8400" w:type="dxa"/>
            <w:vAlign w:val="bottom"/>
          </w:tcPr>
          <w:p>
            <w:pPr>
              <w:ind w:left="340"/>
              <w:spacing w:after="0"/>
              <w:rPr>
                <w:sz w:val="20"/>
                <w:szCs w:val="20"/>
                <w:color w:val="auto"/>
              </w:rPr>
            </w:pPr>
            <w:r>
              <w:rPr>
                <w:rFonts w:ascii="Arial" w:cs="Arial" w:eastAsia="Arial" w:hAnsi="Arial"/>
                <w:sz w:val="18"/>
                <w:szCs w:val="18"/>
                <w:color w:val="auto"/>
              </w:rPr>
              <w:t>Total fixed income securities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342,977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303,324</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ind w:left="20" w:right="540"/>
        <w:spacing w:after="0" w:line="277" w:lineRule="auto"/>
        <w:rPr>
          <w:sz w:val="20"/>
          <w:szCs w:val="20"/>
          <w:color w:val="auto"/>
        </w:rPr>
      </w:pPr>
      <w:r>
        <w:rPr>
          <w:rFonts w:ascii="Arial" w:cs="Arial" w:eastAsia="Arial" w:hAnsi="Arial"/>
          <w:sz w:val="18"/>
          <w:szCs w:val="18"/>
          <w:color w:val="auto"/>
        </w:rPr>
        <w:t>Fixed income securities with a fair value of $5,918 at June 30, 2023, and $6,613 at December 31, 2022, were deposited with various state regulatory agencies as required by law. The Company has not pledged any assets to secure any obligations.</w:t>
      </w:r>
    </w:p>
    <w:p>
      <w:pPr>
        <w:spacing w:after="0" w:line="143" w:lineRule="exact"/>
        <w:rPr>
          <w:sz w:val="20"/>
          <w:szCs w:val="20"/>
          <w:color w:val="auto"/>
        </w:rPr>
      </w:pPr>
    </w:p>
    <w:p>
      <w:pPr>
        <w:ind w:left="20" w:right="160"/>
        <w:spacing w:after="0" w:line="263" w:lineRule="auto"/>
        <w:rPr>
          <w:sz w:val="20"/>
          <w:szCs w:val="20"/>
          <w:color w:val="auto"/>
        </w:rPr>
      </w:pPr>
      <w:r>
        <w:rPr>
          <w:rFonts w:ascii="Arial" w:cs="Arial" w:eastAsia="Arial" w:hAnsi="Arial"/>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8"/>
              </w:rPr>
              <w:t>June 30, 2023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6"/>
          </w:tcPr>
          <w:p>
            <w:pPr>
              <w:ind w:left="14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9"/>
                <w:szCs w:val="19"/>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Greater than 12 months</w:t>
            </w:r>
          </w:p>
        </w:tc>
        <w:tc>
          <w:tcPr>
            <w:tcW w:w="2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3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(5,407)</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108,662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(13,985)</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126,076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(14,403)</w:t>
            </w:r>
          </w:p>
        </w:tc>
      </w:tr>
      <w:tr>
        <w:trPr>
          <w:trHeight w:val="216"/>
        </w:trPr>
        <w:tc>
          <w:tcPr>
            <w:tcW w:w="3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32,757</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(4,781)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(4,837)</w:t>
            </w:r>
          </w:p>
        </w:tc>
      </w:tr>
      <w:tr>
        <w:trPr>
          <w:trHeight w:val="216"/>
        </w:trPr>
        <w:tc>
          <w:tcPr>
            <w:tcW w:w="3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34,836</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(4,703)</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Redeemable preferred stocks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53,102</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252,832</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(36,797)</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3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90"/>
              </w:rPr>
              <w:t>December 31, 2022</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6"/>
          </w:tcPr>
          <w:p>
            <w:pPr>
              <w:ind w:left="14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Greater than 12 months</w:t>
            </w:r>
          </w:p>
        </w:tc>
        <w:tc>
          <w:tcPr>
            <w:tcW w:w="20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(1,008)</w:t>
            </w:r>
          </w:p>
        </w:tc>
      </w:tr>
      <w:tr>
        <w:trPr>
          <w:trHeight w:val="216"/>
        </w:trPr>
        <w:tc>
          <w:tcPr>
            <w:tcW w:w="3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(7,944)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(7,843)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116,328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(15,787)</w:t>
            </w:r>
          </w:p>
        </w:tc>
      </w:tr>
      <w:tr>
        <w:trPr>
          <w:trHeight w:val="216"/>
        </w:trPr>
        <w:tc>
          <w:tcPr>
            <w:tcW w:w="3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18,519</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(2,674)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(4,702)</w:t>
            </w:r>
          </w:p>
        </w:tc>
      </w:tr>
      <w:tr>
        <w:trPr>
          <w:trHeight w:val="216"/>
        </w:trPr>
        <w:tc>
          <w:tcPr>
            <w:tcW w:w="3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(5,061)</w:t>
            </w:r>
          </w:p>
        </w:tc>
      </w:tr>
      <w:tr>
        <w:trPr>
          <w:trHeight w:val="229"/>
        </w:trPr>
        <w:tc>
          <w:tcPr>
            <w:tcW w:w="3940" w:type="dxa"/>
            <w:vAlign w:val="bottom"/>
          </w:tcPr>
          <w:p>
            <w:pPr>
              <w:ind w:left="160"/>
              <w:spacing w:after="0"/>
              <w:rPr>
                <w:sz w:val="20"/>
                <w:szCs w:val="20"/>
                <w:color w:val="auto"/>
              </w:rPr>
            </w:pPr>
            <w:r>
              <w:rPr>
                <w:rFonts w:ascii="Arial" w:cs="Arial" w:eastAsia="Arial" w:hAnsi="Arial"/>
                <w:sz w:val="18"/>
                <w:szCs w:val="18"/>
                <w:color w:val="auto"/>
              </w:rPr>
              <w:t>Redeemable preferred stocks</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(1,028)</w:t>
            </w:r>
          </w:p>
        </w:tc>
      </w:tr>
      <w:tr>
        <w:trPr>
          <w:trHeight w:val="20"/>
        </w:trPr>
        <w:tc>
          <w:tcPr>
            <w:tcW w:w="3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23"/>
        </w:trPr>
        <w:tc>
          <w:tcPr>
            <w:tcW w:w="3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99,552</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(39,886)</w:t>
            </w:r>
          </w:p>
        </w:tc>
      </w:tr>
      <w:tr>
        <w:trPr>
          <w:trHeight w:val="20"/>
        </w:trPr>
        <w:tc>
          <w:tcPr>
            <w:tcW w:w="3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along with our investment advisors,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maturity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or during the three or six months ended June 30, 2023. Therefore, there was no beginning or ending balance of credit losses for the three or six months ended June 30, 2023, or the year ended December 31, 2022. See Item II, Part 8, Note 3 “Summary of Significant Accounting Policies” section of the 2022 Annual Report for additional information.</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consisted of the following:</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8"/>
          </w:tcPr>
          <w:p>
            <w:pPr>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Pr>
          <w:p>
            <w:pPr>
              <w:spacing w:after="0"/>
              <w:rPr>
                <w:sz w:val="20"/>
                <w:szCs w:val="20"/>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gross investment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Investment expenses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investment income</w:t>
            </w:r>
          </w:p>
        </w:tc>
        <w:tc>
          <w:tcPr>
            <w:tcW w:w="13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42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Borders>
              <w:left w:val="single" w:sz="8" w:color="CCEEFF"/>
            </w:tcBorders>
            <w:shd w:val="clear" w:color="auto" w:fill="CCEEFF"/>
          </w:tcPr>
          <w:p>
            <w:pPr>
              <w:spacing w:after="0"/>
              <w:rPr>
                <w:sz w:val="20"/>
                <w:szCs w:val="20"/>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60" w:type="dxa"/>
            <w:vAlign w:val="bottom"/>
            <w:gridSpan w:val="9"/>
          </w:tcPr>
          <w:p>
            <w:pPr>
              <w:ind w:left="6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1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60"/>
              <w:spacing w:after="0"/>
              <w:rPr>
                <w:sz w:val="20"/>
                <w:szCs w:val="20"/>
                <w:color w:val="auto"/>
              </w:rPr>
            </w:pPr>
            <w:r>
              <w:rPr>
                <w:rFonts w:ascii="Arial" w:cs="Arial" w:eastAsia="Arial" w:hAnsi="Arial"/>
                <w:sz w:val="18"/>
                <w:szCs w:val="18"/>
                <w:color w:val="auto"/>
              </w:rPr>
              <w:t>Total gross realized gains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Gross realized losses, excluding credit impairment losses: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Total gross realized losses, excluding credit impairment losses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(losses)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(12,163)</w:t>
            </w: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Pr>
          <w:p>
            <w:pPr>
              <w:ind w:left="340"/>
              <w:spacing w:after="0"/>
              <w:rPr>
                <w:sz w:val="20"/>
                <w:szCs w:val="20"/>
                <w:color w:val="auto"/>
              </w:rPr>
            </w:pPr>
            <w:r>
              <w:rPr>
                <w:rFonts w:ascii="Arial" w:cs="Arial" w:eastAsia="Arial" w:hAnsi="Arial"/>
                <w:sz w:val="18"/>
                <w:szCs w:val="18"/>
                <w:color w:val="auto"/>
              </w:rPr>
              <w:t>Net investment gains (losses)</w:t>
            </w:r>
          </w:p>
        </w:tc>
        <w:tc>
          <w:tcPr>
            <w:tcW w:w="1060" w:type="dxa"/>
            <w:vAlign w:val="bottom"/>
          </w:tcPr>
          <w:p>
            <w:pPr>
              <w:spacing w:after="0"/>
              <w:rPr>
                <w:sz w:val="20"/>
                <w:szCs w:val="20"/>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42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(11,136)</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0" w:right="100"/>
        <w:spacing w:after="0" w:line="275" w:lineRule="auto"/>
        <w:rPr>
          <w:sz w:val="20"/>
          <w:szCs w:val="20"/>
          <w:color w:val="auto"/>
        </w:rPr>
      </w:pPr>
      <w:r>
        <w:rPr>
          <w:rFonts w:ascii="Arial" w:cs="Arial" w:eastAsia="Arial" w:hAnsi="Arial"/>
          <w:sz w:val="17"/>
          <w:szCs w:val="17"/>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98" w:lineRule="exact"/>
        <w:rPr>
          <w:sz w:val="20"/>
          <w:szCs w:val="20"/>
          <w:color w:val="auto"/>
        </w:rPr>
      </w:pPr>
    </w:p>
    <w:p>
      <w:pPr>
        <w:ind w:left="1620" w:hanging="971"/>
        <w:spacing w:after="0" w:line="257" w:lineRule="auto"/>
        <w:tabs>
          <w:tab w:leader="none" w:pos="160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7" w:lineRule="exact"/>
        <w:rPr>
          <w:sz w:val="20"/>
          <w:szCs w:val="20"/>
          <w:color w:val="auto"/>
        </w:rPr>
      </w:pPr>
    </w:p>
    <w:p>
      <w:pPr>
        <w:ind w:left="1620" w:right="480" w:hanging="971"/>
        <w:spacing w:after="0" w:line="277" w:lineRule="auto"/>
        <w:tabs>
          <w:tab w:leader="none" w:pos="1600" w:val="left"/>
        </w:tabs>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30" w:lineRule="exact"/>
        <w:rPr>
          <w:sz w:val="20"/>
          <w:szCs w:val="20"/>
          <w:color w:val="auto"/>
        </w:rPr>
      </w:pPr>
    </w:p>
    <w:p>
      <w:pPr>
        <w:ind w:left="20" w:right="40"/>
        <w:spacing w:after="0" w:line="287" w:lineRule="auto"/>
        <w:rPr>
          <w:sz w:val="20"/>
          <w:szCs w:val="20"/>
          <w:color w:val="auto"/>
        </w:rPr>
      </w:pPr>
      <w:r>
        <w:rPr>
          <w:rFonts w:ascii="Arial" w:cs="Arial" w:eastAsia="Arial" w:hAnsi="Arial"/>
          <w:sz w:val="16"/>
          <w:szCs w:val="16"/>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45" w:lineRule="exact"/>
        <w:rPr>
          <w:sz w:val="20"/>
          <w:szCs w:val="20"/>
          <w:color w:val="auto"/>
        </w:rPr>
      </w:pPr>
    </w:p>
    <w:p>
      <w:pPr>
        <w:ind w:left="20" w:right="20"/>
        <w:spacing w:after="0" w:line="270" w:lineRule="auto"/>
        <w:rPr>
          <w:sz w:val="20"/>
          <w:szCs w:val="20"/>
          <w:color w:val="auto"/>
        </w:rPr>
      </w:pPr>
      <w:r>
        <w:rPr>
          <w:rFonts w:ascii="Arial" w:cs="Arial" w:eastAsia="Arial" w:hAnsi="Arial"/>
          <w:sz w:val="17"/>
          <w:szCs w:val="17"/>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40" w:lineRule="exact"/>
        <w:rPr>
          <w:sz w:val="20"/>
          <w:szCs w:val="20"/>
          <w:color w:val="auto"/>
        </w:rPr>
      </w:pPr>
    </w:p>
    <w:p>
      <w:pPr>
        <w:ind w:left="20" w:right="200"/>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37"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We also use information from our third-party investment advisors who utilize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three or six months ended June 30, 2023, or the year ended December 31, 2022. The classification within the fair value hierarchy is then confirmed based on the final conclusions from the pricing review.</w:t>
      </w:r>
    </w:p>
    <w:p>
      <w:pPr>
        <w:spacing w:after="0" w:line="168" w:lineRule="exact"/>
        <w:rPr>
          <w:sz w:val="20"/>
          <w:szCs w:val="20"/>
          <w:color w:val="auto"/>
        </w:rPr>
      </w:pPr>
    </w:p>
    <w:p>
      <w:pPr>
        <w:ind w:left="20" w:right="20"/>
        <w:spacing w:after="0" w:line="279" w:lineRule="auto"/>
        <w:rPr>
          <w:sz w:val="20"/>
          <w:szCs w:val="20"/>
          <w:color w:val="auto"/>
        </w:rPr>
      </w:pPr>
      <w:r>
        <w:rPr>
          <w:rFonts w:ascii="Arial" w:cs="Arial" w:eastAsia="Arial" w:hAnsi="Arial"/>
          <w:sz w:val="17"/>
          <w:szCs w:val="17"/>
          <w:color w:val="auto"/>
        </w:rPr>
        <w:t>The valuation of cash equivalents and equity securities are generally based on Level 1 inputs, which use the market-approach valuation technique. The valuation of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June 30, 2023, or December 31, 2022.</w:t>
      </w:r>
    </w:p>
    <w:p>
      <w:pPr>
        <w:spacing w:after="0" w:line="131" w:lineRule="exact"/>
        <w:rPr>
          <w:sz w:val="20"/>
          <w:szCs w:val="20"/>
          <w:color w:val="auto"/>
        </w:rPr>
      </w:pPr>
    </w:p>
    <w:p>
      <w:pPr>
        <w:ind w:left="20" w:right="900"/>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9,032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135,866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135,866</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56,772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25,463</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48,351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4,095</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22,807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1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18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Cash equivalents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8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391,647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635"/>
        </w:trPr>
        <w:tc>
          <w:tcPr>
            <w:tcW w:w="45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jc w:val="right"/>
              <w:ind w:right="61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10,167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121,159</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26,135</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3,719</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303,324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96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52,393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303,324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liabilities measured at fair value on a recurring basis at June 30, 2023, or December 31, 2022.</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External Reinsurance</w:t>
      </w:r>
    </w:p>
    <w:p>
      <w:pPr>
        <w:spacing w:after="0" w:line="185" w:lineRule="exact"/>
        <w:rPr>
          <w:sz w:val="20"/>
          <w:szCs w:val="20"/>
          <w:color w:val="auto"/>
        </w:rPr>
      </w:pPr>
    </w:p>
    <w:p>
      <w:pPr>
        <w:ind w:left="20" w:right="340"/>
        <w:spacing w:after="0" w:line="293" w:lineRule="auto"/>
        <w:rPr>
          <w:sz w:val="20"/>
          <w:szCs w:val="20"/>
          <w:color w:val="auto"/>
        </w:rPr>
      </w:pPr>
      <w:r>
        <w:rPr>
          <w:rFonts w:ascii="Arial" w:cs="Arial" w:eastAsia="Arial" w:hAnsi="Arial"/>
          <w:sz w:val="16"/>
          <w:szCs w:val="16"/>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primary purpose of these agreements is to protect the Company, at a cost, from losses in excess of the amount it is prepared to accept and to protect the Company’s capital.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spacing w:after="0" w:line="124" w:lineRule="exact"/>
        <w:rPr>
          <w:sz w:val="20"/>
          <w:szCs w:val="20"/>
          <w:color w:val="auto"/>
        </w:rPr>
      </w:pPr>
    </w:p>
    <w:p>
      <w:pPr>
        <w:ind w:left="20" w:right="80"/>
        <w:spacing w:after="0" w:line="293" w:lineRule="auto"/>
        <w:rPr>
          <w:sz w:val="20"/>
          <w:szCs w:val="20"/>
          <w:color w:val="auto"/>
        </w:rPr>
      </w:pPr>
      <w:r>
        <w:rPr>
          <w:rFonts w:ascii="Arial" w:cs="Arial" w:eastAsia="Arial" w:hAnsi="Arial"/>
          <w:sz w:val="16"/>
          <w:szCs w:val="16"/>
          <w:color w:val="auto"/>
        </w:rPr>
        <w:t>During the six-month period ended June 30, 2023, the Company maintained property catastrophe reinsurance protection covering $133,000 in excess of a $20,000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Federal Crop Insurance Corporation (“FCIC”).</w:t>
      </w:r>
    </w:p>
    <w:p>
      <w:pPr>
        <w:spacing w:after="0" w:line="137" w:lineRule="exact"/>
        <w:rPr>
          <w:sz w:val="20"/>
          <w:szCs w:val="20"/>
          <w:color w:val="auto"/>
        </w:rPr>
      </w:pPr>
    </w:p>
    <w:p>
      <w:pPr>
        <w:ind w:left="20" w:right="40"/>
        <w:spacing w:after="0" w:line="255" w:lineRule="auto"/>
        <w:rPr>
          <w:sz w:val="20"/>
          <w:szCs w:val="20"/>
          <w:color w:val="auto"/>
        </w:rPr>
      </w:pPr>
      <w:r>
        <w:rPr>
          <w:rFonts w:ascii="Arial" w:cs="Arial" w:eastAsia="Arial" w:hAnsi="Arial"/>
          <w:sz w:val="18"/>
          <w:szCs w:val="18"/>
          <w:color w:val="auto"/>
        </w:rPr>
        <w:t>During the year ended December 31, 2022, the Company maintained property catastrophe reinsurance protection covering $125,000 in excess of a $15,000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5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a new credit loss model (current expected credit losses or “CECL”). See the Part II, Item 8, Note 2 “Recent Accounting Pronouncements” section of the 2022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June 30, 2023, and December 31, 2022, management has concluded that it is not necessary to record an allowance for expected credit losses related to reinsurance recoverables. All of our significant reinsurance partners are rated “A-” (Excellent) or better by AM Best, and there is no history of write-offs.</w:t>
      </w:r>
    </w:p>
    <w:p>
      <w:pPr>
        <w:sectPr>
          <w:pgSz w:w="11900" w:h="16838" w:orient="portrait"/>
          <w:cols w:equalWidth="0" w:num="1">
            <w:col w:w="11240"/>
          </w:cols>
          <w:pgMar w:left="320" w:top="233" w:right="339" w:bottom="1440" w:gutter="0" w:footer="0" w:header="0"/>
        </w:sectPr>
      </w:pP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Three Months Ended June 30, 2023</w:t>
            </w:r>
          </w:p>
        </w:tc>
        <w:tc>
          <w:tcPr>
            <w:tcW w:w="160" w:type="dxa"/>
            <w:vAlign w:val="bottom"/>
          </w:tcPr>
          <w:p>
            <w:pPr>
              <w:spacing w:after="0"/>
              <w:rPr>
                <w:sz w:val="20"/>
                <w:szCs w:val="20"/>
                <w:color w:val="auto"/>
              </w:rPr>
            </w:pPr>
          </w:p>
        </w:tc>
        <w:tc>
          <w:tcPr>
            <w:tcW w:w="29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 2023</w:t>
            </w:r>
          </w:p>
        </w:tc>
      </w:tr>
      <w:tr>
        <w:trPr>
          <w:trHeight w:val="223"/>
        </w:trPr>
        <w:tc>
          <w:tcPr>
            <w:tcW w:w="49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Premiums Written</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Earned</w:t>
            </w:r>
          </w:p>
        </w:tc>
        <w:tc>
          <w:tcPr>
            <w:tcW w:w="2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Premiums Written</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Earned</w:t>
            </w:r>
          </w:p>
        </w:tc>
        <w:tc>
          <w:tcPr>
            <w:tcW w:w="100" w:type="dxa"/>
            <w:vAlign w:val="bottom"/>
          </w:tcPr>
          <w:p>
            <w:pPr>
              <w:spacing w:after="0"/>
              <w:rPr>
                <w:sz w:val="19"/>
                <w:szCs w:val="19"/>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144,250</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234,806</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191,636</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Assumed premium</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2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(20,439)</w:t>
            </w:r>
          </w:p>
        </w:tc>
        <w:tc>
          <w:tcPr>
            <w:tcW w:w="46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(12,843)</w:t>
            </w:r>
          </w:p>
        </w:tc>
        <w:tc>
          <w:tcPr>
            <w:tcW w:w="16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(28,898)</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(21,266)</w:t>
            </w:r>
          </w:p>
        </w:tc>
      </w:tr>
      <w:tr>
        <w:trPr>
          <w:trHeight w:val="20"/>
        </w:trPr>
        <w:tc>
          <w:tcPr>
            <w:tcW w:w="49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Net premiums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126,251</w:t>
            </w:r>
          </w:p>
        </w:tc>
        <w:tc>
          <w:tcPr>
            <w:tcW w:w="1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94,146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208,747</w:t>
            </w:r>
          </w:p>
        </w:tc>
        <w:tc>
          <w:tcPr>
            <w:tcW w:w="1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171,773</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Three Months Ended June 30, 2022</w:t>
            </w:r>
          </w:p>
        </w:tc>
        <w:tc>
          <w:tcPr>
            <w:tcW w:w="200" w:type="dxa"/>
            <w:vAlign w:val="bottom"/>
          </w:tcPr>
          <w:p>
            <w:pPr>
              <w:spacing w:after="0"/>
              <w:rPr>
                <w:sz w:val="20"/>
                <w:szCs w:val="20"/>
                <w:color w:val="auto"/>
              </w:rPr>
            </w:pPr>
          </w:p>
        </w:tc>
        <w:tc>
          <w:tcPr>
            <w:tcW w:w="3120" w:type="dxa"/>
            <w:vAlign w:val="bottom"/>
            <w:gridSpan w:val="11"/>
          </w:tcPr>
          <w:p>
            <w:pPr>
              <w:ind w:left="260"/>
              <w:spacing w:after="0"/>
              <w:rPr>
                <w:sz w:val="20"/>
                <w:szCs w:val="20"/>
                <w:color w:val="auto"/>
              </w:rPr>
            </w:pPr>
            <w:r>
              <w:rPr>
                <w:rFonts w:ascii="Arial" w:cs="Arial" w:eastAsia="Arial" w:hAnsi="Arial"/>
                <w:sz w:val="18"/>
                <w:szCs w:val="18"/>
                <w:b w:val="1"/>
                <w:bCs w:val="1"/>
                <w:color w:val="auto"/>
              </w:rPr>
              <w:t>Six Months Ended June 30, 2022</w:t>
            </w:r>
          </w:p>
        </w:tc>
      </w:tr>
      <w:tr>
        <w:trPr>
          <w:trHeight w:val="223"/>
        </w:trPr>
        <w:tc>
          <w:tcPr>
            <w:tcW w:w="49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Written</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Premiums Earned</w:t>
            </w:r>
          </w:p>
        </w:tc>
        <w:tc>
          <w:tcPr>
            <w:tcW w:w="200" w:type="dxa"/>
            <w:vAlign w:val="bottom"/>
          </w:tcPr>
          <w:p>
            <w:pPr>
              <w:spacing w:after="0"/>
              <w:rPr>
                <w:sz w:val="19"/>
                <w:szCs w:val="19"/>
                <w:color w:val="auto"/>
              </w:rPr>
            </w:pPr>
          </w:p>
        </w:tc>
        <w:tc>
          <w:tcPr>
            <w:tcW w:w="14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Premiums Written</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Premiums Earned</w:t>
            </w:r>
          </w:p>
        </w:tc>
        <w:tc>
          <w:tcPr>
            <w:tcW w:w="80" w:type="dxa"/>
            <w:vAlign w:val="bottom"/>
          </w:tcPr>
          <w:p>
            <w:pPr>
              <w:spacing w:after="0"/>
              <w:rPr>
                <w:sz w:val="19"/>
                <w:szCs w:val="19"/>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94,251</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220,495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167,650</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Assumed premium</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8"/>
                <w:szCs w:val="18"/>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2"/>
              </w:rPr>
              <w:t>(11,446)</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(25,835)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(17,119)</w:t>
            </w: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Net premiums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84,496</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199,747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154,083</w:t>
            </w: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460" w:type="dxa"/>
            <w:vAlign w:val="bottom"/>
            <w:gridSpan w:val="4"/>
          </w:tcPr>
          <w:p>
            <w:pPr>
              <w:spacing w:after="0"/>
              <w:rPr>
                <w:sz w:val="20"/>
                <w:szCs w:val="20"/>
                <w:color w:val="auto"/>
              </w:rPr>
            </w:pPr>
            <w:r>
              <w:rPr>
                <w:rFonts w:ascii="Arial" w:cs="Arial" w:eastAsia="Arial" w:hAnsi="Arial"/>
                <w:sz w:val="18"/>
                <w:szCs w:val="18"/>
                <w:color w:val="auto"/>
                <w:w w:val="98"/>
              </w:rPr>
              <w:t>A reconciliation of direct to net losses and loss adjustment expenses is as follows: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gridSpan w:val="8"/>
          </w:tcPr>
          <w:p>
            <w:pPr>
              <w:jc w:val="right"/>
              <w:ind w:right="240"/>
              <w:spacing w:after="0"/>
              <w:rPr>
                <w:sz w:val="20"/>
                <w:szCs w:val="20"/>
                <w:color w:val="auto"/>
              </w:rPr>
            </w:pPr>
            <w:r>
              <w:rPr>
                <w:rFonts w:ascii="Arial" w:cs="Arial" w:eastAsia="Arial" w:hAnsi="Arial"/>
                <w:sz w:val="18"/>
                <w:szCs w:val="18"/>
                <w:b w:val="1"/>
                <w:bCs w:val="1"/>
                <w:color w:val="auto"/>
                <w:w w:val="88"/>
              </w:rPr>
              <w:t>Three Months Ended June 30,</w:t>
            </w:r>
          </w:p>
        </w:tc>
        <w:tc>
          <w:tcPr>
            <w:tcW w:w="2380" w:type="dxa"/>
            <w:vAlign w:val="bottom"/>
            <w:gridSpan w:val="9"/>
          </w:tcPr>
          <w:p>
            <w:pPr>
              <w:jc w:val="right"/>
              <w:ind w:right="20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95,149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166,010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156,165</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1,545</w:t>
            </w:r>
          </w:p>
        </w:tc>
        <w:tc>
          <w:tcPr>
            <w:tcW w:w="80" w:type="dxa"/>
            <w:vAlign w:val="bottom"/>
          </w:tcPr>
          <w:p>
            <w:pPr>
              <w:spacing w:after="0"/>
              <w:rPr>
                <w:sz w:val="18"/>
                <w:szCs w:val="18"/>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(17,710)</w:t>
            </w: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(29,836)</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(8,986)</w:t>
            </w:r>
          </w:p>
        </w:tc>
      </w:tr>
      <w:tr>
        <w:trPr>
          <w:trHeight w:val="20"/>
        </w:trPr>
        <w:tc>
          <w:tcPr>
            <w:tcW w:w="4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Net losses and loss adjustment expenses</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77,506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136,331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148,724</w:t>
            </w: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540"/>
        <w:spacing w:after="0" w:line="277" w:lineRule="auto"/>
        <w:rPr>
          <w:sz w:val="20"/>
          <w:szCs w:val="20"/>
          <w:color w:val="auto"/>
        </w:rPr>
      </w:pPr>
      <w:r>
        <w:rPr>
          <w:rFonts w:ascii="Arial" w:cs="Arial" w:eastAsia="Arial" w:hAnsi="Arial"/>
          <w:sz w:val="18"/>
          <w:szCs w:val="18"/>
          <w:color w:val="auto"/>
        </w:rPr>
        <w:t>If 100% of our ceded reinsurance was cancelled as of June 30, 2023, or December 31, 2022, no ceded commissions would need to be returned to the reinsurers. Reinsurance contracts are typically effective from January 1 through December 31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Reinsurance Pooling Arrangement</w:t>
      </w:r>
    </w:p>
    <w:p>
      <w:pPr>
        <w:spacing w:after="0" w:line="185" w:lineRule="exact"/>
        <w:rPr>
          <w:sz w:val="20"/>
          <w:szCs w:val="20"/>
          <w:color w:val="auto"/>
        </w:rPr>
      </w:pPr>
    </w:p>
    <w:p>
      <w:pPr>
        <w:ind w:left="20" w:right="100"/>
        <w:spacing w:after="0" w:line="255"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2023, and the year ended December 31, 2022, the pooling share percentages by insurance company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3"/>
          </w:tcPr>
          <w:p>
            <w:pPr>
              <w:ind w:left="5580"/>
              <w:spacing w:after="0"/>
              <w:rPr>
                <w:sz w:val="20"/>
                <w:szCs w:val="20"/>
                <w:color w:val="auto"/>
              </w:rPr>
            </w:pPr>
            <w:r>
              <w:rPr>
                <w:rFonts w:ascii="Arial" w:cs="Arial" w:eastAsia="Arial" w:hAnsi="Arial"/>
                <w:sz w:val="18"/>
                <w:szCs w:val="18"/>
                <w:b w:val="1"/>
                <w:bCs w:val="1"/>
                <w:color w:val="auto"/>
                <w:w w:val="93"/>
              </w:rPr>
              <w:t>Pool Percentage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55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55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Arial" w:cs="Arial" w:eastAsia="Arial" w:hAnsi="Arial"/>
                <w:sz w:val="18"/>
                <w:szCs w:val="18"/>
                <w:color w:val="auto"/>
              </w:rPr>
              <w:t>17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3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02"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0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Three Months Ended June 30,</w:t>
            </w:r>
          </w:p>
        </w:tc>
        <w:tc>
          <w:tcPr>
            <w:tcW w:w="80" w:type="dxa"/>
            <w:vAlign w:val="bottom"/>
          </w:tcPr>
          <w:p>
            <w:pPr>
              <w:spacing w:after="0"/>
              <w:rPr>
                <w:sz w:val="20"/>
                <w:szCs w:val="20"/>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6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20,889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37,837</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(31,867)</w:t>
            </w:r>
          </w:p>
        </w:tc>
      </w:tr>
      <w:tr>
        <w:trPr>
          <w:trHeight w:val="20"/>
        </w:trPr>
        <w:tc>
          <w:tcPr>
            <w:tcW w:w="6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34,124</w:t>
            </w:r>
          </w:p>
        </w:tc>
        <w:tc>
          <w:tcPr>
            <w:tcW w:w="120" w:type="dxa"/>
            <w:vAlign w:val="bottom"/>
          </w:tcPr>
          <w:p>
            <w:pPr>
              <w:spacing w:after="0"/>
              <w:rPr>
                <w:sz w:val="20"/>
                <w:szCs w:val="20"/>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30,917</w:t>
            </w:r>
          </w:p>
        </w:tc>
        <w:tc>
          <w:tcPr>
            <w:tcW w:w="3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34,124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p>
      <w:pPr>
        <w:spacing w:after="0" w:line="194"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17145</wp:posOffset>
            </wp:positionV>
            <wp:extent cx="1722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6" w:lineRule="exact"/>
        <w:rPr>
          <w:sz w:val="20"/>
          <w:szCs w:val="20"/>
          <w:color w:val="auto"/>
        </w:rPr>
      </w:pPr>
    </w:p>
    <w:p>
      <w:pPr>
        <w:ind w:left="8860"/>
        <w:spacing w:after="0"/>
        <w:tabs>
          <w:tab w:leader="none" w:pos="103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beginning of period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190,459</w:t>
            </w:r>
          </w:p>
        </w:tc>
        <w:tc>
          <w:tcPr>
            <w:tcW w:w="12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139,662</w:t>
            </w:r>
          </w:p>
        </w:tc>
      </w:tr>
      <w:tr>
        <w:trPr>
          <w:trHeight w:val="230"/>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37,575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21,200</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118,462</w:t>
            </w:r>
          </w:p>
        </w:tc>
      </w:tr>
    </w:tbl>
    <w:p>
      <w:pPr>
        <w:spacing w:after="0" w:line="20" w:lineRule="exact"/>
        <w:rPr>
          <w:sz w:val="20"/>
          <w:szCs w:val="20"/>
          <w:color w:val="auto"/>
        </w:rPr>
      </w:pPr>
    </w:p>
    <w:p>
      <w:pPr>
        <w:sectPr>
          <w:pgSz w:w="11900" w:h="16838" w:orient="portrait"/>
          <w:cols w:equalWidth="0" w:num="2">
            <w:col w:w="7700" w:space="720"/>
            <w:col w:w="282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Incurred related to: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157,214</w:t>
            </w:r>
          </w:p>
        </w:tc>
        <w:tc>
          <w:tcPr>
            <w:tcW w:w="100" w:type="dxa"/>
            <w:vAlign w:val="bottom"/>
            <w:shd w:val="clear" w:color="auto" w:fill="CCEEFF"/>
          </w:tcPr>
          <w:p>
            <w:pPr>
              <w:spacing w:after="0"/>
              <w:rPr>
                <w:sz w:val="18"/>
                <w:szCs w:val="18"/>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9,477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(8,490)</w:t>
            </w:r>
          </w:p>
        </w:tc>
      </w:tr>
      <w:tr>
        <w:trPr>
          <w:trHeight w:val="210"/>
        </w:trPr>
        <w:tc>
          <w:tcPr>
            <w:tcW w:w="84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incurred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8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50,010</w:t>
            </w:r>
          </w:p>
        </w:tc>
        <w:tc>
          <w:tcPr>
            <w:tcW w:w="1260" w:type="dxa"/>
            <w:vAlign w:val="bottom"/>
          </w:tcPr>
          <w:p>
            <w:pPr>
              <w:jc w:val="right"/>
              <w:spacing w:after="0"/>
              <w:rPr>
                <w:sz w:val="20"/>
                <w:szCs w:val="20"/>
                <w:color w:val="auto"/>
              </w:rPr>
            </w:pPr>
            <w:r>
              <w:rPr>
                <w:rFonts w:ascii="Arial" w:cs="Arial" w:eastAsia="Arial" w:hAnsi="Arial"/>
                <w:sz w:val="18"/>
                <w:szCs w:val="18"/>
                <w:color w:val="auto"/>
              </w:rPr>
              <w:t>59,634</w:t>
            </w:r>
          </w:p>
        </w:tc>
        <w:tc>
          <w:tcPr>
            <w:tcW w:w="100" w:type="dxa"/>
            <w:vAlign w:val="bottom"/>
          </w:tcPr>
          <w:p>
            <w:pPr>
              <w:spacing w:after="0"/>
              <w:rPr>
                <w:sz w:val="18"/>
                <w:szCs w:val="18"/>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60,675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41,717</w:t>
            </w:r>
          </w:p>
        </w:tc>
        <w:tc>
          <w:tcPr>
            <w:tcW w:w="100" w:type="dxa"/>
            <w:vAlign w:val="bottom"/>
            <w:shd w:val="clear" w:color="auto" w:fill="CCEEFF"/>
          </w:tcPr>
          <w:p>
            <w:pPr>
              <w:spacing w:after="0"/>
              <w:rPr>
                <w:sz w:val="19"/>
                <w:szCs w:val="19"/>
                <w:color w:val="auto"/>
              </w:rPr>
            </w:pPr>
          </w:p>
        </w:tc>
      </w:tr>
      <w:tr>
        <w:trPr>
          <w:trHeight w:val="210"/>
        </w:trPr>
        <w:tc>
          <w:tcPr>
            <w:tcW w:w="8420" w:type="dxa"/>
            <w:vAlign w:val="bottom"/>
          </w:tcPr>
          <w:p>
            <w:pPr>
              <w:ind w:left="260"/>
              <w:spacing w:after="0"/>
              <w:rPr>
                <w:sz w:val="20"/>
                <w:szCs w:val="20"/>
                <w:color w:val="auto"/>
              </w:rPr>
            </w:pPr>
            <w:r>
              <w:rPr>
                <w:rFonts w:ascii="Arial" w:cs="Arial" w:eastAsia="Arial" w:hAnsi="Arial"/>
                <w:sz w:val="18"/>
                <w:szCs w:val="18"/>
                <w:color w:val="auto"/>
              </w:rPr>
              <w:t>Total paid</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110,685</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101,351</w:t>
            </w:r>
          </w:p>
        </w:tc>
        <w:tc>
          <w:tcPr>
            <w:tcW w:w="100" w:type="dxa"/>
            <w:vAlign w:val="bottom"/>
          </w:tcPr>
          <w:p>
            <w:pPr>
              <w:spacing w:after="0"/>
              <w:rPr>
                <w:sz w:val="18"/>
                <w:szCs w:val="18"/>
                <w:color w:val="auto"/>
              </w:rPr>
            </w:pPr>
          </w:p>
        </w:tc>
      </w:tr>
      <w:tr>
        <w:trPr>
          <w:trHeight w:val="210"/>
        </w:trPr>
        <w:tc>
          <w:tcPr>
            <w:tcW w:w="8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182,876</w:t>
            </w:r>
          </w:p>
        </w:tc>
      </w:tr>
      <w:tr>
        <w:trPr>
          <w:trHeight w:val="230"/>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53,508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17,041</w:t>
            </w:r>
          </w:p>
        </w:tc>
      </w:tr>
      <w:tr>
        <w:trPr>
          <w:trHeight w:val="223"/>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165,835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2820"/>
          </w:cols>
          <w:pgMar w:left="320" w:top="233" w:right="339" w:bottom="1440" w:gutter="0" w:footer="0" w:header="0"/>
          <w:type w:val="continuous"/>
        </w:sectPr>
      </w:pPr>
    </w:p>
    <w:p>
      <w:pPr>
        <w:spacing w:after="0" w:line="2" w:lineRule="exact"/>
        <w:rPr>
          <w:sz w:val="20"/>
          <w:szCs w:val="20"/>
          <w:color w:val="auto"/>
        </w:rPr>
      </w:pPr>
    </w:p>
    <w:p>
      <w:pPr>
        <w:ind w:left="20" w:right="280"/>
        <w:spacing w:after="0" w:line="259" w:lineRule="auto"/>
        <w:rPr>
          <w:sz w:val="20"/>
          <w:szCs w:val="20"/>
          <w:color w:val="auto"/>
        </w:rPr>
      </w:pPr>
      <w:r>
        <w:rPr>
          <w:rFonts w:ascii="Arial" w:cs="Arial" w:eastAsia="Arial" w:hAnsi="Arial"/>
          <w:sz w:val="18"/>
          <w:szCs w:val="18"/>
          <w:color w:val="auto"/>
        </w:rPr>
        <w:t>During the six months ended June 30, 2023, the Company’s incurred reported losses and loss adjustment expenses included $9,477 of net unfavorable development on prior accident years, primarily attributable to Direct Auto and Westminster. During the six months ended June 30, 2022, the Company’s incurred reported losses and loss adjustment expenses included $8,490 of net favorable development on prior accident years, primarily attributable to Direct Auto, Battle Creek, and American West.</w:t>
      </w:r>
    </w:p>
    <w:p>
      <w:pPr>
        <w:spacing w:after="0" w:line="160" w:lineRule="exact"/>
        <w:rPr>
          <w:sz w:val="20"/>
          <w:szCs w:val="20"/>
          <w:color w:val="auto"/>
        </w:rPr>
      </w:pPr>
    </w:p>
    <w:p>
      <w:pPr>
        <w:ind w:left="20" w:right="40"/>
        <w:spacing w:after="0" w:line="277" w:lineRule="auto"/>
        <w:rPr>
          <w:sz w:val="20"/>
          <w:szCs w:val="20"/>
          <w:color w:val="auto"/>
        </w:rPr>
      </w:pPr>
      <w:r>
        <w:rPr>
          <w:rFonts w:ascii="Arial" w:cs="Arial" w:eastAsia="Arial" w:hAnsi="Arial"/>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6040" w:type="dxa"/>
            <w:vAlign w:val="bottom"/>
          </w:tcPr>
          <w:p>
            <w:pPr>
              <w:ind w:left="500"/>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620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June 30, 2023</w:t>
            </w: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2022</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10"/>
        </w:trPr>
        <w:tc>
          <w:tcPr>
            <w:tcW w:w="6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Land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1,403</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4"/>
              </w:rPr>
              <w:t>indefinite</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43 years</w:t>
            </w:r>
          </w:p>
        </w:tc>
      </w:tr>
      <w:tr>
        <w:trPr>
          <w:trHeight w:val="216"/>
        </w:trPr>
        <w:tc>
          <w:tcPr>
            <w:tcW w:w="16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Electronic data processing equipment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1,310</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12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16"/>
        </w:trPr>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229"/>
        </w:trPr>
        <w:tc>
          <w:tcPr>
            <w:tcW w:w="1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Automobiles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1,310</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120" w:type="dxa"/>
            <w:vAlign w:val="bottom"/>
          </w:tcPr>
          <w:p>
            <w:pPr>
              <w:ind w:left="20"/>
              <w:spacing w:after="0"/>
              <w:rPr>
                <w:sz w:val="20"/>
                <w:szCs w:val="20"/>
                <w:color w:val="auto"/>
              </w:rPr>
            </w:pPr>
            <w:r>
              <w:rPr>
                <w:rFonts w:ascii="Arial" w:cs="Arial" w:eastAsia="Arial" w:hAnsi="Arial"/>
                <w:sz w:val="18"/>
                <w:szCs w:val="18"/>
                <w:color w:val="auto"/>
              </w:rPr>
              <w:t>– 3 years</w:t>
            </w:r>
          </w:p>
        </w:tc>
      </w:tr>
      <w:tr>
        <w:trPr>
          <w:trHeight w:val="209"/>
        </w:trPr>
        <w:tc>
          <w:tcPr>
            <w:tcW w:w="16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cost</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21,816</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(11,540)</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10,276</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9,843</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Depreciation expense was $188 and $176 for the three months ended June 30, 2023 and 2022, respectively, and $370 and $344 for the six months ended June 30, 2023 and 2022, respectively.</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9.</w:t>
            </w:r>
          </w:p>
        </w:tc>
        <w:tc>
          <w:tcPr>
            <w:tcW w:w="6660" w:type="dxa"/>
            <w:vAlign w:val="bottom"/>
          </w:tcPr>
          <w:p>
            <w:pPr>
              <w:ind w:left="500"/>
              <w:spacing w:after="0"/>
              <w:rPr>
                <w:sz w:val="20"/>
                <w:szCs w:val="20"/>
                <w:color w:val="auto"/>
              </w:rPr>
            </w:pPr>
            <w:r>
              <w:rPr>
                <w:rFonts w:ascii="Arial" w:cs="Arial" w:eastAsia="Arial" w:hAnsi="Arial"/>
                <w:sz w:val="18"/>
                <w:szCs w:val="18"/>
                <w:b w:val="1"/>
                <w:bCs w:val="1"/>
                <w:color w:val="auto"/>
              </w:rPr>
              <w:t>Goodwill and Other Intangibles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682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the carrying amount of the Company’s goodwill by segment: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7"/>
              </w:rPr>
              <w:t>June 30, 2023</w:t>
            </w:r>
          </w:p>
        </w:tc>
        <w:tc>
          <w:tcPr>
            <w:tcW w:w="220" w:type="dxa"/>
            <w:vAlign w:val="bottom"/>
          </w:tcPr>
          <w:p>
            <w:pPr>
              <w:spacing w:after="0"/>
              <w:rPr>
                <w:sz w:val="24"/>
                <w:szCs w:val="24"/>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2022</w:t>
            </w:r>
          </w:p>
        </w:tc>
        <w:tc>
          <w:tcPr>
            <w:tcW w:w="100" w:type="dxa"/>
            <w:vAlign w:val="bottom"/>
          </w:tcPr>
          <w:p>
            <w:pPr>
              <w:spacing w:after="0"/>
              <w:rPr>
                <w:sz w:val="24"/>
                <w:szCs w:val="24"/>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2,628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r>
      <w:tr>
        <w:trPr>
          <w:trHeight w:val="229"/>
        </w:trPr>
        <w:tc>
          <w:tcPr>
            <w:tcW w:w="6820" w:type="dxa"/>
            <w:vAlign w:val="bottom"/>
            <w:gridSpan w:val="2"/>
          </w:tcPr>
          <w:p>
            <w:pPr>
              <w:spacing w:after="0"/>
              <w:rPr>
                <w:sz w:val="20"/>
                <w:szCs w:val="20"/>
                <w:color w:val="auto"/>
              </w:rPr>
            </w:pPr>
            <w:r>
              <w:rPr>
                <w:rFonts w:ascii="Arial" w:cs="Arial" w:eastAsia="Arial" w:hAnsi="Arial"/>
                <w:sz w:val="18"/>
                <w:szCs w:val="18"/>
                <w:color w:val="auto"/>
              </w:rPr>
              <w:t>Commercial from acquisition of Westminster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6,756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r>
      <w:tr>
        <w:trPr>
          <w:trHeight w:val="263"/>
        </w:trPr>
        <w:tc>
          <w:tcPr>
            <w:tcW w:w="6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413"/>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82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carrying amount of the Company’s other intangible assets: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r>
      <w:tr>
        <w:trPr>
          <w:trHeight w:val="209"/>
        </w:trPr>
        <w:tc>
          <w:tcPr>
            <w:tcW w:w="6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w w:val="86"/>
              </w:rPr>
              <w:t>748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r>
      <w:tr>
        <w:trPr>
          <w:trHeight w:val="230"/>
        </w:trPr>
        <w:tc>
          <w:tcPr>
            <w:tcW w:w="160" w:type="dxa"/>
            <w:vAlign w:val="bottom"/>
            <w:shd w:val="clear" w:color="auto" w:fill="CCEEFF"/>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network</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8"/>
              </w:rPr>
              <w:t>6,700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r>
      <w:tr>
        <w:trPr>
          <w:trHeight w:val="209"/>
        </w:trPr>
        <w:tc>
          <w:tcPr>
            <w:tcW w:w="160" w:type="dxa"/>
            <w:vAlign w:val="bottom"/>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Total subject to amortization</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84"/>
              </w:rPr>
              <w:t>7,448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subject to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State insurance licenses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w w:val="88"/>
              </w:rPr>
              <w:t>1,900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9,348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r>
      <w:tr>
        <w:trPr>
          <w:trHeight w:val="210"/>
        </w:trPr>
        <w:tc>
          <w:tcPr>
            <w:tcW w:w="6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w w:val="86"/>
              </w:rPr>
              <w:t>748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r>
      <w:tr>
        <w:trPr>
          <w:trHeight w:val="230"/>
        </w:trPr>
        <w:tc>
          <w:tcPr>
            <w:tcW w:w="160" w:type="dxa"/>
            <w:vAlign w:val="bottom"/>
            <w:shd w:val="clear" w:color="auto" w:fill="CCEEFF"/>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network</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8"/>
              </w:rPr>
              <w:t>6,700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6660" w:type="dxa"/>
            <w:vAlign w:val="bottom"/>
          </w:tcPr>
          <w:p>
            <w:pPr>
              <w:ind w:left="180"/>
              <w:spacing w:after="0"/>
              <w:rPr>
                <w:sz w:val="20"/>
                <w:szCs w:val="20"/>
                <w:color w:val="auto"/>
              </w:rPr>
            </w:pPr>
            <w:r>
              <w:rPr>
                <w:rFonts w:ascii="Arial" w:cs="Arial" w:eastAsia="Arial" w:hAnsi="Arial"/>
                <w:sz w:val="18"/>
                <w:szCs w:val="18"/>
                <w:color w:val="auto"/>
              </w:rPr>
              <w:t>Total subject to amortization</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84"/>
              </w:rPr>
              <w:t>7,448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subject to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State insurance license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w w:val="88"/>
              </w:rPr>
              <w:t>1,900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9,348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was $118 and $118 for the three months ended June 30, 2023 and 2022, respectively, and $236 and $236 for the six months ended June 30, 2023 and 2022, respectively.</w:t>
      </w:r>
    </w:p>
    <w:p>
      <w:pPr>
        <w:spacing w:after="0" w:line="130"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June 30, 2023, the estimated amortization of other intangible assets with finite lives for each of the five years in the period ending December 31, 2027, and thereafter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ind w:left="560"/>
              <w:spacing w:after="0"/>
              <w:rPr>
                <w:sz w:val="20"/>
                <w:szCs w:val="20"/>
                <w:color w:val="auto"/>
              </w:rPr>
            </w:pPr>
            <w:r>
              <w:rPr>
                <w:rFonts w:ascii="Arial" w:cs="Arial" w:eastAsia="Arial" w:hAnsi="Arial"/>
                <w:sz w:val="18"/>
                <w:szCs w:val="18"/>
                <w:b w:val="1"/>
                <w:bCs w:val="1"/>
                <w:color w:val="auto"/>
              </w:rPr>
              <w:t>Year ending December 31,</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 (six months remaining)</w:t>
            </w:r>
          </w:p>
        </w:tc>
        <w:tc>
          <w:tcPr>
            <w:tcW w:w="4640" w:type="dxa"/>
            <w:vAlign w:val="bottom"/>
            <w:tcBorders>
              <w:top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2024</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2026</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intangible assets with finite lives</w:t>
            </w:r>
          </w:p>
        </w:tc>
        <w:tc>
          <w:tcPr>
            <w:tcW w:w="5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357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Royalties, Dividends, and Affiliations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185" w:lineRule="exact"/>
        <w:rPr>
          <w:sz w:val="20"/>
          <w:szCs w:val="20"/>
          <w:color w:val="auto"/>
        </w:rPr>
      </w:pPr>
    </w:p>
    <w:p>
      <w:pPr>
        <w:ind w:left="20" w:right="40"/>
        <w:spacing w:after="0" w:line="257" w:lineRule="auto"/>
        <w:rPr>
          <w:sz w:val="20"/>
          <w:szCs w:val="20"/>
          <w:color w:val="auto"/>
        </w:rPr>
      </w:pPr>
      <w:r>
        <w:rPr>
          <w:rFonts w:ascii="Arial" w:cs="Arial" w:eastAsia="Arial" w:hAnsi="Arial"/>
          <w:sz w:val="18"/>
          <w:szCs w:val="18"/>
          <w:color w:val="auto"/>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$442 and $405 during the three months ended June 30, 2023 and 2022, respectively, and $799 and $744 for the six months ended June 30, 2023 and 2022, respectively. Royalty amounts payable of $167 and $119 were accrued as a liability to the NDFB at June 30, 2023, and December 31, 2022,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2022, exceeded the amount of statutory capital and surplus necessary to satisfy risk-based capital requirements by a significant margin.</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information regarding the availability of subsidiaries to pay dividends to NI Holdings during 2023, see Item II, Part 8, Note 12 “Related Party Transactions” section of the 2022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198"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The following tables disclose the standalone balance sheets and statements of operations of Battle Creek, prior to intercompany eliminations, to illustrate the impact of including Battle Creek in our Consolidated Balance Sheets and Statements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2023</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2022</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4,321</w:t>
            </w:r>
          </w:p>
        </w:tc>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13,931</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r>
      <w:tr>
        <w:trPr>
          <w:trHeight w:val="256"/>
        </w:trPr>
        <w:tc>
          <w:tcPr>
            <w:tcW w:w="576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12,641</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22"/>
                <w:szCs w:val="22"/>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Income tax recoverable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r>
      <w:tr>
        <w:trPr>
          <w:trHeight w:val="230"/>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7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38,415</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38,407</w:t>
            </w:r>
          </w:p>
        </w:tc>
        <w:tc>
          <w:tcPr>
            <w:tcW w:w="100" w:type="dxa"/>
            <w:vAlign w:val="bottom"/>
          </w:tcPr>
          <w:p>
            <w:pPr>
              <w:spacing w:after="0"/>
              <w:rPr>
                <w:sz w:val="19"/>
                <w:szCs w:val="19"/>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6"/>
        </w:trPr>
        <w:tc>
          <w:tcPr>
            <w:tcW w:w="576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Liabilities: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8"/>
                <w:szCs w:val="18"/>
                <w:color w:val="auto"/>
              </w:rPr>
            </w:pPr>
          </w:p>
        </w:tc>
      </w:tr>
      <w:tr>
        <w:trPr>
          <w:trHeight w:val="270"/>
        </w:trPr>
        <w:tc>
          <w:tcPr>
            <w:tcW w:w="57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r>
      <w:tr>
        <w:trPr>
          <w:trHeight w:val="256"/>
        </w:trPr>
        <w:tc>
          <w:tcPr>
            <w:tcW w:w="576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9"/>
                <w:szCs w:val="29"/>
                <w:color w:val="auto"/>
                <w:vertAlign w:val="superscript"/>
              </w:rPr>
              <w:t>(1)</w:t>
            </w:r>
          </w:p>
        </w:tc>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7,699</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2"/>
                <w:szCs w:val="22"/>
                <w:color w:val="auto"/>
              </w:rPr>
            </w:pPr>
          </w:p>
        </w:tc>
      </w:tr>
      <w:tr>
        <w:trPr>
          <w:trHeight w:val="270"/>
        </w:trPr>
        <w:tc>
          <w:tcPr>
            <w:tcW w:w="57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2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13,783</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shd w:val="clear" w:color="auto" w:fill="CCEEFF"/>
          </w:tcPr>
          <w:p>
            <w:pPr>
              <w:spacing w:after="0"/>
              <w:rPr>
                <w:sz w:val="23"/>
                <w:szCs w:val="23"/>
                <w:color w:val="auto"/>
              </w:rPr>
            </w:pPr>
          </w:p>
        </w:tc>
      </w:tr>
      <w:tr>
        <w:trPr>
          <w:trHeight w:val="230"/>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tcPr>
          <w:p>
            <w:pPr>
              <w:spacing w:after="0"/>
              <w:rPr>
                <w:sz w:val="19"/>
                <w:szCs w:val="19"/>
                <w:color w:val="auto"/>
              </w:rPr>
            </w:pPr>
          </w:p>
        </w:tc>
      </w:tr>
      <w:tr>
        <w:trPr>
          <w:trHeight w:val="210"/>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36,481</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36,177</w:t>
            </w:r>
          </w:p>
        </w:tc>
        <w:tc>
          <w:tcPr>
            <w:tcW w:w="100" w:type="dxa"/>
            <w:vAlign w:val="bottom"/>
            <w:shd w:val="clear" w:color="auto" w:fill="CCEEFF"/>
          </w:tcPr>
          <w:p>
            <w:pPr>
              <w:spacing w:after="0"/>
              <w:rPr>
                <w:sz w:val="18"/>
                <w:szCs w:val="18"/>
                <w:color w:val="auto"/>
              </w:rPr>
            </w:pPr>
          </w:p>
        </w:tc>
      </w:tr>
      <w:tr>
        <w:trPr>
          <w:trHeight w:val="209"/>
        </w:trPr>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4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tcPr>
          <w:p>
            <w:pPr>
              <w:spacing w:after="0"/>
              <w:rPr>
                <w:sz w:val="19"/>
                <w:szCs w:val="19"/>
                <w:color w:val="auto"/>
              </w:rPr>
            </w:pPr>
          </w:p>
        </w:tc>
      </w:tr>
      <w:tr>
        <w:trPr>
          <w:trHeight w:val="210"/>
        </w:trPr>
        <w:tc>
          <w:tcPr>
            <w:tcW w:w="5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2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equity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38,407</w:t>
            </w:r>
          </w:p>
        </w:tc>
        <w:tc>
          <w:tcPr>
            <w:tcW w:w="100" w:type="dxa"/>
            <w:vAlign w:val="bottom"/>
            <w:shd w:val="clear" w:color="auto" w:fill="CCEEFF"/>
          </w:tcPr>
          <w:p>
            <w:pPr>
              <w:spacing w:after="0"/>
              <w:rPr>
                <w:sz w:val="21"/>
                <w:szCs w:val="2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hanging="26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fully eliminated in consolidation.</w:t>
      </w:r>
    </w:p>
    <w:p>
      <w:pPr>
        <w:spacing w:after="0" w:line="23" w:lineRule="exact"/>
        <w:rPr>
          <w:rFonts w:ascii="Arial" w:cs="Arial" w:eastAsia="Arial" w:hAnsi="Arial"/>
          <w:sz w:val="18"/>
          <w:szCs w:val="18"/>
          <w:color w:val="auto"/>
        </w:rPr>
      </w:pPr>
    </w:p>
    <w:p>
      <w:pPr>
        <w:ind w:left="660" w:hanging="26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partly eliminated in consolidation.</w:t>
      </w:r>
    </w:p>
    <w:p>
      <w:pPr>
        <w:sectPr>
          <w:pgSz w:w="11900" w:h="16838" w:orient="portrait"/>
          <w:cols w:equalWidth="0" w:num="1">
            <w:col w:w="11240"/>
          </w:cols>
          <w:pgMar w:left="320" w:top="233" w:right="339" w:bottom="1440" w:gutter="0" w:footer="0" w:header="0"/>
        </w:sect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June 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6"/>
          </w:tcPr>
          <w:p>
            <w:pPr>
              <w:jc w:val="right"/>
              <w:ind w:right="161"/>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6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1,882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1,690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3,435</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and other income (expenses)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1,969</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r>
      <w:tr>
        <w:trPr>
          <w:trHeight w:val="209"/>
        </w:trPr>
        <w:tc>
          <w:tcPr>
            <w:tcW w:w="6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6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2,171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r>
        <w:trPr>
          <w:trHeight w:val="229"/>
        </w:trPr>
        <w:tc>
          <w:tcPr>
            <w:tcW w:w="6280" w:type="dxa"/>
            <w:vAlign w:val="bottom"/>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22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r>
        <w:trPr>
          <w:trHeight w:val="210"/>
        </w:trPr>
        <w:tc>
          <w:tcPr>
            <w:tcW w:w="6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(770)</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(174)</w:t>
            </w:r>
          </w:p>
        </w:tc>
      </w:tr>
      <w:tr>
        <w:trPr>
          <w:trHeight w:val="263"/>
        </w:trPr>
        <w:tc>
          <w:tcPr>
            <w:tcW w:w="6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bl>
    <w:p>
      <w:pPr>
        <w:spacing w:after="0" w:line="37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2" w:lineRule="exact"/>
        <w:rPr>
          <w:sz w:val="20"/>
          <w:szCs w:val="20"/>
          <w:color w:val="auto"/>
        </w:rPr>
      </w:pPr>
    </w:p>
    <w:p>
      <w:pPr>
        <w:ind w:left="20" w:right="200"/>
        <w:spacing w:after="0" w:line="259" w:lineRule="auto"/>
        <w:rPr>
          <w:sz w:val="20"/>
          <w:szCs w:val="20"/>
          <w:color w:val="auto"/>
        </w:rPr>
      </w:pPr>
      <w:r>
        <w:rPr>
          <w:rFonts w:ascii="Arial" w:cs="Arial" w:eastAsia="Arial" w:hAnsi="Arial"/>
          <w:sz w:val="18"/>
          <w:szCs w:val="18"/>
          <w:color w:val="auto"/>
        </w:rPr>
        <w:t>Nodak Insurance sponsors a 401(k) plan with an automatic and matching contribution for eligible employees at Nodak Insurance, Primero, and Direct Auto. Westminster also sponsors a separate 401(k) plan. American West and Battle Creek have no employees. The Company reported expenses related to the 401(k) plans totaling $189 and $187 during the three months ended June 30, 2023 and 2022, respectively, and $378 and $335 during the six months ended June 30, 2023 and 2022, respectively.</w:t>
      </w:r>
    </w:p>
    <w:p>
      <w:pPr>
        <w:spacing w:after="0" w:line="146" w:lineRule="exact"/>
        <w:rPr>
          <w:sz w:val="20"/>
          <w:szCs w:val="20"/>
          <w:color w:val="auto"/>
        </w:rPr>
      </w:pPr>
    </w:p>
    <w:p>
      <w:pPr>
        <w:ind w:left="20" w:right="60"/>
        <w:spacing w:after="0" w:line="311" w:lineRule="auto"/>
        <w:rPr>
          <w:sz w:val="20"/>
          <w:szCs w:val="20"/>
          <w:color w:val="auto"/>
        </w:rPr>
      </w:pPr>
      <w:r>
        <w:rPr>
          <w:rFonts w:ascii="Arial" w:cs="Arial" w:eastAsia="Arial" w:hAnsi="Arial"/>
          <w:sz w:val="16"/>
          <w:szCs w:val="16"/>
          <w:color w:val="auto"/>
        </w:rPr>
        <w:t>Nodak Insurance also contributes an additional elective amount of employee compensation as a profit-sharing contribution for eligible employees that is invested in a portfolio of investments directed by the Company. The reported expenses related to this profit-sharing contribution were $32 and $242 during the three months ended June 30, 2023 and 2022, respectively, and $281 and $432 during the six months ended June 30, 2023 and 2022,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All fees associated with the plans are deducted from the eligible employee accounts.</w:t>
      </w:r>
    </w:p>
    <w:p>
      <w:pPr>
        <w:spacing w:after="0" w:line="198" w:lineRule="exact"/>
        <w:rPr>
          <w:sz w:val="20"/>
          <w:szCs w:val="20"/>
          <w:color w:val="auto"/>
        </w:rPr>
      </w:pPr>
    </w:p>
    <w:p>
      <w:pPr>
        <w:ind w:left="20" w:right="200"/>
        <w:spacing w:after="0" w:line="275" w:lineRule="auto"/>
        <w:rPr>
          <w:sz w:val="20"/>
          <w:szCs w:val="20"/>
          <w:color w:val="auto"/>
        </w:rPr>
      </w:pPr>
      <w:r>
        <w:rPr>
          <w:rFonts w:ascii="Arial" w:cs="Arial" w:eastAsia="Arial" w:hAnsi="Arial"/>
          <w:sz w:val="17"/>
          <w:szCs w:val="17"/>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$76 and $23 during the three months ended June 30, 2023 and 2022, respectively, and $98 and $127 during the six months ended June 30, 2023 and 2022, respectively.</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our initial public offering (“IPO”) in March 2017, the Company established its Employee Stock Ownership Plan (the “ESOP”). The ESOP is intended to be an employee stock ownership plan within the meaning of Internal Revenue Code Section 4975(e)(7) and invests solely in common stock of the Company.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4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recognized compensation expense related to the ESOP of $83 and $101 during the three months ended June 30, 2023 and 2022, respectively, and $164 and $210 during the six months ended June 30, 2023 and 2022, respectively.</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Through June 30, 2023, and December 31, 2022, the Company had released and allocated 145,890 ESOP shares to participants, with a remainder of 94,110 ESOP shares in suspense at June 30, 2023, and December 31, 2022. Using the Company’s quarter-end market price of $14.85 per share, the fair value of the unearned ESOP shares was $1,398 at June 30, 2023.</w:t>
      </w:r>
    </w:p>
    <w:p>
      <w:pPr>
        <w:spacing w:after="0" w:line="18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89" w:lineRule="exact"/>
        <w:rPr>
          <w:sz w:val="20"/>
          <w:szCs w:val="20"/>
          <w:color w:val="auto"/>
        </w:rPr>
      </w:pPr>
    </w:p>
    <w:p>
      <w:pPr>
        <w:ind w:left="20" w:right="80"/>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of the bank’s Prime Rate with a floor rate of 3.25%. There were no outstanding amounts during the six months ended June 30, 2023, or the year ended December 31, 2022. This line of credit is scheduled to expire on March 31, 2024.</w:t>
      </w:r>
    </w:p>
    <w:p>
      <w:pPr>
        <w:spacing w:after="0" w:line="18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20" w:right="220"/>
        <w:spacing w:after="0" w:line="342" w:lineRule="auto"/>
        <w:rPr>
          <w:sz w:val="20"/>
          <w:szCs w:val="20"/>
          <w:color w:val="auto"/>
        </w:rPr>
      </w:pPr>
      <w:r>
        <w:rPr>
          <w:rFonts w:ascii="Arial" w:cs="Arial" w:eastAsia="Arial" w:hAnsi="Arial"/>
          <w:sz w:val="16"/>
          <w:szCs w:val="16"/>
          <w:color w:val="auto"/>
        </w:rPr>
        <w:t>At June 30, 2023, and December 31, 2022, we had no unrecognized tax benefits, no accrued interest and penalties, and no significant uncertain tax positions. No interest and penalties were recognized during the three- and six-month periods ended June 30, 2023 or the year ended December 31, 2022.</w:t>
      </w:r>
    </w:p>
    <w:p>
      <w:pPr>
        <w:spacing w:after="0" w:line="97" w:lineRule="exact"/>
        <w:rPr>
          <w:sz w:val="20"/>
          <w:szCs w:val="20"/>
          <w:color w:val="auto"/>
        </w:rPr>
      </w:pPr>
    </w:p>
    <w:p>
      <w:pPr>
        <w:ind w:left="20" w:right="580"/>
        <w:spacing w:after="0" w:line="277" w:lineRule="auto"/>
        <w:rPr>
          <w:sz w:val="20"/>
          <w:szCs w:val="20"/>
          <w:color w:val="auto"/>
        </w:rPr>
      </w:pPr>
      <w:r>
        <w:rPr>
          <w:rFonts w:ascii="Arial" w:cs="Arial" w:eastAsia="Arial" w:hAnsi="Arial"/>
          <w:sz w:val="18"/>
          <w:szCs w:val="18"/>
          <w:color w:val="auto"/>
        </w:rPr>
        <w:t>At June 30, 2023, and December 31, 2022, the Company, other than Battle Creek and Westminster, had no income tax related carryforwards for net operating losses, alternative minimum tax credits, or capital losses.</w:t>
      </w:r>
    </w:p>
    <w:p>
      <w:pPr>
        <w:spacing w:after="0" w:line="130" w:lineRule="exact"/>
        <w:rPr>
          <w:sz w:val="20"/>
          <w:szCs w:val="20"/>
          <w:color w:val="auto"/>
        </w:rPr>
      </w:pPr>
    </w:p>
    <w:p>
      <w:pPr>
        <w:ind w:left="20" w:right="300"/>
        <w:spacing w:after="0" w:line="277" w:lineRule="auto"/>
        <w:rPr>
          <w:sz w:val="20"/>
          <w:szCs w:val="20"/>
          <w:color w:val="auto"/>
        </w:rPr>
      </w:pPr>
      <w:r>
        <w:rPr>
          <w:rFonts w:ascii="Arial" w:cs="Arial" w:eastAsia="Arial" w:hAnsi="Arial"/>
          <w:sz w:val="18"/>
          <w:szCs w:val="18"/>
          <w:color w:val="auto"/>
        </w:rPr>
        <w:t>Battle Creek, which files its income tax returns on a stand-alone basis, had net operating loss carryforwards of $3,963 at December 31, 2022. These net operating loss carryforwards expire through 2032.</w:t>
      </w:r>
    </w:p>
    <w:p>
      <w:pPr>
        <w:spacing w:after="0" w:line="130" w:lineRule="exact"/>
        <w:rPr>
          <w:sz w:val="20"/>
          <w:szCs w:val="20"/>
          <w:color w:val="auto"/>
        </w:rPr>
      </w:pPr>
    </w:p>
    <w:p>
      <w:pPr>
        <w:ind w:left="20" w:right="40"/>
        <w:spacing w:after="0" w:line="277"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a $1,270 net operating loss carryforward at December 31, 2022. This net operating loss carryforward expires in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federal income tax years 2019 through 2021 remain open for examination.</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6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jc w:val="both"/>
        <w:ind w:left="20" w:right="40"/>
        <w:spacing w:after="0" w:line="263" w:lineRule="auto"/>
        <w:rPr>
          <w:sz w:val="20"/>
          <w:szCs w:val="20"/>
          <w:color w:val="auto"/>
        </w:rPr>
      </w:pPr>
      <w:r>
        <w:rPr>
          <w:rFonts w:ascii="Arial" w:cs="Arial" w:eastAsia="Arial" w:hAnsi="Arial"/>
          <w:sz w:val="18"/>
          <w:szCs w:val="18"/>
          <w:color w:val="auto"/>
        </w:rPr>
        <w:t>Primero leases a facility in Spearfish, South Dakota under a non-cancellable operating lease expiring in 2028,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w:t>
      </w:r>
    </w:p>
    <w:p>
      <w:pPr>
        <w:spacing w:after="0" w:line="143" w:lineRule="exact"/>
        <w:rPr>
          <w:sz w:val="20"/>
          <w:szCs w:val="20"/>
          <w:color w:val="auto"/>
        </w:rPr>
      </w:pPr>
    </w:p>
    <w:p>
      <w:pPr>
        <w:ind w:left="20" w:right="60"/>
        <w:spacing w:after="0" w:line="293" w:lineRule="auto"/>
        <w:rPr>
          <w:sz w:val="20"/>
          <w:szCs w:val="20"/>
          <w:color w:val="auto"/>
        </w:rPr>
      </w:pPr>
      <w:r>
        <w:rPr>
          <w:rFonts w:ascii="Arial" w:cs="Arial" w:eastAsia="Arial" w:hAnsi="Arial"/>
          <w:sz w:val="16"/>
          <w:szCs w:val="16"/>
          <w:color w:val="auto"/>
        </w:rPr>
        <w:t>Effective for the year ended December 31, 2022, the Company adopted the updated guidance for leases. This guidance was adopted in the fourth quarter of 2022, and accordingly, the expense amounts for the periods ended June 30, 2023, are not comparable to the periods ended June 30, 2022. See Part II, Item 8, Note 2 “Recent Accounting Pronouncements” in the 2022 Annual Report for additional information. Under the new guidance, lease expense for these operating leases is recognized on a straight-line basis over the term of the lease, and a right-of-use asset and lease liability is recognized as part of other assets and other liabilities, respectively, in the Consolidated Balance Sheet at the origination of the lease. We currently do not have leases that include options to purchase or provisions that would automatically transfer ownership of the leased property to the Company.</w:t>
      </w:r>
    </w:p>
    <w:p>
      <w:pPr>
        <w:spacing w:after="0" w:line="124" w:lineRule="exact"/>
        <w:rPr>
          <w:sz w:val="20"/>
          <w:szCs w:val="20"/>
          <w:color w:val="auto"/>
        </w:rPr>
      </w:pPr>
    </w:p>
    <w:p>
      <w:pPr>
        <w:ind w:left="20" w:right="20"/>
        <w:spacing w:after="0" w:line="273" w:lineRule="auto"/>
        <w:rPr>
          <w:sz w:val="20"/>
          <w:szCs w:val="20"/>
          <w:color w:val="auto"/>
        </w:rPr>
      </w:pPr>
      <w:r>
        <w:rPr>
          <w:rFonts w:ascii="Arial" w:cs="Arial" w:eastAsia="Arial" w:hAnsi="Arial"/>
          <w:sz w:val="17"/>
          <w:szCs w:val="17"/>
          <w:color w:val="auto"/>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Operating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Additional information regarding our operating leases are as follows: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5560" w:type="dxa"/>
            <w:vAlign w:val="bottom"/>
          </w:tcPr>
          <w:p>
            <w:pPr>
              <w:spacing w:after="0"/>
              <w:rPr>
                <w:sz w:val="24"/>
                <w:szCs w:val="24"/>
                <w:color w:val="auto"/>
              </w:rPr>
            </w:pPr>
          </w:p>
        </w:tc>
        <w:tc>
          <w:tcPr>
            <w:tcW w:w="32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rPr>
              <w:t>As of and For the Three Months</w:t>
            </w:r>
          </w:p>
        </w:tc>
        <w:tc>
          <w:tcPr>
            <w:tcW w:w="242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As of and For the Six Months</w:t>
            </w:r>
          </w:p>
        </w:tc>
      </w:tr>
      <w:tr>
        <w:trPr>
          <w:trHeight w:val="234"/>
        </w:trPr>
        <w:tc>
          <w:tcPr>
            <w:tcW w:w="5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Ended June 30,</w:t>
            </w:r>
          </w:p>
        </w:tc>
        <w:tc>
          <w:tcPr>
            <w:tcW w:w="220" w:type="dxa"/>
            <w:vAlign w:val="bottom"/>
          </w:tcPr>
          <w:p>
            <w:pPr>
              <w:spacing w:after="0"/>
              <w:rPr>
                <w:sz w:val="20"/>
                <w:szCs w:val="20"/>
                <w:color w:val="auto"/>
              </w:rPr>
            </w:pPr>
          </w:p>
        </w:tc>
        <w:tc>
          <w:tcPr>
            <w:tcW w:w="2200" w:type="dxa"/>
            <w:vAlign w:val="bottom"/>
            <w:gridSpan w:val="5"/>
          </w:tcPr>
          <w:p>
            <w:pPr>
              <w:ind w:left="34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55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on operating leases: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320"/>
              <w:spacing w:after="0"/>
              <w:rPr>
                <w:sz w:val="20"/>
                <w:szCs w:val="20"/>
                <w:color w:val="auto"/>
              </w:rPr>
            </w:pPr>
            <w:r>
              <w:rPr>
                <w:rFonts w:ascii="Arial" w:cs="Arial" w:eastAsia="Arial" w:hAnsi="Arial"/>
                <w:sz w:val="18"/>
                <w:szCs w:val="18"/>
                <w:color w:val="auto"/>
              </w:rPr>
              <w:t>Operating cash outflow from operating leases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320"/>
              <w:spacing w:after="0"/>
              <w:rPr>
                <w:sz w:val="20"/>
                <w:szCs w:val="20"/>
                <w:color w:val="auto"/>
              </w:rPr>
            </w:pPr>
            <w:r>
              <w:rPr>
                <w:rFonts w:ascii="Arial" w:cs="Arial" w:eastAsia="Arial" w:hAnsi="Arial"/>
                <w:sz w:val="18"/>
                <w:szCs w:val="18"/>
                <w:color w:val="auto"/>
              </w:rPr>
              <w:t>Weighted average discount rate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remaining lease term in years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5.8 years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 years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 years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6.6 years</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contractual maturities of our operating leases for each of the five years in the period ending December 31, 2027, and thereafter, reconciled to our operating lease liability at 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5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 (six months remaining)</w:t>
            </w:r>
          </w:p>
        </w:tc>
        <w:tc>
          <w:tcPr>
            <w:tcW w:w="5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60"/>
              <w:spacing w:after="0"/>
              <w:rPr>
                <w:sz w:val="20"/>
                <w:szCs w:val="20"/>
                <w:color w:val="auto"/>
              </w:rPr>
            </w:pPr>
            <w:r>
              <w:rPr>
                <w:rFonts w:ascii="Arial" w:cs="Arial" w:eastAsia="Arial" w:hAnsi="Arial"/>
                <w:sz w:val="18"/>
                <w:szCs w:val="18"/>
                <w:color w:val="auto"/>
              </w:rPr>
              <w:t>2024</w:t>
            </w: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60"/>
              <w:spacing w:after="0"/>
              <w:rPr>
                <w:sz w:val="20"/>
                <w:szCs w:val="20"/>
                <w:color w:val="auto"/>
              </w:rPr>
            </w:pPr>
            <w:r>
              <w:rPr>
                <w:rFonts w:ascii="Arial" w:cs="Arial" w:eastAsia="Arial" w:hAnsi="Arial"/>
                <w:sz w:val="18"/>
                <w:szCs w:val="18"/>
                <w:color w:val="auto"/>
              </w:rPr>
              <w:t>2026</w:t>
            </w: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2027</w:t>
            </w: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undiscounted lease payments</w:t>
            </w: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60"/>
              <w:spacing w:after="0"/>
              <w:rPr>
                <w:sz w:val="20"/>
                <w:szCs w:val="20"/>
                <w:color w:val="auto"/>
              </w:rPr>
            </w:pPr>
            <w:r>
              <w:rPr>
                <w:rFonts w:ascii="Arial" w:cs="Arial" w:eastAsia="Arial" w:hAnsi="Arial"/>
                <w:sz w:val="18"/>
                <w:szCs w:val="18"/>
                <w:color w:val="auto"/>
              </w:rPr>
              <w:t>Less: present value adjustment</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lease liability at June 30, 2023</w:t>
            </w:r>
          </w:p>
        </w:tc>
        <w:tc>
          <w:tcPr>
            <w:tcW w:w="5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5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6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000" w:type="dxa"/>
            <w:vAlign w:val="bottom"/>
          </w:tcPr>
          <w:p>
            <w:pPr>
              <w:ind w:left="220"/>
              <w:spacing w:after="0"/>
              <w:rPr>
                <w:sz w:val="20"/>
                <w:szCs w:val="20"/>
                <w:color w:val="auto"/>
              </w:rPr>
            </w:pPr>
            <w:r>
              <w:rPr>
                <w:rFonts w:ascii="Arial" w:cs="Arial" w:eastAsia="Arial" w:hAnsi="Arial"/>
                <w:sz w:val="18"/>
                <w:szCs w:val="18"/>
                <w:b w:val="1"/>
                <w:bCs w:val="1"/>
                <w:color w:val="auto"/>
              </w:rPr>
              <w:t>Common and Preferred Stock</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440" w:type="dxa"/>
            <w:vAlign w:val="bottom"/>
            <w:gridSpan w:val="2"/>
          </w:tcPr>
          <w:p>
            <w:pPr>
              <w:spacing w:after="0"/>
              <w:rPr>
                <w:sz w:val="20"/>
                <w:szCs w:val="20"/>
                <w:color w:val="auto"/>
              </w:rPr>
            </w:pPr>
            <w:r>
              <w:rPr>
                <w:rFonts w:ascii="Arial" w:cs="Arial" w:eastAsia="Arial" w:hAnsi="Arial"/>
                <w:sz w:val="18"/>
                <w:szCs w:val="18"/>
                <w:color w:val="auto"/>
              </w:rPr>
              <w:t>Changes in the number of common stock shares outstanding are as follows: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beginning of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21,076,255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21,219,808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(238,164)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(111,244)</w:t>
            </w:r>
          </w:p>
        </w:tc>
      </w:tr>
      <w:tr>
        <w:trPr>
          <w:trHeight w:val="229"/>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Issuance of treasury shares for vesting of 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47,887</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Shares outstanding, end of period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20,885,978</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21,209,856</w:t>
            </w:r>
          </w:p>
        </w:tc>
        <w:tc>
          <w:tcPr>
            <w:tcW w:w="1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changes in the number of common shares outstanding excludes certain non-forfeitable stock award shares that are included in the weighted average common shares outstanding used in basic earnings per common share calculations. In addition, the net loss per diluted common share for the three- and six-month periods ended June 30, 2023, excluded the weighted average effects of 61,935 and 61,614 shares of stock awards, respectively, since the impacts of these potential shares of common stock were anti-dilutive.</w:t>
      </w:r>
    </w:p>
    <w:p>
      <w:pPr>
        <w:spacing w:after="0" w:line="16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 Of these amounts, 111,244 shares were repurchased for $1,932 during the six months ended June 30, 2022.</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six months ended June 30, 2023, we completed the repurchase of 238,164 shares of our common stock for $3,223. At June 30, 2023, $6,043 remains available under this authorization.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Sheets.</w:t>
      </w:r>
    </w:p>
    <w:p>
      <w:pPr>
        <w:spacing w:after="0" w:line="198"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subject to certain adjustments. The effective date of these provisions was January 1, 2023. The Company is not currently subject to the AMT based on our reported GAAP earnings for the past three years and does not expect the IRA to have a material impact on the Company’s financial position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Company’s Articles of Incorporation provide authority to issue up to five million shares of preferred stock. No preferred shares are issued or outstanding.</w:t>
      </w:r>
    </w:p>
    <w:p>
      <w:pPr>
        <w:spacing w:after="0" w:line="16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33" w:right="3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RSUs earned during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June 30, 2023</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Weighted-Average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13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108,380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16.86</w:t>
            </w:r>
          </w:p>
        </w:tc>
      </w:tr>
      <w:tr>
        <w:trPr>
          <w:trHeight w:val="216"/>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44"/>
        </w:trPr>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(52,620)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10"/>
        </w:trPr>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115,360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411"/>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44"/>
        </w:trPr>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(53,780)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146,580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540" w:space="720"/>
            <w:col w:w="2980"/>
          </w:cols>
          <w:pgMar w:left="320" w:top="233" w:right="3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8"/>
              </w:rPr>
              <w:t>Three Months Ended June 30,</w:t>
            </w:r>
          </w:p>
        </w:tc>
        <w:tc>
          <w:tcPr>
            <w:tcW w:w="200" w:type="dxa"/>
            <w:vAlign w:val="bottom"/>
          </w:tcPr>
          <w:p>
            <w:pPr>
              <w:spacing w:after="0"/>
              <w:rPr>
                <w:sz w:val="20"/>
                <w:szCs w:val="20"/>
                <w:color w:val="auto"/>
              </w:rPr>
            </w:pPr>
          </w:p>
        </w:tc>
        <w:tc>
          <w:tcPr>
            <w:tcW w:w="26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7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0"/>
        </w:trPr>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June 30, 2023, there was $1,427 of unrecognized compensation cost related to outstanding RSUs. That cost is expected to be recognized over a weighted-average period of 1.84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adjusted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8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8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248"/>
        </w:trPr>
        <w:tc>
          <w:tcPr>
            <w:tcW w:w="8260" w:type="dxa"/>
            <w:vAlign w:val="bottom"/>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PSUs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1"/>
                <w:szCs w:val="21"/>
                <w:color w:val="auto"/>
              </w:rPr>
            </w:pPr>
          </w:p>
        </w:tc>
      </w:tr>
      <w:tr>
        <w:trPr>
          <w:trHeight w:val="209"/>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at January 1, 2022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190,600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8"/>
                <w:szCs w:val="18"/>
                <w:color w:val="auto"/>
              </w:rPr>
              <w:t>PSUs granted during 2022 (at target)</w:t>
            </w:r>
          </w:p>
        </w:tc>
        <w:tc>
          <w:tcPr>
            <w:tcW w:w="1240" w:type="dxa"/>
            <w:vAlign w:val="bottom"/>
          </w:tcPr>
          <w:p>
            <w:pPr>
              <w:jc w:val="right"/>
              <w:spacing w:after="0"/>
              <w:rPr>
                <w:sz w:val="20"/>
                <w:szCs w:val="20"/>
                <w:color w:val="auto"/>
              </w:rPr>
            </w:pPr>
            <w:r>
              <w:rPr>
                <w:rFonts w:ascii="Arial" w:cs="Arial" w:eastAsia="Arial" w:hAnsi="Arial"/>
                <w:sz w:val="18"/>
                <w:szCs w:val="18"/>
                <w:color w:val="auto"/>
              </w:rPr>
              <w:t>61,800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earned during 2022</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r>
      <w:tr>
        <w:trPr>
          <w:trHeight w:val="270"/>
        </w:trPr>
        <w:tc>
          <w:tcPr>
            <w:tcW w:w="826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31,200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3"/>
                <w:szCs w:val="23"/>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r>
      <w:tr>
        <w:trPr>
          <w:trHeight w:val="209"/>
        </w:trPr>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Units outstanding at December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tcPr>
          <w:p>
            <w:pPr>
              <w:spacing w:after="0"/>
              <w:rPr>
                <w:sz w:val="18"/>
                <w:szCs w:val="18"/>
                <w:color w:val="auto"/>
              </w:rPr>
            </w:pPr>
          </w:p>
        </w:tc>
      </w:tr>
      <w:tr>
        <w:trPr>
          <w:trHeight w:val="210"/>
        </w:trPr>
        <w:tc>
          <w:tcPr>
            <w:tcW w:w="82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8"/>
                <w:szCs w:val="18"/>
                <w:color w:val="auto"/>
              </w:rPr>
              <w:t>PSUs granted during 2023 (at target)</w:t>
            </w:r>
          </w:p>
        </w:tc>
        <w:tc>
          <w:tcPr>
            <w:tcW w:w="1240" w:type="dxa"/>
            <w:vAlign w:val="bottom"/>
          </w:tcPr>
          <w:p>
            <w:pPr>
              <w:jc w:val="right"/>
              <w:spacing w:after="0"/>
              <w:rPr>
                <w:sz w:val="20"/>
                <w:szCs w:val="20"/>
                <w:color w:val="auto"/>
              </w:rPr>
            </w:pPr>
            <w:r>
              <w:rPr>
                <w:rFonts w:ascii="Arial" w:cs="Arial" w:eastAsia="Arial" w:hAnsi="Arial"/>
                <w:sz w:val="18"/>
                <w:szCs w:val="18"/>
                <w:color w:val="auto"/>
              </w:rPr>
              <w:t>87,400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earned during 2023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826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(63,600)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2"/>
                <w:szCs w:val="22"/>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8260" w:type="dxa"/>
            <w:vAlign w:val="bottom"/>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8"/>
                <w:szCs w:val="18"/>
                <w:color w:val="auto"/>
              </w:rPr>
              <w:t>Units outstanding at June 30,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r>
      <w:tr>
        <w:trPr>
          <w:trHeight w:val="20"/>
        </w:trPr>
        <w:tc>
          <w:tcPr>
            <w:tcW w:w="8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right="2680" w:firstLine="8"/>
        <w:spacing w:after="0" w:line="431" w:lineRule="auto"/>
        <w:tabs>
          <w:tab w:leader="none" w:pos="212"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Represents the change in PSUs issued based upon the attainment of performance goals established by the Company. The following table shows the impact of PSU activity to the Company’s financial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60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0"/>
                <w:szCs w:val="20"/>
                <w:color w:val="auto"/>
              </w:rPr>
            </w:pPr>
          </w:p>
        </w:tc>
        <w:tc>
          <w:tcPr>
            <w:tcW w:w="23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62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Income tax benefit</w:t>
            </w:r>
          </w:p>
        </w:tc>
        <w:tc>
          <w:tcPr>
            <w:tcW w:w="7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63"/>
        </w:trPr>
        <w:tc>
          <w:tcPr>
            <w:tcW w:w="6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 compensation expense, net of income taxes</w:t>
            </w: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150% of the initial target awards.</w:t>
      </w:r>
    </w:p>
    <w:p>
      <w:pPr>
        <w:spacing w:after="0" w:line="10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 June 30, 2023, there was $1,316 of unrecognized compensation cost related to outstanding PSUs. That cost is expected to be recognized over a weighted-average period of 2.44 years.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6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Expected Credit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Receivable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on December 31, 2022, credit losses are recognized through an allowance account developed using the new CECL model. This guidance was adopted in the fourth quarter of 2022, and accordingly, there was no allowance for expected credit losses as of June 30, 2022. See the Part II, Item 8, Note 2 “Recent Accounting Pronouncements” section of the 2022 Annual Report for additional information. The following table presents the balances of premiums and agents’ receivable balances, net of the allowance for expected credit losses as of June 30, 2023, and the changes in the allowance for expected credit losses for the three and six months ended June 30, 2023.</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Current period charge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Write-offs of uncollectible premiums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Current period charge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Write-offs of uncollectible premiums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As of and For the Three Months Ended</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right="520"/>
              <w:spacing w:after="0" w:line="191" w:lineRule="exact"/>
              <w:rPr>
                <w:sz w:val="20"/>
                <w:szCs w:val="20"/>
                <w:color w:val="auto"/>
              </w:rPr>
            </w:pPr>
            <w:r>
              <w:rPr>
                <w:rFonts w:ascii="Arial" w:cs="Arial" w:eastAsia="Arial" w:hAnsi="Arial"/>
                <w:sz w:val="18"/>
                <w:szCs w:val="18"/>
                <w:b w:val="1"/>
                <w:bCs w:val="1"/>
                <w:color w:val="auto"/>
                <w:w w:val="89"/>
              </w:rPr>
              <w:t>Premiums</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Receivable, Net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Allowance for</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Allowance for</w:t>
            </w:r>
          </w:p>
        </w:tc>
        <w:tc>
          <w:tcPr>
            <w:tcW w:w="0" w:type="dxa"/>
            <w:vAlign w:val="bottom"/>
          </w:tcPr>
          <w:p>
            <w:pPr>
              <w:spacing w:after="0"/>
              <w:rPr>
                <w:sz w:val="1"/>
                <w:szCs w:val="1"/>
                <w:color w:val="auto"/>
              </w:rPr>
            </w:pPr>
          </w:p>
        </w:tc>
      </w:tr>
      <w:tr>
        <w:trPr>
          <w:trHeight w:val="216"/>
        </w:trPr>
        <w:tc>
          <w:tcPr>
            <w:tcW w:w="17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Expected Credit</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Expected Credit</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64,502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ind w:right="16"/>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line="20" w:lineRule="exact"/>
              <w:rPr>
                <w:sz w:val="1"/>
                <w:szCs w:val="1"/>
                <w:color w:val="auto"/>
              </w:rPr>
            </w:pPr>
          </w:p>
        </w:tc>
      </w:tr>
      <w:tr>
        <w:trPr>
          <w:trHeight w:val="398"/>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106,946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ind w:right="16"/>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160" w:type="dxa"/>
            <w:vAlign w:val="bottom"/>
          </w:tcPr>
          <w:p>
            <w:pPr>
              <w:spacing w:after="0"/>
              <w:rPr>
                <w:sz w:val="24"/>
                <w:szCs w:val="24"/>
                <w:color w:val="auto"/>
              </w:rPr>
            </w:pPr>
          </w:p>
        </w:tc>
        <w:tc>
          <w:tcPr>
            <w:tcW w:w="2960" w:type="dxa"/>
            <w:vAlign w:val="bottom"/>
            <w:gridSpan w:val="8"/>
          </w:tcPr>
          <w:p>
            <w:pPr>
              <w:jc w:val="right"/>
              <w:spacing w:after="0"/>
              <w:rPr>
                <w:sz w:val="20"/>
                <w:szCs w:val="20"/>
                <w:color w:val="auto"/>
              </w:rPr>
            </w:pPr>
            <w:r>
              <w:rPr>
                <w:rFonts w:ascii="Arial" w:cs="Arial" w:eastAsia="Arial" w:hAnsi="Arial"/>
                <w:sz w:val="18"/>
                <w:szCs w:val="18"/>
                <w:b w:val="1"/>
                <w:bCs w:val="1"/>
                <w:color w:val="auto"/>
                <w:w w:val="92"/>
              </w:rPr>
              <w:t>As of and For the Six Months Ended</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Premiums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Receivable, Net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Allowance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Allowance for</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Expected Credit</w:t>
            </w: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Expected Credit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62,173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line="20" w:lineRule="exact"/>
              <w:rPr>
                <w:sz w:val="1"/>
                <w:szCs w:val="1"/>
                <w:color w:val="auto"/>
              </w:rPr>
            </w:pPr>
          </w:p>
        </w:tc>
      </w:tr>
      <w:tr>
        <w:trPr>
          <w:trHeight w:val="398"/>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300" w:type="dxa"/>
            <w:vAlign w:val="bottom"/>
            <w:gridSpan w:val="2"/>
          </w:tcPr>
          <w:p>
            <w:pPr>
              <w:spacing w:after="0"/>
              <w:rPr>
                <w:sz w:val="19"/>
                <w:szCs w:val="19"/>
                <w:color w:val="auto"/>
              </w:rPr>
            </w:pPr>
          </w:p>
        </w:tc>
        <w:tc>
          <w:tcPr>
            <w:tcW w:w="13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106,946</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00"/>
          </w:cols>
          <w:pgMar w:left="320" w:top="233" w:right="35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9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six reportable operating segments, which consist of private passenger auto insurance, non-standard auto insurance, home and farm insurance, crop insurance, commercial insurance, and all other (which primarily consists of assumed reinsurance and our excess liability business). We operate only in the U.S., and no single customer or agent provides 10 percent or more of our revenues. The following tables provide available information of these segments for the three- and six-month periods ended June 30, 2023 and 2022.</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we combine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43"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We do not assign or allocate all line items in our Unaudited Consolidated Statement of Operations or Unaudited Consolidated Balance Sheet to our operating segments. Those line items include investment income, net investment gains (losses), fee and other income excluding non-standard auto, and income tax expense (benefit) within the Unaudited Consolidated Statement of Operations. For the Unaudited Consolidated Balance Sheet, those items include cash and investments, property and equipment, other assets, accrued expenses, income taxes recoverable or payable, and shareholders’ equity.</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8"/>
          </w:tcPr>
          <w:p>
            <w:pPr>
              <w:jc w:val="right"/>
              <w:ind w:right="461"/>
              <w:spacing w:after="0"/>
              <w:rPr>
                <w:sz w:val="20"/>
                <w:szCs w:val="20"/>
                <w:color w:val="auto"/>
              </w:rPr>
            </w:pPr>
            <w:r>
              <w:rPr>
                <w:rFonts w:ascii="Arial" w:cs="Arial" w:eastAsia="Arial" w:hAnsi="Arial"/>
                <w:sz w:val="18"/>
                <w:szCs w:val="18"/>
                <w:b w:val="1"/>
                <w:bCs w:val="1"/>
                <w:color w:val="auto"/>
                <w:w w:val="90"/>
              </w:rPr>
              <w:t>Three Months Ended June 30, 2023</w:t>
            </w: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3"/>
              </w:rPr>
              <w:t>Passenger</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rPr>
              <w:t>Non-Standard</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Home and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Auto</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Auto</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Farm</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Crop</w:t>
            </w: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21,076</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(4,435)</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(12,843)</w:t>
            </w: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20,415</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13,336</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16,641</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94,146</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3"/>
              </w:rPr>
              <w:t>Direct losses and loss adjustment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14,139</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18,414</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12,702</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29,685</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95,149</w:t>
            </w: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Assumed losses and loss adjustment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w w:val="91"/>
              </w:rPr>
              <w:t>Ceded losses and loss adjustment 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(4,492)</w:t>
            </w:r>
          </w:p>
        </w:tc>
        <w:tc>
          <w:tcPr>
            <w:tcW w:w="24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(11,556)</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(1,574)</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(17,710)</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Net losses and loss adjustment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18,129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77,506</w:t>
            </w:r>
          </w:p>
        </w:tc>
        <w:tc>
          <w:tcPr>
            <w:tcW w:w="100" w:type="dxa"/>
            <w:vAlign w:val="bottom"/>
            <w:shd w:val="clear" w:color="auto" w:fill="CCEEFF"/>
          </w:tcPr>
          <w:p>
            <w:pPr>
              <w:spacing w:after="0"/>
              <w:rPr>
                <w:sz w:val="18"/>
                <w:szCs w:val="18"/>
                <w:color w:val="auto"/>
              </w:rPr>
            </w:pPr>
          </w:p>
        </w:tc>
      </w:tr>
      <w:tr>
        <w:trPr>
          <w:trHeight w:val="229"/>
        </w:trPr>
        <w:tc>
          <w:tcPr>
            <w:tcW w:w="3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2,648</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6,249</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shd w:val="clear" w:color="auto" w:fill="CCEEFF"/>
          </w:tcPr>
          <w:p>
            <w:pPr>
              <w:spacing w:after="0"/>
              <w:rPr>
                <w:sz w:val="19"/>
                <w:szCs w:val="19"/>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260"/>
              <w:spacing w:after="0"/>
              <w:rPr>
                <w:sz w:val="20"/>
                <w:szCs w:val="20"/>
                <w:color w:val="auto"/>
              </w:rPr>
            </w:pPr>
            <w:r>
              <w:rPr>
                <w:rFonts w:ascii="Arial" w:cs="Arial" w:eastAsia="Arial" w:hAnsi="Arial"/>
                <w:sz w:val="18"/>
                <w:szCs w:val="18"/>
                <w:color w:val="auto"/>
              </w:rPr>
              <w:t>Underwriting gain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2,478</w:t>
            </w:r>
          </w:p>
        </w:tc>
        <w:tc>
          <w:tcPr>
            <w:tcW w:w="24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(7,737)</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(13,234)</w:t>
            </w:r>
          </w:p>
        </w:tc>
      </w:tr>
      <w:tr>
        <w:trPr>
          <w:trHeight w:val="209"/>
        </w:trPr>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r>
      <w:tr>
        <w:trPr>
          <w:trHeight w:val="223"/>
        </w:trPr>
        <w:tc>
          <w:tcPr>
            <w:tcW w:w="3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(10,404)</w:t>
            </w: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w:t>
            </w: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(8,235)</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non-controlling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280" w:type="dxa"/>
            <w:vAlign w:val="bottom"/>
          </w:tcPr>
          <w:p>
            <w:pPr>
              <w:ind w:left="260"/>
              <w:spacing w:after="0"/>
              <w:rPr>
                <w:sz w:val="20"/>
                <w:szCs w:val="20"/>
                <w:color w:val="auto"/>
              </w:rPr>
            </w:pPr>
            <w:r>
              <w:rPr>
                <w:rFonts w:ascii="Arial" w:cs="Arial" w:eastAsia="Arial" w:hAnsi="Arial"/>
                <w:sz w:val="18"/>
                <w:szCs w:val="18"/>
                <w:color w:val="auto"/>
                <w:w w:val="94"/>
              </w:rPr>
              <w:t>Net loss attributable to NI Holdings, Inc.</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(8,122)</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Loss and loss adjustment expense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Balances at June 30,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Premiums and agents’ balances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17,213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106,946</w:t>
            </w:r>
          </w:p>
        </w:tc>
        <w:tc>
          <w:tcPr>
            <w:tcW w:w="100" w:type="dxa"/>
            <w:vAlign w:val="bottom"/>
            <w:shd w:val="clear" w:color="auto" w:fill="CCEEFF"/>
          </w:tcPr>
          <w:p>
            <w:pPr>
              <w:spacing w:after="0"/>
              <w:rPr>
                <w:sz w:val="20"/>
                <w:szCs w:val="20"/>
                <w:color w:val="auto"/>
              </w:rPr>
            </w:pPr>
          </w:p>
        </w:tc>
      </w:tr>
      <w:tr>
        <w:trPr>
          <w:trHeight w:val="216"/>
        </w:trPr>
        <w:tc>
          <w:tcPr>
            <w:tcW w:w="328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8,871</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7,974</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2,832</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8,198</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34,124</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 on losses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42,635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53,508</w:t>
            </w:r>
          </w:p>
        </w:tc>
        <w:tc>
          <w:tcPr>
            <w:tcW w:w="100" w:type="dxa"/>
            <w:vAlign w:val="bottom"/>
            <w:shd w:val="clear" w:color="auto" w:fill="CCEEFF"/>
          </w:tcPr>
          <w:p>
            <w:pPr>
              <w:spacing w:after="0"/>
              <w:rPr>
                <w:sz w:val="18"/>
                <w:szCs w:val="18"/>
                <w:color w:val="auto"/>
              </w:rPr>
            </w:pPr>
          </w:p>
        </w:tc>
      </w:tr>
      <w:tr>
        <w:trPr>
          <w:trHeight w:val="202"/>
        </w:trPr>
        <w:tc>
          <w:tcPr>
            <w:tcW w:w="3280" w:type="dxa"/>
            <w:vAlign w:val="bottom"/>
          </w:tcPr>
          <w:p>
            <w:pPr>
              <w:ind w:left="260"/>
              <w:spacing w:after="0" w:line="201" w:lineRule="exact"/>
              <w:rPr>
                <w:sz w:val="20"/>
                <w:szCs w:val="20"/>
                <w:color w:val="auto"/>
              </w:rPr>
            </w:pPr>
            <w:r>
              <w:rPr>
                <w:rFonts w:ascii="Arial" w:cs="Arial" w:eastAsia="Arial" w:hAnsi="Arial"/>
                <w:sz w:val="18"/>
                <w:szCs w:val="18"/>
                <w:color w:val="auto"/>
                <w:w w:val="92"/>
              </w:rPr>
              <w:t>Receivable from Federal Crop Insurance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14,032</w:t>
            </w:r>
          </w:p>
        </w:tc>
        <w:tc>
          <w:tcPr>
            <w:tcW w:w="240" w:type="dxa"/>
            <w:vAlign w:val="bottom"/>
          </w:tcPr>
          <w:p>
            <w:pPr>
              <w:spacing w:after="0"/>
              <w:rPr>
                <w:sz w:val="20"/>
                <w:szCs w:val="20"/>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14,278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100" w:type="dxa"/>
            <w:vAlign w:val="bottom"/>
            <w:shd w:val="clear" w:color="auto" w:fill="CCEEFF"/>
          </w:tcPr>
          <w:p>
            <w:pPr>
              <w:spacing w:after="0"/>
              <w:rPr>
                <w:sz w:val="18"/>
                <w:szCs w:val="18"/>
                <w:color w:val="auto"/>
              </w:rPr>
            </w:pPr>
          </w:p>
        </w:tc>
      </w:tr>
      <w:tr>
        <w:trPr>
          <w:trHeight w:val="202"/>
        </w:trPr>
        <w:tc>
          <w:tcPr>
            <w:tcW w:w="3280" w:type="dxa"/>
            <w:vAlign w:val="bottom"/>
          </w:tcPr>
          <w:p>
            <w:pPr>
              <w:ind w:left="260"/>
              <w:spacing w:after="0" w:line="201" w:lineRule="exact"/>
              <w:rPr>
                <w:sz w:val="20"/>
                <w:szCs w:val="20"/>
                <w:color w:val="auto"/>
              </w:rPr>
            </w:pPr>
            <w:r>
              <w:rPr>
                <w:rFonts w:ascii="Arial" w:cs="Arial" w:eastAsia="Arial" w:hAnsi="Arial"/>
                <w:sz w:val="18"/>
                <w:szCs w:val="18"/>
                <w:color w:val="auto"/>
              </w:rPr>
              <w:t>Unpaid losses and loss adjustment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52,866</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30,503</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11,603</w:t>
            </w:r>
          </w:p>
        </w:tc>
        <w:tc>
          <w:tcPr>
            <w:tcW w:w="240" w:type="dxa"/>
            <w:vAlign w:val="bottom"/>
          </w:tcPr>
          <w:p>
            <w:pPr>
              <w:spacing w:after="0"/>
              <w:rPr>
                <w:sz w:val="20"/>
                <w:szCs w:val="20"/>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96,390</w:t>
            </w:r>
          </w:p>
        </w:tc>
        <w:tc>
          <w:tcPr>
            <w:tcW w:w="2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8,741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232,038</w:t>
            </w: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28,067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48,690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27,193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43,066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185,350</w:t>
            </w:r>
          </w:p>
        </w:tc>
        <w:tc>
          <w:tcPr>
            <w:tcW w:w="100" w:type="dxa"/>
            <w:vAlign w:val="bottom"/>
            <w:shd w:val="clear" w:color="auto" w:fill="CCEEFF"/>
          </w:tcPr>
          <w:p>
            <w:pPr>
              <w:spacing w:after="0"/>
              <w:rPr>
                <w:sz w:val="18"/>
                <w:szCs w:val="18"/>
                <w:color w:val="auto"/>
              </w:rPr>
            </w:pPr>
          </w:p>
        </w:tc>
      </w:tr>
      <w:tr>
        <w:trPr>
          <w:trHeight w:val="628"/>
        </w:trPr>
        <w:tc>
          <w:tcPr>
            <w:tcW w:w="3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11"/>
          </w:tcPr>
          <w:p>
            <w:pPr>
              <w:jc w:val="right"/>
              <w:ind w:right="501"/>
              <w:spacing w:after="0"/>
              <w:rPr>
                <w:sz w:val="20"/>
                <w:szCs w:val="20"/>
                <w:color w:val="auto"/>
              </w:rPr>
            </w:pPr>
            <w:r>
              <w:rPr>
                <w:rFonts w:ascii="Arial" w:cs="Arial" w:eastAsia="Arial" w:hAnsi="Arial"/>
                <w:sz w:val="18"/>
                <w:szCs w:val="18"/>
                <w:b w:val="1"/>
                <w:bCs w:val="1"/>
                <w:color w:val="auto"/>
                <w:w w:val="91"/>
              </w:rPr>
              <w:t>Three Months Ended June 30, 2022</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61"/>
              <w:spacing w:after="0" w:line="191" w:lineRule="exact"/>
              <w:rPr>
                <w:sz w:val="20"/>
                <w:szCs w:val="20"/>
                <w:color w:val="auto"/>
              </w:rPr>
            </w:pPr>
            <w:r>
              <w:rPr>
                <w:rFonts w:ascii="Arial" w:cs="Arial" w:eastAsia="Arial" w:hAnsi="Arial"/>
                <w:sz w:val="18"/>
                <w:szCs w:val="18"/>
                <w:b w:val="1"/>
                <w:bCs w:val="1"/>
                <w:color w:val="auto"/>
              </w:rPr>
              <w:t>Private</w:t>
            </w:r>
          </w:p>
        </w:tc>
        <w:tc>
          <w:tcPr>
            <w:tcW w:w="1260" w:type="dxa"/>
            <w:vAlign w:val="bottom"/>
            <w:gridSpan w:val="4"/>
          </w:tcPr>
          <w:p>
            <w:pPr>
              <w:ind w:left="60"/>
              <w:spacing w:after="0" w:line="191" w:lineRule="exact"/>
              <w:rPr>
                <w:sz w:val="20"/>
                <w:szCs w:val="20"/>
                <w:color w:val="auto"/>
              </w:rPr>
            </w:pPr>
            <w:r>
              <w:rPr>
                <w:rFonts w:ascii="Arial" w:cs="Arial" w:eastAsia="Arial" w:hAnsi="Arial"/>
                <w:sz w:val="18"/>
                <w:szCs w:val="18"/>
                <w:b w:val="1"/>
                <w:bCs w:val="1"/>
                <w:color w:val="auto"/>
                <w:w w:val="99"/>
              </w:rPr>
              <w:t>Non-Standard</w:t>
            </w:r>
          </w:p>
        </w:tc>
        <w:tc>
          <w:tcPr>
            <w:tcW w:w="120" w:type="dxa"/>
            <w:vAlign w:val="bottom"/>
          </w:tcPr>
          <w:p>
            <w:pPr>
              <w:spacing w:after="0"/>
              <w:rPr>
                <w:sz w:val="16"/>
                <w:szCs w:val="16"/>
                <w:color w:val="auto"/>
              </w:rPr>
            </w:pPr>
          </w:p>
        </w:tc>
        <w:tc>
          <w:tcPr>
            <w:tcW w:w="1020" w:type="dxa"/>
            <w:vAlign w:val="bottom"/>
            <w:gridSpan w:val="3"/>
          </w:tcPr>
          <w:p>
            <w:pPr>
              <w:jc w:val="right"/>
              <w:ind w:right="101"/>
              <w:spacing w:after="0" w:line="191" w:lineRule="exact"/>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Auto</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Crop</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80" w:type="dxa"/>
            <w:vAlign w:val="bottom"/>
          </w:tcPr>
          <w:p>
            <w:pPr>
              <w:spacing w:after="0"/>
              <w:rPr>
                <w:sz w:val="20"/>
                <w:szCs w:val="20"/>
                <w:color w:val="auto"/>
              </w:rPr>
            </w:pPr>
          </w:p>
        </w:tc>
        <w:tc>
          <w:tcPr>
            <w:tcW w:w="108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Total</w:t>
            </w: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19,824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21,703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18,161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94,251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1,691</w:t>
            </w: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(5,905)</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(11,446)</w:t>
            </w:r>
          </w:p>
        </w:tc>
      </w:tr>
      <w:tr>
        <w:trPr>
          <w:trHeight w:val="20"/>
        </w:trPr>
        <w:tc>
          <w:tcPr>
            <w:tcW w:w="2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90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19,265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19,955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15,031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84,496</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16,866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62,188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13,237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13,081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1,165</w:t>
            </w:r>
          </w:p>
        </w:tc>
        <w:tc>
          <w:tcPr>
            <w:tcW w:w="160" w:type="dxa"/>
            <w:vAlign w:val="bottom"/>
          </w:tcPr>
          <w:p>
            <w:pPr>
              <w:spacing w:after="0"/>
              <w:rPr>
                <w:sz w:val="20"/>
                <w:szCs w:val="20"/>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110,670</w:t>
            </w: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Assumed losses and loss adjustment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1,291</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1,535</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Ceded losses and loss adjustment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9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(3,151)</w:t>
            </w:r>
          </w:p>
        </w:tc>
        <w:tc>
          <w:tcPr>
            <w:tcW w:w="2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(3,610)</w:t>
            </w:r>
          </w:p>
        </w:tc>
      </w:tr>
      <w:tr>
        <w:trPr>
          <w:trHeight w:val="195"/>
        </w:trPr>
        <w:tc>
          <w:tcPr>
            <w:tcW w:w="290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rPr>
              <w:t>Net losses and loss adjustment</w:t>
            </w:r>
          </w:p>
        </w:tc>
        <w:tc>
          <w:tcPr>
            <w:tcW w:w="2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61,831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12,991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2,456</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108,595</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(41,876)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(24,099)</w:t>
            </w:r>
          </w:p>
        </w:tc>
      </w:tr>
      <w:tr>
        <w:trPr>
          <w:trHeight w:val="209"/>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26,246</w:t>
            </w:r>
          </w:p>
        </w:tc>
      </w:tr>
      <w:tr>
        <w:trPr>
          <w:trHeight w:val="209"/>
        </w:trPr>
        <w:tc>
          <w:tcPr>
            <w:tcW w:w="2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415</w:t>
            </w:r>
          </w:p>
        </w:tc>
      </w:tr>
      <w:tr>
        <w:trPr>
          <w:trHeight w:val="210"/>
        </w:trPr>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420"/>
        <w:spacing w:after="0"/>
        <w:rPr>
          <w:sz w:val="20"/>
          <w:szCs w:val="20"/>
          <w:color w:val="auto"/>
        </w:rPr>
      </w:pPr>
      <w:r>
        <w:rPr>
          <w:rFonts w:ascii="Arial" w:cs="Arial" w:eastAsia="Arial" w:hAnsi="Arial"/>
          <w:sz w:val="16"/>
          <w:szCs w:val="16"/>
          <w:color w:val="auto"/>
        </w:rPr>
        <w:t>Net investment gains (losses)</w:t>
      </w:r>
    </w:p>
    <w:p>
      <w:pPr>
        <w:spacing w:after="0" w:line="45" w:lineRule="exact"/>
        <w:rPr>
          <w:sz w:val="20"/>
          <w:szCs w:val="20"/>
          <w:color w:val="auto"/>
        </w:rPr>
      </w:pPr>
    </w:p>
    <w:p>
      <w:pPr>
        <w:jc w:val="right"/>
        <w:ind w:right="744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non-controlling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loss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86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(59,051)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86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(46,636)</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86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(45,910)</w:t>
      </w:r>
    </w:p>
    <w:p>
      <w:pPr>
        <w:spacing w:after="0" w:line="73" w:lineRule="exact"/>
        <w:rPr>
          <w:sz w:val="20"/>
          <w:szCs w:val="20"/>
          <w:color w:val="auto"/>
        </w:rPr>
      </w:pPr>
    </w:p>
    <w:p>
      <w:pPr>
        <w:sectPr>
          <w:pgSz w:w="11900" w:h="16838" w:orient="portrait"/>
          <w:cols w:equalWidth="0" w:num="2">
            <w:col w:w="9540" w:space="720"/>
            <w:col w:w="9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Operating Ratios: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Loss and loss adjustment expense ratio</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312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340.2%</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r>
      <w:tr>
        <w:trPr>
          <w:trHeight w:val="216"/>
        </w:trPr>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Balances at June 30, 2022:</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Premiums and agents’ balances</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16,678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42,905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108,336</w:t>
            </w:r>
          </w:p>
        </w:tc>
      </w:tr>
      <w:tr>
        <w:trPr>
          <w:trHeight w:val="216"/>
        </w:trPr>
        <w:tc>
          <w:tcPr>
            <w:tcW w:w="312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5,427</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8,201</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7,838</w:t>
            </w: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7,929</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30,917</w:t>
            </w:r>
          </w:p>
        </w:tc>
      </w:tr>
      <w:tr>
        <w:trPr>
          <w:trHeight w:val="216"/>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Reinsurance recoverables on losses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17,041</w:t>
            </w:r>
          </w:p>
        </w:tc>
      </w:tr>
      <w:tr>
        <w:trPr>
          <w:trHeight w:val="216"/>
        </w:trPr>
        <w:tc>
          <w:tcPr>
            <w:tcW w:w="3120" w:type="dxa"/>
            <w:vAlign w:val="bottom"/>
          </w:tcPr>
          <w:p>
            <w:pPr>
              <w:ind w:left="260"/>
              <w:spacing w:after="0"/>
              <w:rPr>
                <w:sz w:val="20"/>
                <w:szCs w:val="20"/>
                <w:color w:val="auto"/>
              </w:rPr>
            </w:pPr>
            <w:r>
              <w:rPr>
                <w:rFonts w:ascii="Arial" w:cs="Arial" w:eastAsia="Arial" w:hAnsi="Arial"/>
                <w:sz w:val="18"/>
                <w:szCs w:val="18"/>
                <w:color w:val="auto"/>
              </w:rPr>
              <w:t>Goodwill and other intangibles</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2,786</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14,700</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17,486</w:t>
            </w:r>
          </w:p>
        </w:tc>
      </w:tr>
      <w:tr>
        <w:trPr>
          <w:trHeight w:val="202"/>
        </w:trPr>
        <w:tc>
          <w:tcPr>
            <w:tcW w:w="31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Unpaid losses and loss adjustment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29,105</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38,689</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49,052</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43,876</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182,876</w:t>
            </w:r>
          </w:p>
        </w:tc>
      </w:tr>
      <w:tr>
        <w:trPr>
          <w:trHeight w:val="216"/>
        </w:trPr>
        <w:tc>
          <w:tcPr>
            <w:tcW w:w="312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31,885</w:t>
            </w:r>
          </w:p>
        </w:tc>
        <w:tc>
          <w:tcPr>
            <w:tcW w:w="4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24,030</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45,942</w:t>
            </w:r>
          </w:p>
        </w:tc>
        <w:tc>
          <w:tcPr>
            <w:tcW w:w="3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26,205</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42,379</w:t>
            </w:r>
          </w:p>
        </w:tc>
        <w:tc>
          <w:tcPr>
            <w:tcW w:w="3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3,284</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173,725</w:t>
            </w:r>
          </w:p>
        </w:tc>
      </w:tr>
      <w:tr>
        <w:trPr>
          <w:trHeight w:val="202"/>
        </w:trPr>
        <w:tc>
          <w:tcPr>
            <w:tcW w:w="31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Payable to Federal Crop Insurance</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Corporation</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7,102</w:t>
            </w:r>
          </w:p>
        </w:tc>
      </w:tr>
      <w:tr>
        <w:trPr>
          <w:trHeight w:val="588"/>
        </w:trPr>
        <w:tc>
          <w:tcPr>
            <w:tcW w:w="3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89"/>
              </w:rPr>
              <w:t>Six Months Ended June 30, 2023</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81"/>
              <w:spacing w:after="0" w:line="191" w:lineRule="exact"/>
              <w:rPr>
                <w:sz w:val="20"/>
                <w:szCs w:val="20"/>
                <w:color w:val="auto"/>
              </w:rPr>
            </w:pPr>
            <w:r>
              <w:rPr>
                <w:rFonts w:ascii="Arial" w:cs="Arial" w:eastAsia="Arial" w:hAnsi="Arial"/>
                <w:sz w:val="18"/>
                <w:szCs w:val="18"/>
                <w:b w:val="1"/>
                <w:bCs w:val="1"/>
                <w:color w:val="auto"/>
              </w:rPr>
              <w:t>Private</w:t>
            </w:r>
          </w:p>
        </w:tc>
        <w:tc>
          <w:tcPr>
            <w:tcW w:w="1300" w:type="dxa"/>
            <w:vAlign w:val="bottom"/>
            <w:gridSpan w:val="4"/>
          </w:tcPr>
          <w:p>
            <w:pPr>
              <w:ind w:left="60"/>
              <w:spacing w:after="0" w:line="191" w:lineRule="exact"/>
              <w:rPr>
                <w:sz w:val="20"/>
                <w:szCs w:val="20"/>
                <w:color w:val="auto"/>
              </w:rPr>
            </w:pPr>
            <w:r>
              <w:rPr>
                <w:rFonts w:ascii="Arial" w:cs="Arial" w:eastAsia="Arial" w:hAnsi="Arial"/>
                <w:sz w:val="18"/>
                <w:szCs w:val="18"/>
                <w:b w:val="1"/>
                <w:bCs w:val="1"/>
                <w:color w:val="auto"/>
              </w:rPr>
              <w:t>Non-Standard</w:t>
            </w:r>
          </w:p>
        </w:tc>
        <w:tc>
          <w:tcPr>
            <w:tcW w:w="80" w:type="dxa"/>
            <w:vAlign w:val="bottom"/>
          </w:tcPr>
          <w:p>
            <w:pPr>
              <w:spacing w:after="0"/>
              <w:rPr>
                <w:sz w:val="16"/>
                <w:szCs w:val="16"/>
                <w:color w:val="auto"/>
              </w:rPr>
            </w:pPr>
          </w:p>
        </w:tc>
        <w:tc>
          <w:tcPr>
            <w:tcW w:w="102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1600" w:type="dxa"/>
            <w:vAlign w:val="bottom"/>
            <w:gridSpan w:val="4"/>
          </w:tcPr>
          <w:p>
            <w:pPr>
              <w:ind w:left="280"/>
              <w:spacing w:after="0"/>
              <w:rPr>
                <w:sz w:val="20"/>
                <w:szCs w:val="20"/>
                <w:color w:val="auto"/>
              </w:rPr>
            </w:pPr>
            <w:r>
              <w:rPr>
                <w:rFonts w:ascii="Arial" w:cs="Arial" w:eastAsia="Arial" w:hAnsi="Arial"/>
                <w:sz w:val="18"/>
                <w:szCs w:val="18"/>
                <w:b w:val="1"/>
                <w:bCs w:val="1"/>
                <w:color w:val="auto"/>
                <w:w w:val="94"/>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Crop</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Commercial</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All Other</w:t>
            </w:r>
          </w:p>
        </w:tc>
        <w:tc>
          <w:tcPr>
            <w:tcW w:w="9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Total</w:t>
            </w: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42,050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45,426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41,306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  191,636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1,403</w:t>
            </w: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(5,405)</w:t>
            </w:r>
          </w:p>
        </w:tc>
        <w:tc>
          <w:tcPr>
            <w:tcW w:w="4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(8,648)</w:t>
            </w:r>
          </w:p>
        </w:tc>
        <w:tc>
          <w:tcPr>
            <w:tcW w:w="26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(21,266)</w:t>
            </w:r>
          </w:p>
        </w:tc>
      </w:tr>
      <w:tr>
        <w:trPr>
          <w:trHeight w:val="20"/>
        </w:trPr>
        <w:tc>
          <w:tcPr>
            <w:tcW w:w="2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90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42,524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40,405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12,612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32,658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3,377</w:t>
            </w:r>
          </w:p>
        </w:tc>
        <w:tc>
          <w:tcPr>
            <w:tcW w:w="2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171,773</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34,080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31,177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12,032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59,007</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1,777</w:t>
            </w:r>
          </w:p>
        </w:tc>
        <w:tc>
          <w:tcPr>
            <w:tcW w:w="20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166,010</w:t>
            </w: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Assumed losses and loss adjustment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Ceded losses and loss adjustment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9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(4,596)</w:t>
            </w:r>
          </w:p>
        </w:tc>
        <w:tc>
          <w:tcPr>
            <w:tcW w:w="400" w:type="dxa"/>
            <w:vAlign w:val="bottom"/>
          </w:tcPr>
          <w:p>
            <w:pPr>
              <w:spacing w:after="0"/>
              <w:rPr>
                <w:sz w:val="21"/>
                <w:szCs w:val="21"/>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(22,764)</w:t>
            </w:r>
          </w:p>
        </w:tc>
        <w:tc>
          <w:tcPr>
            <w:tcW w:w="2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(29,836)</w:t>
            </w:r>
          </w:p>
        </w:tc>
      </w:tr>
      <w:tr>
        <w:trPr>
          <w:trHeight w:val="195"/>
        </w:trPr>
        <w:tc>
          <w:tcPr>
            <w:tcW w:w="290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rPr>
              <w:t>Net losses and loss adjustment</w:t>
            </w:r>
          </w:p>
        </w:tc>
        <w:tc>
          <w:tcPr>
            <w:tcW w:w="2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34,492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31,177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36,243</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136,331</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(3,585)</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0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35,442</w:t>
            </w:r>
          </w:p>
        </w:tc>
      </w:tr>
      <w:tr>
        <w:trPr>
          <w:trHeight w:val="209"/>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12,172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12,336</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58,118</w:t>
            </w:r>
          </w:p>
        </w:tc>
      </w:tr>
      <w:tr>
        <w:trPr>
          <w:trHeight w:val="209"/>
        </w:trPr>
        <w:tc>
          <w:tcPr>
            <w:tcW w:w="2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(15,921</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773</w:t>
            </w:r>
          </w:p>
        </w:tc>
      </w:tr>
      <w:tr>
        <w:trPr>
          <w:trHeight w:val="210"/>
        </w:trPr>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420"/>
        <w:spacing w:after="0"/>
        <w:rPr>
          <w:sz w:val="20"/>
          <w:szCs w:val="20"/>
          <w:color w:val="auto"/>
        </w:rPr>
      </w:pPr>
      <w:r>
        <w:rPr>
          <w:rFonts w:ascii="Arial" w:cs="Arial" w:eastAsia="Arial" w:hAnsi="Arial"/>
          <w:sz w:val="16"/>
          <w:szCs w:val="16"/>
          <w:color w:val="auto"/>
        </w:rPr>
        <w:t>Net investment gains (losses)</w:t>
      </w:r>
    </w:p>
    <w:p>
      <w:pPr>
        <w:spacing w:after="0" w:line="45" w:lineRule="exact"/>
        <w:rPr>
          <w:sz w:val="20"/>
          <w:szCs w:val="20"/>
          <w:color w:val="auto"/>
        </w:rPr>
      </w:pPr>
    </w:p>
    <w:p>
      <w:pPr>
        <w:jc w:val="right"/>
        <w:ind w:right="744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non-controlling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loss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4,744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8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(15,917)</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86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(12,735)</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86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(12,332)</w:t>
      </w:r>
    </w:p>
    <w:p>
      <w:pPr>
        <w:spacing w:after="0" w:line="73" w:lineRule="exact"/>
        <w:rPr>
          <w:sz w:val="20"/>
          <w:szCs w:val="20"/>
          <w:color w:val="auto"/>
        </w:rPr>
      </w:pPr>
    </w:p>
    <w:p>
      <w:pPr>
        <w:sectPr>
          <w:pgSz w:w="11900" w:h="16838" w:orient="portrait"/>
          <w:cols w:equalWidth="0" w:num="2">
            <w:col w:w="9540" w:space="720"/>
            <w:col w:w="9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Operating Ratios: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Loss and loss adjustment expense ratio</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85.8%</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73.3%</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65.9%</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59.0%</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111.0%</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30.3%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41.6%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30.6%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37.8%</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26.6%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6"/>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116.1%</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114.9%</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96.5%</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80.2%</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148.8%</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r>
      <w:tr>
        <w:trPr>
          <w:trHeight w:val="588"/>
        </w:trPr>
        <w:tc>
          <w:tcPr>
            <w:tcW w:w="3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0"/>
              </w:rPr>
              <w:t>Six Months Ended June 30, 2022</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61"/>
              <w:spacing w:after="0" w:line="191" w:lineRule="exact"/>
              <w:rPr>
                <w:sz w:val="20"/>
                <w:szCs w:val="20"/>
                <w:color w:val="auto"/>
              </w:rPr>
            </w:pPr>
            <w:r>
              <w:rPr>
                <w:rFonts w:ascii="Arial" w:cs="Arial" w:eastAsia="Arial" w:hAnsi="Arial"/>
                <w:sz w:val="18"/>
                <w:szCs w:val="18"/>
                <w:b w:val="1"/>
                <w:bCs w:val="1"/>
                <w:color w:val="auto"/>
              </w:rPr>
              <w:t>Private</w:t>
            </w:r>
          </w:p>
        </w:tc>
        <w:tc>
          <w:tcPr>
            <w:tcW w:w="1300" w:type="dxa"/>
            <w:vAlign w:val="bottom"/>
            <w:gridSpan w:val="4"/>
          </w:tcPr>
          <w:p>
            <w:pPr>
              <w:ind w:left="60"/>
              <w:spacing w:after="0" w:line="191" w:lineRule="exact"/>
              <w:rPr>
                <w:sz w:val="20"/>
                <w:szCs w:val="20"/>
                <w:color w:val="auto"/>
              </w:rPr>
            </w:pPr>
            <w:r>
              <w:rPr>
                <w:rFonts w:ascii="Arial" w:cs="Arial" w:eastAsia="Arial" w:hAnsi="Arial"/>
                <w:sz w:val="18"/>
                <w:szCs w:val="18"/>
                <w:b w:val="1"/>
                <w:bCs w:val="1"/>
                <w:color w:val="auto"/>
              </w:rPr>
              <w:t>Non-Standard</w:t>
            </w:r>
          </w:p>
        </w:tc>
        <w:tc>
          <w:tcPr>
            <w:tcW w:w="80" w:type="dxa"/>
            <w:vAlign w:val="bottom"/>
          </w:tcPr>
          <w:p>
            <w:pPr>
              <w:spacing w:after="0"/>
              <w:rPr>
                <w:sz w:val="16"/>
                <w:szCs w:val="16"/>
                <w:color w:val="auto"/>
              </w:rPr>
            </w:pPr>
          </w:p>
        </w:tc>
        <w:tc>
          <w:tcPr>
            <w:tcW w:w="1020" w:type="dxa"/>
            <w:vAlign w:val="bottom"/>
            <w:gridSpan w:val="3"/>
          </w:tcPr>
          <w:p>
            <w:pPr>
              <w:jc w:val="right"/>
              <w:ind w:right="101"/>
              <w:spacing w:after="0" w:line="191" w:lineRule="exact"/>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Crop</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8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All Other</w:t>
            </w:r>
          </w:p>
        </w:tc>
        <w:tc>
          <w:tcPr>
            <w:tcW w:w="9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Total</w:t>
            </w:r>
          </w:p>
        </w:tc>
      </w:tr>
      <w:tr>
        <w:trPr>
          <w:trHeight w:val="20"/>
        </w:trPr>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39,125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42,882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35,391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  167,650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3,061</w:t>
            </w:r>
          </w:p>
        </w:tc>
        <w:tc>
          <w:tcPr>
            <w:tcW w:w="2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3,552</w:t>
            </w: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(5,901)</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(17,119)</w:t>
            </w:r>
          </w:p>
        </w:tc>
      </w:tr>
      <w:tr>
        <w:trPr>
          <w:trHeight w:val="20"/>
        </w:trPr>
        <w:tc>
          <w:tcPr>
            <w:tcW w:w="2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90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38,007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29,890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39,167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12,282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29,219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5,518</w:t>
            </w:r>
          </w:p>
        </w:tc>
        <w:tc>
          <w:tcPr>
            <w:tcW w:w="2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154,083</w:t>
            </w:r>
          </w:p>
        </w:tc>
      </w:tr>
      <w:tr>
        <w:trPr>
          <w:trHeight w:val="216"/>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Direct losses and loss adjustment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31,392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69,380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13,134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28,144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1,491</w:t>
            </w:r>
          </w:p>
        </w:tc>
        <w:tc>
          <w:tcPr>
            <w:tcW w:w="20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156,165</w:t>
            </w: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Assumed losses and loss adjustment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1,545</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Ceded losses and loss adjustment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90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(3,214)</w:t>
            </w:r>
          </w:p>
        </w:tc>
        <w:tc>
          <w:tcPr>
            <w:tcW w:w="4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(8,986)</w:t>
            </w:r>
          </w:p>
        </w:tc>
      </w:tr>
      <w:tr>
        <w:trPr>
          <w:trHeight w:val="195"/>
        </w:trPr>
        <w:tc>
          <w:tcPr>
            <w:tcW w:w="290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rPr>
              <w:t>Net losses and loss adjustment</w:t>
            </w:r>
          </w:p>
        </w:tc>
        <w:tc>
          <w:tcPr>
            <w:tcW w:w="2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31,565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23,008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148,724</w:t>
            </w: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20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5,359</w:t>
            </w:r>
          </w:p>
        </w:tc>
      </w:tr>
      <w:tr>
        <w:trPr>
          <w:trHeight w:val="209"/>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12,029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10,912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49,650</w:t>
            </w:r>
          </w:p>
        </w:tc>
      </w:tr>
      <w:tr>
        <w:trPr>
          <w:trHeight w:val="209"/>
        </w:trPr>
        <w:tc>
          <w:tcPr>
            <w:tcW w:w="2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(44,291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843</w:t>
            </w:r>
          </w:p>
        </w:tc>
      </w:tr>
      <w:tr>
        <w:trPr>
          <w:trHeight w:val="210"/>
        </w:trPr>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420"/>
        <w:spacing w:after="0"/>
        <w:rPr>
          <w:sz w:val="20"/>
          <w:szCs w:val="20"/>
          <w:color w:val="auto"/>
        </w:rPr>
      </w:pPr>
      <w:r>
        <w:rPr>
          <w:rFonts w:ascii="Arial" w:cs="Arial" w:eastAsia="Arial" w:hAnsi="Arial"/>
          <w:sz w:val="16"/>
          <w:szCs w:val="16"/>
          <w:color w:val="auto"/>
        </w:rPr>
        <w:t>Net investment gains (losses)</w:t>
      </w:r>
    </w:p>
    <w:p>
      <w:pPr>
        <w:spacing w:after="0" w:line="45" w:lineRule="exact"/>
        <w:rPr>
          <w:sz w:val="20"/>
          <w:szCs w:val="20"/>
          <w:color w:val="auto"/>
        </w:rPr>
      </w:pPr>
    </w:p>
    <w:p>
      <w:pPr>
        <w:jc w:val="right"/>
        <w:ind w:right="744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non-controlling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loss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color w:val="auto"/>
        </w:rPr>
        <w:t>3,668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8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(56,444)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86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(44,597)</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86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(44,001)</w:t>
      </w:r>
    </w:p>
    <w:p>
      <w:pPr>
        <w:spacing w:after="0" w:line="73" w:lineRule="exact"/>
        <w:rPr>
          <w:sz w:val="20"/>
          <w:szCs w:val="20"/>
          <w:color w:val="auto"/>
        </w:rPr>
      </w:pPr>
    </w:p>
    <w:p>
      <w:pPr>
        <w:sectPr>
          <w:pgSz w:w="11900" w:h="16838" w:orient="portrait"/>
          <w:cols w:equalWidth="0" w:num="2">
            <w:col w:w="9540" w:space="720"/>
            <w:col w:w="9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Operating Ratios:</w:t>
            </w: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Loss and loss adjustment expense ratio</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83.1%</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42.2%</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175.3%</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82.8%</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78.7%</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34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29.8%</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43.4%</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30.7%</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8.6%</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37.3%</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112.8%</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85.6%</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206.0%</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91.4%</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116.1%</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547"/>
        </w:trPr>
        <w:tc>
          <w:tcPr>
            <w:tcW w:w="3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discussion is intended to provide a more comprehensive review of our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2022 Annual Report should also be reviewed for a discussion of important factors that could cause actual results to differ materially from the results described, or implied by, the forward-looking statements contained herein.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net loss was $8,235 for the three months ended June 30, 2023, compared to net loss of $46,636 for the three months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net loss was $12,735 for the six months ended June 30, 2023, compared to net loss of $44,597 for the six months ended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The major components of revenues and net loss are shown below:</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24"/>
                <w:szCs w:val="2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55"/>
        </w:trPr>
        <w:tc>
          <w:tcPr>
            <w:tcW w:w="6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2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94,146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171,773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8"/>
                <w:szCs w:val="18"/>
                <w:color w:val="auto"/>
              </w:rPr>
              <w:t>Fee and other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2,505</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Net investment gains (losses)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(11,136)</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96,976</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75,790</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178,532</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94,146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171,773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and loss adjustment expenses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77,506</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136,331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140"/>
              <w:spacing w:after="0" w:line="201" w:lineRule="exact"/>
              <w:rPr>
                <w:sz w:val="20"/>
                <w:szCs w:val="20"/>
                <w:color w:val="auto"/>
              </w:rPr>
            </w:pPr>
            <w:r>
              <w:rPr>
                <w:rFonts w:ascii="Arial" w:cs="Arial" w:eastAsia="Arial" w:hAnsi="Arial"/>
                <w:sz w:val="18"/>
                <w:szCs w:val="18"/>
                <w:color w:val="auto"/>
                <w:w w:val="91"/>
              </w:rPr>
              <w:t>Amortization of deferred policy acquisition costs and other underwriting and general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2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29,874</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26,246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58,118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Underwriting loss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(13,234)</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(50,345)</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(22,676)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(44,291)</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4,744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gains (losses)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(11,136)</w:t>
            </w: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0"/>
        </w:trPr>
        <w:tc>
          <w:tcPr>
            <w:tcW w:w="6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(10,404)</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(59,051)</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(15,917)</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(56,444)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(2,169)</w:t>
            </w:r>
          </w:p>
        </w:tc>
        <w:tc>
          <w:tcPr>
            <w:tcW w:w="26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(12,415)</w:t>
            </w: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(3,182)</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0"/>
        </w:trPr>
        <w:tc>
          <w:tcPr>
            <w:tcW w:w="6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0" w:type="dxa"/>
            <w:vAlign w:val="bottom"/>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(8,235)</w:t>
            </w:r>
          </w:p>
        </w:tc>
        <w:tc>
          <w:tcPr>
            <w:tcW w:w="260" w:type="dxa"/>
            <w:vAlign w:val="bottom"/>
          </w:tcPr>
          <w:p>
            <w:pPr>
              <w:jc w:val="right"/>
              <w:ind w:right="104"/>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(46,636)</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(12,735)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(44,597)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Premiums Earned</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7"/>
          </w:tcPr>
          <w:p>
            <w:pPr>
              <w:spacing w:after="0"/>
              <w:rPr>
                <w:sz w:val="20"/>
                <w:szCs w:val="20"/>
                <w:color w:val="auto"/>
              </w:rPr>
            </w:pPr>
            <w:r>
              <w:rPr>
                <w:rFonts w:ascii="Arial" w:cs="Arial" w:eastAsia="Arial" w:hAnsi="Arial"/>
                <w:sz w:val="18"/>
                <w:szCs w:val="18"/>
                <w:b w:val="1"/>
                <w:bCs w:val="1"/>
                <w:color w:val="auto"/>
                <w:w w:val="99"/>
              </w:rPr>
              <w:t>Three Months Ended June 30,</w:t>
            </w:r>
          </w:p>
        </w:tc>
        <w:tc>
          <w:tcPr>
            <w:tcW w:w="23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8"/>
                <w:szCs w:val="18"/>
                <w:color w:val="auto"/>
              </w:rPr>
              <w:t>Direct premium</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106,162</w:t>
            </w:r>
          </w:p>
        </w:tc>
        <w:tc>
          <w:tcPr>
            <w:tcW w:w="220" w:type="dxa"/>
            <w:vAlign w:val="bottom"/>
          </w:tcPr>
          <w:p>
            <w:pPr>
              <w:spacing w:after="0"/>
              <w:rPr>
                <w:sz w:val="18"/>
                <w:szCs w:val="18"/>
                <w:color w:val="auto"/>
              </w:rPr>
            </w:pPr>
          </w:p>
        </w:tc>
        <w:tc>
          <w:tcPr>
            <w:tcW w:w="260" w:type="dxa"/>
            <w:vAlign w:val="bottom"/>
          </w:tcPr>
          <w:p>
            <w:pPr>
              <w:jc w:val="right"/>
              <w:ind w:right="164"/>
              <w:spacing w:after="0"/>
              <w:rPr>
                <w:sz w:val="20"/>
                <w:szCs w:val="20"/>
                <w:color w:val="auto"/>
              </w:rPr>
            </w:pPr>
            <w:r>
              <w:rPr>
                <w:rFonts w:ascii="Arial" w:cs="Arial" w:eastAsia="Arial" w:hAnsi="Arial"/>
                <w:sz w:val="4"/>
                <w:szCs w:val="4"/>
                <w:color w:val="auto"/>
                <w:w w:val="87"/>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94,251</w:t>
            </w:r>
          </w:p>
        </w:tc>
        <w:tc>
          <w:tcPr>
            <w:tcW w:w="2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191,636</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 premium</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Ceded premium</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(12,843)</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(11,446)</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(21,266)</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63"/>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net premiums earned</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94,146</w:t>
            </w:r>
          </w:p>
        </w:tc>
        <w:tc>
          <w:tcPr>
            <w:tcW w:w="2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4"/>
                <w:szCs w:val="4"/>
                <w:color w:val="auto"/>
                <w:w w:val="87"/>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84,496</w:t>
            </w:r>
          </w:p>
        </w:tc>
        <w:tc>
          <w:tcPr>
            <w:tcW w:w="2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171,773</w:t>
            </w:r>
          </w:p>
        </w:tc>
        <w:tc>
          <w:tcPr>
            <w:tcW w:w="2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28"/>
        </w:trPr>
        <w:tc>
          <w:tcPr>
            <w:tcW w:w="6260" w:type="dxa"/>
            <w:vAlign w:val="bottom"/>
            <w:tcBorders>
              <w:bottom w:val="single" w:sz="8" w:color="auto"/>
            </w:tcBorders>
          </w:tcPr>
          <w:p>
            <w:pPr>
              <w:ind w:left="5520"/>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net premiums earned for the three months ended June 30, 2023, increased $9,650, or 11.4%, compared to the three months ended June 30, 2022. Net premiums earned for the six months ended June 30, 2023, increased $17,690, or 11.5%, compared to the six months ended June 30,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0"/>
                <w:szCs w:val="20"/>
                <w:color w:val="auto"/>
              </w:rPr>
            </w:pPr>
          </w:p>
        </w:tc>
        <w:tc>
          <w:tcPr>
            <w:tcW w:w="238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6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20,543</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19,265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40,197</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38,007</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20,415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39,167</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16,641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29,219</w:t>
            </w:r>
          </w:p>
        </w:tc>
        <w:tc>
          <w:tcPr>
            <w:tcW w:w="100" w:type="dxa"/>
            <w:vAlign w:val="bottom"/>
          </w:tcPr>
          <w:p>
            <w:pPr>
              <w:spacing w:after="0"/>
              <w:rPr>
                <w:sz w:val="18"/>
                <w:szCs w:val="18"/>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9"/>
                <w:szCs w:val="19"/>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net premiums earned</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94,146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84,496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171,773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154,083</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Below are comments regarding net premiums earned by business segment:</w:t>
      </w:r>
    </w:p>
    <w:p>
      <w:pPr>
        <w:spacing w:after="0" w:line="181"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i w:val="1"/>
          <w:iCs w:val="1"/>
          <w:color w:val="auto"/>
        </w:rPr>
        <w:t xml:space="preserve">Private passenger auto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Net premiums earned for the second quarter of 2023 increased $1,278, or 6.6%, from the second quarter of 2022. Net premiums</w:t>
      </w:r>
      <w:r>
        <w:rPr>
          <w:rFonts w:ascii="Arial" w:cs="Arial" w:eastAsia="Arial" w:hAnsi="Arial"/>
          <w:sz w:val="16"/>
          <w:szCs w:val="16"/>
          <w:i w:val="1"/>
          <w:iCs w:val="1"/>
          <w:color w:val="auto"/>
        </w:rPr>
        <w:t xml:space="preserve"> </w:t>
      </w:r>
      <w:r>
        <w:rPr>
          <w:rFonts w:ascii="Arial" w:cs="Arial" w:eastAsia="Arial" w:hAnsi="Arial"/>
          <w:sz w:val="16"/>
          <w:szCs w:val="16"/>
          <w:color w:val="auto"/>
        </w:rPr>
        <w:t>earned for the first six months of 2023 increased $2,190, or 5.8% from the first six months of 2022. Results were driven by significant rate increases in North Dakota, South Dakota, and Nebraska, offset by lower new business production as a result of underwriting actions taken to improve profitability.</w:t>
      </w:r>
    </w:p>
    <w:p>
      <w:pPr>
        <w:spacing w:after="0" w:line="101"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i w:val="1"/>
          <w:iCs w:val="1"/>
          <w:color w:val="auto"/>
        </w:rPr>
        <w:t xml:space="preserve">Non-standard auto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Net premiums earned for the second quarter of 2023 increased $6,133, or 39.5%, from the second quarter of 2022. Net premiums</w:t>
      </w:r>
      <w:r>
        <w:rPr>
          <w:rFonts w:ascii="Arial" w:cs="Arial" w:eastAsia="Arial" w:hAnsi="Arial"/>
          <w:sz w:val="16"/>
          <w:szCs w:val="16"/>
          <w:i w:val="1"/>
          <w:iCs w:val="1"/>
          <w:color w:val="auto"/>
        </w:rPr>
        <w:t xml:space="preserve"> </w:t>
      </w:r>
      <w:r>
        <w:rPr>
          <w:rFonts w:ascii="Arial" w:cs="Arial" w:eastAsia="Arial" w:hAnsi="Arial"/>
          <w:sz w:val="16"/>
          <w:szCs w:val="16"/>
          <w:color w:val="auto"/>
        </w:rPr>
        <w:t>earned for the first six months of 2023 increased $12,634, or 42.3% from the first six months of 2022. Results were driven by prior period new business growth, improved retention, and significant rate increases in the Chicago market where our non-standard auto business is concentrated.</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Home and farm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second quarter of 2023 increased $460, or 2.3%, from the second quarter of 2022. Net premiums earned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2023 increased $1,238, or 3.2% from the first six months of 2022. Results were driven by rate increases along with increased insured property values, which were primarily the result of higher inflationary factors. These premium increases were partially offset by lower levels of new business production as a result of underwriting actions taken to improve profitability.</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Crop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second quarter of 2023 increased $1,041, or 8.5%, from the second quarter of 2022. This increase was driven by fewer</w:t>
      </w:r>
      <w:r>
        <w:rPr>
          <w:rFonts w:ascii="Arial" w:cs="Arial" w:eastAsia="Arial" w:hAnsi="Arial"/>
          <w:sz w:val="18"/>
          <w:szCs w:val="18"/>
          <w:i w:val="1"/>
          <w:iCs w:val="1"/>
          <w:color w:val="auto"/>
        </w:rPr>
        <w:t xml:space="preserve"> </w:t>
      </w:r>
      <w:r>
        <w:rPr>
          <w:rFonts w:ascii="Arial" w:cs="Arial" w:eastAsia="Arial" w:hAnsi="Arial"/>
          <w:sz w:val="18"/>
          <w:szCs w:val="18"/>
          <w:color w:val="auto"/>
        </w:rPr>
        <w:t>multi-peril crop insurance premiums being ceded in the current year quarter. Net premiums earned for the first six months of 2023 increased $330, or 2.7% from the first six months of 2022. These increases were driven by fewer multi-peril crop insurance premiums being ceded, which were partially offset by prior crop year premium adjustments that occurred during the first quarter of 2023.</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second quarter of 2023 increased $1,610, or 10.7%, from the second quarter of 2022. Net premiums earned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2023 increased $3,439, or 11.8% from the first six months of 2022. These increases were driven by prior period new business growth, increased insured values which were primarily the result of higher inflationary factors, and continued increases in rate, partially offset by higher levels of ceded premium.</w:t>
      </w:r>
    </w:p>
    <w:p>
      <w:pPr>
        <w:spacing w:after="0" w:line="15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i w:val="1"/>
          <w:iCs w:val="1"/>
          <w:color w:val="auto"/>
        </w:rPr>
        <w:t xml:space="preserve">All other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Net premiums earned for the second quarter of 2023 decreased $872, or 35.8%, from the second quarter of 2022. Net premiums earned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six months of 2023 decreased $2,141, or 38.8%, from the first six months of 2022. These decreases were driven by the decision to non-renew our participation in an assumed domestic and international reinsurance pool of business as of January 1, 2022.</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4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Losses and Loss Adjustment Expenses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9"/>
              </w:rPr>
              <w:t>Three Months Ended June 30,</w:t>
            </w:r>
          </w:p>
        </w:tc>
        <w:tc>
          <w:tcPr>
            <w:tcW w:w="23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losses and loss adjustment 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140"/>
              <w:spacing w:after="0"/>
              <w:rPr>
                <w:sz w:val="20"/>
                <w:szCs w:val="20"/>
                <w:color w:val="auto"/>
              </w:rPr>
            </w:pPr>
            <w:r>
              <w:rPr>
                <w:rFonts w:ascii="Arial" w:cs="Arial" w:eastAsia="Arial" w:hAnsi="Arial"/>
                <w:sz w:val="18"/>
                <w:szCs w:val="18"/>
                <w:color w:val="auto"/>
              </w:rPr>
              <w:t>Direct losses and loss adjustment expenses</w:t>
            </w:r>
          </w:p>
        </w:tc>
        <w:tc>
          <w:tcPr>
            <w:tcW w:w="16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95,149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110,670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166,010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156,165</w:t>
            </w:r>
          </w:p>
        </w:tc>
        <w:tc>
          <w:tcPr>
            <w:tcW w:w="10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Assumed losses and loss adjustment 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140"/>
              <w:spacing w:after="0"/>
              <w:rPr>
                <w:sz w:val="20"/>
                <w:szCs w:val="20"/>
                <w:color w:val="auto"/>
              </w:rPr>
            </w:pPr>
            <w:r>
              <w:rPr>
                <w:rFonts w:ascii="Arial" w:cs="Arial" w:eastAsia="Arial" w:hAnsi="Arial"/>
                <w:sz w:val="18"/>
                <w:szCs w:val="18"/>
                <w:color w:val="auto"/>
              </w:rPr>
              <w:t>Ceded losses and loss adjustment expenses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(17,710)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(3,610)</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(29,836)</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(8,986)</w:t>
            </w:r>
          </w:p>
        </w:tc>
      </w:tr>
      <w:tr>
        <w:trPr>
          <w:trHeight w:val="20"/>
        </w:trPr>
        <w:tc>
          <w:tcPr>
            <w:tcW w:w="1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net losses and loss adjustment expenses</w:t>
            </w:r>
          </w:p>
        </w:tc>
        <w:tc>
          <w:tcPr>
            <w:tcW w:w="16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shd w:val="clear" w:color="auto" w:fill="CCEEFF"/>
          </w:tcPr>
          <w:p>
            <w:pPr>
              <w:spacing w:after="0"/>
              <w:rPr>
                <w:sz w:val="20"/>
                <w:szCs w:val="20"/>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net losses and loss adjustment expenses for the three months ended June 30, 2023, decreased $31,089, or 28.6%, compared to the three months ended June 30, 2022. Our net losses and loss adjustment expenses for the six months ended June 30, 2023, decreased $12,393, or 8.3%, compared to the six months ended June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3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0"/>
                <w:szCs w:val="20"/>
                <w:color w:val="auto"/>
              </w:rPr>
            </w:pPr>
          </w:p>
        </w:tc>
        <w:tc>
          <w:tcPr>
            <w:tcW w:w="238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6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adjustment expenses: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18,866</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16,854</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34,492</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31,565</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68,671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tcPr>
          <w:p>
            <w:pPr>
              <w:spacing w:after="0"/>
              <w:rPr>
                <w:sz w:val="18"/>
                <w:szCs w:val="18"/>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Total net losses and loss adjustment expenses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136,331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148,724</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1"/>
              </w:rPr>
              <w:t>Three Months Ended June 30,</w:t>
            </w:r>
          </w:p>
        </w:tc>
        <w:tc>
          <w:tcPr>
            <w:tcW w:w="23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6280" w:type="dxa"/>
            <w:vAlign w:val="bottom"/>
          </w:tcPr>
          <w:p>
            <w:pPr>
              <w:spacing w:after="0"/>
              <w:rPr>
                <w:sz w:val="19"/>
                <w:szCs w:val="19"/>
                <w:color w:val="auto"/>
              </w:rPr>
            </w:pPr>
          </w:p>
        </w:tc>
        <w:tc>
          <w:tcPr>
            <w:tcW w:w="10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and loss adjustment expenses ratio:</w:t>
            </w: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1080" w:type="dxa"/>
            <w:vAlign w:val="bottom"/>
          </w:tcPr>
          <w:p>
            <w:pPr>
              <w:jc w:val="right"/>
              <w:spacing w:after="0"/>
              <w:rPr>
                <w:sz w:val="20"/>
                <w:szCs w:val="20"/>
                <w:color w:val="auto"/>
              </w:rPr>
            </w:pPr>
            <w:r>
              <w:rPr>
                <w:rFonts w:ascii="Arial" w:cs="Arial" w:eastAsia="Arial" w:hAnsi="Arial"/>
                <w:sz w:val="18"/>
                <w:szCs w:val="18"/>
                <w:color w:val="auto"/>
              </w:rPr>
              <w:t>91.8%</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0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1080" w:type="dxa"/>
            <w:vAlign w:val="bottom"/>
          </w:tcPr>
          <w:p>
            <w:pPr>
              <w:jc w:val="right"/>
              <w:spacing w:after="0"/>
              <w:rPr>
                <w:sz w:val="20"/>
                <w:szCs w:val="20"/>
                <w:color w:val="auto"/>
              </w:rPr>
            </w:pPr>
            <w:r>
              <w:rPr>
                <w:rFonts w:ascii="Arial" w:cs="Arial" w:eastAsia="Arial" w:hAnsi="Arial"/>
                <w:sz w:val="18"/>
                <w:szCs w:val="18"/>
                <w:color w:val="auto"/>
              </w:rPr>
              <w:t>87.8%</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309.9%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102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080" w:type="dxa"/>
            <w:vAlign w:val="bottom"/>
          </w:tcPr>
          <w:p>
            <w:pPr>
              <w:jc w:val="right"/>
              <w:spacing w:after="0"/>
              <w:rPr>
                <w:sz w:val="20"/>
                <w:szCs w:val="20"/>
                <w:color w:val="auto"/>
              </w:rPr>
            </w:pPr>
            <w:r>
              <w:rPr>
                <w:rFonts w:ascii="Arial" w:cs="Arial" w:eastAsia="Arial" w:hAnsi="Arial"/>
                <w:sz w:val="18"/>
                <w:szCs w:val="18"/>
                <w:color w:val="auto"/>
              </w:rPr>
              <w:t>108.9%</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86.4%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10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6280" w:type="dxa"/>
            <w:vAlign w:val="bottom"/>
          </w:tcPr>
          <w:p>
            <w:pPr>
              <w:ind w:left="260"/>
              <w:spacing w:after="0"/>
              <w:rPr>
                <w:sz w:val="20"/>
                <w:szCs w:val="20"/>
                <w:color w:val="auto"/>
              </w:rPr>
            </w:pPr>
            <w:r>
              <w:rPr>
                <w:rFonts w:ascii="Arial" w:cs="Arial" w:eastAsia="Arial" w:hAnsi="Arial"/>
                <w:sz w:val="18"/>
                <w:szCs w:val="18"/>
                <w:color w:val="auto"/>
              </w:rPr>
              <w:t>Total loss and loss adjustment expenses ratio</w:t>
            </w:r>
          </w:p>
        </w:tc>
        <w:tc>
          <w:tcPr>
            <w:tcW w:w="108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128.5%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10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Below are comments regarding significant changes in the net losses and loss adjustment expenses, and the net loss and loss adjustment expense ratios, by business segment:</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i w:val="1"/>
          <w:iCs w:val="1"/>
          <w:color w:val="auto"/>
        </w:rPr>
        <w:t xml:space="preserve">Private passenger auto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loss and loss adjustment expense ratio increased 4.3 percentage points and 2.7 percentage points in the three- and six-month periods ended June 30, 2023, respectively, compared to the same periods in 2022. Both periods were affected by elevated loss costs due to continued high levels of inflation. Additionally, the first quarter of 2023 was impacted by elevated winter weather-related losses.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Non-standard auto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 and loss adjustment expense ratio increased 38.7 percentage points and 31.1 percentage points in the three- and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ended June 30, 2023, respectively, compared to the same periods in 2022. These increases were driven by elevated loss severity as a result of inflationary factors as well as unfavorable prior year development on loss reserves. We continue to take significant rate and underwriting actions as a result of these elevated losses and challenging market conditions.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Home and farm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 and loss adjustment expense ratio decreased 222.1 percentage points and 109.4 percentage points in the three- and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ended June 30, 2023, respectively, compared to the same periods in 2022. These decreases were driven by significant catastrophe losses in Nebraska and South Dakota during the second quarter of 2022, in comparison to no catastrophe losses and moderate non-catastrophe weather-related losses during the first six months of 2023. Catastrophe losses for the Home and Farm segment in the second quarter of 2022 accounted for 211.6 percentage points of the net loss and loss adjustment expense ratio.</w:t>
      </w:r>
    </w:p>
    <w:p>
      <w:pPr>
        <w:spacing w:after="0" w:line="18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Crop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 and loss adjustment expense ratio decreased 22.4 percentage points and 23.8 percentage points in the three- and six-month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respectively, compared to the same periods in 2022. These decreases were driven by improved crop growing conditions compared to the prior year.</w:t>
      </w:r>
    </w:p>
    <w:p>
      <w:pPr>
        <w:sectPr>
          <w:pgSz w:w="11900" w:h="16838" w:orient="portrait"/>
          <w:cols w:equalWidth="0" w:num="1">
            <w:col w:w="11240"/>
          </w:cols>
          <w:pgMar w:left="320" w:top="216" w:right="339" w:bottom="1440" w:gutter="0" w:footer="0" w:header="0"/>
        </w:sectPr>
      </w:pP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loss and loss adjustment expense ratio increased 22.5 percentage points and 32.3 percentage points in the three- and six-month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ended June 30, 2023, respectively, compared to the same periods in 2022. These higher loss ratios were driven by unfavorable prior year reserve development attributable to freeze claims from Winter Storm Elliott as well as increased severity of liability losses. We are taking significant rate increases and underwriting actions and continue to evaluate additional measures to improve the segment’s profitability.</w:t>
      </w:r>
    </w:p>
    <w:p>
      <w:pPr>
        <w:spacing w:after="0" w:line="13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 and loss adjustment expense ratio decreased 84.9 percentage points and 38.5 percentage points in the three-and six-month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respectively, compared to the same period for 2022. These decreases were driven by our share of a significant catastrophe loss occurrence in the prior year within a reciprocal catastrophe pool that we participate in.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Underwriting and General Expenses and Expense Ratio</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280" w:type="dxa"/>
            <w:vAlign w:val="bottom"/>
          </w:tcPr>
          <w:p>
            <w:pPr>
              <w:spacing w:after="0"/>
              <w:rPr>
                <w:sz w:val="24"/>
                <w:szCs w:val="24"/>
                <w:color w:val="auto"/>
              </w:rPr>
            </w:pPr>
          </w:p>
        </w:tc>
        <w:tc>
          <w:tcPr>
            <w:tcW w:w="246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4"/>
                <w:szCs w:val="24"/>
                <w:color w:val="auto"/>
              </w:rPr>
            </w:pPr>
          </w:p>
        </w:tc>
        <w:tc>
          <w:tcPr>
            <w:tcW w:w="238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6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20,579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16,244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39,167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31,867</w:t>
            </w:r>
          </w:p>
        </w:tc>
        <w:tc>
          <w:tcPr>
            <w:tcW w:w="100" w:type="dxa"/>
            <w:vAlign w:val="bottom"/>
          </w:tcPr>
          <w:p>
            <w:pPr>
              <w:spacing w:after="0"/>
              <w:rPr>
                <w:sz w:val="18"/>
                <w:szCs w:val="18"/>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shd w:val="clear" w:color="auto" w:fill="CCEEFF"/>
          </w:tcPr>
          <w:p>
            <w:pPr>
              <w:spacing w:after="0"/>
              <w:rPr>
                <w:sz w:val="19"/>
                <w:szCs w:val="19"/>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 underwriting and general expenses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49,650</w:t>
            </w:r>
          </w:p>
        </w:tc>
        <w:tc>
          <w:tcPr>
            <w:tcW w:w="100" w:type="dxa"/>
            <w:vAlign w:val="bottom"/>
          </w:tcPr>
          <w:p>
            <w:pPr>
              <w:spacing w:after="0"/>
              <w:rPr>
                <w:sz w:val="19"/>
                <w:szCs w:val="19"/>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6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6280" w:type="dxa"/>
            <w:vAlign w:val="bottom"/>
          </w:tcPr>
          <w:p>
            <w:pPr>
              <w:ind w:left="360"/>
              <w:spacing w:after="0"/>
              <w:rPr>
                <w:sz w:val="20"/>
                <w:szCs w:val="20"/>
                <w:color w:val="auto"/>
              </w:rPr>
            </w:pPr>
            <w:r>
              <w:rPr>
                <w:rFonts w:ascii="Arial" w:cs="Arial" w:eastAsia="Arial" w:hAnsi="Arial"/>
                <w:sz w:val="18"/>
                <w:szCs w:val="18"/>
                <w:color w:val="auto"/>
              </w:rPr>
              <w:t>Expense Ratio</w:t>
            </w:r>
          </w:p>
        </w:tc>
        <w:tc>
          <w:tcPr>
            <w:tcW w:w="2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0.6 percentage points and 1.6 percentage points in the three-and six-month periods ended June 30, 2023, respectively, compared to the same periods in 2022. The increase in the amortization of deferred policy acquisition costs is due to higher deferrable costs resulting from significant premium growth in the non-standard auto and commercial segments, which generally pay higher agent commissions than our other segments, compared to the prior year. The increase in year-to-date other underwriting and general expenses was due to the impact of continued high levels of inflation. The decrease in quarter-to-date other underwriting and general expenses was related to changes in the timing of expense recognition between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Underwriting Gain (Loss) and Combined Ratio</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280" w:type="dxa"/>
            <w:vAlign w:val="bottom"/>
          </w:tcPr>
          <w:p>
            <w:pPr>
              <w:spacing w:after="0"/>
              <w:rPr>
                <w:sz w:val="24"/>
                <w:szCs w:val="24"/>
                <w:color w:val="auto"/>
              </w:rPr>
            </w:pPr>
          </w:p>
        </w:tc>
        <w:tc>
          <w:tcPr>
            <w:tcW w:w="250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Three Months Ended June 30,</w:t>
            </w:r>
          </w:p>
        </w:tc>
        <w:tc>
          <w:tcPr>
            <w:tcW w:w="80" w:type="dxa"/>
            <w:vAlign w:val="bottom"/>
          </w:tcPr>
          <w:p>
            <w:pPr>
              <w:spacing w:after="0"/>
              <w:rPr>
                <w:sz w:val="24"/>
                <w:szCs w:val="24"/>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6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(4,077)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(3,142)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(6,467)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(4,879)</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(47,932)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(41,533)</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(15,921)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(4,701)</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Total underwriting loss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(13,234)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(50,345)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(22,676)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(44,291)</w:t>
            </w: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1"/>
              </w:rPr>
              <w:t>Three Months Ended June 30,</w:t>
            </w:r>
          </w:p>
        </w:tc>
        <w:tc>
          <w:tcPr>
            <w:tcW w:w="23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6280" w:type="dxa"/>
            <w:vAlign w:val="bottom"/>
          </w:tcPr>
          <w:p>
            <w:pPr>
              <w:spacing w:after="0"/>
              <w:rPr>
                <w:sz w:val="18"/>
                <w:szCs w:val="18"/>
                <w:color w:val="auto"/>
              </w:rPr>
            </w:pPr>
          </w:p>
        </w:tc>
        <w:tc>
          <w:tcPr>
            <w:tcW w:w="10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Private passenger auto</w:t>
            </w: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116.3%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116.1%</w:t>
            </w:r>
          </w:p>
        </w:tc>
        <w:tc>
          <w:tcPr>
            <w:tcW w:w="102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Non-standard auto</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Home and farm</w:t>
            </w:r>
          </w:p>
        </w:tc>
        <w:tc>
          <w:tcPr>
            <w:tcW w:w="1080" w:type="dxa"/>
            <w:vAlign w:val="bottom"/>
          </w:tcPr>
          <w:p>
            <w:pPr>
              <w:jc w:val="right"/>
              <w:spacing w:after="0"/>
              <w:rPr>
                <w:sz w:val="20"/>
                <w:szCs w:val="20"/>
                <w:color w:val="auto"/>
              </w:rPr>
            </w:pPr>
            <w:r>
              <w:rPr>
                <w:rFonts w:ascii="Arial" w:cs="Arial" w:eastAsia="Arial" w:hAnsi="Arial"/>
                <w:sz w:val="18"/>
                <w:szCs w:val="18"/>
                <w:color w:val="auto"/>
              </w:rPr>
              <w:t>117.9%</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340.2%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102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Crop</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080" w:type="dxa"/>
            <w:vAlign w:val="bottom"/>
          </w:tcPr>
          <w:p>
            <w:pPr>
              <w:jc w:val="right"/>
              <w:spacing w:after="0"/>
              <w:rPr>
                <w:sz w:val="20"/>
                <w:szCs w:val="20"/>
                <w:color w:val="auto"/>
              </w:rPr>
            </w:pPr>
            <w:r>
              <w:rPr>
                <w:rFonts w:ascii="Arial" w:cs="Arial" w:eastAsia="Arial" w:hAnsi="Arial"/>
                <w:sz w:val="18"/>
                <w:szCs w:val="18"/>
                <w:color w:val="auto"/>
              </w:rPr>
              <w:t>146.5%</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123.5%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c>
          <w:tcPr>
            <w:tcW w:w="102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8"/>
                <w:szCs w:val="18"/>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6280" w:type="dxa"/>
            <w:vAlign w:val="bottom"/>
          </w:tcPr>
          <w:p>
            <w:pPr>
              <w:ind w:left="260"/>
              <w:spacing w:after="0"/>
              <w:rPr>
                <w:sz w:val="20"/>
                <w:szCs w:val="20"/>
                <w:color w:val="auto"/>
              </w:rPr>
            </w:pPr>
            <w:r>
              <w:rPr>
                <w:rFonts w:ascii="Arial" w:cs="Arial" w:eastAsia="Arial" w:hAnsi="Arial"/>
                <w:sz w:val="18"/>
                <w:szCs w:val="18"/>
                <w:color w:val="auto"/>
              </w:rPr>
              <w:t>Combined ratio</w:t>
            </w:r>
          </w:p>
        </w:tc>
        <w:tc>
          <w:tcPr>
            <w:tcW w:w="108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113.2%</w:t>
            </w:r>
          </w:p>
        </w:tc>
        <w:tc>
          <w:tcPr>
            <w:tcW w:w="102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total underwriting loss decreased $37,111, or 73.7%, for the three-month period ended June 30, 2023, compared to the same period in 2022. The total underwriting loss decreased $21,615, or 48.8%, for the six-month period ended June 30, 2023, compared to the same period in 2022. These results were driven by the factors discussed in the Loss and Loss Adjustment Expenses section above.</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overall combined ratio decreased 45.6 percentage points in the three-month period ended June 30, 2023, compared to the same periods in 2022. The overall combined ratio decreased 15.5 percentage points in the six-month period ended June 30, 2023, compared to the same periods in 2022. These results were driven by the factors discussed in the Loss and Loss Adjustment Expenses section above.</w:t>
      </w:r>
    </w:p>
    <w:p>
      <w:pPr>
        <w:spacing w:after="0" w:line="1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we discussed above, we are taking significant rate increases and underwriting actions and continue to evaluate additional measures to improve underwriting profitability.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and Other Income</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had fee and other income of $499 and $773 for the three and six months ended June 30, 2023, respectively, compared to $415 and $843 for the three and six months ended June 30, 2022, respectively. Fee income is largely attributable to the non-standard auto segment and is a key component in measuring its profitability. The decrease in fee and other income for the six-month period ended June 30, 2023, was driven by a shifting mix of business in the Chicago market as well as miscellaneous income from the sale of property in the first quarter of the prior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3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0"/>
                <w:szCs w:val="20"/>
                <w:color w:val="auto"/>
              </w:rPr>
            </w:pPr>
          </w:p>
        </w:tc>
        <w:tc>
          <w:tcPr>
            <w:tcW w:w="238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6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474,133</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407,833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4,744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Gross return on average cash and invested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return on average cash and invested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investment income increased $490 for the three months ended June 30, 2023, compared to the three months ended June 30, 2022. Net investment income increased $1,076 for the six months ended June 30, 2023, compared to the six months ended June 30, 2022. This increase was primarily driven by the rising interest rate environment which resulted in higher reinvestment rates for the fixed income portfolio.</w:t>
      </w:r>
    </w:p>
    <w:p>
      <w:pPr>
        <w:spacing w:after="0" w:line="13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Gross and net return on average cash and invested assets increased year-over-year, driven by the higher net investment income and a higher proportion of the equity portfolio being invested in high dividend yield equities in 2023, along with a decrease in average cash and invested assets (measured at fair value). This decrease in average cash and invested assets was driven by lower fixed income fair values caused by an increasing interest rate environment and challenging equity market conditions particularly during the middle and later stages of 2022, combined with investment sales as a result of an unusually high number of weather-related losses in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Net Investment Gains (Losses)</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820" w:type="dxa"/>
            <w:vAlign w:val="bottom"/>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80" w:type="dxa"/>
            <w:vAlign w:val="bottom"/>
            <w:gridSpan w:val="6"/>
          </w:tcPr>
          <w:p>
            <w:pPr>
              <w:jc w:val="right"/>
              <w:ind w:right="121"/>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4"/>
                <w:szCs w:val="24"/>
                <w:color w:val="auto"/>
              </w:rPr>
            </w:pPr>
          </w:p>
        </w:tc>
        <w:tc>
          <w:tcPr>
            <w:tcW w:w="2380" w:type="dxa"/>
            <w:vAlign w:val="bottom"/>
            <w:gridSpan w:val="6"/>
          </w:tcPr>
          <w:p>
            <w:pPr>
              <w:jc w:val="right"/>
              <w:ind w:right="161"/>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4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1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8"/>
                <w:szCs w:val="18"/>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Gross realized losses, excluding credit impairment losses</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(476)</w:t>
            </w:r>
          </w:p>
        </w:tc>
        <w:tc>
          <w:tcPr>
            <w:tcW w:w="24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(355)</w:t>
            </w:r>
          </w:p>
        </w:tc>
      </w:tr>
      <w:tr>
        <w:trPr>
          <w:trHeight w:val="20"/>
        </w:trPr>
        <w:tc>
          <w:tcPr>
            <w:tcW w:w="4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0"/>
              </w:rPr>
              <w:t>(119)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Change in net unrealized gains on equity securities</w:t>
            </w: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(12,163)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(10,225)</w:t>
            </w:r>
          </w:p>
        </w:tc>
        <w:tc>
          <w:tcPr>
            <w:tcW w:w="2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(18,629)</w:t>
            </w:r>
          </w:p>
        </w:tc>
      </w:tr>
      <w:tr>
        <w:trPr>
          <w:trHeight w:val="26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138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(174</w:t>
            </w:r>
          </w:p>
        </w:tc>
        <w:tc>
          <w:tcPr>
            <w:tcW w:w="24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609"/>
        </w:trPr>
        <w:tc>
          <w:tcPr>
            <w:tcW w:w="4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38</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had net unrealized losses of $119 and net unrealized gains of $11,467 for the three and six months ended June 30, 2023, respectively, compared to gains of $1,027 and $1,965 for the three and six months ended June 30, 2022, respectively. The year-to-date increase in net realized gains was the result of a strategic liquidation of a portfolio of equity securities in the first quarter of 2023. The gross realized gains from the sale of these securities were largely offset by the elimination of the unrealized gain position of these securities. No credit impairment losses were reported during any of the periods presented.</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experienced a decrease in net unrealized gains on equity securities of $55 and $10,225 during the three and six months ended June 30, 2023, respectively, and a decrease in net unrealized gains on equity securities of $12,163 and $18,629 during the three and six months ended June 30, 2022, respectively. The current period year-to-date change in net unrealized gains on equity securities was driven by the equity portfolio liquidation noted above and additional sales of equity securities during the current quarter offset by the impact of changes in fair value attributable to favorable equity markets. The prior year decreases were driven by the impact of changes in fair value attributable to unfavorable equity markets.</w:t>
      </w:r>
    </w:p>
    <w:p>
      <w:pPr>
        <w:spacing w:after="0" w:line="13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fixed income securities are classified as available for sale because we will, from time to time, make sales of securities that are not impaired, consistent with our investment goals and policies. The fixed income portion of the portfolio experienced net unrealized losses of $2,907 and net unrealized gains of $3,116 during the three and six months ended June 30, 2023, respectively, compared to net unrealized losses of $16,283 and $37,220 during the three and six months ended June 30, 2022,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98" w:lineRule="exact"/>
        <w:rPr>
          <w:sz w:val="20"/>
          <w:szCs w:val="20"/>
          <w:color w:val="auto"/>
        </w:rPr>
      </w:pPr>
    </w:p>
    <w:p>
      <w:pPr>
        <w:jc w:val="both"/>
        <w:ind w:right="340"/>
        <w:spacing w:after="0" w:line="291" w:lineRule="auto"/>
        <w:rPr>
          <w:sz w:val="20"/>
          <w:szCs w:val="20"/>
          <w:color w:val="auto"/>
        </w:rPr>
      </w:pPr>
      <w:r>
        <w:rPr>
          <w:rFonts w:ascii="Arial" w:cs="Arial" w:eastAsia="Arial" w:hAnsi="Arial"/>
          <w:sz w:val="16"/>
          <w:szCs w:val="16"/>
          <w:color w:val="auto"/>
        </w:rPr>
        <w:t>For the three months ended June 30, 2023, we had a pre-tax loss of $10,404 compared to a pre-tax loss of $59,051 for the three months ended June 30, 2022. For the six months ended June 30, 2023, we had a pre-tax loss of $15,917 compared to pre-tax loss of $56,444 for the six months ended June 30,</w:t>
      </w:r>
    </w:p>
    <w:p>
      <w:pPr>
        <w:ind w:right="260"/>
        <w:spacing w:after="0" w:line="277" w:lineRule="auto"/>
        <w:rPr>
          <w:sz w:val="20"/>
          <w:szCs w:val="20"/>
          <w:color w:val="auto"/>
        </w:rPr>
      </w:pPr>
      <w:r>
        <w:rPr>
          <w:rFonts w:ascii="Arial" w:cs="Arial" w:eastAsia="Arial" w:hAnsi="Arial"/>
          <w:sz w:val="17"/>
          <w:szCs w:val="17"/>
          <w:color w:val="auto"/>
        </w:rPr>
        <w:t>2022. These year-over-year decreases in pre-tax loss were largely attributable to the significant catastrophe losses during the second quarter of 2022 and significantly higher investment losses during the first and second quarters of 2022, partially offset by year-to-date unfavorable prior year reserve development during 2023 combined with year-to-date favorable prior year reserve development during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recorded an income tax benefit of $2,169 for the three months ended June 30, 2023, compared to an income tax benefit of $12,415 for the three months ended June 30, 2022. Our effective tax rate for the second quarter of 2023 was 20.8% compared to an effective tax rate of 21.0% for the second quarter of 2022.</w:t>
      </w:r>
    </w:p>
    <w:p>
      <w:pPr>
        <w:spacing w:after="0" w:line="15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recorded an income tax benefit of $3,182 for the six months ended June 30, 2023, compared to income tax benefit of $11,847 for the six months ended June 30, 2022. Our effective tax rate for the first six months of 2023 was 20.0% compared to an effective tax rate of 21.0% for the first six months of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For the three months ended June 30, 2023, we had a net loss before non-controlling interest of $8,235 compared to a net loss of $46,636 for the three months ended June 30, 2022. For the six months ended June 30, 2023, we had a net loss before non-controlling interest of $12,735 compared to net loss of $44,597 for the six months ended June 30, 2022. These year-over-year decreases in pre-tax loss were largely attributable to the significant catastrophe losses during the second quarter of 2022 and significantly higher investment losses during the first and second quarters of 2022, partially offset by year-to-date unfavorable prior year reserve development during 2023 combined with year-to-date favorable prior year reserve development during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on Average Equity</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June 30, 2023, we had annualized return on average equity, after non-controlling interest, of (13.3)% compared to annualized return on average equity, after non-controlling interest, of (61.4)% for the three months ended June 30, 2022.</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six months ended June 30, 2023, we had annualized return on average equity, after non-controlling interest, of (10.1)% compared to annualized return on average equity, after non-controlling interest, of (28.7)% for the six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Average equity is calculated as the average between beginning and ending equity, excluding non-controlling interest, for the period.</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2022 Annual Report. There have been no changes in our critical accounting policies from December 31, 2022.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r>
              <w:rPr>
                <w:rFonts w:ascii="Arial" w:cs="Arial" w:eastAsia="Arial" w:hAnsi="Arial"/>
                <w:sz w:val="18"/>
                <w:szCs w:val="18"/>
                <w:color w:val="auto"/>
                <w:w w:val="96"/>
              </w:rPr>
              <w:t>The change in cash and cash equivalents for the six months ended June 30, 2023 and 2022, were as follows: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8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(12,075)</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(9,163)</w:t>
            </w:r>
          </w:p>
        </w:tc>
      </w:tr>
      <w:tr>
        <w:trPr>
          <w:trHeight w:val="20"/>
        </w:trPr>
        <w:tc>
          <w:tcPr>
            <w:tcW w:w="8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842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5,634</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(7,591)</w:t>
            </w:r>
          </w:p>
        </w:tc>
      </w:tr>
      <w:tr>
        <w:trPr>
          <w:trHeight w:val="20"/>
        </w:trPr>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For the six months ended June 30, 2023, net cash provided by operating activities totaled $7,916 compared to $13,647 a year ago. This decrease was primarily driven by higher claim payments during the current period partially offset by higher levels of cash received for premiums.</w:t>
      </w:r>
    </w:p>
    <w:p>
      <w:pPr>
        <w:spacing w:after="0" w:line="9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For the six months ended June 30, 2023, net cash provided by investing activities totaled $1,115 compared to net cash used of $12,075 a year ago. This change was attributable to an increase in sales of equity securities and a decrease in purchases of equity securities partially offset by a decrease in maturities and sales of fixed income securities and an increase in purchases of fixed income securities in the current year compared to the prior year.</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six months ended June 30, 2023, net cash used by financing activities totaled $3,397 compared to $9,163 a year ago. This decrease in cash used was attributable to an installment payment of $6,667 on the Westminster consideration payable during the first quarter of 2022, partially offset by an increase in share repurchases during the first six months of 2023 compared to the first six months of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a holding company, a principal source of long-term liquidity will be dividend payments from our directly-owned subsidiaries.</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surplus as regards policyholders as of the preceding December 31, or (ii) the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is no amount available for payment of dividends from Nodak Insurance to NI Holdings during 2023 without the prior approval of the North Dakota Insurance Department based upon the net loss of Nodak Insurance during the year ended December 31, 2022.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six months ended June 30, 2023. The Nodak Insurance Board of Directors declared and Nodak Insurance paid dividends of $3,000 to NI Holdings during the year ended December 31, 2022.</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Direct Auto re-domesticated from Illinois to North Dakota during 2021 and is now subject to the same dividend restrictions as Nodak Insurance. There is no amount available for payment of dividends from Direct Auto to NI Holdings during 2023 without the prior approval of the North Dakota Insurance Department based upon the net loss of Direct Auto during the year ended December 31, 2022. No dividends were declared or paid by Direct Auto during the six months ended June 30, 2023, or the year ended December 31, 2022.</w:t>
      </w:r>
    </w:p>
    <w:p>
      <w:pPr>
        <w:spacing w:after="0" w:line="14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Westminster re-domesticated from Maryland to North Dakota during 2021 and is now subject to the same dividend restrictions as Nodak Insurance. There is no amount available for payment of dividends from Westminster to NI Holdings during 2023 without the prior approval of the North Dakota Insurance Department based upon the net loss of Westminster during the year ended December 31, 2022. No dividends were declared or paid by Westminster during the six months ended June 30, 2023, or the year ended December 31, 2022.</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Company’s assessment of market risk as of June 30, 2023, indicates there have been no material changes in the quantitative and qualitative disclosures from those in Part II, Item 7A, “Quantitative and Qualitative Disclosures About Market Risk” in our 2022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 over Financial Reporting</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Part I, Item 1A, “Risk Factors” in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233" w:right="67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included in Item 2 herein, except per share data, are in thousands.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19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From time to time, the Company may also repurchase its own stock. To date, the Company has used the net proceeds from the IPO to fund these share repurchases.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six months ended June 30, 2023, we repurchased an additional 238,164 shares of our common stock for $3,223. At June 30, 2023, $6,043 remains available under this authorization.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three months ended June 30, 2023,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Maximum Approximate</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Dollar Value of Shares</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That May Yet Be</w:t>
            </w:r>
          </w:p>
        </w:tc>
      </w:t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Average Price</w:t>
            </w:r>
          </w:p>
        </w:tc>
        <w:tc>
          <w:tcPr>
            <w:tcW w:w="2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as Part of Publicly</w:t>
            </w:r>
          </w:p>
        </w:tc>
        <w:tc>
          <w:tcPr>
            <w:tcW w:w="1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Paid</w:t>
            </w:r>
          </w:p>
        </w:tc>
        <w:tc>
          <w:tcPr>
            <w:tcW w:w="2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00" w:type="dxa"/>
            <w:vAlign w:val="bottom"/>
          </w:tcPr>
          <w:p>
            <w:pPr>
              <w:spacing w:after="0"/>
              <w:rPr>
                <w:sz w:val="18"/>
                <w:szCs w:val="18"/>
                <w:color w:val="auto"/>
              </w:rPr>
            </w:pPr>
          </w:p>
        </w:tc>
        <w:tc>
          <w:tcPr>
            <w:tcW w:w="1740" w:type="dxa"/>
            <w:vAlign w:val="bottom"/>
            <w:gridSpan w:val="2"/>
          </w:tcPr>
          <w:p>
            <w:pPr>
              <w:jc w:val="center"/>
              <w:ind w:right="200"/>
              <w:spacing w:after="0" w:line="216"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(2)</w:t>
            </w:r>
          </w:p>
        </w:tc>
      </w:tr>
      <w:tr>
        <w:trPr>
          <w:trHeight w:val="270"/>
        </w:trPr>
        <w:tc>
          <w:tcPr>
            <w:tcW w:w="4700" w:type="dxa"/>
            <w:vAlign w:val="bottom"/>
          </w:tcPr>
          <w:p>
            <w:pPr>
              <w:ind w:left="1840"/>
              <w:spacing w:after="0"/>
              <w:rPr>
                <w:sz w:val="20"/>
                <w:szCs w:val="20"/>
                <w:color w:val="auto"/>
              </w:rPr>
            </w:pPr>
            <w:r>
              <w:rPr>
                <w:rFonts w:ascii="Arial" w:cs="Arial" w:eastAsia="Arial" w:hAnsi="Arial"/>
                <w:sz w:val="18"/>
                <w:szCs w:val="18"/>
                <w:color w:val="auto"/>
              </w:rPr>
              <w:t>Period in 2023</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6"/>
              </w:rPr>
              <w:t>Per Share</w:t>
            </w:r>
          </w:p>
        </w:tc>
        <w:tc>
          <w:tcPr>
            <w:tcW w:w="200" w:type="dxa"/>
            <w:vAlign w:val="bottom"/>
          </w:tcPr>
          <w:p>
            <w:pPr>
              <w:spacing w:after="0"/>
              <w:rPr>
                <w:sz w:val="23"/>
                <w:szCs w:val="23"/>
                <w:color w:val="auto"/>
              </w:rPr>
            </w:pPr>
          </w:p>
        </w:tc>
        <w:tc>
          <w:tcPr>
            <w:tcW w:w="1680" w:type="dxa"/>
            <w:vAlign w:val="bottom"/>
            <w:gridSpan w:val="2"/>
          </w:tcPr>
          <w:p>
            <w:pPr>
              <w:jc w:val="center"/>
              <w:ind w:right="220"/>
              <w:spacing w:after="0" w:line="270"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00" w:type="dxa"/>
            <w:vAlign w:val="bottom"/>
          </w:tcPr>
          <w:p>
            <w:pPr>
              <w:spacing w:after="0"/>
              <w:rPr>
                <w:sz w:val="23"/>
                <w:szCs w:val="2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(in thousands)</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1-30, 2023</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May 1-31, 2023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119,871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119,871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r>
      <w:tr>
        <w:trPr>
          <w:trHeight w:val="22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June 1-30, 2023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37,240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37,240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shd w:val="clear" w:color="auto" w:fill="CCEEFF"/>
          </w:tcPr>
          <w:p>
            <w:pPr>
              <w:spacing w:after="0"/>
              <w:rPr>
                <w:sz w:val="19"/>
                <w:szCs w:val="19"/>
                <w:color w:val="auto"/>
              </w:rPr>
            </w:pP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192,065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192,065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740" w:hanging="416"/>
        <w:spacing w:after="0" w:line="194" w:lineRule="auto"/>
        <w:tabs>
          <w:tab w:leader="none" w:pos="66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Shares purchased pursuant to the May 9, 2022, publicly announced share repurchase authorization of up to approximately $10,000 of the Company’s outstanding common stock.</w:t>
      </w:r>
    </w:p>
    <w:p>
      <w:pPr>
        <w:ind w:left="660" w:right="360" w:hanging="416"/>
        <w:spacing w:after="0" w:line="187" w:lineRule="auto"/>
        <w:tabs>
          <w:tab w:leader="none" w:pos="66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Maximum dollar value of shares that may yet be purchased consist of up to approximately $6,043 under the May 9, 2022, publicly announced share repurchase authorization.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10b5-1 Trading Plans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second quarter of 2023, none of our directors or executive officers adopted or terminated any “Rule 10b5-1 trading arrangement” or “non-Rule 10b5-1 trading arrangement” (as each term is defined in Item 408(a) of Regulation 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Employment Agreement</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8, 2023, we entered into an Amended and Restated Employment Agreement (the “Amended Employment Agreement”) with Seth Daggett, our Chief Financial Officer, to (i) provide that the employment period under the Amended Employment Agreement will be two years, which will be automatically extended on a daily basis such that the employment period shall always be two years, unless terminated in accordance with its terms, and (ii) increase Mr. Daggett’s annual base salary from $285,000 to $375,000. The increase in the employment period will also increase the amounts payable to Mr. Daggett following an involuntary termination by the Company without Cause (as defined in the Amended Employment Agreement) or a voluntary termination by Mr. Daggett for Good Reason (as defined in the Amended Employment Agreement) since in both cases Mr. Daggett is entitled to receive an amount equal to (a) his annual base salary plus (b) the average annual bonus for the preceding three calendar years, which annual amount shall be multiplied by the number of full calendar months remaining in the employment period divided by twelve.</w:t>
      </w:r>
    </w:p>
    <w:p>
      <w:pPr>
        <w:spacing w:after="0" w:line="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addition, the Amended Employment Agreement clarifies that all compensation payable to Mr. Daggett shall be subject to any clawback policy we adopt to comply with Section 10D of the Securities Exchange Act of 1934, as amended, and related rules and listing standards of The Nasdaq Stock Market.</w:t>
      </w:r>
    </w:p>
    <w:p>
      <w:pPr>
        <w:spacing w:after="0" w:line="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foregoing summary of the Amended Employment Agreement does not purport to be complete and is qualified in its entirety by reference to the full text of the Amended Employment Agreement filed as Exhibit 10.1 to this Quarterly Report on Form 10-Q and incorporated herein by reference.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3"/>
              </w:rPr>
              <w:t>Item 6. - Exhibits</w:t>
            </w:r>
          </w:p>
        </w:tc>
        <w:tc>
          <w:tcPr>
            <w:tcW w:w="3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3"/>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3820" w:type="dxa"/>
            <w:vAlign w:val="bottom"/>
          </w:tcPr>
          <w:p>
            <w:pPr>
              <w:spacing w:after="0"/>
              <w:rPr>
                <w:sz w:val="20"/>
                <w:szCs w:val="20"/>
                <w:color w:val="auto"/>
              </w:rPr>
            </w:pPr>
          </w:p>
        </w:tc>
        <w:tc>
          <w:tcPr>
            <w:tcW w:w="6060" w:type="dxa"/>
            <w:vAlign w:val="bottom"/>
            <w:gridSpan w:val="6"/>
          </w:tcPr>
          <w:p>
            <w:pPr>
              <w:ind w:left="6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620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1"/>
              </w:rPr>
              <w:t>Articles of Incorporation, as amended by Articles of Amendment dated May 24, 2023.</w:t>
            </w:r>
          </w:p>
        </w:tc>
        <w:tc>
          <w:tcPr>
            <w:tcW w:w="3680" w:type="dxa"/>
            <w:vAlign w:val="bottom"/>
            <w:tcBorders>
              <w:top w:val="single" w:sz="8" w:color="auto"/>
            </w:tcBorders>
            <w:gridSpan w:val="4"/>
          </w:tcPr>
          <w:p>
            <w:pPr>
              <w:spacing w:after="0"/>
              <w:rPr>
                <w:sz w:val="24"/>
                <w:szCs w:val="24"/>
                <w:color w:val="auto"/>
              </w:rPr>
            </w:pPr>
          </w:p>
        </w:tc>
      </w:tr>
      <w:tr>
        <w:trPr>
          <w:trHeight w:val="412"/>
        </w:trPr>
        <w:tc>
          <w:tcPr>
            <w:tcW w:w="1120" w:type="dxa"/>
            <w:vAlign w:val="bottom"/>
          </w:tcPr>
          <w:p>
            <w:pPr>
              <w:ind w:left="2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rPr>
              <w:t>Amended and Restated Bylaws, dated May 24, 2023.</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20" w:type="dxa"/>
            <w:vAlign w:val="bottom"/>
          </w:tcPr>
          <w:p>
            <w:pPr>
              <w:ind w:left="26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rPr>
              <w:t>Amended and Restated Employment Agreement dated August 8, 2023 between the Company and Seth C. Daggett.</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20" w:type="dxa"/>
            <w:vAlign w:val="bottom"/>
          </w:tcPr>
          <w:p>
            <w:pPr>
              <w:ind w:left="26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w w:val="93"/>
              </w:rPr>
              <w:t>Certification of Principal Executive Officer Pursuant to Rules 13a-14(a) and 15d-14(a) under the Securities Exchange Act of 1934, as</w:t>
            </w: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c>
          <w:tcPr>
            <w:tcW w:w="28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1120" w:type="dxa"/>
            <w:vAlign w:val="bottom"/>
          </w:tcPr>
          <w:p>
            <w:pPr>
              <w:ind w:left="26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Certification of Principal Financial Officer Pursuant to Rules 13a-14(a) and 15d-14(a) under the Securities Exchange Act of 1934, as</w:t>
            </w:r>
          </w:p>
        </w:tc>
        <w:tc>
          <w:tcPr>
            <w:tcW w:w="3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right="180" w:hanging="1109"/>
        <w:spacing w:after="0" w:line="277" w:lineRule="auto"/>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9660" w:type="dxa"/>
            <w:vAlign w:val="bottom"/>
          </w:tcPr>
          <w:p>
            <w:pPr>
              <w:spacing w:after="0"/>
              <w:rPr>
                <w:sz w:val="17"/>
                <w:szCs w:val="17"/>
                <w:color w:val="auto"/>
              </w:rPr>
            </w:pPr>
          </w:p>
        </w:tc>
      </w:tr>
      <w:tr>
        <w:trPr>
          <w:trHeight w:val="546"/>
        </w:trPr>
        <w:tc>
          <w:tcPr>
            <w:tcW w:w="1280" w:type="dxa"/>
            <w:vAlign w:val="bottom"/>
          </w:tcPr>
          <w:p>
            <w:pPr>
              <w:ind w:left="260"/>
              <w:spacing w:after="0"/>
              <w:rPr>
                <w:sz w:val="20"/>
                <w:szCs w:val="20"/>
                <w:color w:val="auto"/>
              </w:rPr>
            </w:pPr>
            <w:r>
              <w:rPr>
                <w:rFonts w:ascii="Arial" w:cs="Arial" w:eastAsia="Arial" w:hAnsi="Arial"/>
                <w:sz w:val="18"/>
                <w:szCs w:val="18"/>
                <w:color w:val="auto"/>
              </w:rPr>
              <w:t>101.INS</w:t>
            </w:r>
          </w:p>
        </w:tc>
        <w:tc>
          <w:tcPr>
            <w:tcW w:w="96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1280" w:type="dxa"/>
            <w:vAlign w:val="bottom"/>
          </w:tcPr>
          <w:p>
            <w:pPr>
              <w:spacing w:after="0"/>
              <w:rPr>
                <w:sz w:val="20"/>
                <w:szCs w:val="20"/>
                <w:color w:val="auto"/>
              </w:rPr>
            </w:pPr>
          </w:p>
        </w:tc>
        <w:tc>
          <w:tcPr>
            <w:tcW w:w="9660" w:type="dxa"/>
            <w:vAlign w:val="bottom"/>
          </w:tcPr>
          <w:p>
            <w:pPr>
              <w:ind w:left="8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101.SCH</w:t>
            </w:r>
          </w:p>
        </w:tc>
        <w:tc>
          <w:tcPr>
            <w:tcW w:w="9660" w:type="dxa"/>
            <w:vAlign w:val="bottom"/>
          </w:tcPr>
          <w:p>
            <w:pPr>
              <w:ind w:left="8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101.CAL</w:t>
            </w:r>
          </w:p>
        </w:tc>
        <w:tc>
          <w:tcPr>
            <w:tcW w:w="966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101.DEF</w:t>
            </w:r>
          </w:p>
        </w:tc>
        <w:tc>
          <w:tcPr>
            <w:tcW w:w="966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101.LAB</w:t>
            </w:r>
          </w:p>
        </w:tc>
        <w:tc>
          <w:tcPr>
            <w:tcW w:w="966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280" w:type="dxa"/>
            <w:vAlign w:val="bottom"/>
          </w:tcPr>
          <w:p>
            <w:pPr>
              <w:ind w:left="260"/>
              <w:spacing w:after="0"/>
              <w:rPr>
                <w:sz w:val="20"/>
                <w:szCs w:val="20"/>
                <w:color w:val="auto"/>
              </w:rPr>
            </w:pPr>
            <w:r>
              <w:rPr>
                <w:rFonts w:ascii="Arial" w:cs="Arial" w:eastAsia="Arial" w:hAnsi="Arial"/>
                <w:sz w:val="18"/>
                <w:szCs w:val="18"/>
                <w:color w:val="auto"/>
              </w:rPr>
              <w:t>101.PRE</w:t>
            </w:r>
          </w:p>
        </w:tc>
        <w:tc>
          <w:tcPr>
            <w:tcW w:w="966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5520" w:right="3060" w:hanging="5269"/>
        <w:spacing w:after="0" w:line="903" w:lineRule="auto"/>
        <w:tabs>
          <w:tab w:leader="none" w:pos="13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216" w:right="6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33" w:right="9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is NI Holdings, Inc. (the “Corporation”)</w:t>
      </w:r>
    </w:p>
    <w:p>
      <w:pPr>
        <w:spacing w:after="0" w:line="223" w:lineRule="exact"/>
        <w:rPr>
          <w:sz w:val="20"/>
          <w:szCs w:val="20"/>
          <w:color w:val="auto"/>
        </w:rPr>
      </w:pPr>
    </w:p>
    <w:p>
      <w:pPr>
        <w:ind w:right="460" w:firstLine="1296"/>
        <w:spacing w:after="0" w:line="217" w:lineRule="auto"/>
        <w:rPr>
          <w:sz w:val="20"/>
          <w:szCs w:val="20"/>
          <w:color w:val="auto"/>
        </w:rPr>
      </w:pPr>
      <w:r>
        <w:rPr>
          <w:rFonts w:ascii="Arial" w:cs="Arial" w:eastAsia="Arial" w:hAnsi="Arial"/>
          <w:sz w:val="18"/>
          <w:szCs w:val="18"/>
          <w:color w:val="auto"/>
        </w:rPr>
        <w:t>SECOND. The location and mailing address of the Corporation’s principal executive office and registered office is 1101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Avenue North, Fargo, North Dakota 58102. The registered agent at this address is Michael J. Alexander.</w:t>
      </w:r>
    </w:p>
    <w:p>
      <w:pPr>
        <w:spacing w:after="0" w:line="202"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THIRD. The Corporation is incorporated under the North Dakota Business Corporation Act, as amended (the “Business Corporation Act”). The purpose of the Corporation is, and it shall have unlimited power to engage in and to do, any lawful act concerning any or all lawful business for which corporations may be incorporated under provisions of the Business Corporation Act.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The term of the Corporation’s existence is perpetual.</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FIFTH. The aggregate number of shares of capital stock that the Corporation shall have authority to issue is thirty million (30,000,000) shares, divided into two classes consisting of twenty-five million (25,000,000) shares of common stock, par value $0.01 per share (“Common Stock”) and five million (5,000,000) shares of preferred stock, without par value (“Preferred Stock”). Any or all classes of shares of the Corporation, or any part thereof, may be represented by uncertificated shares to the extent determined by the Board of Directors, except that shares represented by a certificate that is issued and outstanding shall be represented thereby until the certificate is surrendered to the Corporation. Within a reasonable time after the issuance or transfer of uncertificated shares, the Corporation shall send to the registered owner of such shares a written notice required by Section 10-19.1-66 of the Business Corporation Act.</w:t>
      </w:r>
    </w:p>
    <w:p>
      <w:pPr>
        <w:spacing w:after="0" w:line="19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SIXTH. The Preferred Stock may be issued from time to time as a class without series or, if so determined by the board of directors of the Corporation, either in whole or in part, in one or more series. There is hereby expressly granted to and vested in the board of directors of the Corporation authority to fix and determine (except as fixed and determined herein), by resolution, the par value, voting powers, full or limited, or no voting powers, and such designations, preferences and relative, participating, optional or other special rights, if any, and the qualifications, limitations or restrictions thereof, if any, including specifically, but not limited to, the dividend rights, conversion rights, redemption rights and liquidation preferences, if any, of any wholly unissued series of Preferred Stock (or the entire class of Preferred Stock if none of such shares have been issued), the number of shares constituting any such series and the terms and conditions of the issue thereof. Prior to the issuance of any shares of Preferred Stock, a statement setting forth a copy of each such resolution or resolutions and the number of shares of Preferred Stock of each such class or series shall be executed and filed in accordance with the Business Corporation Act. Unless otherwise provided in any such resolution or resolutions, the number of shares of capital stock of any such class or series so set forth in such resolution or resolutions may thereafter be increased or decreased (but not below the number of shares then outstanding), by a statement likewise executed and filed setting forth a statement that a specified increase or decrease therein had been authorized and directed by a resolution or resolutions likewise adopted by the board of directors of the Corporation. In case the number of such shares shall be decreased, the number of shares so specified in the statement shall resume the status they had prior to the adoption of the first resolution or resolutions.</w:t>
      </w:r>
    </w:p>
    <w:p>
      <w:pPr>
        <w:spacing w:after="0" w:line="174" w:lineRule="exact"/>
        <w:rPr>
          <w:sz w:val="20"/>
          <w:szCs w:val="20"/>
          <w:color w:val="auto"/>
        </w:rPr>
      </w:pPr>
    </w:p>
    <w:p>
      <w:pPr>
        <w:ind w:right="200" w:firstLine="1296"/>
        <w:spacing w:after="0" w:line="308" w:lineRule="auto"/>
        <w:rPr>
          <w:sz w:val="20"/>
          <w:szCs w:val="20"/>
          <w:color w:val="auto"/>
        </w:rPr>
      </w:pPr>
      <w:r>
        <w:rPr>
          <w:rFonts w:ascii="Arial" w:cs="Arial" w:eastAsia="Arial" w:hAnsi="Arial"/>
          <w:sz w:val="17"/>
          <w:szCs w:val="17"/>
          <w:color w:val="auto"/>
        </w:rPr>
        <w:t>SEVENTH. Each holder of record of Common Stock shall have the right to one vote for each share of Common Stock standing in such holder’s name on the books of the Corporation. No shareholder shall be entitled to cumulate any votes for the election of directors.</w:t>
      </w:r>
    </w:p>
    <w:p>
      <w:pPr>
        <w:spacing w:after="0" w:line="146" w:lineRule="exact"/>
        <w:rPr>
          <w:sz w:val="20"/>
          <w:szCs w:val="20"/>
          <w:color w:val="auto"/>
        </w:rPr>
      </w:pPr>
    </w:p>
    <w:p>
      <w:pPr>
        <w:ind w:right="100" w:firstLine="1296"/>
        <w:spacing w:after="0" w:line="301" w:lineRule="auto"/>
        <w:rPr>
          <w:sz w:val="20"/>
          <w:szCs w:val="20"/>
          <w:color w:val="auto"/>
        </w:rPr>
      </w:pPr>
      <w:r>
        <w:rPr>
          <w:rFonts w:ascii="Arial" w:cs="Arial" w:eastAsia="Arial" w:hAnsi="Arial"/>
          <w:sz w:val="16"/>
          <w:szCs w:val="16"/>
          <w:color w:val="auto"/>
        </w:rPr>
        <w:t>EIGHTH. The management, control and government of the Corporation shall be vested in a board of directors consisting of not less than three (3) nor more than fifteen (15) members in number, as fixed by the board of directors of the Corporation from time to time. The term of office of all directors serving as of the effective date of these Amended and Restated Articles of Incorporation shall expire at the 2024 annual meeting of shareholders, and all directors shall stand for election annually thereafter. If, for any reason, a vacancy occurs on the board of directors of the</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right="160"/>
        <w:spacing w:after="0" w:line="259" w:lineRule="auto"/>
        <w:rPr>
          <w:sz w:val="20"/>
          <w:szCs w:val="20"/>
          <w:color w:val="auto"/>
        </w:rPr>
      </w:pPr>
      <w:r>
        <w:rPr>
          <w:rFonts w:ascii="Arial" w:cs="Arial" w:eastAsia="Arial" w:hAnsi="Arial"/>
          <w:sz w:val="18"/>
          <w:szCs w:val="18"/>
          <w:color w:val="auto"/>
        </w:rPr>
        <w:t>Corporation, a majority of the remaining directors shall have the exclusive power to fill the vacancy by electing a director to hold office for the unexpired term in respect of which the vacancy occurred. No director of the Corporation shall be removed from office, as a director, by the vote of shareholders, unless the votes of shareholders cast in favor of the resolution for the removal of such director constitute at least a majority of the votes which all shareholders would be entitled to cast at an annual election of directors.</w:t>
      </w:r>
    </w:p>
    <w:p>
      <w:pPr>
        <w:spacing w:after="0" w:line="187" w:lineRule="exact"/>
        <w:rPr>
          <w:sz w:val="20"/>
          <w:szCs w:val="20"/>
          <w:color w:val="auto"/>
        </w:rPr>
      </w:pPr>
    </w:p>
    <w:p>
      <w:pPr>
        <w:jc w:val="both"/>
        <w:ind w:right="100" w:firstLine="1296"/>
        <w:spacing w:after="0" w:line="311" w:lineRule="auto"/>
        <w:rPr>
          <w:sz w:val="20"/>
          <w:szCs w:val="20"/>
          <w:color w:val="auto"/>
        </w:rPr>
      </w:pPr>
      <w:r>
        <w:rPr>
          <w:rFonts w:ascii="Arial" w:cs="Arial" w:eastAsia="Arial" w:hAnsi="Arial"/>
          <w:sz w:val="16"/>
          <w:szCs w:val="16"/>
          <w:color w:val="auto"/>
        </w:rPr>
        <w:t>NINTH. No holder of any class of capital stock of the Corporation shall have preemptive rights, and the Corporation shall have the right to issue and to sell to any person or persons any shares of its capital stock or any option, warrant or right to acquire capital stock, or any securities having conversion or option rights, without first offering such shares, rights or securities to any holder of any class of capital stock of the Corporation.</w:t>
      </w:r>
    </w:p>
    <w:p>
      <w:pPr>
        <w:spacing w:after="0" w:line="149"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TENTH. The affirmative vote of shareholders entitled to cast at least a majority of the votes entitled to be cast by the outstanding shares of such class (or such greater amount as required by the provisions of these Articles of Incorporation establishing such class) shall be required to approve any of the following:</w:t>
      </w:r>
    </w:p>
    <w:p>
      <w:pPr>
        <w:spacing w:after="0" w:line="184" w:lineRule="exact"/>
        <w:rPr>
          <w:sz w:val="20"/>
          <w:szCs w:val="20"/>
          <w:color w:val="auto"/>
        </w:rPr>
      </w:pPr>
    </w:p>
    <w:p>
      <w:pPr>
        <w:ind w:left="2400" w:hanging="254"/>
        <w:spacing w:after="0"/>
        <w:tabs>
          <w:tab w:leader="none" w:pos="2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or into any other corporation;</w:t>
      </w:r>
    </w:p>
    <w:p>
      <w:pPr>
        <w:spacing w:after="0" w:line="225" w:lineRule="exact"/>
        <w:rPr>
          <w:rFonts w:ascii="Arial" w:cs="Arial" w:eastAsia="Arial" w:hAnsi="Arial"/>
          <w:sz w:val="18"/>
          <w:szCs w:val="18"/>
          <w:color w:val="auto"/>
        </w:rPr>
      </w:pPr>
    </w:p>
    <w:p>
      <w:pPr>
        <w:ind w:right="200" w:firstLine="2146"/>
        <w:spacing w:after="0" w:line="277" w:lineRule="auto"/>
        <w:tabs>
          <w:tab w:leader="none" w:pos="23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share exchange in which a corporation, person or entity acquires the issued or outstanding shares of capital stock of the Corporation pursuant to a vote of shareholders;</w:t>
      </w:r>
    </w:p>
    <w:p>
      <w:pPr>
        <w:spacing w:after="0" w:line="170" w:lineRule="exact"/>
        <w:rPr>
          <w:rFonts w:ascii="Arial" w:cs="Arial" w:eastAsia="Arial" w:hAnsi="Arial"/>
          <w:sz w:val="18"/>
          <w:szCs w:val="18"/>
          <w:color w:val="auto"/>
        </w:rPr>
      </w:pPr>
    </w:p>
    <w:p>
      <w:pPr>
        <w:ind w:left="2400" w:hanging="254"/>
        <w:spacing w:after="0"/>
        <w:tabs>
          <w:tab w:leader="none" w:pos="2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sale, lease, exchange or other transfer of all, or substantially all, of the assets of the Corporation to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 person or entity; or</w:t>
      </w:r>
    </w:p>
    <w:p>
      <w:pPr>
        <w:spacing w:after="0" w:line="210" w:lineRule="exact"/>
        <w:rPr>
          <w:rFonts w:ascii="Arial" w:cs="Arial" w:eastAsia="Arial" w:hAnsi="Arial"/>
          <w:sz w:val="17"/>
          <w:szCs w:val="17"/>
          <w:color w:val="auto"/>
        </w:rPr>
      </w:pPr>
    </w:p>
    <w:p>
      <w:pPr>
        <w:ind w:left="2400" w:hanging="254"/>
        <w:spacing w:after="0"/>
        <w:tabs>
          <w:tab w:leader="none" w:pos="2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similar to, or having similar effect as, any of the foregoing transactions.</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An affirmative vote as provided in the foregoing provisions shall be, to the extent permitted by law, in lieu of the vote of the shareholders otherwise required by law.</w:t>
      </w:r>
    </w:p>
    <w:p>
      <w:pPr>
        <w:spacing w:after="0" w:line="170"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The board of directors of the Corporation shall have the power and duty to determine, for purposes of this Article TENTH, on the basis of information known to the board, if any transaction is similar to, or has an effect similar to, any of the transactions identified above in this Article TENTH. Any such determination shall be conclusive and binding for all purposes of this Article TENTH.</w:t>
      </w:r>
    </w:p>
    <w:p>
      <w:pPr>
        <w:spacing w:after="0" w:line="18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The Corporation may voluntarily completely liquidate and/or dissolve only in accordance with all applicable laws and only if the proposed liquidation and/or dissolution is approved by the affirmative vote of shareholders entitled to cast at least eighty percent (80%) of the votes which all shareholders are entitled to cast.</w:t>
      </w:r>
    </w:p>
    <w:p>
      <w:pPr>
        <w:spacing w:after="0" w:line="184"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The provisions of this Article TENTH shall not apply to any transaction which is approved in advance by at least two-thirds of the members of the board of directors of the Corporation, at a meeting duly called and held.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ELEVENTH.</w:t>
      </w:r>
    </w:p>
    <w:p>
      <w:pPr>
        <w:spacing w:after="0" w:line="225" w:lineRule="exact"/>
        <w:rPr>
          <w:sz w:val="20"/>
          <w:szCs w:val="20"/>
          <w:color w:val="auto"/>
        </w:rPr>
      </w:pPr>
    </w:p>
    <w:p>
      <w:pPr>
        <w:jc w:val="both"/>
        <w:ind w:right="140" w:firstLine="1944"/>
        <w:spacing w:after="0" w:line="263" w:lineRule="auto"/>
        <w:rPr>
          <w:sz w:val="20"/>
          <w:szCs w:val="20"/>
          <w:color w:val="auto"/>
        </w:rPr>
      </w:pPr>
      <w:r>
        <w:rPr>
          <w:rFonts w:ascii="Arial" w:cs="Arial" w:eastAsia="Arial" w:hAnsi="Arial"/>
          <w:sz w:val="18"/>
          <w:szCs w:val="18"/>
          <w:color w:val="auto"/>
        </w:rPr>
        <w:t>Subsection 1. Except for Nodak Mutual Group, Inc., no Person or Group Acting in Concert shall Acquire Voting Control of the Corporation, at any time, except in accordance with the provisions of this Article ELEVENTH. The terms “Acquire,” “Voting Control,” “Group Acting in Concert,” and “Person” as used in this Article ELEVENTH are defined in Subsection 4 hereof.</w:t>
      </w:r>
    </w:p>
    <w:p>
      <w:pPr>
        <w:spacing w:after="0" w:line="184" w:lineRule="exact"/>
        <w:rPr>
          <w:sz w:val="20"/>
          <w:szCs w:val="20"/>
          <w:color w:val="auto"/>
        </w:rPr>
      </w:pPr>
    </w:p>
    <w:p>
      <w:pPr>
        <w:ind w:right="20" w:firstLine="1944"/>
        <w:spacing w:after="0" w:line="254" w:lineRule="auto"/>
        <w:rPr>
          <w:sz w:val="20"/>
          <w:szCs w:val="20"/>
          <w:color w:val="auto"/>
        </w:rPr>
      </w:pPr>
      <w:r>
        <w:rPr>
          <w:rFonts w:ascii="Arial" w:cs="Arial" w:eastAsia="Arial" w:hAnsi="Arial"/>
          <w:sz w:val="18"/>
          <w:szCs w:val="18"/>
          <w:color w:val="auto"/>
        </w:rPr>
        <w:t>Subsection 2. If Voting Control of the Corporation is acquired in violation of this Article ELEVENTH, all shares with respect to which any Person or Group Acting in Concert has acquired Voting Control in excess of the number of shares the beneficial ownership of which is deemed under Subsection 4 hereof to confer Voting Control of the Corporation (as determined without regard to this Subsection 2) shall be considered from and after the date of acquisition by such Person or Group Acting in Concert to be “excess shares” for purposes of this Article ELEVENTH. All shares deemed to be excess shares shall thereafter no longer be entitled to vote on any matter or to take other shareholder action. If, after giving effect to the first two sentences of this Subsection 2, any Person or Group Acting in Concert still shall be deemed to be in Voting Control of the Corporation based on the number of votes then entitled to be</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20"/>
        <w:spacing w:after="0" w:line="293" w:lineRule="auto"/>
        <w:rPr>
          <w:sz w:val="20"/>
          <w:szCs w:val="20"/>
          <w:color w:val="auto"/>
        </w:rPr>
      </w:pPr>
      <w:r>
        <w:rPr>
          <w:rFonts w:ascii="Arial" w:cs="Arial" w:eastAsia="Arial" w:hAnsi="Arial"/>
          <w:sz w:val="16"/>
          <w:szCs w:val="16"/>
          <w:color w:val="auto"/>
        </w:rPr>
        <w:t>cast (rather than the number of issued and outstanding shares of common stock of the Corporation), then shares held in excess of the number of shares deemed to confer Voting Control upon such Person or Group Acting in Concert also shall not be entitled to vote on any matter or take any other shareholder action, but this subsequent reduction in voting rights shall be effected only once. The provisions of this Subsection 2 deeming shares to be excess shares shall only apply for so long as such shares shall be beneficially owned by such Person or Group Acting in Concert who has acquired Voting Control. Notwithstanding the foregoing, shares held in excess of the number of shares the beneficial ownership of which would otherwise be deemed under Subsection 4 to confer Voting Control of the Corporation shall not be deemed to be excess shares if such shares are held by a Qualified Stock Plan.</w:t>
      </w:r>
    </w:p>
    <w:p>
      <w:pPr>
        <w:spacing w:after="0" w:line="164" w:lineRule="exact"/>
        <w:rPr>
          <w:sz w:val="20"/>
          <w:szCs w:val="20"/>
          <w:color w:val="auto"/>
        </w:rPr>
      </w:pPr>
    </w:p>
    <w:p>
      <w:pPr>
        <w:ind w:right="20" w:firstLine="1944"/>
        <w:spacing w:after="0" w:line="259" w:lineRule="auto"/>
        <w:rPr>
          <w:sz w:val="20"/>
          <w:szCs w:val="20"/>
          <w:color w:val="auto"/>
        </w:rPr>
      </w:pPr>
      <w:r>
        <w:rPr>
          <w:rFonts w:ascii="Arial" w:cs="Arial" w:eastAsia="Arial" w:hAnsi="Arial"/>
          <w:sz w:val="18"/>
          <w:szCs w:val="18"/>
          <w:color w:val="auto"/>
        </w:rPr>
        <w:t>Subsection 3. The provisions of this Article ELEVENTH shall be of no further force and effect after the consummation of a transaction in which another Person Acquires shares of capital stock of the Corporation entitled to cast eighty percent (80%) or more of the votes which all shareholders are entitled to cast (as determined without regard to the application of this Article ELEVENTH) and such transaction was approved in advance by two-thirds of the members of the board of directors of the Corporation.</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Subsection 4. For purposes of this Article ELEVENTH:</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 The term “Acquire” includes every type of acquisition, whether effected by purchase, exchange, operation of law,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211" w:lineRule="exact"/>
        <w:rPr>
          <w:sz w:val="20"/>
          <w:szCs w:val="20"/>
          <w:color w:val="auto"/>
        </w:rPr>
      </w:pPr>
    </w:p>
    <w:p>
      <w:pPr>
        <w:jc w:val="both"/>
        <w:ind w:right="260" w:firstLine="2600"/>
        <w:spacing w:after="0" w:line="285" w:lineRule="auto"/>
        <w:tabs>
          <w:tab w:leader="none" w:pos="2847" w:val="left"/>
        </w:tabs>
        <w:numPr>
          <w:ilvl w:val="1"/>
          <w:numId w:val="30"/>
        </w:numPr>
        <w:rPr>
          <w:rFonts w:ascii="Arial" w:cs="Arial" w:eastAsia="Arial" w:hAnsi="Arial"/>
          <w:sz w:val="16"/>
          <w:szCs w:val="16"/>
          <w:color w:val="auto"/>
        </w:rPr>
      </w:pPr>
      <w:r>
        <w:rPr>
          <w:rFonts w:ascii="Arial" w:cs="Arial" w:eastAsia="Arial" w:hAnsi="Arial"/>
          <w:sz w:val="16"/>
          <w:szCs w:val="16"/>
          <w:color w:val="auto"/>
        </w:rPr>
        <w:t>“Voting Control” means the sole or shared power to vote or to direct the voting of, or to dispose or to direct the disposition of, more than ten percent (10%) of the issued and outstanding shares of common stock of the Corporation; provided that (i) the solicitation, holding and voting of proxies obtained by the board of directors of the Corporation pursuant to a solicitation under Regulation 14A of the General Rules and Regulations under the Securities Exchange Act of 1934, as amended (the “Exchange Act”) shall not constitute Voting Control, (ii) a Qualified Stock Plan that holds more than ten percent (10%) of the voting shares of the Corporation shall not be deemed to have Voting Control of the Corporation, and</w:t>
      </w:r>
    </w:p>
    <w:p>
      <w:pPr>
        <w:spacing w:after="0" w:line="1" w:lineRule="exact"/>
        <w:rPr>
          <w:rFonts w:ascii="Arial" w:cs="Arial" w:eastAsia="Arial" w:hAnsi="Arial"/>
          <w:sz w:val="16"/>
          <w:szCs w:val="16"/>
          <w:color w:val="auto"/>
        </w:rPr>
      </w:pPr>
    </w:p>
    <w:p>
      <w:pPr>
        <w:ind w:right="60" w:firstLine="8"/>
        <w:spacing w:after="0" w:line="273" w:lineRule="auto"/>
        <w:tabs>
          <w:tab w:leader="none" w:pos="3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trustee, member of any administrative committee or employee beneficiary of a Qualified Stock Plan shall not be deemed to have Voting Control of the Corporation either (A) as a result of their control of a Qualified Stock Plan, and/or their beneficial interest in voting shares held by a Qualified Stock Plan, or (B) as a result of the aggregation of both their beneficial interest in voting shares held by a Qualified Stock Plan and voting shares held by such trustee, administrative committee member or employee beneficiary independent of a Qualified Stock Plan.</w:t>
      </w:r>
    </w:p>
    <w:p>
      <w:pPr>
        <w:spacing w:after="0" w:line="176" w:lineRule="exact"/>
        <w:rPr>
          <w:rFonts w:ascii="Arial" w:cs="Arial" w:eastAsia="Arial" w:hAnsi="Arial"/>
          <w:sz w:val="17"/>
          <w:szCs w:val="17"/>
          <w:color w:val="auto"/>
        </w:rPr>
      </w:pPr>
    </w:p>
    <w:p>
      <w:pPr>
        <w:ind w:right="20" w:firstLine="2600"/>
        <w:spacing w:after="0" w:line="254" w:lineRule="auto"/>
        <w:tabs>
          <w:tab w:leader="none" w:pos="28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“Group Acting in Concert” includes Persons (i) knowingly participating in a joint activity or interdependent conscious parallel action toward a common goal whether or not pursuant to an express agreement; or (ii) seeking to combine or pool their voting or other interests in the voting shares for a common purpose, pursuant to any contract, understanding, relationship, agreement or other arrangement, whether written or otherwise, provided, that a “Group Acting in Concert” shall not include (i) the members of the board of directors of the Corporation solely as a result of their board membership, (ii) the members of the board of directors of the Corporation as a result of their solicitation, holding and voting of proxies obtained by them pursuant to a solicitation subject to rules and regulations promulgated under the Exchange Act or any successor statute or (iii) any member or all the members of the board of directors of the Corporation, and (iv) any Qualified Stock Plan and the trustees, administrative committee members and employee beneficiaries thereof.</w:t>
      </w:r>
    </w:p>
    <w:p>
      <w:pPr>
        <w:spacing w:after="0" w:line="191" w:lineRule="exact"/>
        <w:rPr>
          <w:rFonts w:ascii="Arial" w:cs="Arial" w:eastAsia="Arial" w:hAnsi="Arial"/>
          <w:sz w:val="18"/>
          <w:szCs w:val="18"/>
          <w:color w:val="auto"/>
        </w:rPr>
      </w:pPr>
    </w:p>
    <w:p>
      <w:pPr>
        <w:ind w:firstLine="2600"/>
        <w:spacing w:after="0" w:line="263" w:lineRule="auto"/>
        <w:tabs>
          <w:tab w:leader="none" w:pos="28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term “Person” includes an individual, a Group Acting in Concert, a corporation, a partnership, a limited liability company, an association, a joint stock company, a trust, an unincorporated organization, or any similar entity, syndicate or any other group formed for the purpose of acquiring, holding or disposing of the equity securities of the Corporation.</w:t>
      </w:r>
    </w:p>
    <w:p>
      <w:pPr>
        <w:spacing w:after="0" w:line="183" w:lineRule="exact"/>
        <w:rPr>
          <w:rFonts w:ascii="Arial" w:cs="Arial" w:eastAsia="Arial" w:hAnsi="Arial"/>
          <w:sz w:val="18"/>
          <w:szCs w:val="18"/>
          <w:color w:val="auto"/>
        </w:rPr>
      </w:pPr>
    </w:p>
    <w:p>
      <w:pPr>
        <w:ind w:right="260" w:firstLine="2600"/>
        <w:spacing w:after="0" w:line="263" w:lineRule="auto"/>
        <w:tabs>
          <w:tab w:leader="none" w:pos="28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term “Qualified Stock Plan” means any defined benefit plan or defined contribution plan of the Corporation, such as an employee stock ownership plan, stock bonus plan, profit sharing plan or other plan that, with its related trust, meets the requirements to be “qualified” under Section 401 of the Internal Revenue Code of 1986, as amended.</w:t>
      </w:r>
    </w:p>
    <w:p>
      <w:pPr>
        <w:spacing w:after="0" w:line="184" w:lineRule="exact"/>
        <w:rPr>
          <w:sz w:val="20"/>
          <w:szCs w:val="20"/>
          <w:color w:val="auto"/>
        </w:rPr>
      </w:pPr>
    </w:p>
    <w:p>
      <w:pPr>
        <w:ind w:right="540" w:firstLine="1944"/>
        <w:spacing w:after="0" w:line="277" w:lineRule="auto"/>
        <w:rPr>
          <w:sz w:val="20"/>
          <w:szCs w:val="20"/>
          <w:color w:val="auto"/>
        </w:rPr>
      </w:pPr>
      <w:r>
        <w:rPr>
          <w:rFonts w:ascii="Arial" w:cs="Arial" w:eastAsia="Arial" w:hAnsi="Arial"/>
          <w:sz w:val="18"/>
          <w:szCs w:val="18"/>
          <w:color w:val="auto"/>
        </w:rPr>
        <w:t>Subsection 5. This Article ELEVENTH shall not apply to the purchase of securities of the Corporation by underwriters in connection with a public offering of such securities by the Corporation or by a holder of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20"/>
        <w:spacing w:after="0" w:line="342" w:lineRule="auto"/>
        <w:rPr>
          <w:sz w:val="20"/>
          <w:szCs w:val="20"/>
          <w:color w:val="auto"/>
        </w:rPr>
      </w:pPr>
      <w:r>
        <w:rPr>
          <w:rFonts w:ascii="Arial" w:cs="Arial" w:eastAsia="Arial" w:hAnsi="Arial"/>
          <w:sz w:val="16"/>
          <w:szCs w:val="16"/>
          <w:color w:val="auto"/>
        </w:rPr>
        <w:t xml:space="preserve">shares of capital stock of the Corporation with written consent of at least two-thirds of the members of the board of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purchasers of securities of the Corporation from any underwriter shall be subject to the provisions of this Article ELEVENTH.</w:t>
      </w:r>
    </w:p>
    <w:p>
      <w:pPr>
        <w:spacing w:after="0" w:line="124" w:lineRule="exact"/>
        <w:rPr>
          <w:sz w:val="20"/>
          <w:szCs w:val="20"/>
          <w:color w:val="auto"/>
        </w:rPr>
      </w:pPr>
    </w:p>
    <w:p>
      <w:pPr>
        <w:jc w:val="both"/>
        <w:ind w:right="20" w:firstLine="1944"/>
        <w:spacing w:after="0" w:line="259" w:lineRule="auto"/>
        <w:rPr>
          <w:sz w:val="20"/>
          <w:szCs w:val="20"/>
          <w:color w:val="auto"/>
        </w:rPr>
      </w:pPr>
      <w:r>
        <w:rPr>
          <w:rFonts w:ascii="Arial" w:cs="Arial" w:eastAsia="Arial" w:hAnsi="Arial"/>
          <w:sz w:val="18"/>
          <w:szCs w:val="18"/>
          <w:color w:val="auto"/>
        </w:rPr>
        <w:t>Subsection 6. The board of directors of the Corporation shall have the power and duty to determine, for purposes of this Article ELEVENTH, on the basis of information known to the Board, if and when such other Person has acquired Voting Control of the Corporation, and/or if any transaction is similar to, or has a similar effect as, any of the transactions identified in this Article ELEVENTH. Any such determination shall be conclusive and binding for all purposes of this Article ELEVENTH.</w:t>
      </w:r>
    </w:p>
    <w:p>
      <w:pPr>
        <w:spacing w:after="0" w:line="18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TWELFTH. During any period in which Nodak Mutual Group, Inc. holds at least a majority of the outstanding shares of Common Stock, shareholders may approve by written consent any action that could be taken at a meeting of shareholders of the Corporation, provided that such written consent is executed by shareholders who own of record shares having the right to cast the number of votes required to approve such action at a meeting of shareholders of the Corporation. Except as provided in the first sentence of this Article Twelfth, no action required to be taken or which may be taken at any annual or special meeting of shareholders of the Corporation may be taken without a meeting, and the power of the shareholders of the Corporation to consent in writing to action without a meeting is specifically denied. The presence, in person or by proxy, of shareholders entitled to cast at least a majority of the votes which all shareholders are entitled to cast shall constitute a quorum of shareholders at any annual or special meeting of shareholders of the Corporation.</w:t>
      </w:r>
    </w:p>
    <w:p>
      <w:pPr>
        <w:spacing w:after="0" w:line="192"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THIRTEENTH. In furtherance and not in limitation of the powers conferred by the laws of the State of North Dakota, the board of directors shall have the power to adopt, amend, or repeal the Bylaws of the Corporation. The Bylaws may be adopted, amended, or repealed by the vote or the consent of shareholders entitled to exercise a majority of the voting power of the Corporation.</w:t>
      </w:r>
    </w:p>
    <w:p>
      <w:pPr>
        <w:spacing w:after="0" w:line="184" w:lineRule="exact"/>
        <w:rPr>
          <w:sz w:val="20"/>
          <w:szCs w:val="20"/>
          <w:color w:val="auto"/>
        </w:rPr>
      </w:pPr>
    </w:p>
    <w:p>
      <w:pPr>
        <w:ind w:right="40" w:firstLine="1296"/>
        <w:spacing w:after="0" w:line="290" w:lineRule="auto"/>
        <w:rPr>
          <w:sz w:val="20"/>
          <w:szCs w:val="20"/>
          <w:color w:val="auto"/>
        </w:rPr>
      </w:pPr>
      <w:r>
        <w:rPr>
          <w:rFonts w:ascii="Arial" w:cs="Arial" w:eastAsia="Arial" w:hAnsi="Arial"/>
          <w:sz w:val="16"/>
          <w:szCs w:val="16"/>
          <w:color w:val="auto"/>
        </w:rPr>
        <w:t>FOURTEENTH. The board of directors of the Corporation, when evaluating any offer of another party to (a) make a tender or exchange offer for any equity security of the Corporation, (b) merge or consolidate the Corporation with another corporation, (c) purchase or otherwise acquire all or substantially all of the properties and assets of the Corporation, or (d) engage in any transaction similar to, or having similar effects as, any of the foregoing transactions, may, in connection with the exercise of its judgment in determining what is in the best interests of the Corporation and its shareholders, give due consideration to all relevant factors, including without limitation (i) the social and economic effects of the proposed transaction on the policyholders, employees, suppliers and other constituents of the Corporation and its subsidiaries and on the communities in which the Corporation and its subsidiaries operate or are located, (ii) the business reputation of the other party, and (iii) the board of directors’ evaluation of the then value of the Corporation in a freely negotiated sale and of the future prospects of the Corporation as an independent entity.</w:t>
      </w:r>
    </w:p>
    <w:p>
      <w:pPr>
        <w:spacing w:after="0" w:line="165" w:lineRule="exact"/>
        <w:rPr>
          <w:sz w:val="20"/>
          <w:szCs w:val="20"/>
          <w:color w:val="auto"/>
        </w:rPr>
      </w:pPr>
    </w:p>
    <w:p>
      <w:pPr>
        <w:ind w:right="20" w:firstLine="1296"/>
        <w:spacing w:after="0" w:line="288" w:lineRule="auto"/>
        <w:rPr>
          <w:sz w:val="20"/>
          <w:szCs w:val="20"/>
          <w:color w:val="auto"/>
        </w:rPr>
      </w:pPr>
      <w:r>
        <w:rPr>
          <w:rFonts w:ascii="Arial" w:cs="Arial" w:eastAsia="Arial" w:hAnsi="Arial"/>
          <w:sz w:val="16"/>
          <w:szCs w:val="16"/>
          <w:color w:val="auto"/>
        </w:rPr>
        <w:t>FIFTEENTH. If any corporation, person, entity, or group becomes the beneficial owner, directly or indirectly, of shares of capital stock of the Corporation having the right to cast in the aggregate thirty-five percent (35%) or more of all votes entitled to be cast by all issued and outstanding shares of capital stock of the Corporation entitled to vote, such corporation, person, entity or group shall within thirty (30) days thereafter offer to purchase all shares of capital stock of the Corporation issued, outstanding and entitled to vote. Such offer to purchase shall be at a price per share equal to the highest price paid for shares of the respective class or series of capital stock of the Corporation purchased by such corporation, person, entity or group within the preceding twelve (12) months. If such corporation, person, entity or group did not purchase any shares of a particular class or series of capital stock of the Corporation within the preceding twelve (12) months, such offer to purchase shall be at a price per share equal to the fair market value of such class or series of capital stock on the date on which such corporation, person, entity or group becomes the beneficial owner, directly or indirectly, of shares of capital stock of the Corporation having the right to cast in the aggregate twenty-five percent (25%) or more of all votes entitled to be cast by all issued and outstanding shares of capital stock of the Corporation. Such offer shall provide that the purchase price for such shares shall be payable in cash.</w:t>
      </w:r>
    </w:p>
    <w:p>
      <w:pPr>
        <w:spacing w:after="0" w:line="168"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The provisions of this Article FIFTEENTH shall not apply to Nodak Mutual Group, Inc. and shall not apply to any corporation, person, entity, or group if at least two-thirds of the members of the board of directors of the Corporation approve in advance the acquisition of beneficial ownership by such corporation, person, entity or group, 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320"/>
        <w:spacing w:after="0" w:line="277" w:lineRule="auto"/>
        <w:rPr>
          <w:sz w:val="20"/>
          <w:szCs w:val="20"/>
          <w:color w:val="auto"/>
        </w:rPr>
      </w:pPr>
      <w:r>
        <w:rPr>
          <w:rFonts w:ascii="Arial" w:cs="Arial" w:eastAsia="Arial" w:hAnsi="Arial"/>
          <w:sz w:val="18"/>
          <w:szCs w:val="18"/>
          <w:color w:val="auto"/>
        </w:rPr>
        <w:t>shares of capital stock of the Corporation having the right to cast in the aggregate thirty-five percent (35%) or more of all votes entitled to be cast by all issued and outstanding shares of capital stock of the Corporation.</w:t>
      </w:r>
    </w:p>
    <w:p>
      <w:pPr>
        <w:spacing w:after="0" w:line="170" w:lineRule="exact"/>
        <w:rPr>
          <w:sz w:val="20"/>
          <w:szCs w:val="20"/>
          <w:color w:val="auto"/>
        </w:rPr>
      </w:pPr>
    </w:p>
    <w:p>
      <w:pPr>
        <w:ind w:right="520" w:firstLine="1296"/>
        <w:spacing w:after="0" w:line="263" w:lineRule="auto"/>
        <w:rPr>
          <w:sz w:val="20"/>
          <w:szCs w:val="20"/>
          <w:color w:val="auto"/>
        </w:rPr>
      </w:pPr>
      <w:r>
        <w:rPr>
          <w:rFonts w:ascii="Arial" w:cs="Arial" w:eastAsia="Arial" w:hAnsi="Arial"/>
          <w:sz w:val="18"/>
          <w:szCs w:val="18"/>
          <w:color w:val="auto"/>
        </w:rPr>
        <w:t>SIXTEENTH. The Corporation reserves the right to amend, alter, change, or repeal any provision contained in its Articles of Incorporation in the manner now or hereafter prescribed by statute and all rights conferred upon shareholders and directors herein are hereby granted subject to this reservation.</w:t>
      </w:r>
    </w:p>
    <w:p>
      <w:pPr>
        <w:spacing w:after="0" w:line="184"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 xml:space="preserve">SEVENTEENTH. Chapter 10-35 of the North Dakota Century Code (also known as the “North Dakota Publicly Traded Corporations Act”)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applicable to the Corporation.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EIGHTEENTH. A special meeting of the shareholders may be called in accordance with the Business Corporation Act and the Bylaws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w:t>
      </w:r>
    </w:p>
    <w:p>
      <w:pPr>
        <w:spacing w:after="0" w:line="211"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NINETEENTH. To the fullest extent permitted by North Dakota law, a Director of this Corporation shall not be personally be liable to the Corporation or its shareholders for monetary damages for breach of fiduciary duty as a Director. Neither the amendment, modification nor repeal of this Article nor the adoption of any provision in these Articles of Incorporation inconsistent with this Article shall adversely affect any right or protection of a Director of the Corporation with respect to any act or omission that occurred prior to the time of such amendment, modification, repeal or adoption.</w:t>
      </w:r>
    </w:p>
    <w:p>
      <w:pPr>
        <w:spacing w:after="0" w:line="157"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TWENTIETH. The Board of Directors of the Corporation may take any action that could be taken at a meeting of the Board of Directors by written consent, provided that such consent is executed by the number of directors required to approve such action at a meeting of the Board of Directors.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TWENTY-FIRST. The fiscal year of the Corporation shall begin on January 1 and shall end on December 31 of each year.</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TWENTY-SECOND. The name and address of the incorporator is Michael J. Alexander, 1101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Avenue North, Fargo, North Dakota</w:t>
      </w:r>
    </w:p>
    <w:p>
      <w:pPr>
        <w:spacing w:after="0"/>
        <w:rPr>
          <w:sz w:val="20"/>
          <w:szCs w:val="20"/>
          <w:color w:val="auto"/>
        </w:rPr>
      </w:pPr>
      <w:r>
        <w:rPr>
          <w:rFonts w:ascii="Arial" w:cs="Arial" w:eastAsia="Arial" w:hAnsi="Arial"/>
          <w:sz w:val="18"/>
          <w:szCs w:val="18"/>
          <w:color w:val="auto"/>
        </w:rPr>
        <w:t>58102.</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TESTIMONY WHEREOF, the undersigned has signed these Amended and Restated Articles of Incorporation this 24th day of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8803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Michael J. Alexander, President and Chief Executive Officer</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Shareholders</w:t>
      </w:r>
    </w:p>
    <w:p>
      <w:pPr>
        <w:spacing w:after="0" w:line="229"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regular annual meeting of the shareholders for the election of directors and the transaction of whatever other business may properly come before the meeting, shall be held at the main office of the Corporation, 1101 1st Avenue, Fargo, North Dakota, at 10:00 a.m., on the 4th Tuesday of May of each year, or at such other place on such date and at such time as the board of directors may in their discretion determine, including by means of remote communication. The Chairperson of the Board shall preside at the annual meeting. Written notice stating the place, day, and hour of the meeting and, in case of a special meeting, the general nature of the business to be transacted, shall be delivered not less than five (5) nor more than fifty (50) days before the date of the meeting, or in case of a merger or consolidation not less than ten (10) nor more than fifty (50) days before the date of the meeting, either personally or by mail, by or at the direction of the President and Chief Executive Officer, or the Secretary, or the officer or persons calling the meeting, to each shareholder of record entitled to vote at such meeting. If mailed, such notice shall be deemed to be delivered when deposited in the United States mail addressed to the shareholder at his address as it appears on the books of the Corporation or as supplied by him to the Corporation for the purpose of notice, with postage thereon prepaid.</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Special Meetings</w:t>
      </w:r>
      <w:r>
        <w:rPr>
          <w:rFonts w:ascii="Arial" w:cs="Arial" w:eastAsia="Arial" w:hAnsi="Arial"/>
          <w:sz w:val="17"/>
          <w:szCs w:val="17"/>
          <w:color w:val="auto"/>
        </w:rPr>
        <w:t>. A special meeting of the shareholders of the Corporation may be called only by: (i) the President and Chief Executive Officer, (ii) two or more members of the board of directors of the Corporation, or (iii) a shareholder or shareholders holding ten percent or more of the voting power of all shares entitled to vote, except that a special meeting called by shareholders for the purpose of considering any action to directly or indirectly facilitate or effect a business combination, including any action to change or otherwise affect the composition of the board of directors for that purpose, must be called by twenty-five percent or more of the voting power of all shares entitled to vote.</w:t>
      </w:r>
    </w:p>
    <w:p>
      <w:pPr>
        <w:spacing w:after="0" w:line="1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Nominations for Directors</w:t>
      </w:r>
      <w:r>
        <w:rPr>
          <w:rFonts w:ascii="Arial" w:cs="Arial" w:eastAsia="Arial" w:hAnsi="Arial"/>
          <w:sz w:val="17"/>
          <w:szCs w:val="17"/>
          <w:color w:val="auto"/>
        </w:rPr>
        <w:t>. Nominations for election to the board of directors may be made by the board of directors or by any shareholder of any outstanding class of capital stock of the Corporation entitled to vote for the election of directors. Nominations, other than those made by or on behalf of the board of directors of the Corporation, or an appropriate committee thereof, shall be made in writing and shall be delivered or mailed by first class United States mail, postage prepaid, to the Chairperson of the Board not less than 90 days nor more than 120 days prior to any meeting of shareholders called for the election of directors. Each notice of nomination made by a shareholder shall set forth (i) the name, age, business address and, if known, residence address of each nominee proposed in such notice, (ii) the principal occupation or employment of each such nominee, (iii) the number of shares of capital stock of the Corporation that are beneficially owned by each such nominee, and (iv) any other information with respect to such nominee required to be included in a proxy statement soliciting proxies for the election of directors under the rules and regulations of the United States Securities and Exchange Commission. The chairperson of the meeting may, if the facts warrant, determine and declare that a nomination was not made in accordance with the foregoing procedure, and such nomination shall be disregarded.</w:t>
      </w:r>
    </w:p>
    <w:p>
      <w:pPr>
        <w:spacing w:after="0" w:line="18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Agenda for Shareholder Meetings</w:t>
      </w:r>
      <w:r>
        <w:rPr>
          <w:rFonts w:ascii="Arial" w:cs="Arial" w:eastAsia="Arial" w:hAnsi="Arial"/>
          <w:sz w:val="18"/>
          <w:szCs w:val="18"/>
          <w:color w:val="auto"/>
        </w:rPr>
        <w:t>. Matters to be placed on the agenda for consideration at annual meetings of shareholders may be proposed by the board of directors or by any shareholder entitled to vote for the election of directors. Matters to be placed on the agenda for consideration at special meetings 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right="80"/>
        <w:spacing w:after="0" w:line="269" w:lineRule="auto"/>
        <w:rPr>
          <w:sz w:val="20"/>
          <w:szCs w:val="20"/>
          <w:color w:val="auto"/>
        </w:rPr>
      </w:pPr>
      <w:r>
        <w:rPr>
          <w:rFonts w:ascii="Arial" w:cs="Arial" w:eastAsia="Arial" w:hAnsi="Arial"/>
          <w:sz w:val="17"/>
          <w:szCs w:val="17"/>
          <w:color w:val="auto"/>
        </w:rPr>
        <w:t xml:space="preserve">shareholders may be proposed only by the board of directors. Matters proposed for the annual meeting agenda by shareholders entitled to vote for the election of directors shall be made by notice in writing, delivered or mailed by first class United States mail, postage prepaid, to the Secretary of the Corporation not less than ninety (90) days nor more than one hundred and fifty (150) days prior to any annual meeting of shareholders;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less than twenty-one (21) days' notice of the meeting is given to shareholders, a shareholder's written notice of a proposed matter shall be delivered or mailed, as prescribed, to the Secretary of the Corporation not later than the close of the seventh day following the day on which notice of the meeting was mailed to shareholders. Notice of matters which are proposed by the board of directors shall be given by the Chairperson of the Board or any other appropriate officer. Each notice given by a shareholder shall set forth a brief description of the business desired to be brought before the annual meeting. The chairperson of the meeting of shareholders may, if the facts warrant, determine and declare to the meeting that a matter proposed for the agenda was not made in accordance with the foregoing procedure, and if the chairperson should so determine, he or she shall so declare to the meeting and the matter shall be disregarded.</w:t>
      </w:r>
    </w:p>
    <w:p>
      <w:pPr>
        <w:spacing w:after="0" w:line="18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Election</w:t>
      </w:r>
      <w:r>
        <w:rPr>
          <w:rFonts w:ascii="Arial" w:cs="Arial" w:eastAsia="Arial" w:hAnsi="Arial"/>
          <w:sz w:val="16"/>
          <w:szCs w:val="16"/>
          <w:color w:val="auto"/>
        </w:rPr>
        <w:t>. Except as otherwise provided in the Articles of Incorporation or these Bylaws, directors of the Corporation shall be elected by the shareholders. In elections for directors, voting need not be by ballot unless required by vote of the shareholders before the voting for election of directors begins. At each election of directors, unless otherwise provided in the Articles of Incorporation or the North Dakota Revised Business Corporation Act, every shareholder entitled to vote at the election has the right to cast, in person or by proxy, all of the votes to which the shareholder’s shares are entitled for as many persons as there are directors to be elected and for whose election the shareholder has the right to vote. Directors are to be elected by a plurality of the votes cast by the shares entitled to vote in the election, at a meeting of shareholders at which a quorum is present. However, any nominee for director in an uncontested election who receives a greater number of votes “withheld” from or “against,” as applicable, his or her election than votes “for” his or her election (a “Majority Withheld Vote”) shall immediately offer to tender his or her resignation following certification of such shareholder vote. For the avoidance of doubt, “broker non-votes” and “abstentions” will not be counted as votes either “withheld,” “against” or “for” a director nominee’s election. The Nominating and Corporate Governance Committee shall promptly consider the director’s resignation offer and make a recommendation to the Board of Directors on whether to accept or reject the offer taking into account such factors as the Nominating and Corporate Governance Committee may in its discretion determine appropriate; provided, however, that no director serving on the Nominating and Corporate Governance Committee who received a Majority Withheld Vote at the same election shall participate in such deliberations with the Nominating and Corporate Governance Committee. If a majority of the directors serving on the Nominating and Corporate Governance Committee received a Majority Withheld Vote at the same election, then the independent directors who did not receive a Majority Withheld Vote shall comprise a committee to consider, in the same manner and with the same discretion granted to the Nominating and Corporate Governance Committee as set forth above, any resignation offers and recommend to the Board of Directors whether to accept or reject them. The Board of Directors shall act on the recommendation of the Nominating and Corporate Governance Committee (or substitute committee of independent directors if applicable) and publicly disclose its decision within 90 days following certification of the shareholder vote. The Board of Directors may take into account such factors as the Board of Directors may in its discretion deem appropriate in deciding whether to accept a director’s resignation. For the purposes of this paragraph, an “uncontested election” shall mean that, on the record date for the meeting at which directors are to be elected, the number of nominees does not exceed the number of directors to be elected. Shareholders do not have a right to cumulate their votes for the election of directors.</w:t>
      </w:r>
    </w:p>
    <w:p>
      <w:pPr>
        <w:spacing w:after="0" w:line="39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Proxies</w:t>
      </w:r>
      <w:r>
        <w:rPr>
          <w:rFonts w:ascii="Arial" w:cs="Arial" w:eastAsia="Arial" w:hAnsi="Arial"/>
          <w:sz w:val="18"/>
          <w:szCs w:val="18"/>
          <w:color w:val="auto"/>
        </w:rPr>
        <w:t>. Shareholders may vote at any meeting of the shareholders in person, or by proxy. Every proxy shall be executed in writing, or authenticated by the shareholder, or by their duly authorized attorney-in-fact and filed with or transmitted to the Secretary of the Corporation or its designated agent. A shareholder or their duly authorized attorney-in-fact may execute or authenticate a writing or transmit an electronic message authorizing another person to act for the shareholder by proxy. A telegram, telex, cablegram, datagram, e-mail, Internet communication or similar other means of electronic transmission from a shareholder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line="273" w:lineRule="auto"/>
        <w:rPr>
          <w:sz w:val="20"/>
          <w:szCs w:val="20"/>
          <w:color w:val="auto"/>
        </w:rPr>
      </w:pPr>
      <w:r>
        <w:rPr>
          <w:rFonts w:ascii="Arial" w:cs="Arial" w:eastAsia="Arial" w:hAnsi="Arial"/>
          <w:sz w:val="17"/>
          <w:szCs w:val="17"/>
          <w:color w:val="auto"/>
        </w:rPr>
        <w:t>or attorney-in-fact, or a photographic, facsimile or similar reproduction of a writing executed by a shareholder or attorney-in-fact may be treated as properly executed or authenticated. If the Corporation conducts voting by e-mail or other similar electronic transmission, the Corporation shall furnish to those shareholders voting by e-mail or other similar electronic transmission, a confidential and unique identification number or other type of mark to be used by the shareholder to vote at a particular meeting or transaction. Proxies, unless otherwise provided, shall be valid for only the meeting specified therein, and any adjournments of such meeting. No proxy shall be valid after eleven (11) months from the date of its execution unless otherwise provided in the proxy. Proxies shall be dated and shall be filed with the records of the meeting.</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outstanding shares of capital stock entitled to vote,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at which a quorum is present, unless otherwise provided by law or by the Articles of Incorporation.</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Voting</w:t>
      </w:r>
      <w:r>
        <w:rPr>
          <w:rFonts w:ascii="Arial" w:cs="Arial" w:eastAsia="Arial" w:hAnsi="Arial"/>
          <w:sz w:val="16"/>
          <w:szCs w:val="16"/>
          <w:color w:val="auto"/>
        </w:rPr>
        <w:t>. Only persons in whose names shares appear on the share transfer books of the Corporation on the date on which notice of the meeting is mailed shall be entitled to vote at such meeting, unless some other date is fixed by the board of directors for the determination of shareholders of record, but such date shall not be less than ten (10) nor more than fifty (50) days before the date of the meeting. Unless otherwise provided in the Articles of Incorporation, every shareholder of the Corporation shall be entitled to one vote for each share outstanding.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shall have the power to manage and administer the business and affairs of the Corporation. Except as expressly limited by law or required or directed by these Bylaws or by the Articles of Incorporation to be exercised by the shareholders, all corporate powers of the Corporation shall be vested in and may be exercised by the board of directors.</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The Chairperson of the board of directors of the Corporation shall preside at all meetings of the shareholders and of the directors at which he or she is present, and shall have such authority and perform such other duties as the board of directors may from time to time designate.</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Vice Chairperson</w:t>
      </w:r>
      <w:r>
        <w:rPr>
          <w:rFonts w:ascii="Arial" w:cs="Arial" w:eastAsia="Arial" w:hAnsi="Arial"/>
          <w:sz w:val="18"/>
          <w:szCs w:val="18"/>
          <w:color w:val="auto"/>
        </w:rPr>
        <w:t>. In the absence of the Chairperson of the Board, the Vice Chairperson shall preside at all meetings of the shareholders and of the directors at which he or she is present, and shall have such authority and perform such other duties as the board of directors may from time to time designate.</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Number, Selection and Term of Office</w:t>
      </w:r>
      <w:r>
        <w:rPr>
          <w:rFonts w:ascii="Arial" w:cs="Arial" w:eastAsia="Arial" w:hAnsi="Arial"/>
          <w:sz w:val="18"/>
          <w:szCs w:val="18"/>
          <w:color w:val="auto"/>
        </w:rPr>
        <w:t>. The board of directors of the Corporation shall consist of at least three (3) and not more than fifteen (15) directors, the exact number to be set from time to time by resolution of the board of directors. Each director shall be a natural person of full age and at least a majority of the directors shall be persons who are: (i) not employees of the Corporation or of any entity controlling, controlled by or under common control with the Corporation, and (ii) otherwise independent within the meaning of any applicable statute or any listing requirement of a stock exchange or over the counter market on which any security of the Corporation is admitted for trading. A director having the attributes set forth in (i) and (ii) shall hereinafter be deemed an Independent Director. Each director shall hold office until the expiration of the term for which he or she was selected and until a successor has been selected and qualified or until his or her earlier death, resignation or removal. A decrease in the number of directors shall not have the effect of</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shortening the term of any incumbent director. The President and Chief Executive Officer shall be a member of the Corporation’s Board of Directors.</w:t>
      </w:r>
    </w:p>
    <w:p>
      <w:pPr>
        <w:spacing w:after="0" w:line="23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in the board of directors shall exist in the case of the happening of any of the following events: (i) the death or resignation of any director; (ii) if at any annual or special meeting of the shareholders at which directors are to be elected, the shareholders fail to elect the full authorized number of directors to be voted for at that meeting; (iii) an increase in the number of directors by resolution of the board of directors; (iv) the removal of a director by the affirmative vote of shareholders of the corporation in accordance with the Articles of Incorporation of the Corporation; or</w:t>
      </w:r>
    </w:p>
    <w:p>
      <w:pPr>
        <w:spacing w:after="0" w:line="1" w:lineRule="exact"/>
        <w:rPr>
          <w:sz w:val="20"/>
          <w:szCs w:val="20"/>
          <w:color w:val="auto"/>
        </w:rPr>
      </w:pPr>
    </w:p>
    <w:p>
      <w:pPr>
        <w:ind w:right="60" w:firstLine="8"/>
        <w:spacing w:after="0" w:line="295"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removal of a director by the board of directors or a court of competent jurisdiction in accordance with these Bylaws or otherwise in accordance with law. Vacancies in the board of directors, including vacancies resulting from an increase in the number of directors, may be filled by a majority vote of the remaining members of the board though less than a quorum, or by a sole remaining director, and each person so selected shall be a director to serve for the balance of the unexpired term and until his or her successor has been selected and qualified or until his or her earlier death, resignation or removal.</w:t>
      </w:r>
    </w:p>
    <w:p>
      <w:pPr>
        <w:spacing w:after="0" w:line="16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Regular Meetings</w:t>
      </w:r>
      <w:r>
        <w:rPr>
          <w:rFonts w:ascii="Arial" w:cs="Arial" w:eastAsia="Arial" w:hAnsi="Arial"/>
          <w:sz w:val="18"/>
          <w:szCs w:val="18"/>
          <w:color w:val="auto"/>
        </w:rPr>
        <w:t>. The board of directors of the Corporation shall hold an annual meeting for the election of officers and the consideration of other proper business either as soon as practical after, and at the same place as, the annual meeting of shareholders of the Corporation, or at such time and place as may be fixed by the board of directors. No notice of regular meetings need be given.</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Chairperson of the Board, the Vice Chairperson, the President and Chief Executive Officer, or at the request of three (3) directors, to be held at the principal place of business of the Corporation or such other place as designated by the person or persons calling such special meeting. Each member of the board of directors shall be given notice stating the time and place, by telephone, email, telegram, facsimile transmission, letter, or in person, of each such special meeting.</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Executive Sessions</w:t>
      </w:r>
      <w:r>
        <w:rPr>
          <w:rFonts w:ascii="Arial" w:cs="Arial" w:eastAsia="Arial" w:hAnsi="Arial"/>
          <w:sz w:val="18"/>
          <w:szCs w:val="18"/>
          <w:color w:val="auto"/>
        </w:rPr>
        <w:t>. Members of the board of directors who are Independent Directors shall meet in executive session at least twice a year. No notice of executive sessions need be given.</w:t>
      </w:r>
    </w:p>
    <w:p>
      <w:pPr>
        <w:spacing w:after="0" w:line="170"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directors shall constitute a quorum at any meeting, except when otherwise provided by law; but a lesser number may adjourn any meeting, from time to time, and the meeting may be held, as adjourned, without further notice.</w:t>
      </w:r>
    </w:p>
    <w:p>
      <w:pPr>
        <w:spacing w:after="0" w:line="1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Remuneration</w:t>
      </w:r>
      <w:r>
        <w:rPr>
          <w:rFonts w:ascii="Arial" w:cs="Arial" w:eastAsia="Arial" w:hAnsi="Arial"/>
          <w:sz w:val="18"/>
          <w:szCs w:val="18"/>
          <w:color w:val="auto"/>
        </w:rPr>
        <w:t xml:space="preserve">. No stated fee shall be paid to directors for their services, but by resolution of the board of directors a fixed sum and expenses of attendance, if any, may be paid for attendance at each regular or special meeting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that nothing herein contained shall be construed to preclude any director from serving the Corporation in any other capacity and receiving compensation therefore. Members of standing or special committees may be compensated for attending committee meetings.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Action by Directors Without a Meeting</w:t>
      </w:r>
      <w:r>
        <w:rPr>
          <w:rFonts w:ascii="Arial" w:cs="Arial" w:eastAsia="Arial" w:hAnsi="Arial"/>
          <w:sz w:val="18"/>
          <w:szCs w:val="18"/>
          <w:color w:val="auto"/>
        </w:rPr>
        <w:t>. Any action which may be taken at a meeting of the directors, or of a committee thereof, may be taken without a meeting if consent or consents shall be signed by such number of the directors as is required to approve such action at a meeting of the board of directors, or a majority of the members of the committee, as the case may be. Such consent shall have the same effect as a vote taken at a duly called meeting at which a quorum is present.</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Action of Directors by Communications Equipment</w:t>
      </w:r>
      <w:r>
        <w:rPr>
          <w:rFonts w:ascii="Arial" w:cs="Arial" w:eastAsia="Arial" w:hAnsi="Arial"/>
          <w:sz w:val="18"/>
          <w:szCs w:val="18"/>
          <w:color w:val="auto"/>
        </w:rPr>
        <w:t>. With the prior approval of the Chairperson of the Board, any action which may be taken at a meeting of directors, or of a committee thereof, may be taken by means of a conference telephone or similar communications equipment by means of which all persons participating in the meeting can hear each other at the same time.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firstLine="648"/>
        <w:spacing w:after="0" w:line="263"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Minutes</w:t>
      </w:r>
      <w:r>
        <w:rPr>
          <w:rFonts w:ascii="Arial" w:cs="Arial" w:eastAsia="Arial" w:hAnsi="Arial"/>
          <w:sz w:val="18"/>
          <w:szCs w:val="18"/>
          <w:color w:val="auto"/>
        </w:rPr>
        <w:t>. The board of directors and each committee hereinafter provided for shall keep minutes of its meetings. Minutes of the committees shall be submitted at the next regular meeting of the board of directors, and any action taken with respect thereto shall be entered in the minutes of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by resolution adopted by a majority of the directors in office, establish one or more committees. Each committee shall consist of at least two (2) members of the board of directors. The board may designate one or more directors as alternate members of any committee who may replace any absent or disqualified member at any meeting of the committee or for purposes of any written action of the committee.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committee, to the extent provided in the resolution of the board of directors creating it, shall have and may exercise all of the powers and authority of the board of directors except that a committee shall not have any power or authority regarding: (i) the submission to shareholders of any action requiring the approval of shareholders under the North Dakota Business Corporation Act, as it may be amended, (ii) the creation or filling of vacancies in the board of directors, (iii) the adoption, amendment or repeal of these bylaws, and (iv) any action on matters committed by the bylaws or resolution of the board of directors to another committee of the board of directors.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Audit Committee</w:t>
      </w:r>
      <w:r>
        <w:rPr>
          <w:rFonts w:ascii="Arial" w:cs="Arial" w:eastAsia="Arial" w:hAnsi="Arial"/>
          <w:sz w:val="18"/>
          <w:szCs w:val="18"/>
          <w:color w:val="auto"/>
        </w:rPr>
        <w:t>. There shall be a standing committee of the board of directors to be known as the Audit Committee. The members of the Audit Committee shall consist exclusively of Independent Directors. The Audit Committee shall: (i) engage the independent accountants for the Corporation, (ii) review with the independent accountants the scope of their examination, (iii) receive the reports of the independent accountants and meet with the representatives of such accountants for the purpose of reviewing and considering questions relating to their examination and such reports, (iv) review the internal accounting and auditing procedures of the corporation, and (v) perform such other duties as may be deemed necessary from time to time to fulfill its obligations under applicable law and the listing requirements of any stock exchange or over the counter market on which any security of the Corporation is admitted for trading.</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There shall be a standing committee of the board of directors to be known as the Nominating and Corporate Governance Committee. The Nominating and Corporate Governance Committee shall consist exclusively of Independent Directors. The Nominating and Corporate Governance Committee shall nominate candidates for election as director and shall make recommendations to the board of directors with respect to qualifications of directors.</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There shall be a standing committee of the board of directors to be known as the Compensation Committee. The members of the Compensation Committee shall consist exclusively of Independent Directors. The Compensation Committee shall make recommendations to the board of directors with respect to the compensation of the executive officers of the Corporation.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and Employees</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Designations</w:t>
      </w:r>
      <w:r>
        <w:rPr>
          <w:rFonts w:ascii="Arial" w:cs="Arial" w:eastAsia="Arial" w:hAnsi="Arial"/>
          <w:sz w:val="18"/>
          <w:szCs w:val="18"/>
          <w:color w:val="auto"/>
        </w:rPr>
        <w:t>. The officers of the Corporation shall be the President and Chief Executive Officer, the Chief Financial Officer, the Treasurer, and the Secretary, who shall be elected for one year by the board of directors at their first meeting after the annual meeting of shareholders and who shall hold office until</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right="360"/>
        <w:spacing w:after="0" w:line="277" w:lineRule="auto"/>
        <w:rPr>
          <w:sz w:val="20"/>
          <w:szCs w:val="20"/>
          <w:color w:val="auto"/>
        </w:rPr>
      </w:pPr>
      <w:r>
        <w:rPr>
          <w:rFonts w:ascii="Arial" w:cs="Arial" w:eastAsia="Arial" w:hAnsi="Arial"/>
          <w:sz w:val="18"/>
          <w:szCs w:val="18"/>
          <w:color w:val="auto"/>
        </w:rPr>
        <w:t>their successors are elected and qualify. Any two or more offices may be held by the same person, except the offices of Chairperson, Vice Chairperson, President and Chief Executive Officer, and Chief Financial Officer.</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The President and Chief Executive Officer</w:t>
      </w:r>
      <w:r>
        <w:rPr>
          <w:rFonts w:ascii="Arial" w:cs="Arial" w:eastAsia="Arial" w:hAnsi="Arial"/>
          <w:sz w:val="17"/>
          <w:szCs w:val="17"/>
          <w:color w:val="auto"/>
        </w:rPr>
        <w:t>. The President and Chief Executive Officer shall have general supervision of all departments and business of the Corporation, and shall prescribe the duties of other officers and see to the performance thereof. The President and Chief Executive Officer shall also have and may exercise such further powers and duties as from time to time may be conferred upon or assigned to him or her by the board of directors. The President and Chief Executive Officer shall report directly to the board of directors of the Corporation.</w:t>
      </w:r>
    </w:p>
    <w:p>
      <w:pPr>
        <w:spacing w:after="0" w:line="17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President and Chief Executive Officer shall have and may exercise any and all powers and duties pertaining by law, regulation, or practice to the office of President and Chief Executive Officer or imposed by these Bylaws. The President and Chief Executive Officer shall also have and may exercise such further powers and duties as from time to time may be conferred upon or assigned to him or her by the board of directors.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have general supervision of the fiscal affairs of the Corporation. The Chief Financial Officer shall, with the assistance of the President and Chief Executive Officer, and the managerial staff of the Corporation: (a) see that a full and accurate accounting of all financial transactions is made; (b) invest and reinvest the capital funds of the Corporation in such manner as may be directed by the board of directors, unless that function shall have been delegated to a nominee or agent; (c) prepare any financial reports that may be requested from time to time by the board of directors; (d) cooperate in the conduct of any annual audit of the Corporation's financial records by certified public accountants duly appointed by the Audit Committee; and (e) in general perform all the usual duties incident to the office of Treasurer and such other duties as may be assigned to him or her by the board of directors or the President and Chief Executive Officer.</w:t>
      </w:r>
    </w:p>
    <w:p>
      <w:pPr>
        <w:spacing w:after="0" w:line="1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Secretary</w:t>
      </w:r>
      <w:r>
        <w:rPr>
          <w:rFonts w:ascii="Arial" w:cs="Arial" w:eastAsia="Arial" w:hAnsi="Arial"/>
          <w:sz w:val="17"/>
          <w:szCs w:val="17"/>
          <w:color w:val="auto"/>
        </w:rPr>
        <w:t>. The board of directors shall appoint a secretary, who shall be the Secretary of the board of directors and of the Corporation, and shall keep accurate minutes of meetings. The Secretary shall attend to the giving of all notices required by these Bylaws to be given. The Secretary shall be the custodian of the corporate seal (if any), records, documents and papers of the Corporation. The Secretary shall have and may exercise any and all other powers and duties pertaining by law, regulation or practice to the office of Secretary or imposed by these Bylaws. The Secretary shall perform such other duties as may be assigned to him or her from time to time by the board of directors.</w:t>
      </w:r>
    </w:p>
    <w:p>
      <w:pPr>
        <w:spacing w:after="0" w:line="17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Other Officers</w:t>
      </w:r>
      <w:r>
        <w:rPr>
          <w:rFonts w:ascii="Arial" w:cs="Arial" w:eastAsia="Arial" w:hAnsi="Arial"/>
          <w:sz w:val="18"/>
          <w:szCs w:val="18"/>
          <w:color w:val="auto"/>
        </w:rPr>
        <w:t>. The board of directors may appoint one or more Vice Presidents, one or more Assistant Vice Presidents, one or more Assistant Secretaries, one or more Assistant Treasurers, and such other officers found necessary for the orderly transaction of business. Such officers shall respectively exercise such powers and perform such duties as pertain to the respective officers or as may be conferred upon or assigned to them by the board of directors or the President and Chief Executive Officer.</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Clerks and Agents</w:t>
      </w:r>
      <w:r>
        <w:rPr>
          <w:rFonts w:ascii="Arial" w:cs="Arial" w:eastAsia="Arial" w:hAnsi="Arial"/>
          <w:sz w:val="17"/>
          <w:szCs w:val="17"/>
          <w:color w:val="auto"/>
        </w:rPr>
        <w:t>. The board of directors may appoint, from time to time, such agents or employees as it may deem advisable for the prompt and orderly transaction of the business of the Corporation. The board of directors may also define their duties, fix their salaries and dismiss them. Subject to the authority of the board of directors, the President and Chief Executive Officer may appoint and dismiss all or any agents or employees, prescribe their duties and the conditions of their employment, and from time to time, fix their compensation.</w:t>
      </w:r>
    </w:p>
    <w:p>
      <w:pPr>
        <w:spacing w:after="0" w:line="171"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Tenure of Offices</w:t>
      </w:r>
      <w:r>
        <w:rPr>
          <w:rFonts w:ascii="Arial" w:cs="Arial" w:eastAsia="Arial" w:hAnsi="Arial"/>
          <w:sz w:val="16"/>
          <w:szCs w:val="16"/>
          <w:color w:val="auto"/>
        </w:rPr>
        <w:t>. All officers shall hold office for the current year for which the board of directors was elected, unless they shall resign, become disqualified, or be removed; and any vacancy occurring in the office of the President and Chief Executive Officer shall be filled by the board of directors. In the event that the President and Chief Executive Officer is unable to act, the board of directors shall meet forthwith upon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call of the Chairperson of the Board, the Vice Chairperson, or any three directors to appoint a successor or replacement.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Termination of Officers</w:t>
      </w:r>
      <w:r>
        <w:rPr>
          <w:rFonts w:ascii="Arial" w:cs="Arial" w:eastAsia="Arial" w:hAnsi="Arial"/>
          <w:sz w:val="18"/>
          <w:szCs w:val="18"/>
          <w:color w:val="auto"/>
        </w:rPr>
        <w:t>. Any officer of the Corporation may be terminated by the board of directors with or without cause, but such termination shall be without prejudice to the contract rights, if any, of the person so terminated. Election or appointment of an officer shall not of itself create contract rights.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Authority of Officers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Corporate Seal</w:t>
      </w:r>
      <w:r>
        <w:rPr>
          <w:rFonts w:ascii="Arial" w:cs="Arial" w:eastAsia="Arial" w:hAnsi="Arial"/>
          <w:sz w:val="18"/>
          <w:szCs w:val="18"/>
          <w:color w:val="auto"/>
        </w:rPr>
        <w:t>. If the Corporation adopts a corporate seal, the President and Chief Executive Officer, the Chief Financial Officer, any Vice President, and the Secretary shall each have authority to affix and attest the corporate seal of the Corporation.</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Other Powers</w:t>
      </w:r>
      <w:r>
        <w:rPr>
          <w:rFonts w:ascii="Arial" w:cs="Arial" w:eastAsia="Arial" w:hAnsi="Arial"/>
          <w:sz w:val="16"/>
          <w:szCs w:val="16"/>
          <w:color w:val="auto"/>
        </w:rPr>
        <w:t>. The President and Chief Executive Officer, the Chief Financial Officer, or any Vice President is authorized to perform such corporate and official acts as are necessary to carry on the business of the Corporation, subject to the directions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above-named officers are fully empowered, subject to policies and established board and/or committee approvals:</w:t>
      </w:r>
    </w:p>
    <w:p>
      <w:pPr>
        <w:spacing w:after="0" w:line="225" w:lineRule="exact"/>
        <w:rPr>
          <w:sz w:val="20"/>
          <w:szCs w:val="20"/>
          <w:color w:val="auto"/>
        </w:rPr>
      </w:pPr>
    </w:p>
    <w:p>
      <w:pPr>
        <w:ind w:right="240" w:firstLine="1304"/>
        <w:spacing w:after="0" w:line="277" w:lineRule="auto"/>
        <w:tabs>
          <w:tab w:leader="none" w:pos="15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sell, assign and transfer any and all shares of stock, bonds or other personal property standing in the name of the Corporation or held by the Corporation either in its own name or as agent;</w:t>
      </w:r>
    </w:p>
    <w:p>
      <w:pPr>
        <w:spacing w:after="0" w:line="170" w:lineRule="exact"/>
        <w:rPr>
          <w:rFonts w:ascii="Arial" w:cs="Arial" w:eastAsia="Arial" w:hAnsi="Arial"/>
          <w:sz w:val="18"/>
          <w:szCs w:val="18"/>
          <w:color w:val="auto"/>
        </w:rPr>
      </w:pPr>
    </w:p>
    <w:p>
      <w:pPr>
        <w:ind w:right="380" w:firstLine="1304"/>
        <w:spacing w:after="0" w:line="277" w:lineRule="auto"/>
        <w:tabs>
          <w:tab w:leader="none" w:pos="15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assign and transfer any and all registered bonds and to execute requests for payment or reissue of any such bonds that may be issued now or hereafter and held by the Corporation in its own right or as agent;</w:t>
      </w:r>
    </w:p>
    <w:p>
      <w:pPr>
        <w:spacing w:after="0" w:line="170" w:lineRule="exact"/>
        <w:rPr>
          <w:rFonts w:ascii="Arial" w:cs="Arial" w:eastAsia="Arial" w:hAnsi="Arial"/>
          <w:sz w:val="18"/>
          <w:szCs w:val="18"/>
          <w:color w:val="auto"/>
        </w:rPr>
      </w:pPr>
    </w:p>
    <w:p>
      <w:pPr>
        <w:ind w:right="400" w:firstLine="1304"/>
        <w:spacing w:after="0" w:line="308" w:lineRule="auto"/>
        <w:tabs>
          <w:tab w:leader="none" w:pos="153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sell at public or private sale, lease, mortgage or otherwise dispose of any real estate or interest therein held or acquired by the Corporation in its own right or as agent, and to execute and deliver any instrument necessary to completion of the transaction;</w:t>
      </w:r>
    </w:p>
    <w:p>
      <w:pPr>
        <w:spacing w:after="0" w:line="146" w:lineRule="exact"/>
        <w:rPr>
          <w:rFonts w:ascii="Arial" w:cs="Arial" w:eastAsia="Arial" w:hAnsi="Arial"/>
          <w:sz w:val="17"/>
          <w:szCs w:val="17"/>
          <w:color w:val="auto"/>
        </w:rPr>
      </w:pPr>
    </w:p>
    <w:p>
      <w:pPr>
        <w:ind w:right="100" w:firstLine="1304"/>
        <w:spacing w:after="0" w:line="277" w:lineRule="auto"/>
        <w:tabs>
          <w:tab w:leader="none" w:pos="15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receive and receipt for any sums of money or property due or owing to the Corporation in its own right or as agent and to execute any instrument of satisfaction therefore for any lien of record; and</w:t>
      </w:r>
    </w:p>
    <w:p>
      <w:pPr>
        <w:spacing w:after="0" w:line="170" w:lineRule="exact"/>
        <w:rPr>
          <w:rFonts w:ascii="Arial" w:cs="Arial" w:eastAsia="Arial" w:hAnsi="Arial"/>
          <w:sz w:val="18"/>
          <w:szCs w:val="18"/>
          <w:color w:val="auto"/>
        </w:rPr>
      </w:pPr>
    </w:p>
    <w:p>
      <w:pPr>
        <w:ind w:right="140" w:firstLine="1304"/>
        <w:spacing w:after="0" w:line="277" w:lineRule="auto"/>
        <w:tabs>
          <w:tab w:leader="none" w:pos="15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execute and deliver any deeds, contracts, agreements, leases, conveyances, bills of sale, petitions, writings, instruments, releases, acquittance and obligations necessary in the exercise of the corporate powers of the Corporation.</w:t>
      </w:r>
    </w:p>
    <w:p>
      <w:pPr>
        <w:spacing w:after="0" w:line="170"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Checks and Drafts</w:t>
      </w:r>
      <w:r>
        <w:rPr>
          <w:rFonts w:ascii="Arial" w:cs="Arial" w:eastAsia="Arial" w:hAnsi="Arial"/>
          <w:sz w:val="16"/>
          <w:szCs w:val="16"/>
          <w:color w:val="auto"/>
        </w:rPr>
        <w:t>. Each of the President and Chief Executive Officer, the Chief Financial Officer, and other employees, as may from time to time be designated by the board of directors, shall have the authority to sign checks, drafts, letters of credit, orders, receipts, and to endorse checks, bills of exchange, orders, drafts, and vouchers made payable or endorsed to the Corporation subject to the policies of the board of directors.</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Loans</w:t>
      </w:r>
      <w:r>
        <w:rPr>
          <w:rFonts w:ascii="Arial" w:cs="Arial" w:eastAsia="Arial" w:hAnsi="Arial"/>
          <w:sz w:val="16"/>
          <w:szCs w:val="16"/>
          <w:color w:val="auto"/>
        </w:rPr>
        <w:t>. Each of the President and Chief Executive Officer, the Chief Financial Officer, and any Vice President designated by the board of directors, acting in conjunction with any other of these designated officers may effect loans on behalf of the Corporation from any banking institution or other lender, executing notes or obligations and pledging assets of the Corporation therefor, subject to the policies of the board of directors.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To the fullest extent permitted by North Dakota Law, a director of the Corporation shall not be personally liable to the Corporation or its shareholders for monetary damages for breach of fiduciary duty as a director. No amendment, modification or repeal of this Section 6.1 nor the adoption of any provision inconsistent with this Section 6.1 shall adversely affect any right or protection of a director of the Corporation with respect to any act or omission that occurred prior to the time of such amendment, modification, repeal or adoption.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6.2. Indemnification.</w:t>
      </w:r>
    </w:p>
    <w:p>
      <w:pPr>
        <w:spacing w:after="0" w:line="225" w:lineRule="exact"/>
        <w:rPr>
          <w:sz w:val="20"/>
          <w:szCs w:val="20"/>
          <w:color w:val="auto"/>
        </w:rPr>
      </w:pPr>
    </w:p>
    <w:p>
      <w:pPr>
        <w:ind w:right="180" w:firstLine="1304"/>
        <w:spacing w:after="0" w:line="255" w:lineRule="auto"/>
        <w:tabs>
          <w:tab w:leader="none" w:pos="15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Corporation shall defend and shall indemnify any person who was or is a party or is threatened to be made a party to any threatened, pending or completed claim,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against expenses (including attorneys’ fees), amounts paid in settlement, judgments, and fines actually and reasonably incurred by such person in connection with such claim, action, suit or proceeding to the fullest extent permitted by North Dakota law.</w:t>
      </w:r>
    </w:p>
    <w:p>
      <w:pPr>
        <w:spacing w:after="0" w:line="192" w:lineRule="exact"/>
        <w:rPr>
          <w:rFonts w:ascii="Arial" w:cs="Arial" w:eastAsia="Arial" w:hAnsi="Arial"/>
          <w:sz w:val="18"/>
          <w:szCs w:val="18"/>
          <w:color w:val="auto"/>
        </w:rPr>
      </w:pPr>
    </w:p>
    <w:p>
      <w:pPr>
        <w:ind w:firstLine="1304"/>
        <w:spacing w:after="0" w:line="259" w:lineRule="auto"/>
        <w:tabs>
          <w:tab w:leader="none" w:pos="154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Advance of Expenses</w:t>
      </w:r>
      <w:r>
        <w:rPr>
          <w:rFonts w:ascii="Arial" w:cs="Arial" w:eastAsia="Arial" w:hAnsi="Arial"/>
          <w:sz w:val="18"/>
          <w:szCs w:val="18"/>
          <w:color w:val="auto"/>
        </w:rPr>
        <w:t>. Expenses (including attorneys’ fees) incurred in defending a civil claim or a civil or criminal action, suit or proceeding shall be paid by the Corporation in advance of the final disposition of such claim, action, suit, or proceeding, upon receipt of a written statement by or on behalf of the director, officer, employee, or agent to repay such amount if it shall be ultimately determined that he or she is not entitled to be indemnified by the Corporation as authorized in this Article VI.</w:t>
      </w:r>
    </w:p>
    <w:p>
      <w:pPr>
        <w:spacing w:after="0" w:line="186" w:lineRule="exact"/>
        <w:rPr>
          <w:rFonts w:ascii="Arial" w:cs="Arial" w:eastAsia="Arial" w:hAnsi="Arial"/>
          <w:sz w:val="18"/>
          <w:szCs w:val="18"/>
          <w:color w:val="auto"/>
        </w:rPr>
      </w:pPr>
    </w:p>
    <w:p>
      <w:pPr>
        <w:ind w:right="60" w:firstLine="1304"/>
        <w:spacing w:after="0" w:line="257" w:lineRule="auto"/>
        <w:tabs>
          <w:tab w:leader="none" w:pos="154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not Exclusive</w:t>
      </w:r>
      <w:r>
        <w:rPr>
          <w:rFonts w:ascii="Arial" w:cs="Arial" w:eastAsia="Arial" w:hAnsi="Arial"/>
          <w:sz w:val="18"/>
          <w:szCs w:val="18"/>
          <w:color w:val="auto"/>
        </w:rPr>
        <w:t>. The indemnification and advancement of expenses provided by this Article VI shall not be deemed exclusive of any other right to which persons seeking indemnification and advancement of expenses may be entitled under any agreement, vote of disinterested directors or otherwise, both as to actions in such persons’ official capacity and as to their actions in another capacity while holding office, and shall continue as to a person who has ceased to be a director, officer, employee or agent and shall inure to the benefit of the heirs, executors, and administrators of such person.</w:t>
      </w:r>
    </w:p>
    <w:p>
      <w:pPr>
        <w:spacing w:after="0" w:line="187" w:lineRule="exact"/>
        <w:rPr>
          <w:rFonts w:ascii="Arial" w:cs="Arial" w:eastAsia="Arial" w:hAnsi="Arial"/>
          <w:sz w:val="18"/>
          <w:szCs w:val="18"/>
          <w:color w:val="auto"/>
        </w:rPr>
      </w:pPr>
    </w:p>
    <w:p>
      <w:pPr>
        <w:ind w:firstLine="1304"/>
        <w:spacing w:after="0" w:line="257"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Insurance, Contracts, Security</w:t>
      </w:r>
      <w:r>
        <w:rPr>
          <w:rFonts w:ascii="Arial" w:cs="Arial" w:eastAsia="Arial" w:hAnsi="Arial"/>
          <w:sz w:val="18"/>
          <w:szCs w:val="18"/>
          <w:color w:val="auto"/>
        </w:rPr>
        <w:t>. The Corporation may purchase and maintain insurance on behalf of any person, may enter into contracts of indemnification with any person, and may create a fund of any nature which may, but need not be, under the control of a trustee for the benefit of any person, and may otherwise secure in any manner its obligations with respect to indemnification and advancement of expenses, whether arising under this Article VI or otherwise, whether or not the Corporation would have the power to indemnify such person against such liability under the provisions of this Article VI.</w:t>
      </w:r>
    </w:p>
    <w:p>
      <w:pPr>
        <w:spacing w:after="0" w:line="18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Any repeal or modification of this Article VI shall be prospective only, and shall not adversely affect any limitation on the personal liability of a director of the Corporation or any right of any person to indemnification from the Corporation with respect to any action or failure to take any action occurring prior to the time of such repeal or modification.</w:t>
      </w:r>
    </w:p>
    <w:p>
      <w:pPr>
        <w:spacing w:after="0" w:line="18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Severability</w:t>
      </w:r>
      <w:r>
        <w:rPr>
          <w:rFonts w:ascii="Arial" w:cs="Arial" w:eastAsia="Arial" w:hAnsi="Arial"/>
          <w:sz w:val="16"/>
          <w:szCs w:val="16"/>
          <w:color w:val="auto"/>
        </w:rPr>
        <w:t>. If, for any reason, any provision of this Article VI shall be held invalid, such invalidity shall not affect any other provision not held so invalid, and each such other provision shall, to the full extent consistent with law, continue in full force and effect. If any provision of this Article VI shall be held invalid in part, such invalidity shall in no way affect the remainder of such provision, and the remainder of such</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provision, together with all other provisions of this Article VI, shall, to the full extent consistent with law, continue in full force and effect.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and Stock Certificates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Transfers</w:t>
      </w:r>
      <w:r>
        <w:rPr>
          <w:rFonts w:ascii="Arial" w:cs="Arial" w:eastAsia="Arial" w:hAnsi="Arial"/>
          <w:sz w:val="17"/>
          <w:szCs w:val="17"/>
          <w:color w:val="auto"/>
        </w:rPr>
        <w:t>. Transfer of shares of stock of each class of the Corporation shall be made only on the books of the Corporation by the registered holder thereof, or by such holder’s attorney thereunto authorized by a power of attorney duly executed and filed with the Secretary or transfer agent for such stock, if any, and if such shares are represented by a certificate, upon surrender of the certificates therefor, endorsed by the person named in the certificate or by his attorney, lawfully constituted in writing. No transfer shall be made which is inconsistent with law.</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Shares</w:t>
      </w:r>
      <w:r>
        <w:rPr>
          <w:rFonts w:ascii="Arial" w:cs="Arial" w:eastAsia="Arial" w:hAnsi="Arial"/>
          <w:sz w:val="18"/>
          <w:szCs w:val="18"/>
          <w:color w:val="auto"/>
        </w:rPr>
        <w:t>. The shares of the Corporation shall be represented by certificates, or shall be uncertificated shares that may be evidenced by a book entry system maintained by the registrar of such stock, or a combination of both. To the extent that shares are represented by certificates, such certificates shall be in such form as shall be approved by the board of directors and shall state: (i) that the Corporation is incorporated under the laws of the State of North Dakota, (ii) the name of the person to whom issued, and (iii) the number and class of shares and the designation of the series, if any, that the share certificate represents. The share register or transfer books and blank share certificates shall be kept by the Secretary or by any transfer agent or registrar designated by the board of directors for that purpose.</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To the extent that shares are represented by certificates, such certificates shall be signed by the President and Chief Executive Officer and by the Secretary or an Assistant Secretary or the Treasurer or an Assistant Treasurer, or by any one of their facsimile signatures, or in their absence by board-designated Officers and shall be signed by a transfer agent. The corporate seal shall appear on each share certificate and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Shares of Another Corporation</w:t>
      </w:r>
      <w:r>
        <w:rPr>
          <w:rFonts w:ascii="Arial" w:cs="Arial" w:eastAsia="Arial" w:hAnsi="Arial"/>
          <w:sz w:val="18"/>
          <w:szCs w:val="18"/>
          <w:color w:val="auto"/>
        </w:rPr>
        <w:t>. Shares owned by the Corporation in another corporation, domestic or foreign, shall be voted by the President and Chief Executive Officer or such other officer, agent or proxy as the board of directors may determine.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the calendar year. The Corporation shall be subject to an annual audit as of the end of its fiscal year by independent public accountants appointed by and responsible to the Audit Committee.</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Records</w:t>
      </w:r>
      <w:r>
        <w:rPr>
          <w:rFonts w:ascii="Arial" w:cs="Arial" w:eastAsia="Arial" w:hAnsi="Arial"/>
          <w:sz w:val="18"/>
          <w:szCs w:val="18"/>
          <w:color w:val="auto"/>
        </w:rPr>
        <w:t>. The Articles of Incorporation, the Bylaws and the proceedings of all meetings of shareholders, the board of directors, and standing committees of the board of directors, shall be recorded in appropriate minute books provided for the purpose. The minutes of each meeting shall be signed by the Secretary or other officer appointed to act as secretary of the meeting.</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permits, words in any gender shall include any other gender, words in the singular shall include the plural and the plural shall include the singular.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Inspection</w:t>
      </w:r>
      <w:r>
        <w:rPr>
          <w:rFonts w:ascii="Arial" w:cs="Arial" w:eastAsia="Arial" w:hAnsi="Arial"/>
          <w:sz w:val="18"/>
          <w:szCs w:val="18"/>
          <w:color w:val="auto"/>
        </w:rPr>
        <w:t>. A copy of the Bylaws, with all amendments thereto, shall at all times be kept in a convenient place at the main office of the Corporation, and shall be open for inspection to all shareholders during normal business hours.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Amendments</w:t>
      </w:r>
      <w:r>
        <w:rPr>
          <w:rFonts w:ascii="Arial" w:cs="Arial" w:eastAsia="Arial" w:hAnsi="Arial"/>
          <w:sz w:val="17"/>
          <w:szCs w:val="17"/>
          <w:color w:val="auto"/>
        </w:rPr>
        <w:t>. The Bylaws may be adopted, amended, or repealed by the vote or the consent of shareholders entitled to exercise a majority of the voting power of the Corporation. In addition to the right of shareholders to adopt, amend, or repeal the Bylaws, the Bylaws may be adopted, amended, or repealed by the board of directors, except that any amendment, repeal or modification of any provision of Article 6 that adversely affects any right of an indemnitee or an indemnitee’s successors shall be prospective only, and shall not adversely affect any right or protection conferred on a person pursuant to Article 6 and existing at the time of such amendment, repeal or modification.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Bylaws were duly adopted by the Board of Directors of NI Holdings, Inc. this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Timothy J. Milius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14605</wp:posOffset>
            </wp:positionV>
            <wp:extent cx="16891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Timothy J. Milius</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THIS AMENDED AND RESTATED AGREEMENT </w:t>
      </w:r>
      <w:r>
        <w:rPr>
          <w:rFonts w:ascii="Arial" w:cs="Arial" w:eastAsia="Arial" w:hAnsi="Arial"/>
          <w:sz w:val="18"/>
          <w:szCs w:val="18"/>
          <w:color w:val="auto"/>
        </w:rPr>
        <w:t>(“Agreement”) is made as of this 8th day of August, 2023 (the “</w:t>
      </w:r>
      <w:r>
        <w:rPr>
          <w:rFonts w:ascii="Arial" w:cs="Arial" w:eastAsia="Arial" w:hAnsi="Arial"/>
          <w:sz w:val="18"/>
          <w:szCs w:val="18"/>
          <w:i w:val="1"/>
          <w:i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NI Holdings, Inc., a North Dakota business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NODAK Insurance Company, a North Dakota insurance company (the “</w:t>
      </w:r>
      <w:r>
        <w:rPr>
          <w:rFonts w:ascii="Arial" w:cs="Arial" w:eastAsia="Arial" w:hAnsi="Arial"/>
          <w:sz w:val="18"/>
          <w:szCs w:val="18"/>
          <w:i w:val="1"/>
          <w:iCs w:val="1"/>
          <w:color w:val="auto"/>
        </w:rPr>
        <w:t>Company</w:t>
      </w:r>
      <w:r>
        <w:rPr>
          <w:rFonts w:ascii="Arial" w:cs="Arial" w:eastAsia="Arial" w:hAnsi="Arial"/>
          <w:sz w:val="18"/>
          <w:szCs w:val="18"/>
          <w:color w:val="auto"/>
        </w:rPr>
        <w:t>”), and Seth C. Daggett, an adult individual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the Company, and Executive desire to enter into an agreement providing for the terms of Executive’s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Corporation and the Company.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intending to be legally bound, agree as follows:</w:t>
      </w:r>
    </w:p>
    <w:p>
      <w:pPr>
        <w:spacing w:after="0" w:line="185" w:lineRule="exact"/>
        <w:rPr>
          <w:sz w:val="20"/>
          <w:szCs w:val="20"/>
          <w:color w:val="auto"/>
        </w:rPr>
      </w:pPr>
    </w:p>
    <w:p>
      <w:pPr>
        <w:ind w:right="180" w:firstLine="656"/>
        <w:spacing w:after="0" w:line="282"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The Corporation and the Company employ Executive and Executive hereby accepts employment with the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on the terms and conditions set forth in this Agreement.</w:t>
      </w:r>
    </w:p>
    <w:p>
      <w:pPr>
        <w:spacing w:after="0" w:line="161" w:lineRule="exact"/>
        <w:rPr>
          <w:rFonts w:ascii="Arial" w:cs="Arial" w:eastAsia="Arial" w:hAnsi="Arial"/>
          <w:sz w:val="18"/>
          <w:szCs w:val="18"/>
          <w:color w:val="auto"/>
        </w:rPr>
      </w:pPr>
    </w:p>
    <w:p>
      <w:pPr>
        <w:ind w:firstLine="656"/>
        <w:spacing w:after="0" w:line="272" w:lineRule="auto"/>
        <w:tabs>
          <w:tab w:leader="none" w:pos="1098"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Duties of Employee</w:t>
      </w:r>
      <w:r>
        <w:rPr>
          <w:rFonts w:ascii="Arial" w:cs="Arial" w:eastAsia="Arial" w:hAnsi="Arial"/>
          <w:sz w:val="17"/>
          <w:szCs w:val="17"/>
          <w:color w:val="auto"/>
        </w:rPr>
        <w:t>. Executive shall serve as Chief Financial Officer of the Corporation and the Company and shall report directly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of the Corporation and the Company. Executive shall devote his full time, attention and energies to the business of the Corporation and the Company during the Employment Period (as defined in Section 3 of this Agreement); provided, however, that this Section 2 shall not be construed as preventing Executive from (a) engaging in activities incident or necessary to personal investments, (b) acting as a member of the board of directors of any non-profit association or corporation, or (c) being involved in any other business activity with the prior approval of the Board of Directors of the Corporation (the “</w:t>
      </w:r>
      <w:r>
        <w:rPr>
          <w:rFonts w:ascii="Arial" w:cs="Arial" w:eastAsia="Arial" w:hAnsi="Arial"/>
          <w:sz w:val="17"/>
          <w:szCs w:val="17"/>
          <w:i w:val="1"/>
          <w:iCs w:val="1"/>
          <w:color w:val="auto"/>
        </w:rPr>
        <w:t>Corporation Board</w:t>
      </w:r>
      <w:r>
        <w:rPr>
          <w:rFonts w:ascii="Arial" w:cs="Arial" w:eastAsia="Arial" w:hAnsi="Arial"/>
          <w:sz w:val="17"/>
          <w:szCs w:val="17"/>
          <w:color w:val="auto"/>
        </w:rPr>
        <w:t>”). Executive shall not engage in any business or commercial activities, duties or pursuits which compete with the business or commercial activities of the Corporation or the Company, nor may Executive serve as a director or officer or in any other capacity in a company which competes with the Corporation or the Company.</w:t>
      </w:r>
    </w:p>
    <w:p>
      <w:pPr>
        <w:spacing w:after="0" w:line="171" w:lineRule="exact"/>
        <w:rPr>
          <w:rFonts w:ascii="Arial" w:cs="Arial" w:eastAsia="Arial" w:hAnsi="Arial"/>
          <w:sz w:val="17"/>
          <w:szCs w:val="17"/>
          <w:color w:val="auto"/>
        </w:rPr>
      </w:pPr>
    </w:p>
    <w:p>
      <w:pPr>
        <w:ind w:left="1100" w:hanging="444"/>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p>
    <w:p>
      <w:pPr>
        <w:spacing w:after="0" w:line="229" w:lineRule="exact"/>
        <w:rPr>
          <w:rFonts w:ascii="Arial" w:cs="Arial" w:eastAsia="Arial" w:hAnsi="Arial"/>
          <w:sz w:val="18"/>
          <w:szCs w:val="18"/>
          <w:color w:val="auto"/>
        </w:rPr>
      </w:pPr>
    </w:p>
    <w:p>
      <w:pPr>
        <w:ind w:right="20" w:firstLine="1304"/>
        <w:spacing w:after="0" w:line="279" w:lineRule="auto"/>
        <w:tabs>
          <w:tab w:leader="none" w:pos="1811"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Employment Period</w:t>
      </w:r>
      <w:r>
        <w:rPr>
          <w:rFonts w:ascii="Arial" w:cs="Arial" w:eastAsia="Arial" w:hAnsi="Arial"/>
          <w:sz w:val="17"/>
          <w:szCs w:val="17"/>
          <w:color w:val="auto"/>
        </w:rPr>
        <w:t>. This Agreement shall be for a period (the “</w:t>
      </w:r>
      <w:r>
        <w:rPr>
          <w:rFonts w:ascii="Arial" w:cs="Arial" w:eastAsia="Arial" w:hAnsi="Arial"/>
          <w:sz w:val="17"/>
          <w:szCs w:val="17"/>
          <w:i w:val="1"/>
          <w:iCs w:val="1"/>
          <w:color w:val="auto"/>
        </w:rPr>
        <w:t>Employment Period</w:t>
      </w:r>
      <w:r>
        <w:rPr>
          <w:rFonts w:ascii="Arial" w:cs="Arial" w:eastAsia="Arial" w:hAnsi="Arial"/>
          <w:sz w:val="17"/>
          <w:szCs w:val="17"/>
          <w:color w:val="auto"/>
        </w:rPr>
        <w:t>”) beginning on the Effective Date, and if not previously terminated pursuant to the terms of this Agreement, continuing until the second anniversary hereof; provided, however, that on a daily basis, one additional day shall be added to the term of this Agreement, so that the Employment Period shall always be two (2) years, unless either the Executive or the Corporation shall have provided the other with written notice of its intention to cease extending the term of this Agreement.</w:t>
      </w:r>
    </w:p>
    <w:p>
      <w:pPr>
        <w:spacing w:after="0" w:line="171" w:lineRule="exact"/>
        <w:rPr>
          <w:rFonts w:ascii="Arial" w:cs="Arial" w:eastAsia="Arial" w:hAnsi="Arial"/>
          <w:sz w:val="17"/>
          <w:szCs w:val="17"/>
          <w:color w:val="auto"/>
        </w:rPr>
      </w:pPr>
    </w:p>
    <w:p>
      <w:pPr>
        <w:ind w:right="140" w:firstLine="1304"/>
        <w:spacing w:after="0" w:line="263" w:lineRule="auto"/>
        <w:tabs>
          <w:tab w:leader="none" w:pos="1821"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anything herein contained to the contrary, nothing in this Agreement shall mandate or prohibit a continuation of Executive’s employment following the expiration of the term of this Agreement upon such terms as the Corporation Board and Executive may mutually agree.</w:t>
      </w:r>
    </w:p>
    <w:p>
      <w:pPr>
        <w:spacing w:after="0" w:line="183" w:lineRule="exact"/>
        <w:rPr>
          <w:rFonts w:ascii="Arial" w:cs="Arial" w:eastAsia="Arial" w:hAnsi="Arial"/>
          <w:sz w:val="18"/>
          <w:szCs w:val="18"/>
          <w:color w:val="auto"/>
        </w:rPr>
      </w:pPr>
    </w:p>
    <w:p>
      <w:pPr>
        <w:ind w:right="220" w:firstLine="1304"/>
        <w:spacing w:after="0" w:line="342" w:lineRule="auto"/>
        <w:tabs>
          <w:tab w:leader="none" w:pos="181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Notwithstanding the provisions of Section 3(a) of this Agreement, this Agreement may be terminated by the Corporation and the Company for Cause (as defined herein). As used in this Agreement, “</w:t>
      </w:r>
      <w:r>
        <w:rPr>
          <w:rFonts w:ascii="Arial" w:cs="Arial" w:eastAsia="Arial" w:hAnsi="Arial"/>
          <w:sz w:val="16"/>
          <w:szCs w:val="16"/>
          <w:i w:val="1"/>
          <w:iCs w:val="1"/>
          <w:color w:val="auto"/>
        </w:rPr>
        <w:t>Cause</w:t>
      </w:r>
      <w:r>
        <w:rPr>
          <w:rFonts w:ascii="Arial" w:cs="Arial" w:eastAsia="Arial" w:hAnsi="Arial"/>
          <w:sz w:val="16"/>
          <w:szCs w:val="16"/>
          <w:color w:val="auto"/>
        </w:rPr>
        <w:t>” shall mean any of the following:</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right="220" w:firstLine="1952"/>
        <w:spacing w:after="0" w:line="263" w:lineRule="auto"/>
        <w:tabs>
          <w:tab w:leader="none" w:pos="24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willfully fails or refuses to substantially perform the Executive’s responsibilities under this Agreement, after demand for substantial performance has been given by the Corporation Board that specifically identifies how the Executive has failed to perform such responsibilities;</w:t>
      </w:r>
    </w:p>
    <w:p>
      <w:pPr>
        <w:spacing w:after="0" w:line="183" w:lineRule="exact"/>
        <w:rPr>
          <w:rFonts w:ascii="Arial" w:cs="Arial" w:eastAsia="Arial" w:hAnsi="Arial"/>
          <w:sz w:val="18"/>
          <w:szCs w:val="18"/>
          <w:color w:val="auto"/>
        </w:rPr>
      </w:pPr>
    </w:p>
    <w:p>
      <w:pPr>
        <w:ind w:left="2480" w:hanging="528"/>
        <w:spacing w:after="0"/>
        <w:tabs>
          <w:tab w:leader="none" w:pos="2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engages in gross misconduct which is materially and demonstrably injurious to the Corporation or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540" w:hanging="588"/>
        <w:spacing w:after="0"/>
        <w:tabs>
          <w:tab w:leader="none" w:pos="2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violates any of the Corporation’s or Company’s policies relating to sexual harassment;</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Executive is convicted of a felony or pleads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materially breaches Section 6 of this Agreement;</w:t>
      </w:r>
    </w:p>
    <w:p>
      <w:pPr>
        <w:spacing w:after="0" w:line="225" w:lineRule="exact"/>
        <w:rPr>
          <w:rFonts w:ascii="Arial" w:cs="Arial" w:eastAsia="Arial" w:hAnsi="Arial"/>
          <w:sz w:val="18"/>
          <w:szCs w:val="18"/>
          <w:color w:val="auto"/>
        </w:rPr>
      </w:pPr>
    </w:p>
    <w:p>
      <w:pPr>
        <w:ind w:right="380" w:firstLine="1952"/>
        <w:spacing w:after="0" w:line="263" w:lineRule="auto"/>
        <w:tabs>
          <w:tab w:leader="none" w:pos="25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engages in any act of fraud (including misappropriation of the Corporation’s or the Company’s funds or property) in connection with the business of the Corporation or the Company which is materially and demonstrably injurious to the Corporation or the Company; or</w:t>
      </w:r>
    </w:p>
    <w:p>
      <w:pPr>
        <w:spacing w:after="0" w:line="183" w:lineRule="exact"/>
        <w:rPr>
          <w:rFonts w:ascii="Arial" w:cs="Arial" w:eastAsia="Arial" w:hAnsi="Arial"/>
          <w:sz w:val="18"/>
          <w:szCs w:val="18"/>
          <w:color w:val="auto"/>
        </w:rPr>
      </w:pPr>
    </w:p>
    <w:p>
      <w:pPr>
        <w:ind w:left="2580" w:hanging="628"/>
        <w:spacing w:after="0"/>
        <w:tabs>
          <w:tab w:leader="none" w:pos="2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is disqualified or barred by any governmental or self-regulatory authority from serving in the capacity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contemplated by this Agreement.</w:t>
      </w:r>
    </w:p>
    <w:p>
      <w:pPr>
        <w:spacing w:after="0" w:line="211" w:lineRule="exact"/>
        <w:rPr>
          <w:sz w:val="20"/>
          <w:szCs w:val="20"/>
          <w:color w:val="auto"/>
        </w:rPr>
      </w:pPr>
    </w:p>
    <w:p>
      <w:pPr>
        <w:ind w:right="180" w:firstLine="1944"/>
        <w:spacing w:after="0" w:line="277" w:lineRule="auto"/>
        <w:rPr>
          <w:sz w:val="20"/>
          <w:szCs w:val="20"/>
          <w:color w:val="auto"/>
        </w:rPr>
      </w:pPr>
      <w:r>
        <w:rPr>
          <w:rFonts w:ascii="Arial" w:cs="Arial" w:eastAsia="Arial" w:hAnsi="Arial"/>
          <w:sz w:val="18"/>
          <w:szCs w:val="18"/>
          <w:color w:val="auto"/>
        </w:rPr>
        <w:t>If this Agreement is terminated for Cause, all of Executive’s rights under this Agreement shall cease as of the effective date of such termination, except that:</w:t>
      </w:r>
    </w:p>
    <w:p>
      <w:pPr>
        <w:spacing w:after="0" w:line="170" w:lineRule="exact"/>
        <w:rPr>
          <w:sz w:val="20"/>
          <w:szCs w:val="20"/>
          <w:color w:val="auto"/>
        </w:rPr>
      </w:pPr>
    </w:p>
    <w:p>
      <w:pPr>
        <w:ind w:left="2440" w:hanging="488"/>
        <w:spacing w:after="0"/>
        <w:tabs>
          <w:tab w:leader="none" w:pos="2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pay to Executive the unpaid portion, if any, of his Annual Base Salary through the date of termination;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120" w:firstLine="1952"/>
        <w:spacing w:after="0" w:line="277" w:lineRule="auto"/>
        <w:tabs>
          <w:tab w:leader="none" w:pos="247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shall provide to Executive such post-employment benefits, if any, as may be provided for under the terms of the employee benefit plans of the Company then in effect.</w:t>
      </w:r>
    </w:p>
    <w:p>
      <w:pPr>
        <w:spacing w:after="0" w:line="170" w:lineRule="exact"/>
        <w:rPr>
          <w:rFonts w:ascii="Arial" w:cs="Arial" w:eastAsia="Arial" w:hAnsi="Arial"/>
          <w:sz w:val="18"/>
          <w:szCs w:val="18"/>
          <w:color w:val="auto"/>
        </w:rPr>
      </w:pPr>
    </w:p>
    <w:p>
      <w:pPr>
        <w:jc w:val="both"/>
        <w:ind w:right="20" w:firstLine="1304"/>
        <w:spacing w:after="0" w:line="259" w:lineRule="auto"/>
        <w:tabs>
          <w:tab w:leader="none" w:pos="18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Notwithstanding the provisions of Section 3(a) of this Agreement, this Agreement shall terminate automatically upon Executive’s death and Executive’s rights under this Agreement shall cease as of the date of such termination, except that (i) the Company shall pay to Executive’s spouse, personal representative, or estate the unpaid portion, if any, of his Annual Base Salary through date of death and (ii) the Company shall provide to Executive’s dependents any benefits due under the Company’s employee benefit plans.</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Executive, the Corporation and the Company agree that if Executive becomes Disabled, within the meaning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409A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and the regulations thereunder, and becomes eligible for employer-provided short-term and/or long-term disability benefits, or worker’s compensation benefits, then the Company’s obligation to pay Executive his Annual Base Salary shall be reduced by the amount of the disability or worker’s compensation benefits received by Executive.</w:t>
      </w:r>
    </w:p>
    <w:p>
      <w:pPr>
        <w:spacing w:after="0" w:line="190"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Executive, the Corporation and the Company agree that if, in the judgment of the Corporation Board, Executive is unable, as a result of illness or injury, to perform the essential functions of his position on a full-time basis with or without a reasonable accommodation and without posing a direct threat to himself or others for a period of six months, the Company will suffer an undue hardship in continuing Executive’s employment as set forth in this Agreement. Accordingly, this Agreement shall terminate at the end of the six-month period, and all of Executive’s rights under this Agreement shall cease, with the exception of any unpaid Annual Base Salary through the date of termination and those rights which Executive may have under the Company’s employee benefit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6" w:name="page67"/>
    <w:bookmarkEnd w:id="66"/>
    <w:p>
      <w:pPr>
        <w:ind w:right="220" w:firstLine="1304"/>
        <w:spacing w:after="0" w:line="311" w:lineRule="auto"/>
        <w:tabs>
          <w:tab w:leader="none" w:pos="1881"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Resignation from Other Positions</w:t>
      </w:r>
      <w:r>
        <w:rPr>
          <w:rFonts w:ascii="Arial" w:cs="Arial" w:eastAsia="Arial" w:hAnsi="Arial"/>
          <w:sz w:val="16"/>
          <w:szCs w:val="16"/>
          <w:color w:val="auto"/>
        </w:rPr>
        <w:t>. In the event Executive’s employment under this Agreement is terminated for any reason, if Executive is then serving in any other capacity, such as an officer or director for any of the Corporation, the Company or any their respective affiliates or subsidiaries, such service shall also be deemed to immediately terminate and Executive shall be deemed to have resigned from all such other positions.</w:t>
      </w:r>
    </w:p>
    <w:p>
      <w:pPr>
        <w:spacing w:after="0" w:line="144" w:lineRule="exact"/>
        <w:rPr>
          <w:rFonts w:ascii="Arial" w:cs="Arial" w:eastAsia="Arial" w:hAnsi="Arial"/>
          <w:sz w:val="16"/>
          <w:szCs w:val="16"/>
          <w:color w:val="auto"/>
        </w:rPr>
      </w:pPr>
    </w:p>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Period Compensation, Benefits and Expenses.</w:t>
      </w:r>
    </w:p>
    <w:p>
      <w:pPr>
        <w:spacing w:after="0" w:line="229" w:lineRule="exact"/>
        <w:rPr>
          <w:rFonts w:ascii="Arial" w:cs="Arial" w:eastAsia="Arial" w:hAnsi="Arial"/>
          <w:sz w:val="18"/>
          <w:szCs w:val="18"/>
          <w:color w:val="auto"/>
        </w:rPr>
      </w:pPr>
    </w:p>
    <w:p>
      <w:pPr>
        <w:ind w:firstLine="1304"/>
        <w:spacing w:after="0" w:line="255" w:lineRule="auto"/>
        <w:tabs>
          <w:tab w:leader="none" w:pos="185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Annual Base Salary</w:t>
      </w:r>
      <w:r>
        <w:rPr>
          <w:rFonts w:ascii="Arial" w:cs="Arial" w:eastAsia="Arial" w:hAnsi="Arial"/>
          <w:sz w:val="18"/>
          <w:szCs w:val="18"/>
          <w:color w:val="auto"/>
        </w:rPr>
        <w:t>. For services performed by Executive under this Agreement, the Company shall pay Executive an annual base salary during the Employment Period at the rate of $375,000 per year, minus applicable withholdings and deductions, payable at the same times as salaries are payable to other executive employees of the Company (the “</w:t>
      </w:r>
      <w:r>
        <w:rPr>
          <w:rFonts w:ascii="Arial" w:cs="Arial" w:eastAsia="Arial" w:hAnsi="Arial"/>
          <w:sz w:val="18"/>
          <w:szCs w:val="18"/>
          <w:i w:val="1"/>
          <w:iCs w:val="1"/>
          <w:color w:val="auto"/>
        </w:rPr>
        <w:t>Annual Base Salary</w:t>
      </w:r>
      <w:r>
        <w:rPr>
          <w:rFonts w:ascii="Arial" w:cs="Arial" w:eastAsia="Arial" w:hAnsi="Arial"/>
          <w:sz w:val="18"/>
          <w:szCs w:val="18"/>
          <w:color w:val="auto"/>
        </w:rPr>
        <w:t>”). The Annual Base Salary shall be reviewed annually by the Board of Directors of the Company (the “</w:t>
      </w:r>
      <w:r>
        <w:rPr>
          <w:rFonts w:ascii="Arial" w:cs="Arial" w:eastAsia="Arial" w:hAnsi="Arial"/>
          <w:sz w:val="18"/>
          <w:szCs w:val="18"/>
          <w:i w:val="1"/>
          <w:iCs w:val="1"/>
          <w:color w:val="auto"/>
        </w:rPr>
        <w:t>Company Board</w:t>
      </w:r>
      <w:r>
        <w:rPr>
          <w:rFonts w:ascii="Arial" w:cs="Arial" w:eastAsia="Arial" w:hAnsi="Arial"/>
          <w:sz w:val="18"/>
          <w:szCs w:val="18"/>
          <w:color w:val="auto"/>
        </w:rPr>
        <w:t>”) and the Company Board may, from time to time, increase Executive’s Annual Base Salary, and any and all such increases shall be deemed to constitute amendments to this Section 4(a) to reflect the increased amounts, effective as of the date established for such increases.</w:t>
      </w:r>
    </w:p>
    <w:p>
      <w:pPr>
        <w:spacing w:after="0" w:line="192" w:lineRule="exact"/>
        <w:rPr>
          <w:rFonts w:ascii="Arial" w:cs="Arial" w:eastAsia="Arial" w:hAnsi="Arial"/>
          <w:sz w:val="18"/>
          <w:szCs w:val="18"/>
          <w:color w:val="auto"/>
        </w:rPr>
      </w:pPr>
    </w:p>
    <w:p>
      <w:pPr>
        <w:ind w:right="100" w:firstLine="1304"/>
        <w:spacing w:after="0" w:line="277" w:lineRule="auto"/>
        <w:tabs>
          <w:tab w:leader="none" w:pos="186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The Executive shall participate in any equity incentive plan and short-term performance plan generally made available to executive officers of the Company.</w:t>
      </w:r>
    </w:p>
    <w:p>
      <w:pPr>
        <w:spacing w:after="0" w:line="170" w:lineRule="exact"/>
        <w:rPr>
          <w:rFonts w:ascii="Arial" w:cs="Arial" w:eastAsia="Arial" w:hAnsi="Arial"/>
          <w:sz w:val="18"/>
          <w:szCs w:val="18"/>
          <w:color w:val="auto"/>
        </w:rPr>
      </w:pPr>
    </w:p>
    <w:p>
      <w:pPr>
        <w:ind w:right="320" w:firstLine="1304"/>
        <w:spacing w:after="0" w:line="263" w:lineRule="auto"/>
        <w:tabs>
          <w:tab w:leader="none" w:pos="185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Vacations, Holidays, etc</w:t>
      </w:r>
      <w:r>
        <w:rPr>
          <w:rFonts w:ascii="Arial" w:cs="Arial" w:eastAsia="Arial" w:hAnsi="Arial"/>
          <w:sz w:val="18"/>
          <w:szCs w:val="18"/>
          <w:color w:val="auto"/>
        </w:rPr>
        <w:t>. During the term of this Agreement, Executive shall be entitled to paid annual vacation in accordance with the policies as established from time to time by the Company. Executive shall also be entitled to all paid holidays, sick days and personal days provided by the Company to its regular full-time employees and senior executive officers.</w:t>
      </w:r>
    </w:p>
    <w:p>
      <w:pPr>
        <w:spacing w:after="0" w:line="183" w:lineRule="exact"/>
        <w:rPr>
          <w:rFonts w:ascii="Arial" w:cs="Arial" w:eastAsia="Arial" w:hAnsi="Arial"/>
          <w:sz w:val="18"/>
          <w:szCs w:val="18"/>
          <w:color w:val="auto"/>
        </w:rPr>
      </w:pPr>
    </w:p>
    <w:p>
      <w:pPr>
        <w:ind w:right="60" w:firstLine="1304"/>
        <w:spacing w:after="0" w:line="263" w:lineRule="auto"/>
        <w:tabs>
          <w:tab w:leader="none" w:pos="186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During the term of this Agreement, Executive shall be entitled to participate in or receive the benefits of any employee benefit plan currently in effect at the Company, subject to the eligibility and terms of each such plan, until such time that the Company authorizes a change in such benefits.</w:t>
      </w:r>
    </w:p>
    <w:p>
      <w:pPr>
        <w:spacing w:after="0" w:line="183" w:lineRule="exact"/>
        <w:rPr>
          <w:rFonts w:ascii="Arial" w:cs="Arial" w:eastAsia="Arial" w:hAnsi="Arial"/>
          <w:sz w:val="18"/>
          <w:szCs w:val="18"/>
          <w:color w:val="auto"/>
        </w:rPr>
      </w:pPr>
    </w:p>
    <w:p>
      <w:pPr>
        <w:ind w:right="520" w:firstLine="1304"/>
        <w:spacing w:after="0" w:line="263" w:lineRule="auto"/>
        <w:tabs>
          <w:tab w:leader="none" w:pos="185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of this Agreement, Executive shall be entitled to receive prompt reimbursement for all customary and usual expenses incurred by him, which are properly accounted for, in accordance with the policies and procedures established by the Company.</w:t>
      </w:r>
    </w:p>
    <w:p>
      <w:pPr>
        <w:spacing w:after="0" w:line="179" w:lineRule="exact"/>
        <w:rPr>
          <w:rFonts w:ascii="Arial" w:cs="Arial" w:eastAsia="Arial" w:hAnsi="Arial"/>
          <w:sz w:val="18"/>
          <w:szCs w:val="18"/>
          <w:color w:val="auto"/>
        </w:rPr>
      </w:pPr>
    </w:p>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in Event of Termination of Employment.</w:t>
      </w:r>
    </w:p>
    <w:p>
      <w:pPr>
        <w:spacing w:after="0" w:line="229" w:lineRule="exact"/>
        <w:rPr>
          <w:rFonts w:ascii="Arial" w:cs="Arial" w:eastAsia="Arial" w:hAnsi="Arial"/>
          <w:sz w:val="18"/>
          <w:szCs w:val="18"/>
          <w:color w:val="auto"/>
        </w:rPr>
      </w:pPr>
    </w:p>
    <w:p>
      <w:pPr>
        <w:ind w:right="20" w:firstLine="1304"/>
        <w:spacing w:after="0" w:line="259" w:lineRule="auto"/>
        <w:tabs>
          <w:tab w:leader="none" w:pos="18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Executive terminates his employment with the Company without Good Reason (as defined below), Executive’s rights under this Agreement shall cease as of the date of such termination, except that (i) the Company shall pay to Executive the unpaid portion, if any, of his Annual Base Salary through date of termination, and (ii) the Company shall provide to Executive’s dependents any benefits due under the Company’s employee benefit plans then in effect.</w:t>
      </w:r>
    </w:p>
    <w:p>
      <w:pPr>
        <w:spacing w:after="0" w:line="186" w:lineRule="exact"/>
        <w:rPr>
          <w:rFonts w:ascii="Arial" w:cs="Arial" w:eastAsia="Arial" w:hAnsi="Arial"/>
          <w:sz w:val="18"/>
          <w:szCs w:val="18"/>
          <w:color w:val="auto"/>
        </w:rPr>
      </w:pPr>
    </w:p>
    <w:p>
      <w:pPr>
        <w:ind w:right="200" w:firstLine="1304"/>
        <w:spacing w:after="0" w:line="263" w:lineRule="auto"/>
        <w:tabs>
          <w:tab w:leader="none" w:pos="1821"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Executive’s employment is involuntarily terminated by the Corporation and the Company without Cause (other than for death or Disability), or the Executive voluntarily terminates employment for Good Reason (as defined below), Executive shall be entitled to receive the compensation and benefits set forth below:</w:t>
      </w:r>
    </w:p>
    <w:p>
      <w:pPr>
        <w:spacing w:after="0" w:line="183" w:lineRule="exact"/>
        <w:rPr>
          <w:rFonts w:ascii="Arial" w:cs="Arial" w:eastAsia="Arial" w:hAnsi="Arial"/>
          <w:sz w:val="18"/>
          <w:szCs w:val="18"/>
          <w:color w:val="auto"/>
        </w:rPr>
      </w:pPr>
    </w:p>
    <w:p>
      <w:pPr>
        <w:ind w:right="220" w:firstLine="1952"/>
        <w:spacing w:after="0" w:line="259" w:lineRule="auto"/>
        <w:tabs>
          <w:tab w:leader="none" w:pos="2429" w:val="left"/>
        </w:tabs>
        <w:numPr>
          <w:ilvl w:val="2"/>
          <w:numId w:val="41"/>
        </w:numPr>
        <w:rPr>
          <w:rFonts w:ascii="Arial" w:cs="Arial" w:eastAsia="Arial" w:hAnsi="Arial"/>
          <w:sz w:val="18"/>
          <w:szCs w:val="18"/>
          <w:color w:val="auto"/>
        </w:rPr>
      </w:pPr>
      <w:r>
        <w:rPr>
          <w:rFonts w:ascii="Arial" w:cs="Arial" w:eastAsia="Arial" w:hAnsi="Arial"/>
          <w:sz w:val="18"/>
          <w:szCs w:val="18"/>
          <w:color w:val="auto"/>
        </w:rPr>
        <w:t>Executive shall be entitled to receive an amount equal to (A) his Annual Base Salary plus (B) the average annual bonus for the preceding three (3) calendar years. Such annual amount shall be multiplied by the number of full calendar months remaining in the Employment Period divided by twelve (12). The resulting amount shall be paid by the Company in one lump sum following Executive’s execution of the release (provided such release is not rescinded) described in Section 7.</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20" w:firstLine="1952"/>
        <w:spacing w:after="0" w:line="257" w:lineRule="auto"/>
        <w:tabs>
          <w:tab w:leader="none" w:pos="2479"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Also, in such event, Executive shall, for the remaining Employment Period, continue to participate in any benefit plans of the Company that provide health (including medical and dental) coverage, upon terms no less favorable than the most favorable terms provided to senior executives of the Company during such period. In the event that the Company is unable to provide such coverage by reason of Executive no longer being an employee, the Company shall provide Executive an amount equal to the total after-tax cost to Employee, for each month that is then remaining in the Employment Period, of obtaining such coverage.</w:t>
      </w:r>
    </w:p>
    <w:p>
      <w:pPr>
        <w:spacing w:after="0" w:line="187" w:lineRule="exact"/>
        <w:rPr>
          <w:rFonts w:ascii="Arial" w:cs="Arial" w:eastAsia="Arial" w:hAnsi="Arial"/>
          <w:sz w:val="18"/>
          <w:szCs w:val="18"/>
          <w:color w:val="auto"/>
        </w:rPr>
      </w:pPr>
    </w:p>
    <w:p>
      <w:pPr>
        <w:ind w:firstLine="1304"/>
        <w:spacing w:after="0" w:line="275" w:lineRule="auto"/>
        <w:tabs>
          <w:tab w:leader="none" w:pos="1811" w:val="left"/>
        </w:tabs>
        <w:numPr>
          <w:ilvl w:val="1"/>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shall mean (i) a material diminution in salary, (ii) a material diminution in authority, duties or responsibilities, (iii) a reassignment which assigns full-time employment duties to Executive at a location more than twenty (20) miles from the Company’s principal executive office on the date of this Agreement, in all cases after notice from Executive to the Company within ninety (90) days after the initial existence of any such condition that the condition constitutes Good Reason and the failure of the Company to cure such situation within thirty (30) days after said notice, or (iv) a change in Executive’s title accompanied by any of the circumstances described in clauses (i), (ii) or (iii) above.</w:t>
      </w:r>
    </w:p>
    <w:p>
      <w:pPr>
        <w:spacing w:after="0" w:line="176" w:lineRule="exact"/>
        <w:rPr>
          <w:rFonts w:ascii="Arial" w:cs="Arial" w:eastAsia="Arial" w:hAnsi="Arial"/>
          <w:sz w:val="17"/>
          <w:szCs w:val="17"/>
          <w:color w:val="auto"/>
        </w:rPr>
      </w:pPr>
    </w:p>
    <w:p>
      <w:pPr>
        <w:ind w:firstLine="1304"/>
        <w:spacing w:after="0" w:line="259" w:lineRule="auto"/>
        <w:tabs>
          <w:tab w:leader="none" w:pos="18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shall not be required to mitigate the amount of any payment provided for in this Section 5 by seeking other employment or otherwise, nor shall the amount of payment or the benefit provided for in this Section 5 be reduced by any compensation earned by Executive as the result of employment by another employer or by reason of Executive’s receipt of or right to receive any retirement or other benefits after the date of termination of employment or otherwise,</w:t>
      </w:r>
    </w:p>
    <w:p>
      <w:pPr>
        <w:spacing w:after="0" w:line="182" w:lineRule="exact"/>
        <w:rPr>
          <w:rFonts w:ascii="Arial" w:cs="Arial" w:eastAsia="Arial" w:hAnsi="Arial"/>
          <w:sz w:val="18"/>
          <w:szCs w:val="18"/>
          <w:color w:val="auto"/>
        </w:rPr>
      </w:pPr>
    </w:p>
    <w:p>
      <w:pPr>
        <w:ind w:right="120" w:firstLine="656"/>
        <w:spacing w:after="0" w:line="270" w:lineRule="auto"/>
        <w:tabs>
          <w:tab w:leader="none" w:pos="1143"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Unauthorized Disclosure</w:t>
      </w:r>
      <w:r>
        <w:rPr>
          <w:rFonts w:ascii="Arial" w:cs="Arial" w:eastAsia="Arial" w:hAnsi="Arial"/>
          <w:sz w:val="17"/>
          <w:szCs w:val="17"/>
          <w:color w:val="auto"/>
        </w:rPr>
        <w:t>. During the term of his employment hereunder, or at any later time, Executive shall not, without the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the Company Board or a person authorized thereby (except as may be required pursuant to a subpoena or other legal process), knowingly disclose to any person, other than an employee of the Company or a person to whom disclosure is reasonably necessary or appropriate in connection with the performance by Executive of his duties as an executive of the Company, any material confidential information obtained by him while in the employ of the Company with respect to any of the Company’s, the Corporation’s or any of their subsidiaries’ services, products, improvements, formulas, designs or styles, processes, customers, methods of business or any business practices the disclosure of which could be or will be damaging to the Company or the Corporation; provided, however, that confidential information shall not include any information known generally to the public (other than as a result of unauthorized disclosure by Executive or any person with the assistance, consent or direction of Executive) or any information of a type not otherwise considered confidential by persons engaged in the same business or a business similar to that conducted by the Company or any information that must be disclosed as required by law.</w:t>
      </w:r>
    </w:p>
    <w:p>
      <w:pPr>
        <w:spacing w:after="0" w:line="176" w:lineRule="exact"/>
        <w:rPr>
          <w:rFonts w:ascii="Arial" w:cs="Arial" w:eastAsia="Arial" w:hAnsi="Arial"/>
          <w:sz w:val="17"/>
          <w:szCs w:val="17"/>
          <w:color w:val="auto"/>
        </w:rPr>
      </w:pPr>
    </w:p>
    <w:p>
      <w:pPr>
        <w:ind w:right="140" w:firstLine="656"/>
        <w:spacing w:after="0" w:line="274" w:lineRule="auto"/>
        <w:tabs>
          <w:tab w:leader="none" w:pos="1143"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Requirement of Release</w:t>
      </w:r>
      <w:r>
        <w:rPr>
          <w:rFonts w:ascii="Arial" w:cs="Arial" w:eastAsia="Arial" w:hAnsi="Arial"/>
          <w:sz w:val="17"/>
          <w:szCs w:val="17"/>
          <w:color w:val="auto"/>
        </w:rPr>
        <w:t>. Notwithstanding anything herein to the contrary, Executive’s entitlement to any payments under Section 5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contingent upon Executive’s prior agreement with and signature to a complete release agreement in the form as mutually agreed by the parties, which release is not rescinded by Executive. Such release agreement shall be executed, if at all, and the applicable payments and benefits contingent upon the execution of such agreement shall be provided or commence being provided, if at all, within sixty (60) days following the date of termination; provided, however, that if such sixty (60) day period begins in one taxable year and ends in a second taxable year, the payments and benefits will be provided or commence being provided, if at all, in the second taxable year.</w:t>
      </w:r>
    </w:p>
    <w:p>
      <w:pPr>
        <w:spacing w:after="0" w:line="173" w:lineRule="exact"/>
        <w:rPr>
          <w:rFonts w:ascii="Arial" w:cs="Arial" w:eastAsia="Arial" w:hAnsi="Arial"/>
          <w:sz w:val="17"/>
          <w:szCs w:val="17"/>
          <w:color w:val="auto"/>
        </w:rPr>
      </w:pPr>
    </w:p>
    <w:p>
      <w:pPr>
        <w:ind w:right="20" w:firstLine="656"/>
        <w:spacing w:after="0" w:line="266" w:lineRule="auto"/>
        <w:tabs>
          <w:tab w:leader="none" w:pos="1143"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Except as otherwise provided in this Agreement, any notice required or permitted to be given under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properly given if in writing and if mailed by United States registered or certified mail, postage prepaid with return receipt requested, to Executive’s address, in the case of</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notices to Executive, and to the principal executive office of the Company, in the case of notice to the Company.</w:t>
      </w:r>
    </w:p>
    <w:p>
      <w:pPr>
        <w:spacing w:after="0" w:line="221" w:lineRule="exact"/>
        <w:rPr>
          <w:sz w:val="20"/>
          <w:szCs w:val="20"/>
          <w:color w:val="auto"/>
        </w:rPr>
      </w:pPr>
    </w:p>
    <w:p>
      <w:pPr>
        <w:ind w:firstLine="656"/>
        <w:spacing w:after="0" w:line="303" w:lineRule="auto"/>
        <w:tabs>
          <w:tab w:leader="none" w:pos="1143"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No provision of this Agreement may be modified, waived or discharged unless such waiver, modification or discharge is agreed to</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and signed by Executive and an executive officer of the Corporation and the Company specifically designated by the respective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5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This Agreement shall not be assignable by any party, except by the Company to any successor in interest to its business.</w:t>
      </w:r>
    </w:p>
    <w:p>
      <w:pPr>
        <w:spacing w:after="0" w:line="248" w:lineRule="exact"/>
        <w:rPr>
          <w:sz w:val="20"/>
          <w:szCs w:val="20"/>
          <w:color w:val="auto"/>
        </w:rPr>
      </w:pPr>
    </w:p>
    <w:p>
      <w:pPr>
        <w:ind w:right="460" w:firstLine="656"/>
        <w:spacing w:after="0" w:line="282" w:lineRule="auto"/>
        <w:tabs>
          <w:tab w:leader="none" w:pos="122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contains the entire agreement of the parties relating to the subject matter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and replaces any prior written or oral agreements between them respecting the within subject matter.</w:t>
      </w:r>
    </w:p>
    <w:p>
      <w:pPr>
        <w:spacing w:after="0" w:line="161" w:lineRule="exact"/>
        <w:rPr>
          <w:rFonts w:ascii="Arial" w:cs="Arial" w:eastAsia="Arial" w:hAnsi="Arial"/>
          <w:sz w:val="18"/>
          <w:szCs w:val="18"/>
          <w:color w:val="auto"/>
        </w:rPr>
      </w:pPr>
    </w:p>
    <w:p>
      <w:pPr>
        <w:ind w:left="1200" w:hanging="544"/>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Binding Agreement.</w:t>
      </w:r>
    </w:p>
    <w:p>
      <w:pPr>
        <w:spacing w:after="0" w:line="229" w:lineRule="exact"/>
        <w:rPr>
          <w:rFonts w:ascii="Arial" w:cs="Arial" w:eastAsia="Arial" w:hAnsi="Arial"/>
          <w:sz w:val="18"/>
          <w:szCs w:val="18"/>
          <w:color w:val="auto"/>
        </w:rPr>
      </w:pPr>
    </w:p>
    <w:p>
      <w:pPr>
        <w:ind w:right="60" w:firstLine="1304"/>
        <w:spacing w:after="0" w:line="296" w:lineRule="auto"/>
        <w:tabs>
          <w:tab w:leader="none" w:pos="1811"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Corporation and the Company will require any successor (whether direct or indirect, by purchase, merger, consolidation, or otherwise) to all or substantially all of the business and/or assets of the Corporation or the Company to expressly assume and agree to perform this Agreement in the same manner and to the same extent that the Corporation and Company would be required to perform it if no such succession had taken place. As used in this Agreement, “Corporation” and “Company” shall mean the Corporation and the Company as defined previously and any successor to their respective business and/or assets as aforesaid which assumes and agrees to perform this Agreement by operation of law or otherwise.</w:t>
      </w:r>
    </w:p>
    <w:p>
      <w:pPr>
        <w:spacing w:after="0" w:line="161" w:lineRule="exact"/>
        <w:rPr>
          <w:rFonts w:ascii="Arial" w:cs="Arial" w:eastAsia="Arial" w:hAnsi="Arial"/>
          <w:sz w:val="16"/>
          <w:szCs w:val="16"/>
          <w:color w:val="auto"/>
        </w:rPr>
      </w:pPr>
    </w:p>
    <w:p>
      <w:pPr>
        <w:ind w:right="120" w:firstLine="1304"/>
        <w:spacing w:after="0" w:line="301" w:lineRule="auto"/>
        <w:tabs>
          <w:tab w:leader="none" w:pos="1821"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enforceable by Executive’s personal or legal representatives, executors, administrators, heirs, distributees, devisees or legatees. If Executive should die following termination of Executive’s employment without Cause, and any amounts would be payable to Executive under this Agreement if Executive had continued to live, all such amounts shall be paid in accordance with the terms of this Agreement to Executive’s devisee, legatee, or other designee, or, if there is no such designee, to Executive’s estate.</w:t>
      </w:r>
    </w:p>
    <w:p>
      <w:pPr>
        <w:spacing w:after="0" w:line="153" w:lineRule="exact"/>
        <w:rPr>
          <w:rFonts w:ascii="Arial" w:cs="Arial" w:eastAsia="Arial" w:hAnsi="Arial"/>
          <w:sz w:val="16"/>
          <w:szCs w:val="16"/>
          <w:color w:val="auto"/>
        </w:rPr>
      </w:pPr>
    </w:p>
    <w:p>
      <w:pPr>
        <w:ind w:right="140" w:firstLine="656"/>
        <w:spacing w:after="0" w:line="282" w:lineRule="auto"/>
        <w:tabs>
          <w:tab w:leader="none" w:pos="1233"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The invalidity or unenforceability of any provision of this Agreement shall not affect the validity or enforceability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which shall remain in full force and effect.</w:t>
      </w:r>
    </w:p>
    <w:p>
      <w:pPr>
        <w:spacing w:after="0" w:line="161" w:lineRule="exact"/>
        <w:rPr>
          <w:rFonts w:ascii="Arial" w:cs="Arial" w:eastAsia="Arial" w:hAnsi="Arial"/>
          <w:sz w:val="18"/>
          <w:szCs w:val="18"/>
          <w:color w:val="auto"/>
        </w:rPr>
      </w:pPr>
    </w:p>
    <w:p>
      <w:pPr>
        <w:ind w:right="120" w:firstLine="656"/>
        <w:spacing w:after="0" w:line="282" w:lineRule="auto"/>
        <w:tabs>
          <w:tab w:leader="none" w:pos="1233"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Agreement shall be governed by and construed in accordance with the laws of the State of North Dakota,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 of laws principles.</w:t>
      </w:r>
    </w:p>
    <w:p>
      <w:pPr>
        <w:spacing w:after="0" w:line="161" w:lineRule="exact"/>
        <w:rPr>
          <w:rFonts w:ascii="Arial" w:cs="Arial" w:eastAsia="Arial" w:hAnsi="Arial"/>
          <w:sz w:val="18"/>
          <w:szCs w:val="18"/>
          <w:color w:val="auto"/>
        </w:rPr>
      </w:pPr>
    </w:p>
    <w:p>
      <w:pPr>
        <w:ind w:right="40" w:firstLine="656"/>
        <w:spacing w:after="0" w:line="282" w:lineRule="auto"/>
        <w:tabs>
          <w:tab w:leader="none" w:pos="1233"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of this Agreement are for convenience only and shall not control or affect the meaning or construction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limit the scope or intent of any of the provisions of this Agreement.</w:t>
      </w:r>
    </w:p>
    <w:p>
      <w:pPr>
        <w:spacing w:after="0" w:line="161" w:lineRule="exact"/>
        <w:rPr>
          <w:rFonts w:ascii="Arial" w:cs="Arial" w:eastAsia="Arial" w:hAnsi="Arial"/>
          <w:sz w:val="18"/>
          <w:szCs w:val="18"/>
          <w:color w:val="auto"/>
        </w:rPr>
      </w:pPr>
    </w:p>
    <w:p>
      <w:pPr>
        <w:ind w:left="1200" w:hanging="544"/>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Payments.</w:t>
      </w:r>
    </w:p>
    <w:p>
      <w:pPr>
        <w:spacing w:after="0" w:line="229" w:lineRule="exact"/>
        <w:rPr>
          <w:rFonts w:ascii="Arial" w:cs="Arial" w:eastAsia="Arial" w:hAnsi="Arial"/>
          <w:sz w:val="18"/>
          <w:szCs w:val="18"/>
          <w:color w:val="auto"/>
        </w:rPr>
      </w:pPr>
    </w:p>
    <w:p>
      <w:pPr>
        <w:ind w:firstLine="1304"/>
        <w:spacing w:after="0" w:line="279" w:lineRule="auto"/>
        <w:tabs>
          <w:tab w:leader="none" w:pos="1811"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 the event the payments and benefits payable hereunder to or on behalf of Executive, when added to all other amounts and benefits payable to or on behalf of Executive, would result in the imposition of an excise tax under Section 4999 of the Code, the amounts and benefits payable hereunder shall be reduced to such extent as may be necessary to avoid such imposition. All calculations required to be made under this subsection will be made by the Company’s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9" w:name="page70"/>
    <w:bookmarkEnd w:id="69"/>
    <w:p>
      <w:pPr>
        <w:spacing w:after="0" w:line="342" w:lineRule="auto"/>
        <w:rPr>
          <w:sz w:val="20"/>
          <w:szCs w:val="20"/>
          <w:color w:val="auto"/>
        </w:rPr>
      </w:pPr>
      <w:r>
        <w:rPr>
          <w:rFonts w:ascii="Arial" w:cs="Arial" w:eastAsia="Arial" w:hAnsi="Arial"/>
          <w:sz w:val="16"/>
          <w:szCs w:val="16"/>
          <w:color w:val="auto"/>
        </w:rPr>
        <w:t>independent public accountants, subject to the right of Executive’s representative to review the same. The parties recognize that the actual implementation of the provisions of this subsection are complex and agree to deal with each other in good faith to resolve any questions or disagreements arising hereunder.</w:t>
      </w:r>
    </w:p>
    <w:p>
      <w:pPr>
        <w:spacing w:after="0" w:line="124" w:lineRule="exact"/>
        <w:rPr>
          <w:sz w:val="20"/>
          <w:szCs w:val="20"/>
          <w:color w:val="auto"/>
        </w:rPr>
      </w:pPr>
    </w:p>
    <w:p>
      <w:pPr>
        <w:ind w:right="820" w:firstLine="1304"/>
        <w:spacing w:after="0" w:line="277" w:lineRule="auto"/>
        <w:tabs>
          <w:tab w:leader="none" w:pos="1821"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payments made to the Executive pursuant to this Agreement or otherwise, are subject to and conditioned upon their compliance with applicable laws and any regulations promulgated thereunder.</w:t>
      </w:r>
    </w:p>
    <w:p>
      <w:pPr>
        <w:spacing w:after="0" w:line="166" w:lineRule="exact"/>
        <w:rPr>
          <w:rFonts w:ascii="Arial" w:cs="Arial" w:eastAsia="Arial" w:hAnsi="Arial"/>
          <w:sz w:val="18"/>
          <w:szCs w:val="18"/>
          <w:color w:val="auto"/>
        </w:rPr>
      </w:pPr>
    </w:p>
    <w:p>
      <w:pPr>
        <w:ind w:right="20" w:firstLine="656"/>
        <w:spacing w:after="0" w:line="270" w:lineRule="auto"/>
        <w:tabs>
          <w:tab w:leader="none" w:pos="1233"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Recovery of Bonuses and Incentive Compensation</w:t>
      </w:r>
      <w:r>
        <w:rPr>
          <w:rFonts w:ascii="Arial" w:cs="Arial" w:eastAsia="Arial" w:hAnsi="Arial"/>
          <w:sz w:val="17"/>
          <w:szCs w:val="17"/>
          <w:color w:val="auto"/>
        </w:rPr>
        <w:t>. Notwithstanding anything in this Agreement to the contrary, all bonuses and</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compensation, but not Annual Base Salary or payments due Executive under Section 5, paid hereunder (whether in equity or in cash) shall be subject to recovery by the Company in the event that such bonuses or incentive compensation are based on materially inaccurate financial statements or other materially inaccurate performance metric criteria; provided that except as set forth in the next sentence, a determination as to the recovery of a bonus or incentive compensation shall be made within twenty-four (24) months following the date such bonus or incentive compensation was paid. Notwithstanding anything to the contrary herein, all compensation payable to Executive shall be subject to any policy adopted by the Company designed to comply with Section 10D of the Securities Exchange Act of 1934, as amended, related rules and the listing standards of The Nasdaq Stock Market. In the event that the Company Board determines that a bonus or incentive compensation payment to Executive is recoverable, in its sole discretion, Executive shall reimburse all or a portion of such bonus or incentive compensation, to the fullest extent permitted by law, as soon as practicable following written notice to Executive by the Company of the same.</w:t>
      </w:r>
    </w:p>
    <w:p>
      <w:pPr>
        <w:spacing w:after="0" w:line="176" w:lineRule="exact"/>
        <w:rPr>
          <w:rFonts w:ascii="Arial" w:cs="Arial" w:eastAsia="Arial" w:hAnsi="Arial"/>
          <w:sz w:val="17"/>
          <w:szCs w:val="17"/>
          <w:color w:val="auto"/>
        </w:rPr>
      </w:pPr>
    </w:p>
    <w:p>
      <w:pPr>
        <w:ind w:left="1200" w:hanging="544"/>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Application of Code Section 409A.</w:t>
      </w:r>
    </w:p>
    <w:p>
      <w:pPr>
        <w:spacing w:after="0" w:line="229" w:lineRule="exact"/>
        <w:rPr>
          <w:rFonts w:ascii="Arial" w:cs="Arial" w:eastAsia="Arial" w:hAnsi="Arial"/>
          <w:sz w:val="18"/>
          <w:szCs w:val="18"/>
          <w:color w:val="auto"/>
        </w:rPr>
      </w:pPr>
    </w:p>
    <w:p>
      <w:pPr>
        <w:ind w:firstLine="1304"/>
        <w:spacing w:after="0" w:line="268" w:lineRule="auto"/>
        <w:tabs>
          <w:tab w:leader="none" w:pos="1811" w:val="left"/>
        </w:tabs>
        <w:numPr>
          <w:ilvl w:val="1"/>
          <w:numId w:val="48"/>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the receipt of any benefits under this Agreement as a result of a termination of employment shall be subject to satisfaction of the condition precedent that Executive undergo a “separation from service” within the meaning of Treas. Reg. § 1.409A-1(h) or any successor thereto. In addition, if Executive is deemed to be a “specified employee” within the meaning of that term under Code Section 409A(a)(2)(B), then with regard to any payment or the provisions of any benefit that is required to be delayed pursuant to Code Section 409A(a)(2)(B), such payment or benefit shall not be made or provided prior to the earlier of (i) the expiration of the six (6) month period measured from the date of Executive’s “separation from service” (as such term is defined in Treas. Reg. § 1.409A-1(h)), or (ii) the date of Executive’s death (the “</w:t>
      </w:r>
      <w:r>
        <w:rPr>
          <w:rFonts w:ascii="Arial" w:cs="Arial" w:eastAsia="Arial" w:hAnsi="Arial"/>
          <w:sz w:val="17"/>
          <w:szCs w:val="17"/>
          <w:i w:val="1"/>
          <w:iCs w:val="1"/>
          <w:color w:val="auto"/>
        </w:rPr>
        <w:t>Delay Period</w:t>
      </w:r>
      <w:r>
        <w:rPr>
          <w:rFonts w:ascii="Arial" w:cs="Arial" w:eastAsia="Arial" w:hAnsi="Arial"/>
          <w:sz w:val="17"/>
          <w:szCs w:val="17"/>
          <w:color w:val="auto"/>
        </w:rPr>
        <w:t>”). Within ten (10) days following the expiration of the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Executive that would not be required to be delayed if the premiums therefore were paid by Executive, Executive shall pay the full costs of premiums for such welfare benefits during the Delay Period and the Company shall pay Executive an amount equal to the amount of such premiums paid by Executive during the Delay Period within ten (10) days after the conclusion of such Delay Period.</w:t>
      </w:r>
    </w:p>
    <w:p>
      <w:pPr>
        <w:spacing w:after="0" w:line="186" w:lineRule="exact"/>
        <w:rPr>
          <w:rFonts w:ascii="Arial" w:cs="Arial" w:eastAsia="Arial" w:hAnsi="Arial"/>
          <w:sz w:val="17"/>
          <w:szCs w:val="17"/>
          <w:color w:val="auto"/>
        </w:rPr>
      </w:pPr>
    </w:p>
    <w:p>
      <w:pPr>
        <w:ind w:right="20" w:firstLine="1304"/>
        <w:spacing w:after="0" w:line="255" w:lineRule="auto"/>
        <w:tabs>
          <w:tab w:leader="none" w:pos="182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Except as otherwise expressly provided herein, to the extent any expense reimbursement or other in-kind benefit is determined to be subject to Code Section 409A, the amount of any such expenses eligible for reimbursement or in-kind benefits in one calendar year shall not affect the expenses eligible for reimbursement or in-kind benefits in any other taxable year (except under any lifetime limit applicable to expenses for medical care), in no event shall any expenses be reimbursed or in-kind benefits be provided after the last day of the calendar year following the calendar year in which Executive incurred such expenses or received such benefits, and in no event shall any right to reimbursement or in-kind benefits be subject to liquidation or exchange for another benefit.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firstLine="1304"/>
        <w:spacing w:after="0" w:line="275" w:lineRule="auto"/>
        <w:tabs>
          <w:tab w:leader="none" w:pos="18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payments made pursuant to Section 5, to the extent of payments made from the date of termination through March 15th of the calendar year following such date, are intended to constitute separate payments for purposes of Treas. Reg. §1.409A-2(b)(2) and thus payable pursuant to the “short-term deferral” rule set forth in Treas. Reg. §1.409A-1(b)(4); to the extent such payments are made following said March 15th, they are intended to constitute separate payments for purposes of Treas. Reg. §1.409A-2(b)(2) made upon an involuntary termination from service and payable pursuant to Treas. Reg. §1.409A-1(b)(9)(iii), to the maximum extent permitted by said provision.</w:t>
      </w:r>
    </w:p>
    <w:p>
      <w:pPr>
        <w:spacing w:after="0" w:line="176" w:lineRule="exact"/>
        <w:rPr>
          <w:rFonts w:ascii="Arial" w:cs="Arial" w:eastAsia="Arial" w:hAnsi="Arial"/>
          <w:sz w:val="17"/>
          <w:szCs w:val="17"/>
          <w:color w:val="auto"/>
        </w:rPr>
      </w:pPr>
    </w:p>
    <w:p>
      <w:pPr>
        <w:ind w:right="500" w:firstLine="1304"/>
        <w:spacing w:after="0" w:line="277" w:lineRule="auto"/>
        <w:tabs>
          <w:tab w:leader="none" w:pos="18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it is determined that any benefits described in Section 5(a)(ii) are taxable to Executive, they are intended to be payable pursuant to Treas. Reg. §1.409A-1(b)(9)(v), to the maximum extent permitted by said provision.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ATTEST:</w:t>
            </w:r>
          </w:p>
        </w:tc>
        <w:tc>
          <w:tcPr>
            <w:tcW w:w="280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NODAK INSURANCE COMPANY</w:t>
            </w:r>
          </w:p>
        </w:tc>
      </w:tr>
      <w:tr>
        <w:trPr>
          <w:trHeight w:val="64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J. Milius</w:t>
            </w:r>
          </w:p>
        </w:tc>
        <w:tc>
          <w:tcPr>
            <w:tcW w:w="28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color w:val="auto"/>
              </w:rPr>
              <w:t>Secretary</w:t>
            </w:r>
          </w:p>
        </w:tc>
        <w:tc>
          <w:tcPr>
            <w:tcW w:w="28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r>
      <w:tr>
        <w:trPr>
          <w:trHeight w:val="230"/>
        </w:trPr>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648"/>
        </w:trPr>
        <w:tc>
          <w:tcPr>
            <w:tcW w:w="3900" w:type="dxa"/>
            <w:vAlign w:val="bottom"/>
          </w:tcPr>
          <w:p>
            <w:pPr>
              <w:spacing w:after="0"/>
              <w:rPr>
                <w:sz w:val="20"/>
                <w:szCs w:val="20"/>
                <w:color w:val="auto"/>
              </w:rPr>
            </w:pPr>
            <w:r>
              <w:rPr>
                <w:rFonts w:ascii="Arial" w:cs="Arial" w:eastAsia="Arial" w:hAnsi="Arial"/>
                <w:sz w:val="18"/>
                <w:szCs w:val="18"/>
                <w:color w:val="auto"/>
              </w:rPr>
              <w:t>ATTEST:</w:t>
            </w:r>
          </w:p>
        </w:tc>
        <w:tc>
          <w:tcPr>
            <w:tcW w:w="28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NI HOLDINGS, INC.</w:t>
            </w:r>
          </w:p>
        </w:tc>
      </w:tr>
      <w:tr>
        <w:trPr>
          <w:trHeight w:val="64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J. Milius</w:t>
            </w:r>
          </w:p>
        </w:tc>
        <w:tc>
          <w:tcPr>
            <w:tcW w:w="28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color w:val="auto"/>
              </w:rPr>
              <w:t>Secretary</w:t>
            </w:r>
          </w:p>
        </w:tc>
        <w:tc>
          <w:tcPr>
            <w:tcW w:w="28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r>
      <w:tr>
        <w:trPr>
          <w:trHeight w:val="230"/>
        </w:trPr>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648"/>
        </w:trPr>
        <w:tc>
          <w:tcPr>
            <w:tcW w:w="3900" w:type="dxa"/>
            <w:vAlign w:val="bottom"/>
          </w:tcPr>
          <w:p>
            <w:pPr>
              <w:spacing w:after="0"/>
              <w:rPr>
                <w:sz w:val="20"/>
                <w:szCs w:val="20"/>
                <w:color w:val="auto"/>
              </w:rPr>
            </w:pPr>
            <w:r>
              <w:rPr>
                <w:rFonts w:ascii="Arial" w:cs="Arial" w:eastAsia="Arial" w:hAnsi="Arial"/>
                <w:sz w:val="18"/>
                <w:szCs w:val="18"/>
                <w:color w:val="auto"/>
              </w:rPr>
              <w:t>WITNESS:</w:t>
            </w:r>
          </w:p>
        </w:tc>
        <w:tc>
          <w:tcPr>
            <w:tcW w:w="28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SETH C. DAGGETT</w:t>
            </w:r>
          </w:p>
        </w:tc>
      </w:tr>
      <w:tr>
        <w:trPr>
          <w:trHeight w:val="64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K. Knowlton</w:t>
            </w:r>
          </w:p>
        </w:tc>
        <w:tc>
          <w:tcPr>
            <w:tcW w:w="2800" w:type="dxa"/>
            <w:vAlign w:val="bottom"/>
          </w:tcPr>
          <w:p>
            <w:pPr>
              <w:spacing w:after="0"/>
              <w:rPr>
                <w:sz w:val="24"/>
                <w:szCs w:val="24"/>
                <w:color w:val="auto"/>
              </w:rPr>
            </w:pPr>
          </w:p>
        </w:tc>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Seth C. Daggett</w:t>
            </w:r>
          </w:p>
        </w:tc>
      </w:tr>
      <w:tr>
        <w:trPr>
          <w:trHeight w:val="905"/>
        </w:trPr>
        <w:tc>
          <w:tcPr>
            <w:tcW w:w="39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70</w:t>
            </w:r>
          </w:p>
        </w:tc>
        <w:tc>
          <w:tcPr>
            <w:tcW w:w="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160"/>
              <w:spacing w:after="0"/>
              <w:rPr>
                <w:sz w:val="20"/>
                <w:szCs w:val="20"/>
                <w:color w:val="auto"/>
              </w:rPr>
            </w:pPr>
            <w:r>
              <w:rPr>
                <w:rFonts w:ascii="Arial" w:cs="Arial" w:eastAsia="Arial" w:hAnsi="Arial"/>
                <w:sz w:val="18"/>
                <w:szCs w:val="18"/>
                <w:color w:val="auto"/>
              </w:rPr>
              <w:t>August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60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331"/>
        </w:trPr>
        <w:tc>
          <w:tcPr>
            <w:tcW w:w="5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71</w:t>
            </w: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Seth C. Daggett, certify that:</w:t>
      </w:r>
    </w:p>
    <w:p>
      <w:pPr>
        <w:spacing w:after="0" w:line="18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160"/>
              <w:spacing w:after="0"/>
              <w:rPr>
                <w:sz w:val="20"/>
                <w:szCs w:val="20"/>
                <w:color w:val="auto"/>
              </w:rPr>
            </w:pPr>
            <w:r>
              <w:rPr>
                <w:rFonts w:ascii="Arial" w:cs="Arial" w:eastAsia="Arial" w:hAnsi="Arial"/>
                <w:sz w:val="18"/>
                <w:szCs w:val="18"/>
                <w:color w:val="auto"/>
              </w:rPr>
              <w:t>August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60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547"/>
        </w:trPr>
        <w:tc>
          <w:tcPr>
            <w:tcW w:w="5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72</w:t>
            </w: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June 30, 2023,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160"/>
              <w:spacing w:after="0"/>
              <w:rPr>
                <w:sz w:val="20"/>
                <w:szCs w:val="20"/>
                <w:color w:val="auto"/>
              </w:rPr>
            </w:pPr>
            <w:r>
              <w:rPr>
                <w:rFonts w:ascii="Arial" w:cs="Arial" w:eastAsia="Arial" w:hAnsi="Arial"/>
                <w:sz w:val="18"/>
                <w:szCs w:val="18"/>
                <w:color w:val="auto"/>
              </w:rPr>
              <w:t>August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60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648"/>
        </w:trPr>
        <w:tc>
          <w:tcPr>
            <w:tcW w:w="5400" w:type="dxa"/>
            <w:vAlign w:val="bottom"/>
          </w:tcPr>
          <w:p>
            <w:pPr>
              <w:ind w:left="2160"/>
              <w:spacing w:after="0"/>
              <w:rPr>
                <w:sz w:val="20"/>
                <w:szCs w:val="20"/>
                <w:color w:val="auto"/>
              </w:rPr>
            </w:pPr>
            <w:r>
              <w:rPr>
                <w:rFonts w:ascii="Arial" w:cs="Arial" w:eastAsia="Arial" w:hAnsi="Arial"/>
                <w:sz w:val="18"/>
                <w:szCs w:val="18"/>
                <w:color w:val="auto"/>
              </w:rPr>
              <w:t>August 8, 2023</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600" w:type="dxa"/>
            <w:vAlign w:val="bottom"/>
          </w:tcPr>
          <w:p>
            <w:pPr>
              <w:spacing w:after="0"/>
              <w:rPr>
                <w:sz w:val="24"/>
                <w:szCs w:val="24"/>
                <w:color w:val="auto"/>
              </w:rPr>
            </w:pPr>
          </w:p>
        </w:tc>
      </w:tr>
      <w:tr>
        <w:trPr>
          <w:trHeight w:val="195"/>
        </w:trPr>
        <w:tc>
          <w:tcPr>
            <w:tcW w:w="54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6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600" w:type="dxa"/>
            <w:vAlign w:val="bottom"/>
          </w:tcPr>
          <w:p>
            <w:pPr>
              <w:spacing w:after="0"/>
              <w:rPr>
                <w:sz w:val="20"/>
                <w:szCs w:val="20"/>
                <w:color w:val="auto"/>
              </w:rPr>
            </w:pPr>
          </w:p>
        </w:tc>
      </w:tr>
      <w:tr>
        <w:trPr>
          <w:trHeight w:val="763"/>
        </w:trPr>
        <w:tc>
          <w:tcPr>
            <w:tcW w:w="5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73</w:t>
            </w:r>
          </w:p>
        </w:tc>
        <w:tc>
          <w:tcPr>
            <w:tcW w:w="2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4"/>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1."/>
      <w:numFmt w:val="decimal"/>
      <w:start w:val="6"/>
    </w:lvl>
  </w:abstractNum>
  <w:abstractNum w:abstractNumId="10">
    <w:nsid w:val="737B8DDC"/>
    <w:multiLevelType w:val="hybridMultilevel"/>
    <w:lvl w:ilvl="0">
      <w:lvlJc w:val="left"/>
      <w:lvlText w:val="%1."/>
      <w:numFmt w:val="decimal"/>
      <w:start w:val="7"/>
    </w:lvl>
  </w:abstractNum>
  <w:abstractNum w:abstractNumId="11">
    <w:nsid w:val="6CEAF087"/>
    <w:multiLevelType w:val="hybridMultilevel"/>
    <w:lvl w:ilvl="0">
      <w:lvlJc w:val="left"/>
      <w:lvlText w:val="%1."/>
      <w:numFmt w:val="decimal"/>
      <w:start w:val="10"/>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1"/>
    </w:lvl>
  </w:abstractNum>
  <w:abstractNum w:abstractNumId="14">
    <w:nsid w:val="3006C83E"/>
    <w:multiLevelType w:val="hybridMultilevel"/>
    <w:lvl w:ilvl="0">
      <w:lvlJc w:val="left"/>
      <w:lvlText w:val="%1."/>
      <w:numFmt w:val="decimal"/>
      <w:start w:val="12"/>
    </w:lvl>
  </w:abstractNum>
  <w:abstractNum w:abstractNumId="15">
    <w:nsid w:val="614FD4A1"/>
    <w:multiLevelType w:val="hybridMultilevel"/>
    <w:lvl w:ilvl="0">
      <w:lvlJc w:val="left"/>
      <w:lvlText w:val="%1."/>
      <w:numFmt w:val="decimal"/>
      <w:start w:val="13"/>
    </w:lvl>
  </w:abstractNum>
  <w:abstractNum w:abstractNumId="16">
    <w:nsid w:val="419AC241"/>
    <w:multiLevelType w:val="hybridMultilevel"/>
    <w:lvl w:ilvl="0">
      <w:lvlJc w:val="left"/>
      <w:lvlText w:val="%1."/>
      <w:numFmt w:val="decimal"/>
      <w:start w:val="14"/>
    </w:lvl>
  </w:abstractNum>
  <w:abstractNum w:abstractNumId="17">
    <w:nsid w:val="5577F8E1"/>
    <w:multiLevelType w:val="hybridMultilevel"/>
    <w:lvl w:ilvl="0">
      <w:lvlJc w:val="left"/>
      <w:lvlText w:val="%1."/>
      <w:numFmt w:val="decimal"/>
      <w:start w:val="15"/>
    </w:lvl>
  </w:abstractNum>
  <w:abstractNum w:abstractNumId="18">
    <w:nsid w:val="440BADFC"/>
    <w:multiLevelType w:val="hybridMultilevel"/>
    <w:lvl w:ilvl="0">
      <w:lvlJc w:val="left"/>
      <w:lvlText w:val="%1."/>
      <w:numFmt w:val="decimal"/>
      <w:start w:val="17"/>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8"/>
    </w:lvl>
  </w:abstractNum>
  <w:abstractNum w:abstractNumId="21">
    <w:nsid w:val="77465F01"/>
    <w:multiLevelType w:val="hybridMultilevel"/>
    <w:lvl w:ilvl="0">
      <w:lvlJc w:val="left"/>
      <w:lvlText w:val="%1."/>
      <w:numFmt w:val="decimal"/>
      <w:start w:val="19"/>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32"/>
    </w:lvl>
  </w:abstractNum>
  <w:abstractNum w:abstractNumId="27">
    <w:nsid w:val="2D517796"/>
    <w:multiLevelType w:val="hybridMultilevel"/>
    <w:lvl w:ilvl="0">
      <w:lvlJc w:val="left"/>
      <w:lvlText w:val="%1"/>
      <w:numFmt w:val="decimal"/>
      <w:start w:val="104"/>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1"/>
    </w:lvl>
    <w:lvl w:ilvl="1">
      <w:lvlJc w:val="left"/>
      <w:lvlText w:val="(%2)"/>
      <w:numFmt w:val="lowerLetter"/>
      <w:start w:val="2"/>
    </w:lvl>
  </w:abstractNum>
  <w:abstractNum w:abstractNumId="30">
    <w:nsid w:val="3855585C"/>
    <w:multiLevelType w:val="hybridMultilevel"/>
    <w:lvl w:ilvl="0">
      <w:lvlJc w:val="left"/>
      <w:lvlText w:val="(%1)"/>
      <w:numFmt w:val="lowerLetter"/>
      <w:start w:val="61"/>
    </w:lvl>
    <w:lvl w:ilvl="1">
      <w:lvlJc w:val="left"/>
      <w:lvlText w:val="(%2)"/>
      <w:numFmt w:val="lowerLetter"/>
      <w:start w:val="3"/>
    </w:lvl>
  </w:abstractNum>
  <w:abstractNum w:abstractNumId="31">
    <w:nsid w:val="70A64E2A"/>
    <w:multiLevelType w:val="hybridMultilevel"/>
    <w:lvl w:ilvl="0">
      <w:lvlJc w:val="left"/>
      <w:lvlText w:val="(%1)"/>
      <w:numFmt w:val="lowerRoman"/>
      <w:start w:val="5"/>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decimal"/>
      <w:start w:val="1"/>
    </w:lvl>
    <w:lvl w:ilvl="1">
      <w:lvlJc w:val="left"/>
      <w:lvlText w:val="(%2)"/>
      <w:numFmt w:val="lowerLetter"/>
      <w:start w:val="1"/>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lowerRoman"/>
      <w:start w:val="1"/>
    </w:lvl>
  </w:abstractNum>
  <w:abstractNum w:abstractNumId="37">
    <w:nsid w:val="57E4CCAF"/>
    <w:multiLevelType w:val="hybridMultilevel"/>
    <w:lvl w:ilvl="0">
      <w:lvlJc w:val="left"/>
      <w:lvlText w:val="%1"/>
      <w:numFmt w:val="lowerLetter"/>
      <w:start w:val="1"/>
    </w:lvl>
    <w:lvl w:ilvl="1">
      <w:lvlJc w:val="left"/>
      <w:lvlText w:val="(%2)"/>
      <w:numFmt w:val="lowerLetter"/>
      <w:start w:val="35"/>
    </w:lvl>
  </w:abstractNum>
  <w:abstractNum w:abstractNumId="38">
    <w:nsid w:val="7A6D8D3C"/>
    <w:multiLevelType w:val="hybridMultilevel"/>
    <w:lvl w:ilvl="0">
      <w:lvlJc w:val="left"/>
      <w:lvlText w:val="(%1)"/>
      <w:numFmt w:val="lowerLetter"/>
      <w:start w:val="4"/>
    </w:lvl>
    <w:lvl w:ilvl="1">
      <w:lvlJc w:val="left"/>
      <w:lvlText w:val="%2"/>
      <w:numFmt w:val="lowerLetter"/>
      <w:start w:val="1"/>
    </w:lvl>
  </w:abstractNum>
  <w:abstractNum w:abstractNumId="39">
    <w:nsid w:val="4B588F5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0">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1">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2">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7644A45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4">
    <w:nsid w:val="32FFF902"/>
    <w:multiLevelType w:val="hybridMultilevel"/>
    <w:lvl w:ilvl="0">
      <w:lvlJc w:val="left"/>
      <w:lvlText w:val="%1."/>
      <w:numFmt w:val="decimal"/>
      <w:start w:val="9"/>
    </w:lvl>
  </w:abstractNum>
  <w:abstractNum w:abstractNumId="45">
    <w:nsid w:val="684A481A"/>
    <w:multiLevelType w:val="hybridMultilevel"/>
    <w:lvl w:ilvl="0">
      <w:lvlJc w:val="left"/>
      <w:lvlText w:val="%1."/>
      <w:numFmt w:val="decimal"/>
      <w:start w:val="11"/>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2"/>
    </w:lvl>
  </w:abstractNum>
  <w:abstractNum w:abstractNumId="47">
    <w:nsid w:val="749ABB43"/>
    <w:multiLevelType w:val="hybridMultilevel"/>
    <w:lvl w:ilvl="0">
      <w:lvlJc w:val="left"/>
      <w:lvlText w:val="%1."/>
      <w:numFmt w:val="decimal"/>
      <w:start w:val="17"/>
    </w:lvl>
    <w:lvl w:ilvl="1">
      <w:lvlJc w:val="left"/>
      <w:lvlText w:val="(%2)"/>
      <w:numFmt w:val="lowerLetter"/>
      <w:start w:val="1"/>
    </w:lvl>
  </w:abstractNum>
  <w:abstractNum w:abstractNumId="48">
    <w:nsid w:val="3DC240FB"/>
    <w:multiLevelType w:val="hybridMultilevel"/>
    <w:lvl w:ilvl="0">
      <w:lvlJc w:val="left"/>
      <w:lvlText w:val="(%1)"/>
      <w:numFmt w:val="lowerLetter"/>
      <w:start w:val="3"/>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2023-08-08T15:20:49Z</dcterms:created>
  <dcterms:modified xsi:type="dcterms:W3CDTF">2023-08-08T15:20:49Z</dcterms:modified>
</cp:coreProperties>
</file>