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58" w:lineRule="exact"/>
        <w:rPr>
          <w:sz w:val="24"/>
          <w:szCs w:val="24"/>
          <w:color w:val="auto"/>
        </w:rPr>
      </w:pPr>
    </w:p>
    <w:p>
      <w:pPr>
        <w:ind w:right="1640" w:firstLine="8"/>
        <w:spacing w:after="0" w:line="286" w:lineRule="auto"/>
        <w:tabs>
          <w:tab w:leader="none" w:pos="44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3" w:lineRule="exact"/>
        <w:rPr>
          <w:sz w:val="24"/>
          <w:szCs w:val="24"/>
          <w:color w:val="auto"/>
        </w:rPr>
      </w:pPr>
    </w:p>
    <w:p>
      <w:pPr>
        <w:spacing w:after="0"/>
        <w:tabs>
          <w:tab w:leader="none" w:pos="30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1510030</wp:posOffset>
            </wp:positionH>
            <wp:positionV relativeFrom="paragraph">
              <wp:posOffset>-20320</wp:posOffset>
            </wp:positionV>
            <wp:extent cx="10090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0901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15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81-2683619</w:t>
            </w: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54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1540" w:type="dxa"/>
            <w:vAlign w:val="bottom"/>
          </w:tcPr>
          <w:p>
            <w:pPr>
              <w:spacing w:after="0"/>
              <w:rPr>
                <w:sz w:val="24"/>
                <w:szCs w:val="24"/>
                <w:color w:val="auto"/>
              </w:rPr>
            </w:pP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15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58102</w:t>
            </w:r>
          </w:p>
        </w:tc>
      </w:tr>
      <w:tr>
        <w:trPr>
          <w:trHeight w:val="216"/>
        </w:trPr>
        <w:tc>
          <w:tcPr>
            <w:tcW w:w="6440" w:type="dxa"/>
            <w:vAlign w:val="bottom"/>
          </w:tcPr>
          <w:p>
            <w:pPr>
              <w:jc w:val="center"/>
              <w:ind w:right="33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54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216"/>
        </w:trPr>
        <w:tc>
          <w:tcPr>
            <w:tcW w:w="6440" w:type="dxa"/>
            <w:vAlign w:val="bottom"/>
          </w:tcPr>
          <w:p>
            <w:pPr>
              <w:jc w:val="right"/>
              <w:ind w:right="1450"/>
              <w:spacing w:after="0"/>
              <w:rPr>
                <w:sz w:val="20"/>
                <w:szCs w:val="20"/>
                <w:color w:val="auto"/>
              </w:rPr>
            </w:pPr>
            <w:r>
              <w:rPr>
                <w:rFonts w:ascii="Times New Roman" w:cs="Times New Roman" w:eastAsia="Times New Roman" w:hAnsi="Times New Roman"/>
                <w:sz w:val="18"/>
                <w:szCs w:val="18"/>
                <w:b w:val="1"/>
                <w:bCs w:val="1"/>
                <w:color w:val="auto"/>
              </w:rPr>
              <w:t>(701) 298-4200</w:t>
            </w:r>
          </w:p>
        </w:tc>
        <w:tc>
          <w:tcPr>
            <w:tcW w:w="1540" w:type="dxa"/>
            <w:vAlign w:val="bottom"/>
          </w:tcPr>
          <w:p>
            <w:pPr>
              <w:spacing w:after="0"/>
              <w:rPr>
                <w:sz w:val="18"/>
                <w:szCs w:val="18"/>
                <w:color w:val="auto"/>
              </w:rPr>
            </w:pPr>
          </w:p>
        </w:tc>
      </w:tr>
      <w:tr>
        <w:trPr>
          <w:trHeight w:val="238"/>
        </w:trPr>
        <w:tc>
          <w:tcPr>
            <w:tcW w:w="6440" w:type="dxa"/>
            <w:vAlign w:val="bottom"/>
          </w:tcPr>
          <w:p>
            <w:pPr>
              <w:jc w:val="center"/>
              <w:ind w:left="217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54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p>
      <w:pPr>
        <w:spacing w:after="0" w:line="216" w:lineRule="exact"/>
        <w:rPr>
          <w:sz w:val="24"/>
          <w:szCs w:val="24"/>
          <w:color w:val="auto"/>
        </w:rPr>
      </w:pPr>
    </w:p>
    <w:tbl>
      <w:tblPr>
        <w:tblLayout w:type="fixed"/>
        <w:tblInd w:w="68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260" w:type="dxa"/>
            <w:vAlign w:val="bottom"/>
            <w:gridSpan w:val="2"/>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34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7"/>
        </w:trPr>
        <w:tc>
          <w:tcPr>
            <w:tcW w:w="41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color w:val="auto"/>
              </w:rPr>
              <w:t>Common Stock, $0.01 par value per share</w:t>
            </w: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NODK</w:t>
            </w:r>
          </w:p>
        </w:tc>
        <w:tc>
          <w:tcPr>
            <w:tcW w:w="1000" w:type="dxa"/>
            <w:vAlign w:val="bottom"/>
          </w:tcPr>
          <w:p>
            <w:pPr>
              <w:spacing w:after="0"/>
              <w:rPr>
                <w:sz w:val="20"/>
                <w:szCs w:val="20"/>
                <w:color w:val="auto"/>
              </w:rPr>
            </w:pPr>
          </w:p>
        </w:tc>
        <w:tc>
          <w:tcPr>
            <w:tcW w:w="3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98"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w:t>
      </w:r>
      <w:r>
        <w:rPr>
          <w:rFonts w:ascii="MS PGothic" w:cs="MS PGothic" w:eastAsia="MS PGothic" w:hAnsi="MS PGothic"/>
          <w:sz w:val="18"/>
          <w:szCs w:val="18"/>
          <w:color w:val="auto"/>
        </w:rPr>
        <w:t>☐</w:t>
      </w:r>
    </w:p>
    <w:p>
      <w:pPr>
        <w:spacing w:after="0" w:line="171"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1"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Accelerated filer</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02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25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38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8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r>
      <w:tr>
        <w:trPr>
          <w:trHeight w:val="514"/>
        </w:trPr>
        <w:tc>
          <w:tcPr>
            <w:tcW w:w="2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i</w:t>
            </w:r>
          </w:p>
        </w:tc>
        <w:tc>
          <w:tcPr>
            <w:tcW w:w="3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82"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9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October 31, 2024 was 20,648,642. No preferred shares are issued or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53"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320" w:type="dxa"/>
            <w:vAlign w:val="bottom"/>
            <w:gridSpan w:val="10"/>
          </w:tcPr>
          <w:p>
            <w:pPr>
              <w:ind w:left="10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r>
      <w:tr>
        <w:trPr>
          <w:trHeight w:val="392"/>
        </w:trPr>
        <w:tc>
          <w:tcPr>
            <w:tcW w:w="294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980" w:type="dxa"/>
            <w:vAlign w:val="bottom"/>
            <w:gridSpan w:val="12"/>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28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Part I. - FINANCIAL INFORMATION</w:t>
            </w:r>
          </w:p>
        </w:tc>
        <w:tc>
          <w:tcPr>
            <w:tcW w:w="8060" w:type="dxa"/>
            <w:vAlign w:val="bottom"/>
            <w:gridSpan w:val="13"/>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60" w:type="dxa"/>
            <w:vAlign w:val="bottom"/>
          </w:tcPr>
          <w:p>
            <w:pPr>
              <w:spacing w:after="0"/>
              <w:rPr>
                <w:sz w:val="24"/>
                <w:szCs w:val="24"/>
                <w:color w:val="auto"/>
              </w:rPr>
            </w:pPr>
          </w:p>
        </w:tc>
        <w:tc>
          <w:tcPr>
            <w:tcW w:w="21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Item 1. - Financial Statements</w:t>
            </w:r>
          </w:p>
        </w:tc>
        <w:tc>
          <w:tcPr>
            <w:tcW w:w="8100" w:type="dxa"/>
            <w:vAlign w:val="bottom"/>
            <w:gridSpan w:val="14"/>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Consolidated Balance Sheet – September 30, 2024 (Unaudited) and December 31, 2023</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92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Operations (Unaudited) – Three Months and Nine Months Ended September 30, 2024 and 2023</w:t>
            </w:r>
          </w:p>
        </w:tc>
        <w:tc>
          <w:tcPr>
            <w:tcW w:w="102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4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(Unaudited) – Three Months and Nine Months Ended September 30, 2024</w:t>
            </w:r>
          </w:p>
        </w:tc>
        <w:tc>
          <w:tcPr>
            <w:tcW w:w="30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2023</w:t>
            </w:r>
          </w:p>
        </w:tc>
        <w:tc>
          <w:tcPr>
            <w:tcW w:w="86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 (Unaudited) – Three Months and Nine Months Ended September 30, 2024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and 2023</w:t>
            </w:r>
          </w:p>
        </w:tc>
        <w:tc>
          <w:tcPr>
            <w:tcW w:w="862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(Unaudited) – Nine Months Ended September 30, 2024 and 2023</w:t>
            </w:r>
          </w:p>
        </w:tc>
        <w:tc>
          <w:tcPr>
            <w:tcW w:w="2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9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Notes to Unaudited Consolidated Financial Statements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1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Item 2. - Management’s Discussion and Analysis of Financial Condition and Results of Operations</w:t>
            </w:r>
          </w:p>
        </w:tc>
        <w:tc>
          <w:tcPr>
            <w:tcW w:w="3140" w:type="dxa"/>
            <w:vAlign w:val="bottom"/>
            <w:gridSpan w:val="5"/>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196"/>
        </w:trPr>
        <w:tc>
          <w:tcPr>
            <w:tcW w:w="660" w:type="dxa"/>
            <w:vAlign w:val="bottom"/>
          </w:tcPr>
          <w:p>
            <w:pPr>
              <w:spacing w:after="0"/>
              <w:rPr>
                <w:sz w:val="17"/>
                <w:szCs w:val="17"/>
                <w:color w:val="auto"/>
              </w:rPr>
            </w:pP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3. - Quantitative and Qualitative Disclosures about Market Risk</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196"/>
        </w:trPr>
        <w:tc>
          <w:tcPr>
            <w:tcW w:w="660" w:type="dxa"/>
            <w:vAlign w:val="bottom"/>
          </w:tcPr>
          <w:p>
            <w:pPr>
              <w:spacing w:after="0"/>
              <w:rPr>
                <w:sz w:val="17"/>
                <w:szCs w:val="17"/>
                <w:color w:val="auto"/>
              </w:rPr>
            </w:pPr>
          </w:p>
        </w:tc>
        <w:tc>
          <w:tcPr>
            <w:tcW w:w="49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Item 4. - Controls and Procedures</w:t>
            </w:r>
          </w:p>
        </w:tc>
        <w:tc>
          <w:tcPr>
            <w:tcW w:w="53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6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109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Part II. - OTHER INFORMATION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0"/>
        </w:trPr>
        <w:tc>
          <w:tcPr>
            <w:tcW w:w="6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02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196"/>
        </w:trPr>
        <w:tc>
          <w:tcPr>
            <w:tcW w:w="660" w:type="dxa"/>
            <w:vAlign w:val="bottom"/>
          </w:tcPr>
          <w:p>
            <w:pPr>
              <w:spacing w:after="0"/>
              <w:rPr>
                <w:sz w:val="17"/>
                <w:szCs w:val="17"/>
                <w:color w:val="auto"/>
              </w:rPr>
            </w:pPr>
          </w:p>
        </w:tc>
        <w:tc>
          <w:tcPr>
            <w:tcW w:w="17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1A. - Risk Factors</w:t>
            </w:r>
          </w:p>
        </w:tc>
        <w:tc>
          <w:tcPr>
            <w:tcW w:w="280" w:type="dxa"/>
            <w:vAlign w:val="bottom"/>
            <w:tcBorders>
              <w:top w:val="single" w:sz="8" w:color="0000EE"/>
            </w:tcBorders>
            <w:gridSpan w:val="3"/>
          </w:tcPr>
          <w:p>
            <w:pPr>
              <w:spacing w:after="0"/>
              <w:rPr>
                <w:sz w:val="17"/>
                <w:szCs w:val="17"/>
                <w:color w:val="auto"/>
              </w:rPr>
            </w:pPr>
          </w:p>
        </w:tc>
        <w:tc>
          <w:tcPr>
            <w:tcW w:w="82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660" w:type="dxa"/>
            <w:vAlign w:val="bottom"/>
          </w:tcPr>
          <w:p>
            <w:pPr>
              <w:spacing w:after="0"/>
              <w:rPr>
                <w:sz w:val="17"/>
                <w:szCs w:val="17"/>
                <w:color w:val="auto"/>
              </w:rPr>
            </w:pP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2. - Unregistered Sales of Equity Securities and Use of Proceeds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66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Defaults upon Senior Securities</w:t>
            </w:r>
          </w:p>
        </w:tc>
        <w:tc>
          <w:tcPr>
            <w:tcW w:w="2060" w:type="dxa"/>
            <w:vAlign w:val="bottom"/>
            <w:tcBorders>
              <w:top w:val="single" w:sz="8" w:color="0000EE"/>
            </w:tcBorders>
            <w:gridSpan w:val="3"/>
          </w:tcPr>
          <w:p>
            <w:pPr>
              <w:spacing w:after="0"/>
              <w:rPr>
                <w:sz w:val="17"/>
                <w:szCs w:val="17"/>
                <w:color w:val="auto"/>
              </w:rPr>
            </w:pPr>
          </w:p>
        </w:tc>
        <w:tc>
          <w:tcPr>
            <w:tcW w:w="526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660" w:type="dxa"/>
            <w:vAlign w:val="bottom"/>
          </w:tcPr>
          <w:p>
            <w:pPr>
              <w:spacing w:after="0"/>
              <w:rPr>
                <w:sz w:val="17"/>
                <w:szCs w:val="17"/>
                <w:color w:val="auto"/>
              </w:rPr>
            </w:pPr>
          </w:p>
        </w:tc>
        <w:tc>
          <w:tcPr>
            <w:tcW w:w="1026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EE"/>
              </w:rPr>
              <w:t>Item 4. - Mine Safety Disclosures</w:t>
            </w: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196"/>
        </w:trPr>
        <w:tc>
          <w:tcPr>
            <w:tcW w:w="660" w:type="dxa"/>
            <w:vAlign w:val="bottom"/>
          </w:tcPr>
          <w:p>
            <w:pPr>
              <w:spacing w:after="0"/>
              <w:rPr>
                <w:sz w:val="17"/>
                <w:szCs w:val="17"/>
                <w:color w:val="auto"/>
              </w:rPr>
            </w:pPr>
          </w:p>
        </w:tc>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784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66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6. - Exhibits</w:t>
            </w:r>
          </w:p>
        </w:tc>
        <w:tc>
          <w:tcPr>
            <w:tcW w:w="700" w:type="dxa"/>
            <w:vAlign w:val="bottom"/>
            <w:tcBorders>
              <w:top w:val="single" w:sz="8" w:color="0000EE"/>
            </w:tcBorders>
            <w:gridSpan w:val="4"/>
          </w:tcPr>
          <w:p>
            <w:pPr>
              <w:spacing w:after="0"/>
              <w:rPr>
                <w:sz w:val="17"/>
                <w:szCs w:val="17"/>
                <w:color w:val="auto"/>
              </w:rPr>
            </w:pPr>
          </w:p>
        </w:tc>
        <w:tc>
          <w:tcPr>
            <w:tcW w:w="83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196"/>
        </w:trPr>
        <w:tc>
          <w:tcPr>
            <w:tcW w:w="6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95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58</w:t>
            </w:r>
          </w:p>
        </w:tc>
      </w:tr>
    </w:tbl>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 (“Form 10-Q”):</w:t>
      </w:r>
    </w:p>
    <w:p>
      <w:pPr>
        <w:spacing w:after="0" w:line="225" w:lineRule="exact"/>
        <w:rPr>
          <w:sz w:val="20"/>
          <w:szCs w:val="20"/>
          <w:color w:val="auto"/>
        </w:rPr>
      </w:pPr>
    </w:p>
    <w:p>
      <w:pPr>
        <w:ind w:left="660" w:right="120" w:hanging="328"/>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Direct Auto Insurance Company, and Westminster American Insurance Company (sold on June 30, 2024), for periods discussed after completion of the conversion, and for periods discussed prior to completion of the conversion refer to Nodak Mutual Insurance Company and all of its subsidiaries and Battle Creek Mutual Insurance Company;</w:t>
      </w:r>
    </w:p>
    <w:p>
      <w:pPr>
        <w:spacing w:after="0" w:line="17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“Nodak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Group” refers to Nodak Mutual Group, Inc., which is the majority shareholder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Insurance” refers to Nodak Insurance Company or Nodak Mutual Insurance Company interchangeably;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w:t>
      </w:r>
    </w:p>
    <w:p>
      <w:pPr>
        <w:spacing w:after="0" w:line="225" w:lineRule="exact"/>
        <w:rPr>
          <w:rFonts w:ascii="Times New Roman" w:cs="Times New Roman" w:eastAsia="Times New Roman" w:hAnsi="Times New Roman"/>
          <w:sz w:val="18"/>
          <w:szCs w:val="18"/>
          <w:color w:val="auto"/>
        </w:rPr>
      </w:pPr>
    </w:p>
    <w:p>
      <w:pPr>
        <w:ind w:left="660" w:right="120" w:hanging="328"/>
        <w:spacing w:after="0" w:line="25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“Battle Creek” refers to Battle Creek Mutual Insurance Company or Battle Creek Insurance Company interchangeably. Battle Creek Mutual Insurance Company became affiliated with Nodak Insurance in 2011 and, prior to January 2, 2024, was controlled by Nodak Insurance via a surplus note. The terms of the surplus note allowed Nodak Insurance to appoint two-thirds of the Battle Creek Mutual Insurance Company Board of Directors. As of January 2, 2024, the North Dakota Secretary of State approved the conversion of Battle Creek Mutual Insurance Company from a mutual insurance company to a stock insurance company. In accordance with the approved plan of conversion, the name of Battle Creek Mutual Insurance Company became Battle Creek Insurance Company, the surplus note was considered paid in full as of the conversion date, and Battle Creek became a wholly-owned subsidiary of Nodak Insurance;</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Auto” refers to Direct Auto Insurance Company. Direct Auto is a wholly-owned subsidiary of NI Holdings;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“Westminster” refers to Westminster American Insurance Company. Westminster was a wholly-owned subsidiary of NI Holdings until it was sold to Scott Insurance Holdings, LLC (“Scott Insurance Holdings”) on June 30, 2024;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“Nodak Agency” refers to Nodak Agency, Inc. Nodak Agency is a wholly-owned subsidiary of Nodak Insurance.</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80"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operating and financial performance, business plans, and prospects;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reviews, capital allocation objectives, dividends, and share repurchases;</w:t>
      </w:r>
    </w:p>
    <w:p>
      <w:pPr>
        <w:spacing w:after="0" w:line="225"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future pandemic and related economic conditions, including the potential impact on the Company's investments;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distribution network;</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cyclical changes in the insurance industry, competition, and innovation and emerging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for impact of, or changes to, existing or new government regulations or laws;</w:t>
      </w:r>
    </w:p>
    <w:p>
      <w:pPr>
        <w:spacing w:after="0" w:line="225"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w:t>
      </w:r>
    </w:p>
    <w:p>
      <w:pPr>
        <w:spacing w:after="0" w:line="161"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general economic conditions, domestic and global financial markets, interest rates, unemployment, or inflation, that could affect the performance of our insurance operations and/or investment portfolio;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Form 10-Q and in the Part I, Item 1A, “Risk Factors” section in our Annual Report on Form 10-K for the year ended December 31, 2023 (“2023 Annual Report”). The occurrence of any of the risks identified in the Part I, Item 1A, “Risk Factors” section of the 2023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92"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798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980" w:type="dxa"/>
            <w:vAlign w:val="bottom"/>
          </w:tcPr>
          <w:p>
            <w:pPr>
              <w:spacing w:after="0"/>
              <w:rPr>
                <w:sz w:val="24"/>
                <w:szCs w:val="24"/>
                <w:color w:val="auto"/>
              </w:rPr>
            </w:pP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09"/>
        </w:trPr>
        <w:tc>
          <w:tcPr>
            <w:tcW w:w="79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39,102</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41,037</w:t>
            </w: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Fixed income securities, at fair value (net of allowance for expected credit losses of $0 at September 30,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306,717</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289,399</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25,578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21,983</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investments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2,006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10"/>
        </w:trPr>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Premiums and agents' balances receivable (net of allowance for expected credit losses of $350 at</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2024 and $394 at December 31, 2023)</w:t>
            </w:r>
          </w:p>
        </w:tc>
        <w:tc>
          <w:tcPr>
            <w:tcW w:w="20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85,315</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56,154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27,471</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Reinsurance premiums receivable (payable)</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(1,403)</w:t>
            </w: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Reinsurance recoverables on losses (net of allowance for expected credit losses of $0 at September 30,</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and December 31, 2023)</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14,321</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recoverable</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7,548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7,452</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5,369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9,228</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Receivable from Federal Crop Insurance Corporation</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19,605</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17,404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2,728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10,600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10,866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 of discontinued operations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162,457</w:t>
            </w:r>
          </w:p>
        </w:tc>
        <w:tc>
          <w:tcPr>
            <w:tcW w:w="0" w:type="dxa"/>
            <w:vAlign w:val="bottom"/>
          </w:tcPr>
          <w:p>
            <w:pPr>
              <w:spacing w:after="0"/>
              <w:rPr>
                <w:sz w:val="1"/>
                <w:szCs w:val="1"/>
                <w:color w:val="auto"/>
              </w:rPr>
            </w:pPr>
          </w:p>
        </w:tc>
      </w:tr>
      <w:tr>
        <w:trPr>
          <w:trHeight w:val="263"/>
        </w:trPr>
        <w:tc>
          <w:tcPr>
            <w:tcW w:w="79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559,897</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654,886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7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159,069</w:t>
            </w:r>
          </w:p>
        </w:tc>
        <w:tc>
          <w:tcPr>
            <w:tcW w:w="5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119,185</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Unearned premiums</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136,880</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126,100</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payable</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22,577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Liabilities of discontinued operations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141,297</w:t>
            </w:r>
          </w:p>
        </w:tc>
        <w:tc>
          <w:tcPr>
            <w:tcW w:w="0" w:type="dxa"/>
            <w:vAlign w:val="bottom"/>
          </w:tcPr>
          <w:p>
            <w:pPr>
              <w:spacing w:after="0"/>
              <w:rPr>
                <w:sz w:val="1"/>
                <w:szCs w:val="1"/>
                <w:color w:val="auto"/>
              </w:rPr>
            </w:pPr>
          </w:p>
        </w:tc>
      </w:tr>
      <w:tr>
        <w:trPr>
          <w:trHeight w:val="210"/>
        </w:trPr>
        <w:tc>
          <w:tcPr>
            <w:tcW w:w="7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318,526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9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issued: 23,000,000 shares; and outstanding: 2024 – 20,648,642 shares, 2023 – 20,599,908 shares</w:t>
            </w:r>
          </w:p>
        </w:tc>
        <w:tc>
          <w:tcPr>
            <w:tcW w:w="2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95,967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96,294</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(698)</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191,736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208,376</w:t>
            </w:r>
          </w:p>
        </w:tc>
        <w:tc>
          <w:tcPr>
            <w:tcW w:w="0" w:type="dxa"/>
            <w:vAlign w:val="bottom"/>
          </w:tcPr>
          <w:p>
            <w:pPr>
              <w:spacing w:after="0"/>
              <w:rPr>
                <w:sz w:val="1"/>
                <w:szCs w:val="1"/>
                <w:color w:val="auto"/>
              </w:rPr>
            </w:pPr>
          </w:p>
        </w:tc>
      </w:tr>
      <w:tr>
        <w:trPr>
          <w:trHeight w:val="216"/>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 net of income taxes</w:t>
            </w: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(11,566)</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(21,384)</w:t>
            </w:r>
          </w:p>
        </w:tc>
        <w:tc>
          <w:tcPr>
            <w:tcW w:w="0" w:type="dxa"/>
            <w:vAlign w:val="bottom"/>
          </w:tcPr>
          <w:p>
            <w:pPr>
              <w:spacing w:after="0"/>
              <w:rPr>
                <w:sz w:val="1"/>
                <w:szCs w:val="1"/>
                <w:color w:val="auto"/>
              </w:rPr>
            </w:pPr>
          </w:p>
        </w:tc>
      </w:tr>
      <w:tr>
        <w:trPr>
          <w:trHeight w:val="216"/>
        </w:trPr>
        <w:tc>
          <w:tcPr>
            <w:tcW w:w="7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Treasury stock, at cost, 2024 – 2,281,563 shares, 2023 – 2,330,297 shares</w:t>
            </w:r>
          </w:p>
        </w:tc>
        <w:tc>
          <w:tcPr>
            <w:tcW w:w="2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(34,298)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(35,177)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2,758</w:t>
            </w:r>
          </w:p>
        </w:tc>
        <w:tc>
          <w:tcPr>
            <w:tcW w:w="0" w:type="dxa"/>
            <w:vAlign w:val="bottom"/>
          </w:tcPr>
          <w:p>
            <w:pPr>
              <w:spacing w:after="0"/>
              <w:rPr>
                <w:sz w:val="1"/>
                <w:szCs w:val="1"/>
                <w:color w:val="auto"/>
              </w:rPr>
            </w:pPr>
          </w:p>
        </w:tc>
      </w:tr>
      <w:tr>
        <w:trPr>
          <w:trHeight w:val="210"/>
        </w:trPr>
        <w:tc>
          <w:tcPr>
            <w:tcW w:w="79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241,371</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559,897</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654,886</w:t>
            </w:r>
          </w:p>
        </w:tc>
        <w:tc>
          <w:tcPr>
            <w:tcW w:w="0" w:type="dxa"/>
            <w:vAlign w:val="bottom"/>
          </w:tcPr>
          <w:p>
            <w:pPr>
              <w:spacing w:after="0"/>
              <w:rPr>
                <w:sz w:val="1"/>
                <w:szCs w:val="1"/>
                <w:color w:val="auto"/>
              </w:rPr>
            </w:pPr>
          </w:p>
        </w:tc>
      </w:tr>
      <w:tr>
        <w:trPr>
          <w:trHeight w:val="20"/>
        </w:trPr>
        <w:tc>
          <w:tcPr>
            <w:tcW w:w="7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980" w:type="dxa"/>
            <w:vAlign w:val="bottom"/>
            <w:tcBorders>
              <w:bottom w:val="single" w:sz="8" w:color="auto"/>
            </w:tcBorders>
          </w:tcPr>
          <w:p>
            <w:pPr>
              <w:ind w:left="55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8"/>
                <w:szCs w:val="18"/>
                <w:color w:val="auto"/>
              </w:rPr>
            </w:pPr>
          </w:p>
        </w:tc>
        <w:tc>
          <w:tcPr>
            <w:tcW w:w="2520" w:type="dxa"/>
            <w:vAlign w:val="bottom"/>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60" w:type="dxa"/>
            <w:vAlign w:val="bottom"/>
            <w:gridSpan w:val="6"/>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23"/>
        </w:trPr>
        <w:tc>
          <w:tcPr>
            <w:tcW w:w="54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83,270</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76,418</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238,323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218,124</w:t>
            </w: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445</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8,089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80" w:type="dxa"/>
            <w:vAlign w:val="bottom"/>
          </w:tcPr>
          <w:p>
            <w:pPr>
              <w:spacing w:after="0"/>
              <w:rPr>
                <w:sz w:val="18"/>
                <w:szCs w:val="18"/>
                <w:color w:val="auto"/>
              </w:rPr>
            </w:pPr>
          </w:p>
        </w:tc>
      </w:tr>
      <w:tr>
        <w:trPr>
          <w:trHeight w:val="230"/>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(955)</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0" w:type="dxa"/>
            <w:vAlign w:val="bottom"/>
            <w:shd w:val="clear" w:color="auto" w:fill="CCEEFF"/>
          </w:tcPr>
          <w:p>
            <w:pPr>
              <w:spacing w:after="0"/>
              <w:rPr>
                <w:sz w:val="19"/>
                <w:szCs w:val="19"/>
                <w:color w:val="auto"/>
              </w:rPr>
            </w:pPr>
          </w:p>
        </w:tc>
      </w:tr>
      <w:tr>
        <w:trPr>
          <w:trHeight w:val="209"/>
        </w:trPr>
        <w:tc>
          <w:tcPr>
            <w:tcW w:w="5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225,330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65,100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174,602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16,523</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53,723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48,311</w:t>
            </w:r>
          </w:p>
        </w:tc>
        <w:tc>
          <w:tcPr>
            <w:tcW w:w="80" w:type="dxa"/>
            <w:vAlign w:val="bottom"/>
          </w:tcPr>
          <w:p>
            <w:pPr>
              <w:spacing w:after="0"/>
              <w:rPr>
                <w:sz w:val="18"/>
                <w:szCs w:val="18"/>
                <w:color w:val="auto"/>
              </w:rPr>
            </w:pPr>
          </w:p>
        </w:tc>
      </w:tr>
      <w:tr>
        <w:trPr>
          <w:trHeight w:val="229"/>
        </w:trPr>
        <w:tc>
          <w:tcPr>
            <w:tcW w:w="5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9,724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26,658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22,606</w:t>
            </w:r>
          </w:p>
        </w:tc>
        <w:tc>
          <w:tcPr>
            <w:tcW w:w="80" w:type="dxa"/>
            <w:vAlign w:val="bottom"/>
            <w:shd w:val="clear" w:color="auto" w:fill="CCEEFF"/>
          </w:tcPr>
          <w:p>
            <w:pPr>
              <w:spacing w:after="0"/>
              <w:rPr>
                <w:sz w:val="19"/>
                <w:szCs w:val="19"/>
                <w:color w:val="auto"/>
              </w:rPr>
            </w:pPr>
          </w:p>
        </w:tc>
      </w:tr>
      <w:tr>
        <w:trPr>
          <w:trHeight w:val="210"/>
        </w:trPr>
        <w:tc>
          <w:tcPr>
            <w:tcW w:w="5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92,440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77,010</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254,983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225,276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(3,456)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r>
      <w:tr>
        <w:trPr>
          <w:trHeight w:val="209"/>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178"/>
        </w:trPr>
        <w:tc>
          <w:tcPr>
            <w:tcW w:w="54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Net income (loss) from continuing operations attributable to NI</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Holdings, Inc.</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w:t>
            </w:r>
          </w:p>
        </w:tc>
        <w:tc>
          <w:tcPr>
            <w:tcW w:w="260" w:type="dxa"/>
            <w:vAlign w:val="bottom"/>
          </w:tcPr>
          <w:p>
            <w:pPr>
              <w:spacing w:after="0"/>
              <w:rPr>
                <w:sz w:val="20"/>
                <w:szCs w:val="20"/>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(3,248)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80" w:type="dxa"/>
            <w:vAlign w:val="bottom"/>
          </w:tcPr>
          <w:p>
            <w:pPr>
              <w:spacing w:after="0"/>
              <w:rPr>
                <w:sz w:val="20"/>
                <w:szCs w:val="20"/>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(12,480)</w:t>
            </w:r>
          </w:p>
        </w:tc>
      </w:tr>
      <w:tr>
        <w:trPr>
          <w:trHeight w:val="23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Loss on sale of discontinued operations, net of income taxes</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(11,148)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 from continuing operations:</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(0.15)</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80" w:type="dxa"/>
            <w:vAlign w:val="bottom"/>
          </w:tcPr>
          <w:p>
            <w:pPr>
              <w:spacing w:after="0"/>
              <w:rPr>
                <w:sz w:val="24"/>
                <w:szCs w:val="24"/>
                <w:color w:val="auto"/>
              </w:rPr>
            </w:pPr>
          </w:p>
        </w:tc>
      </w:tr>
      <w:tr>
        <w:trPr>
          <w:trHeight w:val="197"/>
        </w:trPr>
        <w:tc>
          <w:tcPr>
            <w:tcW w:w="546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0.03</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8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(0.13)</w:t>
            </w:r>
          </w:p>
        </w:tc>
        <w:tc>
          <w:tcPr>
            <w:tcW w:w="3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(0.76)</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(0.57)</w:t>
            </w:r>
          </w:p>
        </w:tc>
      </w:tr>
      <w:tr>
        <w:trPr>
          <w:trHeight w:val="196"/>
        </w:trPr>
        <w:tc>
          <w:tcPr>
            <w:tcW w:w="5460" w:type="dxa"/>
            <w:vAlign w:val="bottom"/>
            <w:tcBorders>
              <w:top w:val="single" w:sz="8" w:color="CCEEFF"/>
              <w:bottom w:val="single" w:sz="8" w:color="CCEEFF"/>
            </w:tcBorders>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data:</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5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basic per common</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calculations</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20,985,213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21,111,832</w:t>
            </w:r>
          </w:p>
        </w:tc>
        <w:tc>
          <w:tcPr>
            <w:tcW w:w="26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20,962,872</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21,253,168</w:t>
            </w:r>
          </w:p>
        </w:tc>
        <w:tc>
          <w:tcPr>
            <w:tcW w:w="80" w:type="dxa"/>
            <w:vAlign w:val="bottom"/>
          </w:tcPr>
          <w:p>
            <w:pPr>
              <w:spacing w:after="0"/>
              <w:rPr>
                <w:sz w:val="20"/>
                <w:szCs w:val="20"/>
                <w:color w:val="auto"/>
              </w:rPr>
            </w:pP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securities</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81,690</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68,380</w:t>
            </w:r>
          </w:p>
        </w:tc>
        <w:tc>
          <w:tcPr>
            <w:tcW w:w="80" w:type="dxa"/>
            <w:vAlign w:val="bottom"/>
            <w:shd w:val="clear" w:color="auto" w:fill="CCEEFF"/>
          </w:tcPr>
          <w:p>
            <w:pPr>
              <w:spacing w:after="0"/>
              <w:rPr>
                <w:sz w:val="19"/>
                <w:szCs w:val="19"/>
                <w:color w:val="auto"/>
              </w:rPr>
            </w:pPr>
          </w:p>
        </w:tc>
      </w:tr>
      <w:tr>
        <w:trPr>
          <w:trHeight w:val="178"/>
        </w:trPr>
        <w:tc>
          <w:tcPr>
            <w:tcW w:w="5460" w:type="dxa"/>
            <w:vAlign w:val="bottom"/>
          </w:tcPr>
          <w:p>
            <w:pPr>
              <w:ind w:left="140"/>
              <w:spacing w:after="0" w:line="177" w:lineRule="exact"/>
              <w:rPr>
                <w:sz w:val="20"/>
                <w:szCs w:val="20"/>
                <w:color w:val="auto"/>
              </w:rPr>
            </w:pPr>
            <w:r>
              <w:rPr>
                <w:rFonts w:ascii="Times New Roman" w:cs="Times New Roman" w:eastAsia="Times New Roman" w:hAnsi="Times New Roman"/>
                <w:sz w:val="18"/>
                <w:szCs w:val="18"/>
                <w:color w:val="auto"/>
              </w:rPr>
              <w:t>Weighted average common shares used in diluted per common share</w:t>
            </w:r>
          </w:p>
        </w:tc>
        <w:tc>
          <w:tcPr>
            <w:tcW w:w="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61"/>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calculations</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20,985,213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21,193,522</w:t>
            </w:r>
          </w:p>
        </w:tc>
        <w:tc>
          <w:tcPr>
            <w:tcW w:w="260" w:type="dxa"/>
            <w:vAlign w:val="bottom"/>
          </w:tcPr>
          <w:p>
            <w:pPr>
              <w:spacing w:after="0"/>
              <w:rPr>
                <w:sz w:val="22"/>
                <w:szCs w:val="22"/>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20,962,872</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21,321,548</w:t>
            </w:r>
          </w:p>
        </w:tc>
        <w:tc>
          <w:tcPr>
            <w:tcW w:w="80" w:type="dxa"/>
            <w:vAlign w:val="bottom"/>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10"/>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60" w:type="dxa"/>
            <w:vAlign w:val="bottom"/>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r>
      <w:tr>
        <w:trPr>
          <w:trHeight w:val="187"/>
        </w:trPr>
        <w:tc>
          <w:tcPr>
            <w:tcW w:w="3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8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to NI</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(15,908</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tc>
        <w:tc>
          <w:tcPr>
            <w:tcW w:w="12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10,935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8,165</w:t>
            </w:r>
          </w:p>
        </w:tc>
        <w:tc>
          <w:tcPr>
            <w:tcW w:w="1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8,165</w:t>
            </w:r>
          </w:p>
        </w:tc>
        <w:tc>
          <w:tcPr>
            <w:tcW w:w="80" w:type="dxa"/>
            <w:vAlign w:val="bottom"/>
          </w:tcPr>
          <w:p>
            <w:pPr>
              <w:spacing w:after="0"/>
              <w:rPr>
                <w:sz w:val="18"/>
                <w:szCs w:val="18"/>
                <w:color w:val="auto"/>
              </w:rPr>
            </w:pP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shd w:val="clear" w:color="auto" w:fill="CCEEFF"/>
          </w:tcPr>
          <w:p>
            <w:pPr>
              <w:spacing w:after="0"/>
              <w:rPr>
                <w:sz w:val="21"/>
                <w:szCs w:val="21"/>
                <w:color w:val="auto"/>
              </w:rPr>
            </w:pP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11,138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8,408</w:t>
            </w:r>
          </w:p>
        </w:tc>
        <w:tc>
          <w:tcPr>
            <w:tcW w:w="1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80" w:type="dxa"/>
            <w:vAlign w:val="bottom"/>
          </w:tcPr>
          <w:p>
            <w:pPr>
              <w:spacing w:after="0"/>
              <w:rPr>
                <w:sz w:val="20"/>
                <w:szCs w:val="20"/>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related to items of</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(2,512)</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(1,896)</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(1,896)</w:t>
            </w: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1"/>
                <w:szCs w:val="21"/>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8,626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8,626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6,512</w:t>
            </w:r>
          </w:p>
        </w:tc>
        <w:tc>
          <w:tcPr>
            <w:tcW w:w="140" w:type="dxa"/>
            <w:vAlign w:val="bottom"/>
          </w:tcPr>
          <w:p>
            <w:pPr>
              <w:spacing w:after="0"/>
              <w:rPr>
                <w:sz w:val="21"/>
                <w:szCs w:val="21"/>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80" w:type="dxa"/>
            <w:vAlign w:val="bottom"/>
          </w:tcPr>
          <w:p>
            <w:pPr>
              <w:spacing w:after="0"/>
              <w:rPr>
                <w:sz w:val="21"/>
                <w:szCs w:val="21"/>
                <w:color w:val="auto"/>
              </w:rPr>
            </w:pPr>
          </w:p>
        </w:tc>
      </w:tr>
      <w:tr>
        <w:trPr>
          <w:trHeight w:val="210"/>
        </w:trPr>
        <w:tc>
          <w:tcPr>
            <w:tcW w:w="3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5,921</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5,921</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(9,396)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(9,396)</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gridSpan w:val="10"/>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60" w:type="dxa"/>
            <w:vAlign w:val="bottom"/>
            <w:gridSpan w:val="9"/>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r>
      <w:tr>
        <w:trPr>
          <w:trHeight w:val="187"/>
        </w:trPr>
        <w:tc>
          <w:tcPr>
            <w:tcW w:w="39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Attributable</w:t>
            </w:r>
          </w:p>
        </w:tc>
        <w:tc>
          <w:tcPr>
            <w:tcW w:w="1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3920" w:type="dxa"/>
            <w:vAlign w:val="bottom"/>
          </w:tcPr>
          <w:p>
            <w:pPr>
              <w:spacing w:after="0"/>
              <w:rPr>
                <w:sz w:val="18"/>
                <w:szCs w:val="18"/>
                <w:color w:val="auto"/>
              </w:rPr>
            </w:pPr>
          </w:p>
        </w:tc>
        <w:tc>
          <w:tcPr>
            <w:tcW w:w="1200" w:type="dxa"/>
            <w:vAlign w:val="bottom"/>
            <w:gridSpan w:val="3"/>
          </w:tcPr>
          <w:p>
            <w:pPr>
              <w:jc w:val="center"/>
              <w:ind w:right="41"/>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3"/>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40" w:type="dxa"/>
            <w:vAlign w:val="bottom"/>
          </w:tcPr>
          <w:p>
            <w:pPr>
              <w:spacing w:after="0"/>
              <w:rPr>
                <w:sz w:val="18"/>
                <w:szCs w:val="18"/>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7"/>
              </w:rPr>
              <w:t>to Non-</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rPr>
              <w:t>to NI</w:t>
            </w:r>
          </w:p>
        </w:tc>
        <w:tc>
          <w:tcPr>
            <w:tcW w:w="80" w:type="dxa"/>
            <w:vAlign w:val="bottom"/>
          </w:tcPr>
          <w:p>
            <w:pPr>
              <w:spacing w:after="0"/>
              <w:rPr>
                <w:sz w:val="18"/>
                <w:szCs w:val="18"/>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6"/>
              </w:rPr>
              <w:t>to NI</w:t>
            </w:r>
          </w:p>
        </w:tc>
        <w:tc>
          <w:tcPr>
            <w:tcW w:w="122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920" w:type="dxa"/>
            <w:vAlign w:val="bottom"/>
          </w:tcPr>
          <w:p>
            <w:pPr>
              <w:spacing w:after="0"/>
              <w:rPr>
                <w:sz w:val="20"/>
                <w:szCs w:val="20"/>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40" w:type="dxa"/>
            <w:vAlign w:val="bottom"/>
          </w:tcPr>
          <w:p>
            <w:pPr>
              <w:spacing w:after="0"/>
              <w:rPr>
                <w:sz w:val="20"/>
                <w:szCs w:val="20"/>
                <w:color w:val="auto"/>
              </w:rPr>
            </w:pPr>
          </w:p>
        </w:tc>
        <w:tc>
          <w:tcPr>
            <w:tcW w:w="1080" w:type="dxa"/>
            <w:vAlign w:val="bottom"/>
            <w:gridSpan w:val="2"/>
          </w:tcPr>
          <w:p>
            <w:pPr>
              <w:jc w:val="center"/>
              <w:ind w:right="281"/>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9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before income</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Holding gains (losses) on investments</w:t>
            </w:r>
          </w:p>
        </w:tc>
        <w:tc>
          <w:tcPr>
            <w:tcW w:w="12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(9,191)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(6,236)</w:t>
            </w:r>
          </w:p>
        </w:tc>
        <w:tc>
          <w:tcPr>
            <w:tcW w:w="1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(6,563)</w:t>
            </w:r>
          </w:p>
        </w:tc>
      </w:tr>
      <w:tr>
        <w:trPr>
          <w:trHeight w:val="198"/>
        </w:trPr>
        <w:tc>
          <w:tcPr>
            <w:tcW w:w="39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 net realized losses</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included in net income (loss)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80" w:type="dxa"/>
            <w:vAlign w:val="bottom"/>
            <w:shd w:val="clear" w:color="auto" w:fill="CCEEFF"/>
          </w:tcPr>
          <w:p>
            <w:pPr>
              <w:spacing w:after="0"/>
              <w:rPr>
                <w:sz w:val="21"/>
                <w:szCs w:val="21"/>
                <w:color w:val="auto"/>
              </w:rPr>
            </w:pP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4"/>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(8,718)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(9,183)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(5,741)</w:t>
            </w:r>
          </w:p>
        </w:tc>
        <w:tc>
          <w:tcPr>
            <w:tcW w:w="1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w:t>
            </w:r>
          </w:p>
        </w:tc>
        <w:tc>
          <w:tcPr>
            <w:tcW w:w="1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(6,068)</w:t>
            </w:r>
          </w:p>
        </w:tc>
      </w:tr>
      <w:tr>
        <w:trPr>
          <w:trHeight w:val="198"/>
        </w:trPr>
        <w:tc>
          <w:tcPr>
            <w:tcW w:w="39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(expense) benefit related to items of</w:t>
            </w: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8"/>
        </w:trPr>
        <w:tc>
          <w:tcPr>
            <w:tcW w:w="3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1,305</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w:t>
            </w:r>
          </w:p>
        </w:tc>
        <w:tc>
          <w:tcPr>
            <w:tcW w:w="80" w:type="dxa"/>
            <w:vAlign w:val="bottom"/>
            <w:shd w:val="clear" w:color="auto" w:fill="CCEEFF"/>
          </w:tcPr>
          <w:p>
            <w:pPr>
              <w:spacing w:after="0"/>
              <w:rPr>
                <w:sz w:val="21"/>
                <w:szCs w:val="21"/>
                <w:color w:val="auto"/>
              </w:rPr>
            </w:pPr>
          </w:p>
        </w:tc>
      </w:tr>
      <w:tr>
        <w:trPr>
          <w:trHeight w:val="178"/>
        </w:trPr>
        <w:tc>
          <w:tcPr>
            <w:tcW w:w="3920" w:type="dxa"/>
            <w:vAlign w:val="bottom"/>
          </w:tcPr>
          <w:p>
            <w:pPr>
              <w:ind w:left="340"/>
              <w:spacing w:after="0" w:line="177"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8"/>
        </w:trPr>
        <w:tc>
          <w:tcPr>
            <w:tcW w:w="3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1"/>
                <w:szCs w:val="21"/>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(6,736)</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(7,096)</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(4,436)</w:t>
            </w:r>
          </w:p>
        </w:tc>
        <w:tc>
          <w:tcPr>
            <w:tcW w:w="140" w:type="dxa"/>
            <w:vAlign w:val="bottom"/>
          </w:tcPr>
          <w:p>
            <w:pPr>
              <w:spacing w:after="0"/>
              <w:rPr>
                <w:sz w:val="21"/>
                <w:szCs w:val="21"/>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21"/>
                <w:szCs w:val="21"/>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(4,689)</w:t>
            </w:r>
          </w:p>
        </w:tc>
      </w:tr>
      <w:tr>
        <w:trPr>
          <w:trHeight w:val="209"/>
        </w:trPr>
        <w:tc>
          <w:tcPr>
            <w:tcW w:w="39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(6,505)</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(293)</w:t>
            </w:r>
          </w:p>
        </w:tc>
        <w:tc>
          <w:tcPr>
            <w:tcW w:w="2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(6,798)</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(16,537)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(589)</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(17,126)</w:t>
            </w:r>
          </w:p>
        </w:tc>
      </w:tr>
      <w:tr>
        <w:trPr>
          <w:trHeight w:val="20"/>
        </w:trPr>
        <w:tc>
          <w:tcPr>
            <w:tcW w:w="3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3"/>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8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60" w:type="dxa"/>
            <w:vAlign w:val="bottom"/>
          </w:tcPr>
          <w:p>
            <w:pPr>
              <w:spacing w:after="0"/>
              <w:rPr>
                <w:sz w:val="18"/>
                <w:szCs w:val="18"/>
                <w:color w:val="auto"/>
              </w:rPr>
            </w:pP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9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Plan 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2024 (As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Restated)</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96,581</w:t>
            </w: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194,441</w:t>
            </w:r>
          </w:p>
        </w:tc>
        <w:tc>
          <w:tcPr>
            <w:tcW w:w="1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(20,192)</w:t>
            </w:r>
          </w:p>
        </w:tc>
        <w:tc>
          <w:tcPr>
            <w:tcW w:w="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(34,298)</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236,064</w:t>
            </w:r>
          </w:p>
        </w:tc>
        <w:tc>
          <w:tcPr>
            <w:tcW w:w="10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(2,705)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(2,705)</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8,626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100" w:type="dxa"/>
            <w:vAlign w:val="bottom"/>
          </w:tcPr>
          <w:p>
            <w:pPr>
              <w:spacing w:after="0"/>
              <w:rPr>
                <w:sz w:val="20"/>
                <w:szCs w:val="20"/>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95,967</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191,736</w:t>
            </w:r>
          </w:p>
        </w:tc>
        <w:tc>
          <w:tcPr>
            <w:tcW w:w="1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(34,298)</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241,371</w:t>
            </w:r>
          </w:p>
        </w:tc>
        <w:tc>
          <w:tcPr>
            <w:tcW w:w="10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1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80" w:type="dxa"/>
            <w:vAlign w:val="bottom"/>
            <w:gridSpan w:val="4"/>
          </w:tcPr>
          <w:p>
            <w:pPr>
              <w:jc w:val="center"/>
              <w:ind w:right="2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Employee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96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5"/>
              </w:rPr>
              <w:t>Treasury</w:t>
            </w:r>
          </w:p>
        </w:tc>
        <w:tc>
          <w:tcPr>
            <w:tcW w:w="1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96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Plan Shares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2024</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96,294</w:t>
            </w:r>
          </w:p>
        </w:tc>
        <w:tc>
          <w:tcPr>
            <w:tcW w:w="120" w:type="dxa"/>
            <w:vAlign w:val="bottom"/>
            <w:shd w:val="clear" w:color="auto" w:fill="CCEEFF"/>
          </w:tcPr>
          <w:p>
            <w:pPr>
              <w:spacing w:after="0"/>
              <w:rPr>
                <w:sz w:val="20"/>
                <w:szCs w:val="20"/>
                <w:color w:val="auto"/>
              </w:rPr>
            </w:pPr>
          </w:p>
        </w:tc>
        <w:tc>
          <w:tcPr>
            <w:tcW w:w="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208,376</w:t>
            </w:r>
          </w:p>
        </w:tc>
        <w:tc>
          <w:tcPr>
            <w:tcW w:w="120" w:type="dxa"/>
            <w:vAlign w:val="bottom"/>
            <w:shd w:val="clear" w:color="auto" w:fill="CCEEFF"/>
          </w:tcPr>
          <w:p>
            <w:pPr>
              <w:spacing w:after="0"/>
              <w:rPr>
                <w:sz w:val="20"/>
                <w:szCs w:val="20"/>
                <w:color w:val="auto"/>
              </w:rPr>
            </w:pPr>
          </w:p>
        </w:tc>
        <w:tc>
          <w:tcPr>
            <w:tcW w:w="18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(21,384)</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(35,177)</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2,758</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250,399</w:t>
            </w:r>
          </w:p>
        </w:tc>
        <w:tc>
          <w:tcPr>
            <w:tcW w:w="10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3,832</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(1,074)</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(2,758)</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(15,908)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(15,908)</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(4,380)</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4,380</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6,512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6,512</w:t>
            </w:r>
          </w:p>
        </w:tc>
        <w:tc>
          <w:tcPr>
            <w:tcW w:w="100" w:type="dxa"/>
            <w:vAlign w:val="bottom"/>
          </w:tcPr>
          <w:p>
            <w:pPr>
              <w:spacing w:after="0"/>
              <w:rPr>
                <w:sz w:val="20"/>
                <w:szCs w:val="20"/>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522</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(849)</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879</w:t>
            </w:r>
          </w:p>
        </w:tc>
        <w:tc>
          <w:tcPr>
            <w:tcW w:w="1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178"/>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95,967</w:t>
            </w:r>
          </w:p>
        </w:tc>
        <w:tc>
          <w:tcPr>
            <w:tcW w:w="120" w:type="dxa"/>
            <w:vAlign w:val="bottom"/>
          </w:tcPr>
          <w:p>
            <w:pPr>
              <w:spacing w:after="0"/>
              <w:rPr>
                <w:sz w:val="22"/>
                <w:szCs w:val="22"/>
                <w:color w:val="auto"/>
              </w:rPr>
            </w:pP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(698)</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191,736</w:t>
            </w:r>
          </w:p>
        </w:tc>
        <w:tc>
          <w:tcPr>
            <w:tcW w:w="120" w:type="dxa"/>
            <w:vAlign w:val="bottom"/>
          </w:tcPr>
          <w:p>
            <w:pPr>
              <w:spacing w:after="0"/>
              <w:rPr>
                <w:sz w:val="22"/>
                <w:szCs w:val="22"/>
                <w:color w:val="auto"/>
              </w:rPr>
            </w:pPr>
          </w:p>
        </w:tc>
        <w:tc>
          <w:tcPr>
            <w:tcW w:w="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(11,566)</w:t>
            </w:r>
          </w:p>
        </w:tc>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(34,298)</w:t>
            </w: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241,371</w:t>
            </w:r>
          </w:p>
        </w:tc>
        <w:tc>
          <w:tcPr>
            <w:tcW w:w="10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96"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4"/>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0" w:type="dxa"/>
            <w:vAlign w:val="bottom"/>
          </w:tcPr>
          <w:p>
            <w:pPr>
              <w:spacing w:after="0"/>
              <w:rPr>
                <w:sz w:val="18"/>
                <w:szCs w:val="18"/>
                <w:color w:val="auto"/>
              </w:rPr>
            </w:pPr>
          </w:p>
        </w:tc>
        <w:tc>
          <w:tcPr>
            <w:tcW w:w="15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3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 2023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201,518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(26,986)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(31,122)</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240,383</w:t>
            </w:r>
          </w:p>
        </w:tc>
        <w:tc>
          <w:tcPr>
            <w:tcW w:w="10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(6,736)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(360)</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(7,096)</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(4,057)</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(4,057)</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78"/>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(33,722)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(35,179)</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229,937</w:t>
            </w:r>
          </w:p>
        </w:tc>
        <w:tc>
          <w:tcPr>
            <w:tcW w:w="10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1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10"/>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20" w:type="dxa"/>
            <w:vAlign w:val="bottom"/>
          </w:tcPr>
          <w:p>
            <w:pPr>
              <w:spacing w:after="0"/>
              <w:rPr>
                <w:sz w:val="18"/>
                <w:szCs w:val="18"/>
                <w:color w:val="auto"/>
              </w:rPr>
            </w:pPr>
          </w:p>
        </w:tc>
        <w:tc>
          <w:tcPr>
            <w:tcW w:w="10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8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Loss, Net of</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4"/>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r>
      <w:tr>
        <w:trPr>
          <w:trHeight w:val="238"/>
        </w:trPr>
        <w:tc>
          <w:tcPr>
            <w:tcW w:w="1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Plan Shares</w:t>
            </w:r>
          </w:p>
        </w:tc>
        <w:tc>
          <w:tcPr>
            <w:tcW w:w="8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80" w:type="dxa"/>
            <w:vAlign w:val="bottom"/>
          </w:tcPr>
          <w:p>
            <w:pPr>
              <w:spacing w:after="0"/>
              <w:rPr>
                <w:sz w:val="20"/>
                <w:szCs w:val="20"/>
                <w:color w:val="auto"/>
              </w:rPr>
            </w:pPr>
          </w:p>
        </w:tc>
        <w:tc>
          <w:tcPr>
            <w:tcW w:w="134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20"/>
                <w:szCs w:val="20"/>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178"/>
        </w:trPr>
        <w:tc>
          <w:tcPr>
            <w:tcW w:w="134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2023</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95,671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214,121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(29,286)</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(28,818)</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253,207</w:t>
            </w:r>
          </w:p>
        </w:tc>
        <w:tc>
          <w:tcPr>
            <w:tcW w:w="100" w:type="dxa"/>
            <w:vAlign w:val="bottom"/>
            <w:shd w:val="clear" w:color="auto" w:fill="CCEEFF"/>
          </w:tcPr>
          <w:p>
            <w:pPr>
              <w:spacing w:after="0"/>
              <w:rPr>
                <w:sz w:val="20"/>
                <w:szCs w:val="20"/>
                <w:color w:val="auto"/>
              </w:rPr>
            </w:pPr>
          </w:p>
        </w:tc>
      </w:tr>
      <w:tr>
        <w:trPr>
          <w:trHeight w:val="216"/>
        </w:trPr>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Battle Creek</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demutualization</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w:t>
            </w:r>
          </w:p>
        </w:tc>
        <w:tc>
          <w:tcPr>
            <w:tcW w:w="1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(12,437)</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Impact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Westminster</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gains/losses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of income taxes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(4,436)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(4,689)</w:t>
            </w: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Purchase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stock</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(7,280)</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(7,280)</w:t>
            </w:r>
          </w:p>
        </w:tc>
      </w:tr>
      <w:tr>
        <w:trPr>
          <w:trHeight w:val="198"/>
        </w:trPr>
        <w:tc>
          <w:tcPr>
            <w:tcW w:w="1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0"/>
                <w:szCs w:val="20"/>
                <w:color w:val="auto"/>
              </w:rPr>
            </w:pPr>
          </w:p>
        </w:tc>
      </w:tr>
      <w:tr>
        <w:trPr>
          <w:trHeight w:val="198"/>
        </w:trPr>
        <w:tc>
          <w:tcPr>
            <w:tcW w:w="13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award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8"/>
        </w:trPr>
        <w:tc>
          <w:tcPr>
            <w:tcW w:w="1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w:t>
            </w:r>
          </w:p>
        </w:tc>
      </w:tr>
      <w:tr>
        <w:trPr>
          <w:trHeight w:val="178"/>
        </w:trPr>
        <w:tc>
          <w:tcPr>
            <w:tcW w:w="134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Balance,</w:t>
            </w: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1"/>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96,159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201,749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(33,722)</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(35,179)</w:t>
            </w: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tcPr>
          <w:p>
            <w:pPr>
              <w:spacing w:after="0"/>
              <w:rPr>
                <w:sz w:val="22"/>
                <w:szCs w:val="22"/>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229,937</w:t>
            </w:r>
          </w:p>
        </w:tc>
        <w:tc>
          <w:tcPr>
            <w:tcW w:w="100" w:type="dxa"/>
            <w:vAlign w:val="bottom"/>
          </w:tcPr>
          <w:p>
            <w:pPr>
              <w:spacing w:after="0"/>
              <w:rPr>
                <w:sz w:val="22"/>
                <w:szCs w:val="22"/>
                <w:color w:val="auto"/>
              </w:rPr>
            </w:pPr>
          </w:p>
        </w:tc>
      </w:tr>
      <w:tr>
        <w:trPr>
          <w:trHeight w:val="20"/>
        </w:trPr>
        <w:tc>
          <w:tcPr>
            <w:tcW w:w="1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96"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000" w:type="dxa"/>
            <w:vAlign w:val="bottom"/>
          </w:tcPr>
          <w:p>
            <w:pPr>
              <w:spacing w:after="0"/>
              <w:rPr>
                <w:sz w:val="20"/>
                <w:szCs w:val="20"/>
                <w:color w:val="auto"/>
              </w:rPr>
            </w:pPr>
          </w:p>
        </w:tc>
        <w:tc>
          <w:tcPr>
            <w:tcW w:w="28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0" w:type="dxa"/>
            <w:vAlign w:val="bottom"/>
            <w:gridSpan w:val="7"/>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(15,908)</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(12,437)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net income (loss) from discontinued operations, net of income taxes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investment gains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1,865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(3,554)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53,723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48,311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(54,404)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(51,175)</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494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6"/>
        </w:trPr>
        <w:tc>
          <w:tcPr>
            <w:tcW w:w="7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(29,161)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(40,275)</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(7,861)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(2,201)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39,884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28,152</w:t>
            </w:r>
          </w:p>
        </w:tc>
        <w:tc>
          <w:tcPr>
            <w:tcW w:w="0" w:type="dxa"/>
            <w:vAlign w:val="bottom"/>
          </w:tcPr>
          <w:p>
            <w:pPr>
              <w:spacing w:after="0"/>
              <w:rPr>
                <w:sz w:val="1"/>
                <w:szCs w:val="1"/>
                <w:color w:val="auto"/>
              </w:rPr>
            </w:pPr>
          </w:p>
        </w:tc>
      </w:tr>
      <w:tr>
        <w:trPr>
          <w:trHeight w:val="216"/>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Unearned premiums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10,780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20,162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(11,322)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4,611</w:t>
            </w:r>
          </w:p>
        </w:tc>
        <w:tc>
          <w:tcPr>
            <w:tcW w:w="0" w:type="dxa"/>
            <w:vAlign w:val="bottom"/>
          </w:tcPr>
          <w:p>
            <w:pPr>
              <w:spacing w:after="0"/>
              <w:rPr>
                <w:sz w:val="1"/>
                <w:szCs w:val="1"/>
                <w:color w:val="auto"/>
              </w:rPr>
            </w:pPr>
          </w:p>
        </w:tc>
      </w:tr>
      <w:tr>
        <w:trPr>
          <w:trHeight w:val="230"/>
        </w:trPr>
        <w:tc>
          <w:tcPr>
            <w:tcW w:w="74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4,892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discontinued operations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2,866</w:t>
            </w: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 – loss on sale of discontinued operations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17,479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44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8"/>
                <w:szCs w:val="18"/>
                <w:color w:val="auto"/>
              </w:rPr>
              <w:t>Total adjustments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37,493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21,801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4,978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37,685</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(39,059)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(777)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29"/>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disposition of Westminster</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continuing operations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 – discontinued operations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2,878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0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(7,280)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Pooling (payments) receipts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(10,444)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(27,847)</w:t>
            </w:r>
          </w:p>
        </w:tc>
        <w:tc>
          <w:tcPr>
            <w:tcW w:w="0" w:type="dxa"/>
            <w:vAlign w:val="bottom"/>
          </w:tcPr>
          <w:p>
            <w:pPr>
              <w:spacing w:after="0"/>
              <w:rPr>
                <w:sz w:val="1"/>
                <w:szCs w:val="1"/>
                <w:color w:val="auto"/>
              </w:rPr>
            </w:pPr>
          </w:p>
        </w:tc>
      </w:tr>
      <w:tr>
        <w:trPr>
          <w:trHeight w:val="216"/>
        </w:trPr>
        <w:tc>
          <w:tcPr>
            <w:tcW w:w="7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repayments of finance leases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0"/>
        </w:trPr>
        <w:tc>
          <w:tcPr>
            <w:tcW w:w="7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continuing operations</w:t>
            </w:r>
          </w:p>
        </w:tc>
        <w:tc>
          <w:tcPr>
            <w:tcW w:w="10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 – discontinued operations</w:t>
            </w:r>
          </w:p>
        </w:tc>
        <w:tc>
          <w:tcPr>
            <w:tcW w:w="10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7,058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27,847</w:t>
            </w: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0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549" w:right="339" w:bottom="272" w:gutter="0" w:footer="0" w:header="0"/>
        </w:sectPr>
      </w:pPr>
    </w:p>
    <w:p>
      <w:pPr>
        <w:ind w:left="40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400" w:right="1820"/>
        <w:spacing w:after="0" w:line="323" w:lineRule="auto"/>
        <w:rPr>
          <w:sz w:val="20"/>
          <w:szCs w:val="20"/>
          <w:color w:val="auto"/>
        </w:rPr>
      </w:pPr>
      <w:r>
        <w:rPr>
          <w:rFonts w:ascii="Times New Roman" w:cs="Times New Roman" w:eastAsia="Times New Roman" w:hAnsi="Times New Roman"/>
          <w:sz w:val="17"/>
          <w:szCs w:val="17"/>
          <w:color w:val="auto"/>
        </w:rPr>
        <w:t>(Increase) decrease in cash and cash equivalents – discontinued operations Net increase (decrease) in cash and cash equivalents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 –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left="760"/>
        <w:spacing w:after="0"/>
        <w:tabs>
          <w:tab w:leader="none" w:pos="2440" w:val="left"/>
        </w:tabs>
        <w:rPr>
          <w:sz w:val="20"/>
          <w:szCs w:val="20"/>
          <w:color w:val="auto"/>
        </w:rPr>
      </w:pPr>
      <w:r>
        <w:rPr>
          <w:rFonts w:ascii="Times New Roman" w:cs="Times New Roman" w:eastAsia="Times New Roman" w:hAnsi="Times New Roman"/>
          <w:sz w:val="18"/>
          <w:szCs w:val="18"/>
          <w:color w:val="auto"/>
        </w:rPr>
        <w:t>18,494</w:t>
      </w:r>
      <w:r>
        <w:rPr>
          <w:sz w:val="20"/>
          <w:szCs w:val="20"/>
          <w:color w:val="auto"/>
        </w:rPr>
        <w:tab/>
      </w: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ind w:right="40"/>
        <w:spacing w:after="0"/>
        <w:tabs>
          <w:tab w:leader="none" w:pos="600" w:val="left"/>
        </w:tabs>
        <w:rPr>
          <w:sz w:val="20"/>
          <w:szCs w:val="20"/>
          <w:color w:val="auto"/>
        </w:rPr>
      </w:pPr>
      <w:r>
        <w:rPr>
          <w:rFonts w:ascii="Times New Roman" w:cs="Times New Roman" w:eastAsia="Times New Roman" w:hAnsi="Times New Roman"/>
          <w:sz w:val="18"/>
          <w:szCs w:val="18"/>
          <w:color w:val="auto"/>
        </w:rPr>
        <w:t>(20,429)</w:t>
      </w:r>
      <w:r>
        <w:rPr>
          <w:sz w:val="20"/>
          <w:szCs w:val="20"/>
          <w:color w:val="auto"/>
        </w:rPr>
        <w:tab/>
      </w:r>
      <w:r>
        <w:rPr>
          <w:rFonts w:ascii="Times New Roman" w:cs="Times New Roman" w:eastAsia="Times New Roman" w:hAnsi="Times New Roman"/>
          <w:sz w:val="18"/>
          <w:szCs w:val="18"/>
          <w:color w:val="auto"/>
        </w:rPr>
        <w:t>(18,575)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17056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3" w:lineRule="exact"/>
        <w:rPr>
          <w:sz w:val="20"/>
          <w:szCs w:val="20"/>
          <w:color w:val="auto"/>
        </w:rPr>
      </w:pPr>
    </w:p>
    <w:p>
      <w:pPr>
        <w:jc w:val="both"/>
        <w:ind w:left="780"/>
        <w:spacing w:after="0"/>
        <w:tabs>
          <w:tab w:leader="none" w:pos="2120" w:val="left"/>
        </w:tabs>
        <w:rPr>
          <w:sz w:val="20"/>
          <w:szCs w:val="20"/>
          <w:color w:val="auto"/>
        </w:rPr>
      </w:pPr>
      <w:r>
        <w:rPr>
          <w:rFonts w:ascii="Times New Roman" w:cs="Times New Roman" w:eastAsia="Times New Roman" w:hAnsi="Times New Roman"/>
          <w:sz w:val="18"/>
          <w:szCs w:val="18"/>
          <w:color w:val="auto"/>
        </w:rPr>
        <w:t>(1,935)</w:t>
      </w:r>
      <w:r>
        <w:rPr>
          <w:sz w:val="20"/>
          <w:szCs w:val="20"/>
          <w:color w:val="auto"/>
        </w:rPr>
        <w:tab/>
      </w:r>
      <w:r>
        <w:rPr>
          <w:rFonts w:ascii="Times New Roman" w:cs="Times New Roman" w:eastAsia="Times New Roman" w:hAnsi="Times New Roman"/>
          <w:sz w:val="18"/>
          <w:szCs w:val="18"/>
          <w:color w:val="auto"/>
        </w:rPr>
        <w:t>(18,592)</w:t>
      </w:r>
    </w:p>
    <w:p>
      <w:pPr>
        <w:spacing w:after="0" w:line="234" w:lineRule="exact"/>
        <w:rPr>
          <w:sz w:val="20"/>
          <w:szCs w:val="20"/>
          <w:color w:val="auto"/>
        </w:rPr>
      </w:pPr>
    </w:p>
    <w:p>
      <w:pPr>
        <w:ind w:left="760"/>
        <w:spacing w:after="0"/>
        <w:tabs>
          <w:tab w:leader="none" w:pos="2180" w:val="left"/>
        </w:tabs>
        <w:rPr>
          <w:sz w:val="20"/>
          <w:szCs w:val="20"/>
          <w:color w:val="auto"/>
        </w:rPr>
      </w:pPr>
      <w:r>
        <w:rPr>
          <w:rFonts w:ascii="Times New Roman" w:cs="Times New Roman" w:eastAsia="Times New Roman" w:hAnsi="Times New Roman"/>
          <w:sz w:val="18"/>
          <w:szCs w:val="18"/>
          <w:color w:val="auto"/>
        </w:rPr>
        <w:t>41,037</w:t>
      </w:r>
      <w:r>
        <w:rPr>
          <w:sz w:val="20"/>
          <w:szCs w:val="20"/>
          <w:color w:val="auto"/>
        </w:rPr>
        <w:tab/>
      </w:r>
      <w:r>
        <w:rPr>
          <w:rFonts w:ascii="Times New Roman" w:cs="Times New Roman" w:eastAsia="Times New Roman" w:hAnsi="Times New Roman"/>
          <w:sz w:val="18"/>
          <w:szCs w:val="18"/>
          <w:color w:val="auto"/>
        </w:rPr>
        <w:t>33,862</w:t>
      </w:r>
    </w:p>
    <w:p>
      <w:pPr>
        <w:spacing w:after="0" w:line="252" w:lineRule="exact"/>
        <w:rPr>
          <w:sz w:val="20"/>
          <w:szCs w:val="20"/>
          <w:color w:val="auto"/>
        </w:rPr>
      </w:pPr>
    </w:p>
    <w:p>
      <w:pPr>
        <w:spacing w:after="0"/>
        <w:tabs>
          <w:tab w:leader="none" w:pos="740" w:val="left"/>
          <w:tab w:leader="none" w:pos="1440" w:val="left"/>
          <w:tab w:leader="none" w:pos="2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39,102</w:t>
        <w:tab/>
        <w:t>$</w:t>
      </w:r>
      <w:r>
        <w:rPr>
          <w:sz w:val="20"/>
          <w:szCs w:val="20"/>
          <w:color w:val="auto"/>
        </w:rPr>
        <w:tab/>
      </w:r>
      <w:r>
        <w:rPr>
          <w:rFonts w:ascii="Times New Roman" w:cs="Times New Roman" w:eastAsia="Times New Roman" w:hAnsi="Times New Roman"/>
          <w:sz w:val="18"/>
          <w:szCs w:val="18"/>
          <w:color w:val="auto"/>
        </w:rPr>
        <w:t>15,270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17056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720" w:space="720"/>
            <w:col w:w="2800"/>
          </w:cols>
          <w:pgMar w:left="320" w:top="549" w:right="339" w:bottom="272" w:gutter="0" w:footer="0" w:header="0"/>
          <w:type w:val="continuous"/>
        </w:sectPr>
      </w:pPr>
    </w:p>
    <w:p>
      <w:pPr>
        <w:spacing w:after="0" w:line="282" w:lineRule="exact"/>
        <w:rPr>
          <w:sz w:val="20"/>
          <w:szCs w:val="20"/>
          <w:color w:val="auto"/>
        </w:rPr>
      </w:pPr>
    </w:p>
    <w:p>
      <w:pPr>
        <w:spacing w:after="0"/>
        <w:tabs>
          <w:tab w:leader="none" w:pos="8420" w:val="left"/>
          <w:tab w:leader="none" w:pos="9260" w:val="left"/>
          <w:tab w:leader="none" w:pos="9880" w:val="left"/>
          <w:tab w:leader="none" w:pos="10780" w:val="left"/>
        </w:tabs>
        <w:rPr>
          <w:sz w:val="20"/>
          <w:szCs w:val="20"/>
          <w:color w:val="auto"/>
        </w:rPr>
      </w:pPr>
      <w:r>
        <w:rPr>
          <w:rFonts w:ascii="Times New Roman" w:cs="Times New Roman" w:eastAsia="Times New Roman" w:hAnsi="Times New Roman"/>
          <w:sz w:val="18"/>
          <w:szCs w:val="18"/>
          <w:color w:val="auto"/>
        </w:rPr>
        <w:t>Federal and state income taxes paid (net of refunds received)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2,848</w:t>
        <w:tab/>
        <w:t>$</w:t>
      </w:r>
      <w:r>
        <w:rPr>
          <w:sz w:val="20"/>
          <w:szCs w:val="20"/>
          <w:color w:val="auto"/>
        </w:rPr>
        <w:tab/>
      </w:r>
      <w:r>
        <w:rPr>
          <w:rFonts w:ascii="Times New Roman" w:cs="Times New Roman" w:eastAsia="Times New Roman" w:hAnsi="Times New Roman"/>
          <w:sz w:val="18"/>
          <w:szCs w:val="18"/>
          <w:color w:val="auto"/>
        </w:rPr>
        <w:t>(940)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272" w:gutter="0" w:footer="0" w:header="0"/>
          <w:type w:val="continuous"/>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Nodak conversion, whereby Nodak Mutual converted from a mutual to stock form of organization and the creation of a mutual holding company. The Nodak conversion was consummated on March 13, 2017. Immediately following the Nodak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Nodak conversion, NI Holdings conducted no business and had no assets or liabilities. As a result of the Nodak conversion, NI Holdings became the holding company for Nodak Insurance and its existing subsidiaries.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consolidated financial statements include the financial position and results of operations of NI Holdings and the following other entities: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Insurance Company</w:t>
      </w:r>
    </w:p>
    <w:p>
      <w:pPr>
        <w:spacing w:after="0" w:line="229" w:lineRule="exact"/>
        <w:rPr>
          <w:sz w:val="20"/>
          <w:szCs w:val="20"/>
          <w:color w:val="auto"/>
        </w:rPr>
      </w:pPr>
    </w:p>
    <w:p>
      <w:pPr>
        <w:ind w:right="72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Nodak Agency,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American West Insurance Company</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American West is a property and casualty insurance company licensed in eight states in the Midwest and Western regions of the United States (“U.S.”). American West began writing policies in 2002 and primarily writes private passenger auto, homeowners, and farm coverages in South Dakota. American West also writes private passenger auto coverage in North Dakota, as well as crop hail and Federal multi-peril crop insurance coverages in Minnesota and South Dakota.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Primero Insurance Company</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Primero is a wholly-owned subsidiary of Tri-State, Ltd. Tri-State, Ltd. is an inactive shell corporation 100% owned by Nodak Insurance. Primero is a property and casualty insurance company writing non-standard auto coverage in the states of Nevada, Arizona, North Dakota, and South Dakota. Primero was acquired by Nodak Insurance in 2014.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Insurance Company</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private passenger auto, homeowners, and farm coverages solely in the state of Nebraska. Battle Creek became affiliated with Nodak Insurance in 2011 and, prior to January 2, 2024, was controlled by Nodak Insurance via a surplus note. On January 2, 2024, Battle Creek issued 300,000 shares of its common stock to Nodak Insurance at a $10.00 per share par value and became a wholly-owned subsidiary of Nodak Insurance. Because we concluded that we controlled Battle Creek prior to January 2, 2024, we consolidated the financial statements of Battle Creek, and Battle Creek’s policyholders’ interest in Battle Creek was reflected as a non-controlling interest in shareholders’ equity in our Consolidated Balance Sheets for NI Holdings (“Consolidated Balance Sheets”) and its net income or loss was excluded from net income or loss attributed to NI Holdings in our Consolidated Statements of Operations for NI Holdings (“Consolidated Statements of Operations”). Subsequent to January 2, 2024, Battle Creek is fully consolidated in our Consolidated Balance Sheets and Consolidated Statements of Operations and, as such, no longer reflected as a non-controlling interest.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Auto Insurance Company</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 coverage in 2007, and was acquired by NI Holdings on August 31, 2018, via a stock purchase agreement.</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bookmarkStart w:id="12" w:name="page13"/>
    <w:bookmarkEnd w:id="1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Westminster American Insurance Company</w:t>
      </w:r>
    </w:p>
    <w:p>
      <w:pPr>
        <w:spacing w:after="0" w:line="229"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Westminster is a property and casualty insurance company licensed in 18 states and the District of Columbia. Westminster is headquartered in Owings Mills, Maryland and underwrites commercial multi-peril insurance in the states of Delaware, Georgia, Kentucky, Maryland, New Jersey, North Carolina, Pennsylvania, South Carolina, Tennessee, Virginia, West Virginia, and the District of Columbia. Westminster was sold to Scott Insurance Holdings on June 30, 2024. Subsequent to the date of sale, Westminster is reflected as discontinued operations within our Consolidated Balance Sheets and Consolidated Statements of Operations. For additional information see Part I, Item 1, Note 19 “Discontinued Operations” of this Quarterly Report on Form 10-Q.</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Organizational Structure and Credit Ratings</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excluding Westminster, are rated “A” Excellent by A.M. Best Company, Inc. (“AM Best”), a global credit rating agency specializing in the insurance industry.</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and Direct Auto personnel manage the day-to-day operations of their respective companies. Westminster personnel managed the day-to-day operations of their company prior to the date of sale.</w:t>
      </w:r>
    </w:p>
    <w:p>
      <w:pPr>
        <w:spacing w:after="0" w:line="392"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2023 Annual Report.</w:t>
      </w:r>
    </w:p>
    <w:p>
      <w:pPr>
        <w:spacing w:after="0" w:line="18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2023, has been derived from the audited consolidated financial statements at that date but does not include all of the information and footnotes required by GAAP for complete financial statements.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periods ended September 30, 2024, are not necessarily indicative of the results that may be expected for the year ended December 31, 2024.</w:t>
      </w:r>
    </w:p>
    <w:p>
      <w:pPr>
        <w:spacing w:after="0" w:line="18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2023 Annual Report describes the accounting policies and estimates that are critical to the understanding of our results of operations, financial condition, and liquidity. The accounting policies and estimation processes described in the 2023 Annual Report were consistently applied to the unaudited consolidated financial statements as of and for the nine months ended September 30, 2024 and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Discontinued Operations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On May 7, 2024, NI Holdings entered into a Stock Purchase Agreement (“Purchase Agreement”) to sell its subsidiary, Westminster, to Scott Insurance Holdings, a privately owned Maryland limited liability company. Scott Insurance Holdings is affiliated with John Scott, Sr., the father of the president of Westminster, John Scott, Jr. The sale closed on June 30, 2024. The Purchase Agreement included a cash purchase price of $10,500, subject to certain post-closing adjustments, including a post-closing payment to NI Holdings for the amount by which the ending statutory surplus balance for Westminster exceeded $20,000. The post-closing payment received from Scott Insurance Holdings during the third quarter of 2024 was $1,772 and has been included as an adjustment to the purchase price for the calculation of the loss on the sale of Westminster. The sale of Westminster, which represented the majority of our Commercial segment in prior periods, was a strategic shift that has had a major effect on our operations and financial results. Therefore, Westminster has been reported as discontinued operations in the Consolidated Balance Sheets, Consolidated Statements of Operations, and Consolidated Statements of Cash Flows for all periods presented in this Form 10-Q. All current and prior periods reflected in this Form 10-Q have been presented as continuing and discontinued operations, unless otherwise noted. For additional information see Part I, Item 1, Note 19 “Discontinued Operations” of this Form 10-Q.</w:t>
      </w:r>
    </w:p>
    <w:p>
      <w:pPr>
        <w:sectPr>
          <w:pgSz w:w="11900" w:h="16838" w:orient="portrait"/>
          <w:cols w:equalWidth="0" w:num="1">
            <w:col w:w="11200"/>
          </w:cols>
          <w:pgMar w:left="320" w:top="225" w:right="37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Restatement</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NI Holdings filed Amendment No. 1 to our Quarterly Report on Form 10-Q/A to amend certain information included in the Company's Quarterly Report on Form 10-Q for the three- and six-month periods ended June 30, 2024, which was filed with the Securities and Exchange Commission (the “SEC”) on August 8, 2024, due to errors resulting from the incorrect accounting for, and presentation of, the previously announced sale of Westminster. Specifically, the Company failed to record certain receivables on Westminster’s closing balance sheet as well as the corresponding payable for Nodak Insurance for amounts owed to Westminster related to the final settlement of the intercompany reinsurance pooling agreement after the date of sale. Failure to include this receivable in Westminster’s closing net assets and liabilities also caused an understatement of the loss on sale of discontinued operations, which also understated the Company’s total net loss. The impact of the corrections related to this error on the consolidated financial statements as of and for the three-and six-month periods ended June 30, 2024, are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Consolidated Balance Sheets (Unaudited)</w:t>
            </w:r>
          </w:p>
        </w:tc>
        <w:tc>
          <w:tcPr>
            <w:tcW w:w="2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3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6"/>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34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19"/>
                <w:szCs w:val="19"/>
                <w:color w:val="auto"/>
              </w:rPr>
            </w:pPr>
          </w:p>
        </w:tc>
      </w:tr>
      <w:tr>
        <w:trPr>
          <w:trHeight w:val="210"/>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24,368</w:t>
            </w:r>
          </w:p>
        </w:tc>
        <w:tc>
          <w:tcPr>
            <w:tcW w:w="2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331,537</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334,923</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5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197,827</w:t>
            </w:r>
          </w:p>
        </w:tc>
        <w:tc>
          <w:tcPr>
            <w:tcW w:w="3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194,441</w:t>
            </w:r>
          </w:p>
        </w:tc>
      </w:tr>
      <w:tr>
        <w:trPr>
          <w:trHeight w:val="234"/>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5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239,450</w:t>
            </w: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24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236,064</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Operations (Unaudited)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89"/>
              </w:rPr>
              <w:t>As</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Restated</w:t>
            </w:r>
          </w:p>
        </w:tc>
        <w:tc>
          <w:tcPr>
            <w:tcW w:w="0" w:type="dxa"/>
            <w:vAlign w:val="bottom"/>
          </w:tcPr>
          <w:p>
            <w:pPr>
              <w:spacing w:after="0"/>
              <w:rPr>
                <w:sz w:val="1"/>
                <w:szCs w:val="1"/>
                <w:color w:val="auto"/>
              </w:rPr>
            </w:pPr>
          </w:p>
        </w:tc>
      </w:tr>
      <w:tr>
        <w:trPr>
          <w:trHeight w:val="178"/>
        </w:trPr>
        <w:tc>
          <w:tcPr>
            <w:tcW w:w="378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Loss on sale of discontinued operations, net of</w:t>
            </w: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(7,762)</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(11,148)</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(7,762)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(11,148)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(16,236)</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(19,622)</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(9,817)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(13,203)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(0.77)</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(0.94)</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(0.63)</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18"/>
                <w:szCs w:val="18"/>
                <w:color w:val="auto"/>
              </w:rPr>
            </w:pPr>
          </w:p>
        </w:tc>
        <w:tc>
          <w:tcPr>
            <w:tcW w:w="5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20" w:type="dxa"/>
            <w:vAlign w:val="bottom"/>
            <w:gridSpan w:val="5"/>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Comprehensive Income (Loss) (Unaudited)</w:t>
            </w: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4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 2024</w:t>
            </w:r>
          </w:p>
        </w:tc>
        <w:tc>
          <w:tcPr>
            <w:tcW w:w="27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120" w:type="dxa"/>
            <w:vAlign w:val="bottom"/>
          </w:tcPr>
          <w:p>
            <w:pPr>
              <w:spacing w:after="0"/>
              <w:rPr>
                <w:sz w:val="24"/>
                <w:szCs w:val="24"/>
                <w:color w:val="auto"/>
              </w:rPr>
            </w:pP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As</w:t>
            </w:r>
          </w:p>
        </w:tc>
        <w:tc>
          <w:tcPr>
            <w:tcW w:w="0" w:type="dxa"/>
            <w:vAlign w:val="bottom"/>
          </w:tcPr>
          <w:p>
            <w:pPr>
              <w:spacing w:after="0"/>
              <w:rPr>
                <w:sz w:val="1"/>
                <w:szCs w:val="1"/>
                <w:color w:val="auto"/>
              </w:rPr>
            </w:pPr>
          </w:p>
        </w:tc>
      </w:tr>
      <w:tr>
        <w:trPr>
          <w:trHeight w:val="187"/>
        </w:trPr>
        <w:tc>
          <w:tcPr>
            <w:tcW w:w="3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780" w:type="dxa"/>
            <w:vAlign w:val="bottom"/>
          </w:tcPr>
          <w:p>
            <w:pPr>
              <w:spacing w:after="0"/>
              <w:rPr>
                <w:sz w:val="20"/>
                <w:szCs w:val="20"/>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20" w:type="dxa"/>
            <w:vAlign w:val="bottom"/>
          </w:tcPr>
          <w:p>
            <w:pPr>
              <w:spacing w:after="0"/>
              <w:rPr>
                <w:sz w:val="20"/>
                <w:szCs w:val="20"/>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Restated</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(16,950)</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(20,336)</w:t>
            </w: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(11,931)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(15,317)</w:t>
            </w:r>
          </w:p>
        </w:tc>
        <w:tc>
          <w:tcPr>
            <w:tcW w:w="0" w:type="dxa"/>
            <w:vAlign w:val="bottom"/>
          </w:tcPr>
          <w:p>
            <w:pPr>
              <w:spacing w:after="0"/>
              <w:rPr>
                <w:sz w:val="1"/>
                <w:szCs w:val="1"/>
                <w:color w:val="auto"/>
              </w:rPr>
            </w:pPr>
          </w:p>
        </w:tc>
      </w:tr>
      <w:tr>
        <w:trPr>
          <w:trHeight w:val="542"/>
        </w:trPr>
        <w:tc>
          <w:tcPr>
            <w:tcW w:w="3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380" w:type="dxa"/>
            <w:vAlign w:val="bottom"/>
            <w:gridSpan w:val="6"/>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Changes in Shareholders’ Equity (Unaudited)</w:t>
            </w: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80" w:type="dxa"/>
            <w:vAlign w:val="bottom"/>
            <w:gridSpan w:val="9"/>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2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As of and for the Six Months Ended June 30, 2024</w:t>
            </w:r>
          </w:p>
        </w:tc>
      </w:tr>
      <w:tr>
        <w:trPr>
          <w:trHeight w:val="187"/>
        </w:trPr>
        <w:tc>
          <w:tcPr>
            <w:tcW w:w="36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30"/>
              <w:spacing w:after="0" w:line="188" w:lineRule="exact"/>
              <w:rPr>
                <w:sz w:val="20"/>
                <w:szCs w:val="20"/>
                <w:color w:val="auto"/>
              </w:rPr>
            </w:pPr>
            <w:r>
              <w:rPr>
                <w:rFonts w:ascii="Times New Roman" w:cs="Times New Roman" w:eastAsia="Times New Roman" w:hAnsi="Times New Roman"/>
                <w:sz w:val="18"/>
                <w:szCs w:val="18"/>
                <w:b w:val="1"/>
                <w:bCs w:val="1"/>
                <w:color w:val="auto"/>
              </w:rPr>
              <w:t>As</w:t>
            </w: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As</w:t>
            </w:r>
          </w:p>
        </w:tc>
        <w:tc>
          <w:tcPr>
            <w:tcW w:w="100" w:type="dxa"/>
            <w:vAlign w:val="bottom"/>
          </w:tcPr>
          <w:p>
            <w:pPr>
              <w:spacing w:after="0"/>
              <w:rPr>
                <w:sz w:val="16"/>
                <w:szCs w:val="16"/>
                <w:color w:val="auto"/>
              </w:rPr>
            </w:pPr>
          </w:p>
        </w:tc>
      </w:tr>
      <w:tr>
        <w:trPr>
          <w:trHeight w:val="238"/>
        </w:trPr>
        <w:tc>
          <w:tcPr>
            <w:tcW w:w="368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00" w:type="dxa"/>
            <w:vAlign w:val="bottom"/>
          </w:tcPr>
          <w:p>
            <w:pPr>
              <w:spacing w:after="0"/>
              <w:rPr>
                <w:sz w:val="20"/>
                <w:szCs w:val="20"/>
                <w:color w:val="auto"/>
              </w:rPr>
            </w:pPr>
          </w:p>
        </w:tc>
        <w:tc>
          <w:tcPr>
            <w:tcW w:w="12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c>
          <w:tcPr>
            <w:tcW w:w="140" w:type="dxa"/>
            <w:vAlign w:val="bottom"/>
          </w:tcPr>
          <w:p>
            <w:pPr>
              <w:spacing w:after="0"/>
              <w:rPr>
                <w:sz w:val="20"/>
                <w:szCs w:val="20"/>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Restated</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Restated</w:t>
            </w: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7"/>
              </w:rPr>
              <w:t>(3,386)</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(19,622)</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3"/>
              </w:rPr>
              <w:t>(3,386)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197,827</w:t>
            </w:r>
          </w:p>
        </w:tc>
        <w:tc>
          <w:tcPr>
            <w:tcW w:w="58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194,441</w:t>
            </w:r>
          </w:p>
        </w:tc>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197,827</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194,441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239,450</w:t>
            </w:r>
          </w:p>
        </w:tc>
        <w:tc>
          <w:tcPr>
            <w:tcW w:w="580" w:type="dxa"/>
            <w:vAlign w:val="bottom"/>
            <w:gridSpan w:val="2"/>
            <w:shd w:val="clear" w:color="auto" w:fill="CCEEFF"/>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(3,386)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236,064</w:t>
            </w:r>
          </w:p>
        </w:tc>
        <w:tc>
          <w:tcPr>
            <w:tcW w:w="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239,450</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236,064</w:t>
            </w:r>
          </w:p>
        </w:tc>
      </w:tr>
      <w:tr>
        <w:trPr>
          <w:trHeight w:val="432"/>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Consolidated Statements of Cash Flows (Unaudited)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40" w:type="dxa"/>
            <w:vAlign w:val="bottom"/>
            <w:gridSpan w:val="1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r>
      <w:tr>
        <w:trPr>
          <w:trHeight w:val="223"/>
        </w:trPr>
        <w:tc>
          <w:tcPr>
            <w:tcW w:w="3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As Reported</w:t>
            </w:r>
          </w:p>
        </w:tc>
        <w:tc>
          <w:tcPr>
            <w:tcW w:w="2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As Restated</w:t>
            </w:r>
          </w:p>
        </w:tc>
        <w:tc>
          <w:tcPr>
            <w:tcW w:w="100" w:type="dxa"/>
            <w:vAlign w:val="bottom"/>
          </w:tcPr>
          <w:p>
            <w:pPr>
              <w:spacing w:after="0"/>
              <w:rPr>
                <w:sz w:val="19"/>
                <w:szCs w:val="19"/>
                <w:color w:val="auto"/>
              </w:rPr>
            </w:pPr>
          </w:p>
        </w:tc>
      </w:tr>
      <w:tr>
        <w:trPr>
          <w:trHeight w:val="209"/>
        </w:trPr>
        <w:tc>
          <w:tcPr>
            <w:tcW w:w="3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(9,817)</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Net cash flows from operating activities – loss on sale of discontinued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15,865</w:t>
            </w:r>
          </w:p>
        </w:tc>
        <w:tc>
          <w:tcPr>
            <w:tcW w:w="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19,251</w:t>
            </w:r>
          </w:p>
        </w:tc>
      </w:tr>
      <w:tr>
        <w:trPr>
          <w:trHeight w:val="216"/>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adjustments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43,065</w:t>
            </w:r>
          </w:p>
        </w:tc>
        <w:tc>
          <w:tcPr>
            <w:tcW w:w="400" w:type="dxa"/>
            <w:vAlign w:val="bottom"/>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46,451</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notes to the consolidated financial statements as well as Management’s Discussion and Analysis of Financial Condition and Results of Operations were also amended as necessary as a result of the restatements outlined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22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For information regarding accounting pronouncements that the Company adopted during the periods presented, see Item II, Part 8, Note 2 “Recent Accounting Pronouncements” section of the 2023 Annual Report.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2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Improvements to Reportable Segment Disclosures – In November 2023, the Financial Accounting Standards Board (“FASB”) issued guidance related to improving disclosures for reportable segments primarily through enhanced disclosures about significant segment expenses that are provided to the chief operating decision maker (“CODM”). This guidance also requires disclosure of the title and position of the CODM and an explanation of how the CODM uses the reported measures of segment profit or loss in assessing segment performance and deciding how to allocate resources. The amendments in this update are effective for fiscal years beginning after December 15, 2023, and interim periods within fiscal years beginning after December 15, 2024. We are currently evaluating the impact of the new standard on our consolidated financial statements, which is expected to result in enhanced disclosures.</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Improvements to Income Tax Disclosures – In December 2023, the FASB issued guidance related to improving income tax disclosures. This guidance requires that an entity, on an annual basis, disclose additional income tax information, primarily related to the rate reconciliation and income taxes paid. The guidance is intended to enhance the transparency and decision usefulness of income tax disclosures. The amendments in this update are effective for annual periods beginning after December 15, 2024. We are currently evaluating the impact of the new standard on our consolidated financial statements, which is expected to result in enhanced disclosures.</w:t>
      </w:r>
    </w:p>
    <w:p>
      <w:pPr>
        <w:spacing w:after="0" w:line="200" w:lineRule="exact"/>
        <w:rPr>
          <w:sz w:val="20"/>
          <w:szCs w:val="20"/>
          <w:color w:val="auto"/>
        </w:rPr>
      </w:pPr>
    </w:p>
    <w:p>
      <w:pPr>
        <w:spacing w:after="0" w:line="3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29" w:lineRule="exact"/>
        <w:rPr>
          <w:sz w:val="20"/>
          <w:szCs w:val="20"/>
          <w:color w:val="auto"/>
        </w:rPr>
      </w:pPr>
    </w:p>
    <w:p>
      <w:pPr>
        <w:ind w:left="20" w:right="46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presented on a consolidated basis, including both continuing and discontinued operations, as of September 30, 2024, and December 31, 2023,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86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4"/>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11,061</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11,129</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49,093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(3,721)</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45,949</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121,047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1,182</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(5,513)</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116,716</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49,700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46,653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30,249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27,979</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56,765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(2,768)</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54,807</w:t>
            </w:r>
          </w:p>
        </w:tc>
      </w:tr>
      <w:tr>
        <w:trPr>
          <w:trHeight w:val="229"/>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3,484</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321,652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4"/>
          </w:tcPr>
          <w:p>
            <w:pPr>
              <w:ind w:left="4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Amortized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40" w:type="dxa"/>
            <w:vAlign w:val="bottom"/>
          </w:tcPr>
          <w:p>
            <w:pPr>
              <w:spacing w:after="0"/>
              <w:rPr>
                <w:sz w:val="20"/>
                <w:szCs w:val="20"/>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10,998</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10,262</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55,769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(4,716)</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51,461</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152,630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(10,856)</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142,216</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66,362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(5,379)</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61,163</w:t>
            </w: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33,532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(4,241)</w:t>
            </w: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29,439</w:t>
            </w:r>
          </w:p>
        </w:tc>
      </w:tr>
      <w:tr>
        <w:trPr>
          <w:trHeight w:val="21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52,692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(3,805)</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49,029</w:t>
            </w:r>
          </w:p>
        </w:tc>
      </w:tr>
      <w:tr>
        <w:trPr>
          <w:trHeight w:val="230"/>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4,747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8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4,161</w:t>
            </w:r>
          </w:p>
        </w:tc>
      </w:tr>
      <w:tr>
        <w:trPr>
          <w:trHeight w:val="223"/>
        </w:trPr>
        <w:tc>
          <w:tcPr>
            <w:tcW w:w="51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25"/>
        </w:trPr>
        <w:tc>
          <w:tcPr>
            <w:tcW w:w="5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reconciliation of the amortized cost and estimated fair value of fixed income securities for continuing and discontinued operations as of September 30, 2024, and December 31, 2023,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880"/>
              <w:spacing w:after="0"/>
              <w:rPr>
                <w:sz w:val="20"/>
                <w:szCs w:val="20"/>
                <w:color w:val="auto"/>
              </w:rPr>
            </w:pPr>
            <w:r>
              <w:rPr>
                <w:rFonts w:ascii="Times New Roman" w:cs="Times New Roman" w:eastAsia="Times New Roman" w:hAnsi="Times New Roman"/>
                <w:sz w:val="18"/>
                <w:szCs w:val="18"/>
                <w:b w:val="1"/>
                <w:bCs w:val="1"/>
                <w:color w:val="auto"/>
                <w:w w:val="99"/>
              </w:rPr>
              <w:t>September 30, 2024</w:t>
            </w: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87"/>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321,652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(18,291)</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306,717</w:t>
            </w:r>
          </w:p>
        </w:tc>
        <w:tc>
          <w:tcPr>
            <w:tcW w:w="80" w:type="dxa"/>
            <w:vAlign w:val="bottom"/>
          </w:tcPr>
          <w:p>
            <w:pPr>
              <w:spacing w:after="0"/>
              <w:rPr>
                <w:sz w:val="18"/>
                <w:szCs w:val="18"/>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321,652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7"/>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Allowance for</w:t>
            </w:r>
          </w:p>
        </w:tc>
        <w:tc>
          <w:tcPr>
            <w:tcW w:w="180" w:type="dxa"/>
            <w:vAlign w:val="bottom"/>
          </w:tcPr>
          <w:p>
            <w:pPr>
              <w:spacing w:after="0"/>
              <w:rPr>
                <w:sz w:val="16"/>
                <w:szCs w:val="16"/>
                <w:color w:val="auto"/>
              </w:rPr>
            </w:pPr>
          </w:p>
        </w:tc>
        <w:tc>
          <w:tcPr>
            <w:tcW w:w="104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60" w:type="dxa"/>
            <w:vAlign w:val="bottom"/>
          </w:tcPr>
          <w:p>
            <w:pPr>
              <w:spacing w:after="0"/>
              <w:rPr>
                <w:sz w:val="16"/>
                <w:szCs w:val="16"/>
                <w:color w:val="auto"/>
              </w:rPr>
            </w:pPr>
          </w:p>
        </w:tc>
        <w:tc>
          <w:tcPr>
            <w:tcW w:w="1060" w:type="dxa"/>
            <w:vAlign w:val="bottom"/>
            <w:gridSpan w:val="2"/>
          </w:tcPr>
          <w:p>
            <w:pPr>
              <w:ind w:left="10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160" w:type="dxa"/>
            <w:vAlign w:val="bottom"/>
          </w:tcPr>
          <w:p>
            <w:pPr>
              <w:spacing w:after="0"/>
              <w:rPr>
                <w:sz w:val="18"/>
                <w:szCs w:val="18"/>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40" w:type="dxa"/>
            <w:vAlign w:val="bottom"/>
          </w:tcPr>
          <w:p>
            <w:pPr>
              <w:spacing w:after="0"/>
              <w:rPr>
                <w:sz w:val="18"/>
                <w:szCs w:val="18"/>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Expected</w:t>
            </w:r>
          </w:p>
        </w:tc>
        <w:tc>
          <w:tcPr>
            <w:tcW w:w="1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5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Credit Losses</w:t>
            </w:r>
          </w:p>
        </w:tc>
        <w:tc>
          <w:tcPr>
            <w:tcW w:w="180" w:type="dxa"/>
            <w:vAlign w:val="bottom"/>
          </w:tcPr>
          <w:p>
            <w:pPr>
              <w:spacing w:after="0"/>
              <w:rPr>
                <w:sz w:val="20"/>
                <w:szCs w:val="20"/>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80" w:type="dxa"/>
            <w:vAlign w:val="bottom"/>
          </w:tcPr>
          <w:p>
            <w:pPr>
              <w:spacing w:after="0"/>
              <w:rPr>
                <w:sz w:val="20"/>
                <w:szCs w:val="20"/>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313,182</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(24,899)</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289,399</w:t>
            </w:r>
          </w:p>
        </w:tc>
        <w:tc>
          <w:tcPr>
            <w:tcW w:w="80" w:type="dxa"/>
            <w:vAlign w:val="bottom"/>
          </w:tcPr>
          <w:p>
            <w:pPr>
              <w:spacing w:after="0"/>
              <w:rPr>
                <w:sz w:val="18"/>
                <w:szCs w:val="18"/>
                <w:color w:val="auto"/>
              </w:rPr>
            </w:pPr>
          </w:p>
        </w:tc>
      </w:tr>
      <w:tr>
        <w:trPr>
          <w:trHeight w:val="229"/>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63,548</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(5,420)</w:t>
            </w:r>
          </w:p>
        </w:tc>
        <w:tc>
          <w:tcPr>
            <w:tcW w:w="8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58,332</w:t>
            </w:r>
          </w:p>
        </w:tc>
      </w:tr>
      <w:tr>
        <w:trPr>
          <w:trHeight w:val="223"/>
        </w:trPr>
        <w:tc>
          <w:tcPr>
            <w:tcW w:w="51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40"/>
        <w:spacing w:after="0" w:line="266"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presented on a consolidated basis, including both continuing and discontinued operations, are shown below. Actual maturities could differ from contractual maturities because issuers may have the right to call or prepay these securities.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4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4,864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4,809</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59,189</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74,235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71,361</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41,498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38,435</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136,714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129,439</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3,484</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321,652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40" w:type="dxa"/>
            <w:vAlign w:val="bottom"/>
            <w:gridSpan w:val="7"/>
          </w:tcPr>
          <w:p>
            <w:pPr>
              <w:ind w:left="26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55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4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gridSpan w:val="2"/>
          </w:tcPr>
          <w:p>
            <w:pPr>
              <w:spacing w:after="0"/>
              <w:rPr>
                <w:sz w:val="19"/>
                <w:szCs w:val="19"/>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29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One year or less</w:t>
            </w:r>
          </w:p>
        </w:tc>
        <w:tc>
          <w:tcPr>
            <w:tcW w:w="3260" w:type="dxa"/>
            <w:vAlign w:val="bottom"/>
            <w:gridSpan w:val="2"/>
          </w:tcPr>
          <w:p>
            <w:pPr>
              <w:ind w:left="29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9,612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9,436</w:t>
            </w:r>
          </w:p>
        </w:tc>
        <w:tc>
          <w:tcPr>
            <w:tcW w:w="80" w:type="dxa"/>
            <w:vAlign w:val="bottom"/>
          </w:tcPr>
          <w:p>
            <w:pPr>
              <w:spacing w:after="0"/>
              <w:rPr>
                <w:sz w:val="18"/>
                <w:szCs w:val="18"/>
                <w:color w:val="auto"/>
              </w:rPr>
            </w:pP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72,602</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86,185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79,281</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After ten years</w:t>
            </w:r>
          </w:p>
        </w:tc>
        <w:tc>
          <w:tcPr>
            <w:tcW w:w="29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47,806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42,620</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152,586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139,631</w:t>
            </w:r>
          </w:p>
        </w:tc>
        <w:tc>
          <w:tcPr>
            <w:tcW w:w="80" w:type="dxa"/>
            <w:vAlign w:val="bottom"/>
          </w:tcPr>
          <w:p>
            <w:pPr>
              <w:spacing w:after="0"/>
              <w:rPr>
                <w:sz w:val="18"/>
                <w:szCs w:val="18"/>
                <w:color w:val="auto"/>
              </w:rPr>
            </w:pPr>
          </w:p>
        </w:tc>
      </w:tr>
      <w:tr>
        <w:trPr>
          <w:trHeight w:val="230"/>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9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4,161</w:t>
            </w:r>
          </w:p>
        </w:tc>
        <w:tc>
          <w:tcPr>
            <w:tcW w:w="80" w:type="dxa"/>
            <w:vAlign w:val="bottom"/>
            <w:shd w:val="clear" w:color="auto" w:fill="CCEEFF"/>
          </w:tcPr>
          <w:p>
            <w:pPr>
              <w:spacing w:after="0"/>
              <w:rPr>
                <w:sz w:val="19"/>
                <w:szCs w:val="19"/>
                <w:color w:val="auto"/>
              </w:rPr>
            </w:pPr>
          </w:p>
        </w:tc>
      </w:tr>
      <w:tr>
        <w:trPr>
          <w:trHeight w:val="223"/>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9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376,730</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10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$5,856 at September 30, 2024, and $6,403 at December 31, 2023, were deposited with various state regulatory agencies as required by law. The Company has not pledged any assets to secure any obligations.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28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presented on a consolidated basis, including both continuing and discontinued operations, are shown below. Investments with unrealized losses are categorized with a duration of greater than 12 months when all positions of a security have continually been in a loss position for at least 12 months.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30,062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(3,704)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31,539</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(3,721)</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78,737</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(5,513)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79,236</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25,185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(3,409)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25,185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20,032</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(2,470)</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20,032</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(2,470)</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21,761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22,011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9"/>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3,484</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183,756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(736)</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5,239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(359)</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36,194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(4,357)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41,433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8,018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110,117</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(10,763)</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118,135</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(10,856)</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12,054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33,341</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(5,275)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45,395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w:t>
            </w:r>
          </w:p>
        </w:tc>
      </w:tr>
      <w:tr>
        <w:trPr>
          <w:trHeight w:val="216"/>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tcPr>
          <w:p>
            <w:pPr>
              <w:spacing w:after="0"/>
              <w:rPr>
                <w:sz w:val="18"/>
                <w:szCs w:val="18"/>
                <w:color w:val="auto"/>
              </w:rPr>
            </w:pP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23,713</w:t>
            </w:r>
          </w:p>
        </w:tc>
        <w:tc>
          <w:tcPr>
            <w:tcW w:w="18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(4,236)</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26,391</w:t>
            </w:r>
          </w:p>
        </w:tc>
        <w:tc>
          <w:tcPr>
            <w:tcW w:w="1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(4,241)</w:t>
            </w:r>
          </w:p>
        </w:tc>
      </w:tr>
      <w:tr>
        <w:trPr>
          <w:trHeight w:val="216"/>
        </w:trPr>
        <w:tc>
          <w:tcPr>
            <w:tcW w:w="39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30,200</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(3,787)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34,663</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30"/>
        </w:trPr>
        <w:tc>
          <w:tcPr>
            <w:tcW w:w="3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1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8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(586)</w:t>
            </w:r>
          </w:p>
        </w:tc>
        <w:tc>
          <w:tcPr>
            <w:tcW w:w="1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4,161</w:t>
            </w: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10"/>
        </w:trPr>
        <w:tc>
          <w:tcPr>
            <w:tcW w:w="394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Borders>
              <w:top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554"/>
        </w:trPr>
        <w:tc>
          <w:tcPr>
            <w:tcW w:w="3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The reconciliation for continuing and discontinued operations by duration of the Company’s gross unrealized losses on fixed income securities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tcBorders>
              <w:top w:val="single" w:sz="8" w:color="auto"/>
            </w:tcBorders>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0"/>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2,226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183,756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(18,274)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185,982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(18,291)</w:t>
            </w:r>
          </w:p>
        </w:tc>
      </w:tr>
      <w:tr>
        <w:trPr>
          <w:trHeight w:val="229"/>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9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183,756</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185,982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(18,291</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439"/>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3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9"/>
                <w:szCs w:val="19"/>
                <w:color w:val="auto"/>
              </w:rPr>
            </w:pPr>
          </w:p>
        </w:tc>
        <w:tc>
          <w:tcPr>
            <w:tcW w:w="2300" w:type="dxa"/>
            <w:vAlign w:val="bottom"/>
            <w:gridSpan w:val="5"/>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20" w:type="dxa"/>
            <w:vAlign w:val="bottom"/>
            <w:tcBorders>
              <w:top w:val="single" w:sz="8" w:color="auto"/>
            </w:tcBorders>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right"/>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20" w:type="dxa"/>
            <w:vAlign w:val="bottom"/>
            <w:tcBorders>
              <w:top w:val="single" w:sz="8" w:color="auto"/>
            </w:tcBorders>
            <w:gridSpan w:val="2"/>
          </w:tcPr>
          <w:p>
            <w:pPr>
              <w:jc w:val="right"/>
              <w:ind w:right="50"/>
              <w:spacing w:after="0" w:line="188"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8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09"/>
        </w:trPr>
        <w:tc>
          <w:tcPr>
            <w:tcW w:w="3940" w:type="dxa"/>
            <w:vAlign w:val="bottom"/>
            <w:tcBorders>
              <w:top w:val="single" w:sz="8" w:color="CCEEFF"/>
            </w:tcBorders>
            <w:shd w:val="clear" w:color="auto" w:fill="CCEEFF"/>
          </w:tcPr>
          <w:p>
            <w:pPr>
              <w:jc w:val="right"/>
              <w:ind w:right="2090"/>
              <w:spacing w:after="0"/>
              <w:rPr>
                <w:sz w:val="20"/>
                <w:szCs w:val="20"/>
                <w:color w:val="auto"/>
              </w:rPr>
            </w:pPr>
            <w:r>
              <w:rPr>
                <w:rFonts w:ascii="Times New Roman" w:cs="Times New Roman" w:eastAsia="Times New Roman" w:hAnsi="Times New Roman"/>
                <w:sz w:val="18"/>
                <w:szCs w:val="18"/>
                <w:color w:val="auto"/>
                <w:w w:val="98"/>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40" w:type="dxa"/>
            <w:vAlign w:val="bottom"/>
          </w:tcPr>
          <w:p>
            <w:pPr>
              <w:jc w:val="right"/>
              <w:ind w:right="2090"/>
              <w:spacing w:after="0"/>
              <w:rPr>
                <w:sz w:val="20"/>
                <w:szCs w:val="20"/>
                <w:color w:val="auto"/>
              </w:rPr>
            </w:pPr>
            <w:r>
              <w:rPr>
                <w:rFonts w:ascii="Times New Roman" w:cs="Times New Roman" w:eastAsia="Times New Roman" w:hAnsi="Times New Roman"/>
                <w:sz w:val="18"/>
                <w:szCs w:val="18"/>
                <w:color w:val="auto"/>
              </w:rPr>
              <w:t>Continuing operations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211,367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(24,390)</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235,416</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(24,899)</w:t>
            </w:r>
          </w:p>
        </w:tc>
      </w:tr>
      <w:tr>
        <w:trPr>
          <w:trHeight w:val="230"/>
        </w:trPr>
        <w:tc>
          <w:tcPr>
            <w:tcW w:w="3940" w:type="dxa"/>
            <w:vAlign w:val="bottom"/>
            <w:shd w:val="clear" w:color="auto" w:fill="CCEEFF"/>
          </w:tcPr>
          <w:p>
            <w:pPr>
              <w:jc w:val="right"/>
              <w:ind w:right="1930"/>
              <w:spacing w:after="0"/>
              <w:rPr>
                <w:sz w:val="20"/>
                <w:szCs w:val="20"/>
                <w:color w:val="auto"/>
              </w:rPr>
            </w:pPr>
            <w:r>
              <w:rPr>
                <w:rFonts w:ascii="Times New Roman" w:cs="Times New Roman" w:eastAsia="Times New Roman" w:hAnsi="Times New Roman"/>
                <w:sz w:val="18"/>
                <w:szCs w:val="18"/>
                <w:color w:val="auto"/>
              </w:rPr>
              <w:t>Discontinued operations</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8,403</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35,377</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(5,350)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43,780</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(5,420)</w:t>
            </w:r>
          </w:p>
        </w:tc>
      </w:tr>
      <w:tr>
        <w:trPr>
          <w:trHeight w:val="209"/>
        </w:trPr>
        <w:tc>
          <w:tcPr>
            <w:tcW w:w="3940" w:type="dxa"/>
            <w:vAlign w:val="bottom"/>
          </w:tcPr>
          <w:p>
            <w:pPr>
              <w:jc w:val="right"/>
              <w:ind w:right="145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32,452</w:t>
            </w:r>
          </w:p>
        </w:tc>
        <w:tc>
          <w:tcPr>
            <w:tcW w:w="24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4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246,744</w:t>
            </w: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(29,740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279,196</w:t>
            </w:r>
          </w:p>
        </w:tc>
        <w:tc>
          <w:tcPr>
            <w:tcW w:w="2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(30,319</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We, along with our investment advisor, frequently review our investment portfolio for declines in fair value that could be indicative of credit losses. Beginning on December 31, 2022, credit losses are recognized through an allowance account. We consider a number of factors when determining if an allowance for credit losses is necessary, including payment and default history, credit spreads, credit ratings and rating actions, and probability of default. We determine the credit loss component of fixed income investments by utilizing discounted cash flow modeling to determine the present value of the security and comparing the present value with the amortized cost of the security. We did not recognize any credit losses for fixed income securities at the time of adoption of the new credit loss accounting standard and have not recognized any credit losses for fixed income securities since adoption of the credit loss standard. Therefore, there were no beginning or ending balances of credit losses during the nine months ended September 30, 2024 or the year ended December 31, 2023. See Item II, Part 8, Note 3 “Summary of Significant Accounting Policies” section of the 2023 Annual Report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for continuing and discontinued operations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4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82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3,025</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8,521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6,828</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Real estate</w:t>
            </w:r>
          </w:p>
        </w:tc>
        <w:tc>
          <w:tcPr>
            <w:tcW w:w="10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389</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1,258</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w:t>
            </w:r>
          </w:p>
        </w:tc>
      </w:tr>
      <w:tr>
        <w:trPr>
          <w:trHeight w:val="210"/>
        </w:trPr>
        <w:tc>
          <w:tcPr>
            <w:tcW w:w="45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1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3,712</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Pr>
          <w:p>
            <w:pPr>
              <w:spacing w:after="0"/>
              <w:rPr>
                <w:sz w:val="18"/>
                <w:szCs w:val="18"/>
                <w:color w:val="auto"/>
              </w:rPr>
            </w:pPr>
          </w:p>
        </w:tc>
      </w:tr>
      <w:tr>
        <w:trPr>
          <w:trHeight w:val="23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expenses</w:t>
            </w: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901</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2,600</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2,346</w:t>
            </w:r>
          </w:p>
        </w:tc>
      </w:tr>
      <w:tr>
        <w:trPr>
          <w:trHeight w:val="21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 continuing operations</w:t>
            </w:r>
          </w:p>
        </w:tc>
        <w:tc>
          <w:tcPr>
            <w:tcW w:w="10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00" w:type="dxa"/>
            <w:vAlign w:val="bottom"/>
          </w:tcPr>
          <w:p>
            <w:pPr>
              <w:spacing w:after="0"/>
              <w:rPr>
                <w:sz w:val="18"/>
                <w:szCs w:val="18"/>
                <w:color w:val="auto"/>
              </w:rPr>
            </w:pPr>
          </w:p>
        </w:tc>
      </w:tr>
      <w:tr>
        <w:trPr>
          <w:trHeight w:val="22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 discontinued operations</w:t>
            </w:r>
          </w:p>
        </w:tc>
        <w:tc>
          <w:tcPr>
            <w:tcW w:w="10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629</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1,419</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1,759</w:t>
            </w:r>
          </w:p>
        </w:tc>
      </w:tr>
      <w:tr>
        <w:trPr>
          <w:trHeight w:val="223"/>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00" w:type="dxa"/>
            <w:vAlign w:val="bottom"/>
          </w:tcPr>
          <w:p>
            <w:pPr>
              <w:spacing w:after="0"/>
              <w:rPr>
                <w:sz w:val="19"/>
                <w:szCs w:val="19"/>
                <w:color w:val="auto"/>
              </w:rPr>
            </w:pPr>
          </w:p>
        </w:tc>
        <w:tc>
          <w:tcPr>
            <w:tcW w:w="8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2,811</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7,494</w:t>
            </w:r>
          </w:p>
        </w:tc>
        <w:tc>
          <w:tcPr>
            <w:tcW w:w="100" w:type="dxa"/>
            <w:vAlign w:val="bottom"/>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5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16</w:t>
            </w: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investment gains (losses) for continuing and discontinued operations consisted of the following:</w:t>
            </w: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54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272</w:t>
            </w:r>
          </w:p>
        </w:tc>
        <w:tc>
          <w:tcPr>
            <w:tcW w:w="300" w:type="dxa"/>
            <w:vAlign w:val="bottom"/>
          </w:tcPr>
          <w:p>
            <w:pPr>
              <w:spacing w:after="0"/>
              <w:rPr>
                <w:sz w:val="19"/>
                <w:szCs w:val="19"/>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689</w:t>
            </w:r>
          </w:p>
        </w:tc>
        <w:tc>
          <w:tcPr>
            <w:tcW w:w="240" w:type="dxa"/>
            <w:vAlign w:val="bottom"/>
          </w:tcPr>
          <w:p>
            <w:pPr>
              <w:spacing w:after="0"/>
              <w:rPr>
                <w:sz w:val="19"/>
                <w:szCs w:val="19"/>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653</w:t>
            </w:r>
          </w:p>
        </w:tc>
        <w:tc>
          <w:tcPr>
            <w:tcW w:w="26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13,707</w:t>
            </w:r>
          </w:p>
        </w:tc>
      </w:tr>
      <w:tr>
        <w:trPr>
          <w:trHeight w:val="209"/>
        </w:trPr>
        <w:tc>
          <w:tcPr>
            <w:tcW w:w="554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Fixed income securities</w:t>
            </w:r>
          </w:p>
        </w:tc>
        <w:tc>
          <w:tcPr>
            <w:tcW w:w="26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(203)</w:t>
            </w:r>
          </w:p>
        </w:tc>
        <w:tc>
          <w:tcPr>
            <w:tcW w:w="300" w:type="dxa"/>
            <w:vAlign w:val="bottom"/>
          </w:tcPr>
          <w:p>
            <w:pPr>
              <w:spacing w:after="0"/>
              <w:rPr>
                <w:sz w:val="18"/>
                <w:szCs w:val="18"/>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(218)</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29"/>
        </w:trPr>
        <w:tc>
          <w:tcPr>
            <w:tcW w:w="5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(175)</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9"/>
        </w:trPr>
        <w:tc>
          <w:tcPr>
            <w:tcW w:w="554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gross realized losses, excluding credit impairment losses</w:t>
            </w: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80" w:type="dxa"/>
            <w:vAlign w:val="bottom"/>
            <w:tcBorders>
              <w:bottom w:val="single" w:sz="8" w:color="CCEEFF"/>
            </w:tcBorders>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5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realized gains (losses)</w:t>
            </w:r>
          </w:p>
        </w:tc>
        <w:tc>
          <w:tcPr>
            <w:tcW w:w="260" w:type="dxa"/>
            <w:vAlign w:val="bottom"/>
          </w:tcPr>
          <w:p>
            <w:pPr>
              <w:spacing w:after="0"/>
              <w:rPr>
                <w:sz w:val="18"/>
                <w:szCs w:val="18"/>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45</w:t>
            </w:r>
          </w:p>
        </w:tc>
        <w:tc>
          <w:tcPr>
            <w:tcW w:w="300" w:type="dxa"/>
            <w:vAlign w:val="bottom"/>
          </w:tcPr>
          <w:p>
            <w:pPr>
              <w:spacing w:after="0"/>
              <w:rPr>
                <w:sz w:val="18"/>
                <w:szCs w:val="18"/>
                <w:color w:val="auto"/>
              </w:rPr>
            </w:pPr>
          </w:p>
        </w:tc>
        <w:tc>
          <w:tcPr>
            <w:tcW w:w="11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509</w:t>
            </w:r>
          </w:p>
        </w:tc>
        <w:tc>
          <w:tcPr>
            <w:tcW w:w="2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12,046</w:t>
            </w:r>
          </w:p>
        </w:tc>
      </w:tr>
      <w:tr>
        <w:trPr>
          <w:trHeight w:val="216"/>
        </w:trPr>
        <w:tc>
          <w:tcPr>
            <w:tcW w:w="5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26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2,367</w:t>
            </w:r>
          </w:p>
        </w:tc>
        <w:tc>
          <w:tcPr>
            <w:tcW w:w="30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tcPr>
          <w:p>
            <w:pPr>
              <w:spacing w:after="0"/>
              <w:rPr>
                <w:sz w:val="19"/>
                <w:szCs w:val="19"/>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(11,771)</w:t>
            </w: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 – continuing operations</w:t>
            </w: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 discontinued operations</w:t>
            </w:r>
          </w:p>
        </w:tc>
        <w:tc>
          <w:tcPr>
            <w:tcW w:w="26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(272)</w:t>
            </w:r>
          </w:p>
        </w:tc>
        <w:tc>
          <w:tcPr>
            <w:tcW w:w="240" w:type="dxa"/>
            <w:vAlign w:val="bottom"/>
          </w:tcPr>
          <w:p>
            <w:pPr>
              <w:spacing w:after="0"/>
              <w:rPr>
                <w:sz w:val="19"/>
                <w:szCs w:val="19"/>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116</w:t>
            </w:r>
          </w:p>
        </w:tc>
        <w:tc>
          <w:tcPr>
            <w:tcW w:w="2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20" w:right="8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81" w:lineRule="exact"/>
        <w:rPr>
          <w:sz w:val="20"/>
          <w:szCs w:val="20"/>
          <w:color w:val="auto"/>
        </w:rPr>
      </w:pPr>
    </w:p>
    <w:p>
      <w:pPr>
        <w:ind w:left="1960" w:right="520" w:hanging="1295"/>
        <w:spacing w:after="0" w:line="262"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1:</w:t>
      </w:r>
      <w:r>
        <w:rPr>
          <w:sz w:val="20"/>
          <w:szCs w:val="20"/>
          <w:color w:val="auto"/>
        </w:rPr>
        <w:tab/>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ind w:left="1960" w:right="60" w:hanging="1295"/>
        <w:spacing w:after="0" w:line="250"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Level 2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 relationship to other benchmark quoted prices.</w:t>
      </w:r>
    </w:p>
    <w:p>
      <w:pPr>
        <w:spacing w:after="0" w:line="2" w:lineRule="exact"/>
        <w:rPr>
          <w:sz w:val="20"/>
          <w:szCs w:val="20"/>
          <w:color w:val="auto"/>
        </w:rPr>
      </w:pPr>
    </w:p>
    <w:p>
      <w:pPr>
        <w:ind w:left="1960" w:right="160" w:hanging="1295"/>
        <w:spacing w:after="0" w:line="260" w:lineRule="auto"/>
        <w:tabs>
          <w:tab w:leader="none" w:pos="1940" w:val="left"/>
        </w:tabs>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81" w:lineRule="exact"/>
        <w:rPr>
          <w:sz w:val="20"/>
          <w:szCs w:val="20"/>
          <w:color w:val="auto"/>
        </w:rPr>
      </w:pPr>
    </w:p>
    <w:p>
      <w:pPr>
        <w:ind w:left="20" w:right="4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consolidated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w:t>
      </w:r>
    </w:p>
    <w:p>
      <w:pPr>
        <w:spacing w:after="0" w:line="19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first attempt to obtain a fair value estimate from our third-party investment advisor who utilizes different independent pricing services. If unsuccessful,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the Company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3 investment.</w:t>
      </w:r>
    </w:p>
    <w:p>
      <w:pPr>
        <w:spacing w:after="0" w:line="19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fair value estimates of our investments provided by the independent pricing service at each period-end were utilized, among other resources, in reaching a conclusion as to the fair value of its investments.</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We also use information from our third-party investment advisor who utilizes different independent pricing services to further validate the reasonableness of the valuation of our fixed income portfolio. If, after this review, management does not believe the pricing for any security is a reasonable estimate of fair value, then it will seek to resolve the discrepancy through discussions with the independent pricing service. In its review, management did not identify any such discrepancies and no adjustments were made to the estimates provided by the independent pricing service for the three or nine months ended September 30, 2024, or the year ended December 31, 2023. The classification within the fair value hierarchy is then confirmed based on the final conclusions from the pricing review.</w:t>
      </w:r>
    </w:p>
    <w:p>
      <w:pPr>
        <w:spacing w:after="0" w:line="18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valuation of money market accounts and equity securities are generally based on Level 1 inputs, which use the market-approach valuation technique. The valuation of certain cash equivalents and our fixed income securities generally incorporates significant Level 2 inputs using the market and income approach techniques. We may assign a lower level to inputs typically considered to be Level 2 based on our assessment of liquidity and relative level of uncertainty surrounding inputs. There were no assets or liabilities classified at Level 3 at September 30, 2024, or December 31, 2023.</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225" w:right="35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following tables, presented on a consolidated basis, including both continuing and discontinued operations, set forth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2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11,129</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11,129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116,716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116,716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46,653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46,653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54,807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25,578</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09"/>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4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10"/>
        </w:trPr>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3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10,262</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142,216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61,163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29,439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49,029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25,890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25,890</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1,877</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5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10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19,412</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5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0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ind w:left="1000"/>
              <w:spacing w:after="0"/>
              <w:rPr>
                <w:sz w:val="20"/>
                <w:szCs w:val="20"/>
                <w:color w:val="auto"/>
              </w:rPr>
            </w:pPr>
            <w:r>
              <w:rPr>
                <w:rFonts w:ascii="Times New Roman" w:cs="Times New Roman" w:eastAsia="Times New Roman" w:hAnsi="Times New Roman"/>
                <w:sz w:val="18"/>
                <w:szCs w:val="18"/>
                <w:color w:val="auto"/>
              </w:rPr>
              <w:t>19</w:t>
            </w: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640"/>
        <w:spacing w:after="0" w:line="282" w:lineRule="auto"/>
        <w:rPr>
          <w:sz w:val="20"/>
          <w:szCs w:val="20"/>
          <w:color w:val="auto"/>
        </w:rPr>
      </w:pPr>
      <w:r>
        <w:rPr>
          <w:rFonts w:ascii="Times New Roman" w:cs="Times New Roman" w:eastAsia="Times New Roman" w:hAnsi="Times New Roman"/>
          <w:sz w:val="18"/>
          <w:szCs w:val="18"/>
          <w:color w:val="auto"/>
        </w:rPr>
        <w:t>The following tables are a reconciliation for both continuing and discontinued operations of the presentation of our assets which are measured on a recurring basis by the level within the fair value hierarchy in which fair value measurements fall: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306,717</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306,717</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5"/>
              </w:rPr>
              <w:t>306,717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25,578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25,578</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25,578</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4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tcPr>
          <w:p>
            <w:pPr>
              <w:spacing w:after="0"/>
              <w:rPr>
                <w:sz w:val="18"/>
                <w:szCs w:val="18"/>
                <w:color w:val="auto"/>
              </w:rPr>
            </w:pPr>
          </w:p>
        </w:tc>
        <w:tc>
          <w:tcPr>
            <w:tcW w:w="112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4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38,221</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95"/>
              </w:rPr>
              <w:t>306,717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0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289,399</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289,399</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58,332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347,731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10"/>
        </w:trPr>
        <w:tc>
          <w:tcPr>
            <w:tcW w:w="47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21,983</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5,784</w:t>
            </w:r>
          </w:p>
        </w:tc>
        <w:tc>
          <w:tcPr>
            <w:tcW w:w="22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 securities</w:t>
            </w:r>
          </w:p>
        </w:tc>
        <w:tc>
          <w:tcPr>
            <w:tcW w:w="7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4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accounts and cash equivalents</w:t>
            </w: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16,239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16,239</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9,357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3,173</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6,184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money market accounts and cash equivalents</w:t>
            </w:r>
          </w:p>
        </w:tc>
        <w:tc>
          <w:tcPr>
            <w:tcW w:w="7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25,596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19,412</w:t>
            </w:r>
          </w:p>
        </w:tc>
        <w:tc>
          <w:tcPr>
            <w:tcW w:w="2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6,184</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tcPr>
          <w:p>
            <w:pPr>
              <w:spacing w:after="0"/>
              <w:rPr>
                <w:sz w:val="18"/>
                <w:szCs w:val="18"/>
                <w:color w:val="auto"/>
              </w:rPr>
            </w:pPr>
          </w:p>
        </w:tc>
      </w:tr>
      <w:tr>
        <w:trPr>
          <w:trHeight w:val="223"/>
        </w:trPr>
        <w:tc>
          <w:tcPr>
            <w:tcW w:w="4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7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401,094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353,915</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September 30, 2024, or December 31, 2023.</w:t>
      </w:r>
    </w:p>
    <w:p>
      <w:pPr>
        <w:spacing w:after="0" w:line="200" w:lineRule="exact"/>
        <w:rPr>
          <w:sz w:val="20"/>
          <w:szCs w:val="20"/>
          <w:color w:val="auto"/>
        </w:rPr>
      </w:pPr>
    </w:p>
    <w:p>
      <w:pPr>
        <w:spacing w:after="0" w:line="237"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External Reinsurance</w:t>
      </w:r>
    </w:p>
    <w:p>
      <w:pPr>
        <w:spacing w:after="0" w:line="22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The Company’s consolidated financial statements reflect the effects of assumed and ceded reinsurance transactions. Assumed reinsurance refers to the acceptance of certain insurance risks that other insurance companies have underwritten. Ceded reinsurance involves transferring certain insurance risks (along with the related written and earned premiums) the Company has underwritten to other insurance companies who agree to share these risks. The Company reinsures a portion of the risks it underwrites, through these ceded reinsurance agreements, in order to control its exposure to losses. Our ceded reinsurance is placed either on an automatic basis under general reinsurance contracts known as treaties or through facultative contracts placed on substantial individual risks. These contracts do not relieve the Company from its obligations to policyholders. Treaty reinsurance contracts are typically effective from January 1 through December 31 each year.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During the nine-month period ended September 30, 2024, the Company maintained property catastrophe reinsurance protection covering $133,000 in excess of a $20,000 retention. With the exception of Westminster, a per risk excess of loss treaty provides coverage of $4,000 in excess of $1,000 for property risks and $11,000 in excess of $1,000 for casualty risks. For Westminster, a per risk excess of loss treaty provided coverage of $3,000 in excess of $2,000 for property risks and $10,000 in excess of $2,000 for casualty risks until July 1, 2024. Additionally, a property per-risk facultative contract is in place to provide coverage up to $20,000 in excess of $5,000 per property. Aggregate stop loss reinsurance agreements are also in place for both crop hail and multi-peril crop coverage. The crop hail aggregate attaches at a 100% net loss ratio providing 50 points of cover. The multi-peril crop aggregate attaches at a 105% net loss ratio providing 45 points of cover. In addition to the aggregate covers, underlying multi-peril crop reinsurance is provided through the Federal Crop Insurance Corporation (“FCIC”).</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Effective July 1, 2024, the Company’s reinsurance contracts were modified to exclude any Westminster losses occurring on or after that date, while maintaining all other existing limits, retentions, and attachment points.</w:t>
      </w:r>
    </w:p>
    <w:p>
      <w:pPr>
        <w:spacing w:after="0" w:line="16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the Company’s catastrophe retention and retention limit were consistent with those for the nine-month period ended September 30, 2024. In addition, limits, retentions, and attachment points in our other reinsurance contracts were also consistent with those for the nine-month period ended September 30, 2024 (with the exception of Westminster for which per risk excess of loss treaties provided coverage of $4,000 in excess of $1,000 for property risks and $11,000 in excess of $1,000 for casualty risks).</w:t>
      </w:r>
    </w:p>
    <w:p>
      <w:pPr>
        <w:spacing w:after="0" w:line="180"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Beginning on December 31, 2022, credit losses are recognized through an allowance account developed using a new credit loss model (current expected credit losses or “CECL”). See the Part II, Item 8, Note 2 “Recent Accounting Pronouncements” section of the 2023 Annual Report for additional information. Credit loss estimates are made based on periodic evaluation of balances due from reinsurers, changes in reinsurer credit standing, judgments regarding reinsurers’ solvency, known disputes, reporting characteristics of the underlying reinsured business, historical experience, current economic conditions, and the state of reinsurer relations in general. Collection risk is mitigated by entering into reinsurance arrangements only with reinsurers that have strong credit ratings and statutory surplus above certain levels. At September 30, 2024, and December 31, 2023, management has concluded that it is not necessary to record an allowance for expected credit losses related to reinsurance recoverables. All of our significant reinsurance partners are rated “A-” (Excellent) or better by AM Best, and there is no history of write-offs.</w:t>
      </w:r>
    </w:p>
    <w:p>
      <w:pPr>
        <w:spacing w:after="0" w:line="188"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presented on a consolidated basis, including both continuing and discontinued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2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r>
      <w:tr>
        <w:trPr>
          <w:trHeight w:val="223"/>
        </w:trPr>
        <w:tc>
          <w:tcPr>
            <w:tcW w:w="4600" w:type="dxa"/>
            <w:vAlign w:val="bottom"/>
          </w:tcPr>
          <w:p>
            <w:pPr>
              <w:spacing w:after="0"/>
              <w:rPr>
                <w:sz w:val="19"/>
                <w:szCs w:val="19"/>
                <w:color w:val="auto"/>
              </w:rPr>
            </w:pPr>
          </w:p>
        </w:tc>
        <w:tc>
          <w:tcPr>
            <w:tcW w:w="1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20" w:type="dxa"/>
            <w:vAlign w:val="bottom"/>
          </w:tcPr>
          <w:p>
            <w:pPr>
              <w:spacing w:after="0"/>
              <w:rPr>
                <w:sz w:val="19"/>
                <w:szCs w:val="19"/>
                <w:color w:val="auto"/>
              </w:rPr>
            </w:pPr>
          </w:p>
        </w:tc>
        <w:tc>
          <w:tcPr>
            <w:tcW w:w="16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Premiums Earned</w:t>
            </w:r>
          </w:p>
        </w:tc>
        <w:tc>
          <w:tcPr>
            <w:tcW w:w="100" w:type="dxa"/>
            <w:vAlign w:val="bottom"/>
            <w:gridSpan w:val="2"/>
          </w:tcPr>
          <w:p>
            <w:pPr>
              <w:spacing w:after="0"/>
              <w:rPr>
                <w:sz w:val="19"/>
                <w:szCs w:val="19"/>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w:t>
            </w: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81,223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104,540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5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5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5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2,045</w:t>
            </w:r>
          </w:p>
        </w:tc>
        <w:tc>
          <w:tcPr>
            <w:tcW w:w="80" w:type="dxa"/>
            <w:vAlign w:val="bottom"/>
          </w:tcPr>
          <w:p>
            <w:pPr>
              <w:spacing w:after="0"/>
              <w:rPr>
                <w:sz w:val="18"/>
                <w:szCs w:val="18"/>
                <w:color w:val="auto"/>
              </w:rPr>
            </w:pPr>
          </w:p>
        </w:tc>
      </w:tr>
      <w:tr>
        <w:trPr>
          <w:trHeight w:val="23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5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(5,451)</w:t>
            </w:r>
          </w:p>
        </w:tc>
        <w:tc>
          <w:tcPr>
            <w:tcW w:w="5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(8,735)</w:t>
            </w:r>
          </w:p>
        </w:tc>
        <w:tc>
          <w:tcPr>
            <w:tcW w:w="5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(10,773)</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(15,815)</w:t>
            </w:r>
          </w:p>
        </w:tc>
      </w:tr>
      <w:tr>
        <w:trPr>
          <w:trHeight w:val="223"/>
        </w:trPr>
        <w:tc>
          <w:tcPr>
            <w:tcW w:w="4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62,442</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22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90,770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32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r>
      <w:tr>
        <w:trPr>
          <w:trHeight w:val="223"/>
        </w:trPr>
        <w:tc>
          <w:tcPr>
            <w:tcW w:w="4620" w:type="dxa"/>
            <w:vAlign w:val="bottom"/>
          </w:tcPr>
          <w:p>
            <w:pPr>
              <w:spacing w:after="0"/>
              <w:rPr>
                <w:sz w:val="19"/>
                <w:szCs w:val="19"/>
                <w:color w:val="auto"/>
              </w:rPr>
            </w:pPr>
          </w:p>
        </w:tc>
        <w:tc>
          <w:tcPr>
            <w:tcW w:w="17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00" w:type="dxa"/>
            <w:vAlign w:val="bottom"/>
          </w:tcPr>
          <w:p>
            <w:pPr>
              <w:spacing w:after="0"/>
              <w:rPr>
                <w:sz w:val="19"/>
                <w:szCs w:val="19"/>
                <w:color w:val="auto"/>
              </w:rPr>
            </w:pPr>
          </w:p>
        </w:tc>
        <w:tc>
          <w:tcPr>
            <w:tcW w:w="166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310,849</w:t>
            </w:r>
          </w:p>
        </w:tc>
        <w:tc>
          <w:tcPr>
            <w:tcW w:w="2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296,107</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316,029</w:t>
            </w: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5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2,666</w:t>
            </w:r>
          </w:p>
        </w:tc>
        <w:tc>
          <w:tcPr>
            <w:tcW w:w="48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w:t>
            </w:r>
          </w:p>
        </w:tc>
        <w:tc>
          <w:tcPr>
            <w:tcW w:w="4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3,014</w:t>
            </w: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5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(31,523)</w:t>
            </w:r>
          </w:p>
        </w:tc>
        <w:tc>
          <w:tcPr>
            <w:tcW w:w="4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(29,412)</w:t>
            </w:r>
          </w:p>
        </w:tc>
        <w:tc>
          <w:tcPr>
            <w:tcW w:w="4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(39,671)</w:t>
            </w:r>
          </w:p>
        </w:tc>
        <w:tc>
          <w:tcPr>
            <w:tcW w:w="4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(37,081)</w:t>
            </w:r>
          </w:p>
        </w:tc>
      </w:tr>
      <w:tr>
        <w:trPr>
          <w:trHeight w:val="22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281,992</w:t>
            </w: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269,379</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279,372</w:t>
            </w:r>
          </w:p>
        </w:tc>
        <w:tc>
          <w:tcPr>
            <w:tcW w:w="2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262,543</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520"/>
        <w:spacing w:after="0" w:line="282" w:lineRule="auto"/>
        <w:rPr>
          <w:sz w:val="20"/>
          <w:szCs w:val="20"/>
          <w:color w:val="auto"/>
        </w:rPr>
      </w:pPr>
      <w:r>
        <w:rPr>
          <w:rFonts w:ascii="Times New Roman" w:cs="Times New Roman" w:eastAsia="Times New Roman" w:hAnsi="Times New Roman"/>
          <w:sz w:val="18"/>
          <w:szCs w:val="18"/>
          <w:color w:val="auto"/>
        </w:rPr>
        <w:t>The reconciliations of the Company’s direct to net premiums on both a written and an earned basis for the current and comparable prior year quarter, segregated between continuing and discontinued operations,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r>
      <w:tr>
        <w:trPr>
          <w:trHeight w:val="223"/>
        </w:trPr>
        <w:tc>
          <w:tcPr>
            <w:tcW w:w="4600" w:type="dxa"/>
            <w:vAlign w:val="bottom"/>
          </w:tcPr>
          <w:p>
            <w:pPr>
              <w:spacing w:after="0"/>
              <w:rPr>
                <w:sz w:val="19"/>
                <w:szCs w:val="19"/>
                <w:color w:val="auto"/>
              </w:rPr>
            </w:pPr>
          </w:p>
        </w:tc>
        <w:tc>
          <w:tcPr>
            <w:tcW w:w="1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20" w:type="dxa"/>
            <w:vAlign w:val="bottom"/>
          </w:tcPr>
          <w:p>
            <w:pPr>
              <w:spacing w:after="0"/>
              <w:rPr>
                <w:sz w:val="19"/>
                <w:szCs w:val="19"/>
                <w:color w:val="auto"/>
              </w:rPr>
            </w:pPr>
          </w:p>
        </w:tc>
        <w:tc>
          <w:tcPr>
            <w:tcW w:w="1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9"/>
                <w:szCs w:val="19"/>
                <w:color w:val="auto"/>
              </w:rPr>
            </w:pPr>
          </w:p>
        </w:tc>
      </w:tr>
      <w:tr>
        <w:trPr>
          <w:trHeight w:val="209"/>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5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67,704</w:t>
            </w:r>
          </w:p>
        </w:tc>
        <w:tc>
          <w:tcPr>
            <w:tcW w:w="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90,125</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67,917</w:t>
            </w:r>
          </w:p>
        </w:tc>
        <w:tc>
          <w:tcPr>
            <w:tcW w:w="5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85,600</w:t>
            </w:r>
          </w:p>
        </w:tc>
      </w:tr>
      <w:tr>
        <w:trPr>
          <w:trHeight w:val="216"/>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5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2,045</w:t>
            </w:r>
          </w:p>
        </w:tc>
      </w:tr>
      <w:tr>
        <w:trPr>
          <w:trHeight w:val="229"/>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54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(5,451)</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(8,735)</w:t>
            </w:r>
          </w:p>
        </w:tc>
        <w:tc>
          <w:tcPr>
            <w:tcW w:w="5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(6,236)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(11,227)</w:t>
            </w:r>
          </w:p>
        </w:tc>
      </w:tr>
      <w:tr>
        <w:trPr>
          <w:trHeight w:val="223"/>
        </w:trPr>
        <w:tc>
          <w:tcPr>
            <w:tcW w:w="4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61,856</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33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32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r>
      <w:tr>
        <w:trPr>
          <w:trHeight w:val="223"/>
        </w:trPr>
        <w:tc>
          <w:tcPr>
            <w:tcW w:w="4600" w:type="dxa"/>
            <w:vAlign w:val="bottom"/>
          </w:tcPr>
          <w:p>
            <w:pPr>
              <w:spacing w:after="0"/>
              <w:rPr>
                <w:sz w:val="19"/>
                <w:szCs w:val="19"/>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20" w:type="dxa"/>
            <w:vAlign w:val="bottom"/>
          </w:tcPr>
          <w:p>
            <w:pPr>
              <w:spacing w:after="0"/>
              <w:rPr>
                <w:sz w:val="19"/>
                <w:szCs w:val="19"/>
                <w:color w:val="auto"/>
              </w:rPr>
            </w:pPr>
          </w:p>
        </w:tc>
        <w:tc>
          <w:tcPr>
            <w:tcW w:w="160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8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9"/>
                <w:szCs w:val="19"/>
                <w:color w:val="auto"/>
              </w:rPr>
            </w:pP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6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13,306</w:t>
            </w:r>
          </w:p>
        </w:tc>
        <w:tc>
          <w:tcPr>
            <w:tcW w:w="6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18,940</w:t>
            </w:r>
          </w:p>
        </w:tc>
      </w:tr>
      <w:tr>
        <w:trPr>
          <w:trHeight w:val="216"/>
        </w:trPr>
        <w:tc>
          <w:tcPr>
            <w:tcW w:w="4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6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680" w:type="dxa"/>
            <w:vAlign w:val="bottom"/>
          </w:tcPr>
          <w:p>
            <w:pPr>
              <w:spacing w:after="0"/>
              <w:rPr>
                <w:sz w:val="19"/>
                <w:szCs w:val="19"/>
                <w:color w:val="auto"/>
              </w:rPr>
            </w:pPr>
          </w:p>
        </w:tc>
        <w:tc>
          <w:tcPr>
            <w:tcW w:w="9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(4,537)</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(4,588)</w:t>
            </w:r>
          </w:p>
        </w:tc>
      </w:tr>
      <w:tr>
        <w:trPr>
          <w:trHeight w:val="223"/>
        </w:trPr>
        <w:tc>
          <w:tcPr>
            <w:tcW w:w="46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6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reconciliations of the Company’s direct to net premiums on both a written and an earned basis for the current year-to-date and comparable prior year-to-date amounts, segregated between continuing and discontinued operations,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32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r>
      <w:tr>
        <w:trPr>
          <w:trHeight w:val="223"/>
        </w:trPr>
        <w:tc>
          <w:tcPr>
            <w:tcW w:w="4620" w:type="dxa"/>
            <w:vAlign w:val="bottom"/>
          </w:tcPr>
          <w:p>
            <w:pPr>
              <w:spacing w:after="0"/>
              <w:rPr>
                <w:sz w:val="19"/>
                <w:szCs w:val="19"/>
                <w:color w:val="auto"/>
              </w:rPr>
            </w:pPr>
          </w:p>
        </w:tc>
        <w:tc>
          <w:tcPr>
            <w:tcW w:w="1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00" w:type="dxa"/>
            <w:vAlign w:val="bottom"/>
          </w:tcPr>
          <w:p>
            <w:pPr>
              <w:spacing w:after="0"/>
              <w:rPr>
                <w:sz w:val="19"/>
                <w:szCs w:val="19"/>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269,217</w:t>
            </w:r>
          </w:p>
        </w:tc>
        <w:tc>
          <w:tcPr>
            <w:tcW w:w="580" w:type="dxa"/>
            <w:vAlign w:val="bottom"/>
            <w:gridSpan w:val="2"/>
          </w:tcPr>
          <w:p>
            <w:pPr>
              <w:jc w:val="right"/>
              <w:ind w:right="313"/>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257,024</w:t>
            </w: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261,865</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238,892</w:t>
            </w:r>
          </w:p>
        </w:tc>
      </w:tr>
      <w:tr>
        <w:trPr>
          <w:trHeight w:val="216"/>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2,666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2,684</w:t>
            </w:r>
          </w:p>
        </w:tc>
        <w:tc>
          <w:tcPr>
            <w:tcW w:w="4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3,014</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3,448</w:t>
            </w:r>
          </w:p>
        </w:tc>
      </w:tr>
      <w:tr>
        <w:trPr>
          <w:trHeight w:val="230"/>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50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(21,385)</w:t>
            </w:r>
          </w:p>
        </w:tc>
        <w:tc>
          <w:tcPr>
            <w:tcW w:w="48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(26,595)</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(24,216)</w:t>
            </w: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13"/>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32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r>
      <w:tr>
        <w:trPr>
          <w:trHeight w:val="223"/>
        </w:trPr>
        <w:tc>
          <w:tcPr>
            <w:tcW w:w="4620" w:type="dxa"/>
            <w:vAlign w:val="bottom"/>
          </w:tcPr>
          <w:p>
            <w:pPr>
              <w:spacing w:after="0"/>
              <w:rPr>
                <w:sz w:val="19"/>
                <w:szCs w:val="19"/>
                <w:color w:val="auto"/>
              </w:rPr>
            </w:pPr>
          </w:p>
        </w:tc>
        <w:tc>
          <w:tcPr>
            <w:tcW w:w="1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00" w:type="dxa"/>
            <w:vAlign w:val="bottom"/>
          </w:tcPr>
          <w:p>
            <w:pPr>
              <w:spacing w:after="0"/>
              <w:rPr>
                <w:sz w:val="19"/>
                <w:szCs w:val="19"/>
                <w:color w:val="auto"/>
              </w:rPr>
            </w:pPr>
          </w:p>
        </w:tc>
        <w:tc>
          <w:tcPr>
            <w:tcW w:w="15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8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100" w:type="dxa"/>
            <w:vAlign w:val="bottom"/>
          </w:tcPr>
          <w:p>
            <w:pPr>
              <w:spacing w:after="0"/>
              <w:rPr>
                <w:sz w:val="19"/>
                <w:szCs w:val="19"/>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premium</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41,632</w:t>
            </w:r>
          </w:p>
        </w:tc>
        <w:tc>
          <w:tcPr>
            <w:tcW w:w="640" w:type="dxa"/>
            <w:vAlign w:val="bottom"/>
            <w:gridSpan w:val="2"/>
          </w:tcPr>
          <w:p>
            <w:pPr>
              <w:jc w:val="right"/>
              <w:ind w:right="373"/>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39,083</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54,164</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57,284</w:t>
            </w:r>
          </w:p>
        </w:tc>
      </w:tr>
      <w:tr>
        <w:trPr>
          <w:trHeight w:val="216"/>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premium</w:t>
            </w:r>
          </w:p>
        </w:tc>
        <w:tc>
          <w:tcPr>
            <w:tcW w:w="5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premium</w:t>
            </w:r>
          </w:p>
        </w:tc>
        <w:tc>
          <w:tcPr>
            <w:tcW w:w="5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(8,743)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(8,027)</w:t>
            </w:r>
          </w:p>
        </w:tc>
        <w:tc>
          <w:tcPr>
            <w:tcW w:w="5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(13,076)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(12,865)</w:t>
            </w: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premiums</w:t>
            </w:r>
          </w:p>
        </w:tc>
        <w:tc>
          <w:tcPr>
            <w:tcW w:w="5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ind w:right="37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41,088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A reconciliation of direct to net losses and loss adjustment expenses, presented on a consolidated basis, including both continuing and discontinued operations,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4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69,692</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237,117</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16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617</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886</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(5,209)</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(8,268)</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(15,692)</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(38,104)</w:t>
            </w:r>
          </w:p>
        </w:tc>
      </w:tr>
      <w:tr>
        <w:trPr>
          <w:trHeight w:val="22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63,564</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198,108</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199,895</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reconciliations for current and prior year continuing and discontinued operations of direct to net losses and loss adjustment expenses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69,692</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53,863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184,561</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162,027</w:t>
            </w:r>
          </w:p>
        </w:tc>
      </w:tr>
      <w:tr>
        <w:trPr>
          <w:trHeight w:val="216"/>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9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96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w:t>
            </w: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(8,550)</w:t>
            </w: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17,244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28,353</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75,090</w:t>
            </w:r>
          </w:p>
        </w:tc>
      </w:tr>
      <w:tr>
        <w:trPr>
          <w:trHeight w:val="216"/>
        </w:trPr>
        <w:tc>
          <w:tcPr>
            <w:tcW w:w="46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1100" w:type="dxa"/>
            <w:vAlign w:val="bottom"/>
          </w:tcPr>
          <w:p>
            <w:pPr>
              <w:spacing w:after="0"/>
              <w:rPr>
                <w:sz w:val="19"/>
                <w:szCs w:val="19"/>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(6,837)</w:t>
            </w: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(4,847)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(29,554)</w:t>
            </w: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100" w:type="dxa"/>
            <w:vAlign w:val="bottom"/>
            <w:tcBorders>
              <w:top w:val="single" w:sz="8" w:color="auto"/>
              <w:bottom w:val="single" w:sz="8" w:color="auto"/>
            </w:tcBorders>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 Subsequent to the June 30, 2024, date of sale, Westminster is no longer a member of the pool, and the pooling percentages for the remaining insurance subsidiaries were updated based on their respective surplus as a percentage of the pool as of December 31, 2023.</w:t>
      </w:r>
    </w:p>
    <w:p>
      <w:pPr>
        <w:spacing w:after="0" w:line="200" w:lineRule="exact"/>
        <w:rPr>
          <w:sz w:val="20"/>
          <w:szCs w:val="20"/>
          <w:color w:val="auto"/>
        </w:rPr>
      </w:pPr>
    </w:p>
    <w:p>
      <w:pPr>
        <w:spacing w:after="0" w:line="3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29" w:lineRule="exact"/>
        <w:rPr>
          <w:sz w:val="20"/>
          <w:szCs w:val="20"/>
          <w:color w:val="auto"/>
        </w:rPr>
      </w:pPr>
    </w:p>
    <w:p>
      <w:pPr>
        <w:ind w:left="20" w:right="60"/>
        <w:spacing w:after="0" w:line="261"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presented on a consolidated basis, including both continuing and discontinued operations, shows the deferred policy acquisition costs and asset reconciliation: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31,157</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13,930</w:t>
            </w:r>
          </w:p>
        </w:tc>
        <w:tc>
          <w:tcPr>
            <w:tcW w:w="3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18,415</w:t>
            </w:r>
          </w:p>
        </w:tc>
        <w:tc>
          <w:tcPr>
            <w:tcW w:w="16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63,000</w:t>
            </w: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61,938</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7"/>
              </w:rPr>
              <w:t>(17,616)</w:t>
            </w: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(20,362)</w:t>
            </w: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(61,651)</w:t>
            </w: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(59,529)</w:t>
            </w:r>
          </w:p>
        </w:tc>
      </w:tr>
      <w:tr>
        <w:trPr>
          <w:trHeight w:val="22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Westminster balance disposed in sale</w:t>
            </w:r>
          </w:p>
        </w:tc>
        <w:tc>
          <w:tcPr>
            <w:tcW w:w="92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(7,998)</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32,177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36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deferred policy acquisition costs and assets reconciliation are shown below:</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Continuing operations: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31,157</w:t>
            </w:r>
          </w:p>
        </w:tc>
        <w:tc>
          <w:tcPr>
            <w:tcW w:w="42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26,472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26,790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22,675</w:t>
            </w: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13,930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15,591</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51,176</w:t>
            </w:r>
          </w:p>
        </w:tc>
      </w:tr>
      <w:tr>
        <w:trPr>
          <w:trHeight w:val="229"/>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2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(17,616)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(16,523)</w:t>
            </w:r>
          </w:p>
        </w:tc>
        <w:tc>
          <w:tcPr>
            <w:tcW w:w="1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(53,723)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(48,311)</w:t>
            </w: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920" w:type="dxa"/>
            <w:vAlign w:val="bottom"/>
            <w:tcBorders>
              <w:top w:val="single" w:sz="8" w:color="auto"/>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3400" w:type="dxa"/>
            <w:vAlign w:val="bottom"/>
            <w:gridSpan w:val="7"/>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0"/>
                <w:szCs w:val="20"/>
                <w:color w:val="auto"/>
              </w:rPr>
            </w:pPr>
          </w:p>
        </w:tc>
        <w:tc>
          <w:tcPr>
            <w:tcW w:w="306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6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Discontinued operations:</w:t>
            </w:r>
          </w:p>
        </w:tc>
        <w:tc>
          <w:tcPr>
            <w:tcW w:w="1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1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7,652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7,330</w:t>
            </w:r>
          </w:p>
        </w:tc>
        <w:tc>
          <w:tcPr>
            <w:tcW w:w="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7,093</w:t>
            </w: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2,824</w:t>
            </w: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10,762</w:t>
            </w: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180" w:type="dxa"/>
            <w:vAlign w:val="bottom"/>
          </w:tcPr>
          <w:p>
            <w:pPr>
              <w:spacing w:after="0"/>
              <w:rPr>
                <w:sz w:val="18"/>
                <w:szCs w:val="18"/>
                <w:color w:val="auto"/>
              </w:rPr>
            </w:pP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(3,839)</w:t>
            </w:r>
          </w:p>
        </w:tc>
        <w:tc>
          <w:tcPr>
            <w:tcW w:w="1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(7,928)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(11,218)</w:t>
            </w: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Westminster balance disposed in sale</w:t>
            </w:r>
          </w:p>
        </w:tc>
        <w:tc>
          <w:tcPr>
            <w:tcW w:w="11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Balance, end of period</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tcPr>
          <w:p>
            <w:pPr>
              <w:spacing w:after="0"/>
              <w:rPr>
                <w:sz w:val="19"/>
                <w:szCs w:val="19"/>
                <w:color w:val="auto"/>
              </w:rPr>
            </w:pPr>
          </w:p>
        </w:tc>
      </w:tr>
      <w:tr>
        <w:trPr>
          <w:trHeight w:val="20"/>
        </w:trPr>
        <w:tc>
          <w:tcPr>
            <w:tcW w:w="46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7"/>
        </w:trPr>
        <w:tc>
          <w:tcPr>
            <w:tcW w:w="4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Unpaid Losses and Loss Adjustment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 for both continuing and discontinued operations:</w:t>
      </w:r>
    </w:p>
    <w:p>
      <w:pPr>
        <w:spacing w:after="0" w:line="235"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19888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8"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balances disposed in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date of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217,119</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190,459</w:t>
            </w:r>
          </w:p>
        </w:tc>
        <w:tc>
          <w:tcPr>
            <w:tcW w:w="20" w:type="dxa"/>
            <w:vAlign w:val="bottom"/>
          </w:tcPr>
          <w:p>
            <w:pPr>
              <w:spacing w:after="0"/>
              <w:rPr>
                <w:sz w:val="19"/>
                <w:szCs w:val="19"/>
                <w:color w:val="auto"/>
              </w:rPr>
            </w:pP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48,969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37,575</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168,150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152,884</w:t>
            </w:r>
          </w:p>
        </w:tc>
        <w:tc>
          <w:tcPr>
            <w:tcW w:w="20" w:type="dxa"/>
            <w:vAlign w:val="bottom"/>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185,006</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180,895</w:t>
            </w:r>
          </w:p>
        </w:tc>
        <w:tc>
          <w:tcPr>
            <w:tcW w:w="2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13,102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19,000</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199,895</w:t>
            </w:r>
          </w:p>
        </w:tc>
        <w:tc>
          <w:tcPr>
            <w:tcW w:w="20" w:type="dxa"/>
            <w:vAlign w:val="bottom"/>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89,330</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91,979</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69,992</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76,842</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168,821</w:t>
            </w:r>
          </w:p>
        </w:tc>
        <w:tc>
          <w:tcPr>
            <w:tcW w:w="20" w:type="dxa"/>
            <w:vAlign w:val="bottom"/>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107,508</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45,320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2">
            <w:col w:w="7280" w:space="720"/>
            <w:col w:w="3220"/>
          </w:cols>
          <w:pgMar w:left="320" w:top="22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25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159,069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240,748</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56,790</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183,958</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280" w:space="720"/>
            <w:col w:w="3220"/>
          </w:cols>
          <w:pgMar w:left="320" w:top="225" w:right="359" w:bottom="1440" w:gutter="0" w:footer="0" w:header="0"/>
          <w:type w:val="continuous"/>
        </w:sectPr>
      </w:pPr>
    </w:p>
    <w:p>
      <w:pPr>
        <w:ind w:left="20" w:right="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the Company’s incurred reported losses and loss adjustment expenses included $13,102 of net unfavorable development on prior accident years, primarily attributable to Direct Auto. During the nine months ended September 30, 2023, the Company’s incurred reported losses and loss adjustment expenses included $19,000 of net unfavorable development on prior accident years, primarily attributable to Direct Auto and Westminster.</w:t>
      </w:r>
    </w:p>
    <w:p>
      <w:pPr>
        <w:spacing w:after="0" w:line="180"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Changes in unpaid losses and loss adjustment expense reserves are generally the result of ongoing analysis of recent loss development trends. As additional information becomes known regarding individual claims, original estimates are increased or decreased accordingly.</w:t>
      </w:r>
    </w:p>
    <w:p>
      <w:pPr>
        <w:spacing w:after="0" w:line="2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5" w:right="359" w:bottom="1440" w:gutter="0" w:footer="0" w:header="0"/>
          <w:type w:val="continuous"/>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right="80"/>
        <w:spacing w:after="0" w:line="282" w:lineRule="auto"/>
        <w:rPr>
          <w:sz w:val="20"/>
          <w:szCs w:val="20"/>
          <w:color w:val="auto"/>
        </w:rPr>
      </w:pPr>
      <w:r>
        <w:rPr>
          <w:rFonts w:ascii="Times New Roman" w:cs="Times New Roman" w:eastAsia="Times New Roman" w:hAnsi="Times New Roman"/>
          <w:sz w:val="18"/>
          <w:szCs w:val="18"/>
          <w:color w:val="auto"/>
        </w:rPr>
        <w:t>The tables for current and prior year continuing and discontinued operations showing the liability for unpaid losses and loss adjustment expense are shown below:</w:t>
      </w:r>
    </w:p>
    <w:p>
      <w:pPr>
        <w:spacing w:after="0" w:line="171"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19685</wp:posOffset>
            </wp:positionV>
            <wp:extent cx="1988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16"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119,185</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114,296</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6,460</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8,586</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105,710</w:t>
            </w:r>
          </w:p>
        </w:tc>
      </w:tr>
      <w:tr>
        <w:trPr>
          <w:trHeight w:val="637"/>
        </w:trPr>
        <w:tc>
          <w:tcPr>
            <w:tcW w:w="4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160,891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147,849</w:t>
            </w:r>
          </w:p>
        </w:tc>
      </w:tr>
      <w:tr>
        <w:trPr>
          <w:trHeight w:val="234"/>
        </w:trPr>
        <w:tc>
          <w:tcPr>
            <w:tcW w:w="4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13,711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6,510</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154,359</w:t>
            </w:r>
          </w:p>
        </w:tc>
      </w:tr>
    </w:tbl>
    <w:p>
      <w:pPr>
        <w:spacing w:after="0" w:line="198"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83,766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58,813</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48,823</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142,579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128,323</w:t>
            </w:r>
          </w:p>
        </w:tc>
      </w:tr>
      <w:tr>
        <w:trPr>
          <w:trHeight w:val="637"/>
        </w:trPr>
        <w:tc>
          <w:tcPr>
            <w:tcW w:w="48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159,069</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142,448</w:t>
            </w:r>
          </w:p>
        </w:tc>
      </w:tr>
      <w:tr>
        <w:trPr>
          <w:trHeight w:val="234"/>
        </w:trPr>
        <w:tc>
          <w:tcPr>
            <w:tcW w:w="48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14,321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w:t>
            </w:r>
          </w:p>
        </w:tc>
      </w:tr>
      <w:tr>
        <w:trPr>
          <w:trHeight w:val="223"/>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144,748</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131,746</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p>
      <w:pPr>
        <w:spacing w:after="0" w:line="7" w:lineRule="exact"/>
        <w:rPr>
          <w:sz w:val="20"/>
          <w:szCs w:val="20"/>
          <w:color w:val="auto"/>
        </w:rPr>
      </w:pPr>
    </w:p>
    <w:p>
      <w:pPr>
        <w:jc w:val="center"/>
        <w:ind w:left="786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27305</wp:posOffset>
            </wp:positionV>
            <wp:extent cx="19888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8" w:lineRule="exact"/>
        <w:rPr>
          <w:sz w:val="20"/>
          <w:szCs w:val="20"/>
          <w:color w:val="auto"/>
        </w:rPr>
      </w:pPr>
    </w:p>
    <w:p>
      <w:pPr>
        <w:ind w:left="8560"/>
        <w:spacing w:after="0"/>
        <w:tabs>
          <w:tab w:leader="none" w:pos="10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Prior years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balances disposed in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right="3100"/>
        <w:spacing w:after="0" w:line="250"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balance, date of sale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97,934</w:t>
            </w:r>
          </w:p>
        </w:tc>
        <w:tc>
          <w:tcPr>
            <w:tcW w:w="6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76,163</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42,509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28,989</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55,425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47,174</w:t>
            </w:r>
          </w:p>
        </w:tc>
      </w:tr>
      <w:tr>
        <w:trPr>
          <w:trHeight w:val="623"/>
        </w:trPr>
        <w:tc>
          <w:tcPr>
            <w:tcW w:w="4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24,115</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33,046</w:t>
            </w:r>
          </w:p>
        </w:tc>
      </w:tr>
      <w:tr>
        <w:trPr>
          <w:trHeight w:val="248"/>
        </w:trPr>
        <w:tc>
          <w:tcPr>
            <w:tcW w:w="48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(609)</w:t>
            </w: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12,490</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45,536</w:t>
            </w:r>
          </w:p>
        </w:tc>
      </w:tr>
      <w:tr>
        <w:trPr>
          <w:trHeight w:val="637"/>
        </w:trPr>
        <w:tc>
          <w:tcPr>
            <w:tcW w:w="4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5,564</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12,479</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11,179</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28,019</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40,498</w:t>
            </w:r>
          </w:p>
        </w:tc>
        <w:tc>
          <w:tcPr>
            <w:tcW w:w="20" w:type="dxa"/>
            <w:vAlign w:val="bottom"/>
            <w:tcBorders>
              <w:top w:val="single" w:sz="8" w:color="auto"/>
            </w:tcBorders>
          </w:tcPr>
          <w:p>
            <w:pPr>
              <w:spacing w:after="0"/>
              <w:rPr>
                <w:sz w:val="18"/>
                <w:szCs w:val="18"/>
                <w:color w:val="auto"/>
              </w:rPr>
            </w:pPr>
          </w:p>
        </w:tc>
      </w:tr>
      <w:tr>
        <w:trPr>
          <w:trHeight w:val="637"/>
        </w:trPr>
        <w:tc>
          <w:tcPr>
            <w:tcW w:w="4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107,508</w:t>
            </w: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45,320</w:t>
            </w: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2">
            <w:col w:w="7280" w:space="720"/>
            <w:col w:w="324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0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7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98,300</w:t>
            </w:r>
          </w:p>
        </w:tc>
      </w:tr>
      <w:tr>
        <w:trPr>
          <w:trHeight w:val="230"/>
        </w:trPr>
        <w:tc>
          <w:tcPr>
            <w:tcW w:w="8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700" w:type="dxa"/>
            <w:vAlign w:val="bottom"/>
          </w:tcPr>
          <w:p>
            <w:pPr>
              <w:spacing w:after="0"/>
              <w:rPr>
                <w:sz w:val="19"/>
                <w:szCs w:val="19"/>
                <w:color w:val="auto"/>
              </w:rPr>
            </w:pPr>
          </w:p>
        </w:tc>
        <w:tc>
          <w:tcPr>
            <w:tcW w:w="1500" w:type="dxa"/>
            <w:vAlign w:val="bottom"/>
            <w:gridSpan w:val="3"/>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46,088</w:t>
            </w:r>
          </w:p>
        </w:tc>
      </w:tr>
      <w:tr>
        <w:trPr>
          <w:trHeight w:val="223"/>
        </w:trPr>
        <w:tc>
          <w:tcPr>
            <w:tcW w:w="800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balance, end of period</w:t>
            </w: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type w:val="continuous"/>
        </w:sect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presented on a consolidated basis, including both continuing and discontinued operations,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Cost:</w:t>
            </w:r>
          </w:p>
        </w:tc>
        <w:tc>
          <w:tcPr>
            <w:tcW w:w="16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4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2023  Estimated Useful Life</w:t>
            </w:r>
          </w:p>
        </w:tc>
        <w:tc>
          <w:tcPr>
            <w:tcW w:w="0" w:type="dxa"/>
            <w:vAlign w:val="bottom"/>
          </w:tcPr>
          <w:p>
            <w:pPr>
              <w:spacing w:after="0"/>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1,249</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1,403</w:t>
            </w:r>
          </w:p>
        </w:tc>
        <w:tc>
          <w:tcPr>
            <w:tcW w:w="168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5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12,377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14,538</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43 years</w:t>
            </w: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1,471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1,441</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Furniture and fixtures</w:t>
            </w:r>
          </w:p>
        </w:tc>
        <w:tc>
          <w:tcPr>
            <w:tcW w:w="52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2,733</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2,953</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7 years</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Automobiles</w:t>
            </w:r>
          </w:p>
        </w:tc>
        <w:tc>
          <w:tcPr>
            <w:tcW w:w="5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1,265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1,319</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 years</w:t>
            </w:r>
          </w:p>
        </w:tc>
        <w:tc>
          <w:tcPr>
            <w:tcW w:w="0" w:type="dxa"/>
            <w:vAlign w:val="bottom"/>
          </w:tcPr>
          <w:p>
            <w:pPr>
              <w:spacing w:after="0"/>
              <w:rPr>
                <w:sz w:val="1"/>
                <w:szCs w:val="1"/>
                <w:color w:val="auto"/>
              </w:rPr>
            </w:pP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cost</w:t>
            </w:r>
          </w:p>
        </w:tc>
        <w:tc>
          <w:tcPr>
            <w:tcW w:w="5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2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(11,547)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(11,757)</w:t>
            </w:r>
          </w:p>
        </w:tc>
        <w:tc>
          <w:tcPr>
            <w:tcW w:w="5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Depreciation expense was $186 and $188 for the three months ended September 30, 2024 and 2023, respectively, and $616 and $558 for the nine months ended September 30, 2024 and 2023, respectively. Depreciation expense for continuing operations was $186 and $157 for the three months ended September 30, 2024 and 2023, respectively, and $527 and $466 for the nine months ended September 30, 2024 and 2023,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for current and prior year continuing and discontinued operations consisted of the following: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5040" w:type="dxa"/>
            <w:vAlign w:val="bottom"/>
            <w:gridSpan w:val="4"/>
          </w:tcPr>
          <w:p>
            <w:pPr>
              <w:ind w:left="3440"/>
              <w:spacing w:after="0"/>
              <w:rPr>
                <w:sz w:val="20"/>
                <w:szCs w:val="20"/>
                <w:color w:val="auto"/>
              </w:rPr>
            </w:pPr>
            <w:r>
              <w:rPr>
                <w:rFonts w:ascii="Times New Roman" w:cs="Times New Roman" w:eastAsia="Times New Roman" w:hAnsi="Times New Roman"/>
                <w:sz w:val="18"/>
                <w:szCs w:val="18"/>
                <w:b w:val="1"/>
                <w:bCs w:val="1"/>
                <w:color w:val="auto"/>
              </w:rPr>
              <w:t>September 30, 2024</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3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960" w:type="dxa"/>
            <w:vAlign w:val="bottom"/>
            <w:gridSpan w:val="2"/>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19,095</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344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19,095</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3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3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(11,547)</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3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2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3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960" w:type="dxa"/>
            <w:vAlign w:val="bottom"/>
            <w:gridSpan w:val="2"/>
            <w:shd w:val="clear" w:color="auto" w:fill="CCEEFF"/>
          </w:tcPr>
          <w:p>
            <w:pPr>
              <w:ind w:left="34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7,548</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7100" w:type="dxa"/>
            <w:vAlign w:val="bottom"/>
            <w:gridSpan w:val="4"/>
          </w:tcPr>
          <w:p>
            <w:pPr>
              <w:ind w:left="55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5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6040" w:type="dxa"/>
            <w:vAlign w:val="bottom"/>
            <w:gridSpan w:val="2"/>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18,756</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5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2,898</w:t>
            </w:r>
          </w:p>
        </w:tc>
        <w:tc>
          <w:tcPr>
            <w:tcW w:w="0" w:type="dxa"/>
            <w:vAlign w:val="bottom"/>
          </w:tcPr>
          <w:p>
            <w:pPr>
              <w:spacing w:after="0"/>
              <w:rPr>
                <w:sz w:val="1"/>
                <w:szCs w:val="1"/>
                <w:color w:val="auto"/>
              </w:rPr>
            </w:pPr>
          </w:p>
        </w:tc>
      </w:tr>
      <w:tr>
        <w:trPr>
          <w:trHeight w:val="210"/>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cost</w:t>
            </w:r>
          </w:p>
        </w:tc>
        <w:tc>
          <w:tcPr>
            <w:tcW w:w="554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5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(11,304)</w:t>
            </w: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5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accumulated depreciation</w:t>
            </w:r>
          </w:p>
        </w:tc>
        <w:tc>
          <w:tcPr>
            <w:tcW w:w="55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6040" w:type="dxa"/>
            <w:vAlign w:val="bottom"/>
            <w:gridSpan w:val="2"/>
            <w:shd w:val="clear" w:color="auto" w:fill="CCEEFF"/>
          </w:tcPr>
          <w:p>
            <w:pPr>
              <w:ind w:left="55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9,897</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bottom w:val="single" w:sz="8" w:color="CCEEFF"/>
            </w:tcBorders>
            <w:vMerge w:val="restart"/>
          </w:tcPr>
          <w:p>
            <w:pPr>
              <w:jc w:val="right"/>
              <w:ind w:right="3890"/>
              <w:spacing w:after="0"/>
              <w:rPr>
                <w:sz w:val="20"/>
                <w:szCs w:val="20"/>
                <w:color w:val="auto"/>
              </w:rPr>
            </w:pPr>
            <w:r>
              <w:rPr>
                <w:rFonts w:ascii="Times New Roman" w:cs="Times New Roman" w:eastAsia="Times New Roman" w:hAnsi="Times New Roman"/>
                <w:sz w:val="18"/>
                <w:szCs w:val="18"/>
                <w:color w:val="auto"/>
              </w:rPr>
              <w:t>27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7"/>
        </w:trPr>
        <w:tc>
          <w:tcPr>
            <w:tcW w:w="414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goodwill and related impairment by segment: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540" w:type="dxa"/>
            <w:vAlign w:val="bottom"/>
            <w:gridSpan w:val="10"/>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20" w:type="dxa"/>
            <w:vAlign w:val="bottom"/>
            <w:gridSpan w:val="10"/>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r>
      <w:tr>
        <w:trPr>
          <w:trHeight w:val="187"/>
        </w:trPr>
        <w:tc>
          <w:tcPr>
            <w:tcW w:w="3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Borders>
              <w:top w:val="single" w:sz="8" w:color="auto"/>
            </w:tcBorders>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Auto</w:t>
            </w:r>
          </w:p>
        </w:tc>
        <w:tc>
          <w:tcPr>
            <w:tcW w:w="120" w:type="dxa"/>
            <w:vAlign w:val="bottom"/>
          </w:tcPr>
          <w:p>
            <w:pPr>
              <w:spacing w:after="0"/>
              <w:rPr>
                <w:sz w:val="20"/>
                <w:szCs w:val="20"/>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original recorded value</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198"/>
        </w:trPr>
        <w:tc>
          <w:tcPr>
            <w:tcW w:w="3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Accumulated impairment losses at the beginning</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of the period</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beginning of period</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recognized during the period</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(6,756)</w:t>
            </w:r>
          </w:p>
        </w:tc>
      </w:tr>
      <w:tr>
        <w:trPr>
          <w:trHeight w:val="223"/>
        </w:trPr>
        <w:tc>
          <w:tcPr>
            <w:tcW w:w="3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end of period</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Based on the qualitative analyses performed for the goodwill related to our Non-Standard Auto segment, we concluded that goodwill was not impaired as of September 30, 2024, or December 31, 2023.</w:t>
      </w:r>
    </w:p>
    <w:p>
      <w:pPr>
        <w:spacing w:after="0" w:line="162"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fourth quarter of 2023, we performed a quantitative assessment of the goodwill related to the Westminster acquisition, which was allocated to our Commercial segment, and concluded that the goodwill was fully impaired as of December 31, 2023, resulting in a non-cash impairment charge of $6,756. See the Part II, Item 8, Note 10 “Goodwill and Other Intangibles” section of the 2023 Annual Report for additional information.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consolidated basis, including both continuing and discontinued operations, the carrying amount of the Company’s other intangible assets: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10"/>
        </w:trPr>
        <w:tc>
          <w:tcPr>
            <w:tcW w:w="3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2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 names</w:t>
            </w:r>
          </w:p>
        </w:tc>
        <w:tc>
          <w:tcPr>
            <w:tcW w:w="2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Distribution network</w:t>
            </w:r>
          </w:p>
        </w:tc>
        <w:tc>
          <w:tcPr>
            <w:tcW w:w="2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6,700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0"/>
        </w:trPr>
        <w:tc>
          <w:tcPr>
            <w:tcW w:w="3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 insurance licenses</w:t>
            </w:r>
          </w:p>
        </w:tc>
        <w:tc>
          <w:tcPr>
            <w:tcW w:w="2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1,900</w:t>
            </w: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1"/>
        </w:trPr>
        <w:tc>
          <w:tcPr>
            <w:tcW w:w="39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following table presents the current and prior year continuing and discontinued carrying amounts of the Company’s other intangible assets: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not subject to amortization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60" w:type="dxa"/>
            <w:vAlign w:val="bottom"/>
          </w:tcPr>
          <w:p>
            <w:pPr>
              <w:spacing w:after="0"/>
              <w:rPr>
                <w:sz w:val="18"/>
                <w:szCs w:val="18"/>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4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7,200</w:t>
            </w: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5,511</w:t>
            </w:r>
          </w:p>
        </w:tc>
      </w:tr>
      <w:tr>
        <w:trPr>
          <w:trHeight w:val="210"/>
        </w:trPr>
        <w:tc>
          <w:tcPr>
            <w:tcW w:w="62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w:t>
            </w: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1,800</w:t>
            </w: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1,800</w:t>
            </w:r>
          </w:p>
        </w:tc>
      </w:tr>
      <w:tr>
        <w:trPr>
          <w:trHeight w:val="223"/>
        </w:trPr>
        <w:tc>
          <w:tcPr>
            <w:tcW w:w="62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not subject to amortization</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 w:right="400"/>
        <w:spacing w:after="0" w:line="282" w:lineRule="auto"/>
        <w:rPr>
          <w:sz w:val="20"/>
          <w:szCs w:val="20"/>
          <w:color w:val="auto"/>
        </w:rPr>
      </w:pPr>
      <w:r>
        <w:rPr>
          <w:rFonts w:ascii="Times New Roman" w:cs="Times New Roman" w:eastAsia="Times New Roman" w:hAnsi="Times New Roman"/>
          <w:sz w:val="18"/>
          <w:szCs w:val="18"/>
          <w:color w:val="auto"/>
        </w:rPr>
        <w:t>We determined during our reviews that other indefinite-lived intangible assets and finite-lived intangible assets were not impaired as of September 30, 2024, or December 31, 2023.</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Amortization expense was $0 and $114 for the three months ended September 30, 2024 and 2023, respectively, and $211 and $349 for the nine months ended September 30, 2024 and 2023, respectively. Amortization expense for continuing operations was $0 and $8 for the three months ended September 30, 2024 and 2023, respectively, and $0 and $32 for the nine months ended September 30, 2024 and 2023, respectively.</w:t>
      </w: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Royalties, Dividends, and Affiliations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29" w:lineRule="exact"/>
        <w:rPr>
          <w:sz w:val="20"/>
          <w:szCs w:val="20"/>
          <w:color w:val="auto"/>
        </w:rPr>
      </w:pPr>
    </w:p>
    <w:p>
      <w:pPr>
        <w:ind w:left="20" w:right="440"/>
        <w:spacing w:after="0" w:line="258" w:lineRule="auto"/>
        <w:rPr>
          <w:sz w:val="20"/>
          <w:szCs w:val="20"/>
          <w:color w:val="auto"/>
        </w:rPr>
      </w:pPr>
      <w:r>
        <w:rPr>
          <w:rFonts w:ascii="Times New Roman" w:cs="Times New Roman" w:eastAsia="Times New Roman" w:hAnsi="Times New Roman"/>
          <w:sz w:val="18"/>
          <w:szCs w:val="18"/>
          <w:color w:val="auto"/>
        </w:rPr>
        <w:t>Nodak Insurance was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$468 and $426 during the three months ended September 30, 2024 and 2023, respectively, and $1,351 and $1,225 for the nine months ended September 30, 2024 and 2023, respectively. Royalty amounts payable of $7 and $131 were accrued as a liability to the NDFB at September 30, 2024, and December 31,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20" w:right="20"/>
        <w:spacing w:after="0" w:line="256"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requirements that may further affect their ability to pay dividends. Our insurance subsidiaries statutory capital and surplus at December 31, 2023, exceeded the amount of statutory capital and surplus necessary to satisfy risk-based capital requirements by a significant margin. For information regarding the availability of subsidiaries to pay dividends to NI Holdings during 2024, see Item II, Part 8, Note 12 “Related Party Transactions” section of the 2023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w:t>
      </w:r>
    </w:p>
    <w:p>
      <w:pPr>
        <w:spacing w:after="0" w:line="229" w:lineRule="exact"/>
        <w:rPr>
          <w:sz w:val="20"/>
          <w:szCs w:val="20"/>
          <w:color w:val="auto"/>
        </w:rPr>
      </w:pPr>
    </w:p>
    <w:p>
      <w:pPr>
        <w:ind w:left="20" w:right="120"/>
        <w:spacing w:after="0" w:line="261" w:lineRule="auto"/>
        <w:rPr>
          <w:sz w:val="20"/>
          <w:szCs w:val="20"/>
          <w:color w:val="auto"/>
        </w:rPr>
      </w:pPr>
      <w:r>
        <w:rPr>
          <w:rFonts w:ascii="Times New Roman" w:cs="Times New Roman" w:eastAsia="Times New Roman" w:hAnsi="Times New Roman"/>
          <w:sz w:val="18"/>
          <w:szCs w:val="18"/>
          <w:color w:val="auto"/>
        </w:rPr>
        <w:t>Prior to January 2, 2024, we consolidated the financial statements of Battle Creek, and Battle Creek’s policyholders’ interest in Battle Creek was reflected as a non-controlling interest in shareholders’ equity in our Consolidated Balance Sheets. Subsequent to January 2, 2024, Battle Creek is fully consolidated in our Consolidated Balance Sheets. The following table discloses the standalone balance sheet of Battle Creek, prior to intercompany eliminations, to illustrate the impact of including Battle Creek in our December 31, 2023, Consolidated Balance Sheet prior to demutualization: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4800" w:type="dxa"/>
            <w:vAlign w:val="bottom"/>
            <w:gridSpan w:val="4"/>
          </w:tcPr>
          <w:p>
            <w:pPr>
              <w:ind w:left="324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3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6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15,394</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5,953</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57"/>
        </w:trPr>
        <w:tc>
          <w:tcPr>
            <w:tcW w:w="644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9"/>
                <w:szCs w:val="29"/>
                <w:color w:val="auto"/>
                <w:vertAlign w:val="superscript"/>
              </w:rPr>
              <w:t>(2)</w:t>
            </w:r>
          </w:p>
        </w:tc>
        <w:tc>
          <w:tcPr>
            <w:tcW w:w="3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6,918</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recoverable</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w:t>
            </w:r>
          </w:p>
        </w:tc>
        <w:tc>
          <w:tcPr>
            <w:tcW w:w="3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6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32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w:t>
            </w:r>
          </w:p>
        </w:tc>
      </w:tr>
      <w:tr>
        <w:trPr>
          <w:trHeight w:val="263"/>
        </w:trPr>
        <w:tc>
          <w:tcPr>
            <w:tcW w:w="6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3240" w:type="dxa"/>
            <w:vAlign w:val="bottom"/>
            <w:tcBorders>
              <w:bottom w:val="single" w:sz="8" w:color="CCEEFF"/>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32,987</w:t>
            </w:r>
          </w:p>
        </w:tc>
        <w:tc>
          <w:tcPr>
            <w:tcW w:w="100" w:type="dxa"/>
            <w:vAlign w:val="bottom"/>
            <w:tcBorders>
              <w:bottom w:val="single" w:sz="8" w:color="CCEEFF"/>
            </w:tcBorders>
          </w:tcPr>
          <w:p>
            <w:pPr>
              <w:spacing w:after="0"/>
              <w:rPr>
                <w:sz w:val="22"/>
                <w:szCs w:val="22"/>
                <w:color w:val="auto"/>
              </w:rPr>
            </w:pPr>
          </w:p>
        </w:tc>
      </w:tr>
      <w:tr>
        <w:trPr>
          <w:trHeight w:val="196"/>
        </w:trPr>
        <w:tc>
          <w:tcPr>
            <w:tcW w:w="6440" w:type="dxa"/>
            <w:vAlign w:val="bottom"/>
            <w:shd w:val="clear" w:color="auto" w:fill="CCEEFF"/>
          </w:tcPr>
          <w:p>
            <w:pPr>
              <w:spacing w:after="0"/>
              <w:rPr>
                <w:sz w:val="17"/>
                <w:szCs w:val="17"/>
                <w:color w:val="auto"/>
              </w:rPr>
            </w:pPr>
          </w:p>
        </w:tc>
        <w:tc>
          <w:tcPr>
            <w:tcW w:w="3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7"/>
          <w:szCs w:val="17"/>
          <w:color w:val="auto"/>
        </w:rPr>
        <w:t>Unpaid losses and loss adjustment expenses</w:t>
      </w:r>
    </w:p>
    <w:p>
      <w:pPr>
        <w:spacing w:after="0" w:line="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Unearned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9"/>
          <w:szCs w:val="29"/>
          <w:color w:val="auto"/>
          <w:vertAlign w:val="superscript"/>
        </w:rPr>
        <w:t>(1)</w:t>
      </w:r>
    </w:p>
    <w:p>
      <w:pPr>
        <w:ind w:left="140"/>
        <w:spacing w:after="0" w:line="184" w:lineRule="auto"/>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2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140"/>
        <w:spacing w:after="0" w:line="185" w:lineRule="auto"/>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p>
      <w:pPr>
        <w:spacing w:after="0" w:line="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625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40" w:hanging="1033"/>
        <w:spacing w:after="0"/>
        <w:tabs>
          <w:tab w:leader="none" w:pos="10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4,276</w:t>
      </w:r>
    </w:p>
    <w:p>
      <w:pPr>
        <w:spacing w:after="0" w:line="27"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3,269</w:t>
      </w:r>
    </w:p>
    <w:p>
      <w:pPr>
        <w:spacing w:after="0" w:line="31"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w:t>
      </w:r>
    </w:p>
    <w:p>
      <w:pPr>
        <w:spacing w:after="0" w:line="49" w:lineRule="exact"/>
        <w:rPr>
          <w:rFonts w:ascii="Times New Roman" w:cs="Times New Roman" w:eastAsia="Times New Roman" w:hAnsi="Times New Roman"/>
          <w:sz w:val="18"/>
          <w:szCs w:val="18"/>
          <w:color w:val="auto"/>
        </w:rPr>
      </w:pPr>
    </w:p>
    <w:p>
      <w:pPr>
        <w:ind w:left="1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5,932</w:t>
      </w:r>
    </w:p>
    <w:p>
      <w:pPr>
        <w:spacing w:after="0" w:line="50"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13,275</w:t>
      </w:r>
    </w:p>
    <w:p>
      <w:pPr>
        <w:spacing w:after="0" w:line="27"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477</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30,229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color w:val="auto"/>
        </w:rPr>
        <w:t>2,758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916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241" w:lineRule="exact"/>
        <w:rPr>
          <w:sz w:val="20"/>
          <w:szCs w:val="20"/>
          <w:color w:val="auto"/>
        </w:rPr>
      </w:pPr>
    </w:p>
    <w:p>
      <w:pPr>
        <w:ind w:left="960" w:hanging="953"/>
        <w:spacing w:after="0"/>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32,987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91694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60" w:space="720"/>
            <w:col w:w="1560"/>
          </w:cols>
          <w:pgMar w:left="320" w:top="225" w:right="339" w:bottom="1440" w:gutter="0" w:footer="0" w:header="0"/>
          <w:type w:val="continuous"/>
        </w:sectPr>
      </w:pPr>
    </w:p>
    <w:p>
      <w:pPr>
        <w:spacing w:after="0" w:line="66" w:lineRule="exact"/>
        <w:rPr>
          <w:sz w:val="20"/>
          <w:szCs w:val="20"/>
          <w:color w:val="auto"/>
        </w:rPr>
      </w:pPr>
    </w:p>
    <w:p>
      <w:pPr>
        <w:ind w:left="560" w:hanging="552"/>
        <w:spacing w:after="0"/>
        <w:tabs>
          <w:tab w:leader="none" w:pos="5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fully eliminated in consolidation.</w:t>
      </w:r>
    </w:p>
    <w:p>
      <w:pPr>
        <w:spacing w:after="0" w:line="27" w:lineRule="exact"/>
        <w:rPr>
          <w:rFonts w:ascii="Times New Roman" w:cs="Times New Roman" w:eastAsia="Times New Roman" w:hAnsi="Times New Roman"/>
          <w:sz w:val="18"/>
          <w:szCs w:val="18"/>
          <w:color w:val="auto"/>
        </w:rPr>
      </w:pPr>
    </w:p>
    <w:p>
      <w:pPr>
        <w:ind w:left="580" w:hanging="572"/>
        <w:spacing w:after="0"/>
        <w:tabs>
          <w:tab w:leader="none" w:pos="5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partly eliminated in consolidation.</w:t>
      </w:r>
    </w:p>
    <w:p>
      <w:pPr>
        <w:sectPr>
          <w:pgSz w:w="11900" w:h="16838" w:orient="portrait"/>
          <w:cols w:equalWidth="0" w:num="1">
            <w:col w:w="11240"/>
          </w:cols>
          <w:pgMar w:left="320" w:top="225" w:right="33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29" w:lineRule="exact"/>
        <w:rPr>
          <w:sz w:val="20"/>
          <w:szCs w:val="20"/>
          <w:color w:val="auto"/>
        </w:rPr>
      </w:pPr>
    </w:p>
    <w:p>
      <w:pPr>
        <w:ind w:left="20"/>
        <w:spacing w:after="0" w:line="258"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Nodak Insurance also contributes an additional elective amount of employee compensation as a profit-sharing contribution for eligible employees. Westminster also sponsored a separate 401(k) plan until the company was sold on June 30, 2024. American West and Battle Creek have no employees. The Company reported expenses related to these plans totaling $312 and $656 during the three months ended September 30, 2024 and 2023, respectively, and $1,117 and $1,315 during the nine months ended September 30, 2024 and 2023,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25" w:lineRule="exact"/>
        <w:rPr>
          <w:sz w:val="20"/>
          <w:szCs w:val="20"/>
          <w:color w:val="auto"/>
        </w:rPr>
      </w:pPr>
    </w:p>
    <w:p>
      <w:pPr>
        <w:ind w:left="20" w:right="14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over the key executives’ allowable 401(k) contribution. The plan also allows employee-directed deferral of key executives’ compensation or incentive payments. The Company reported expenses related to this plan totaling $27 and $45 during the three months ended September 30, 2024 and 2023, respectively, and $258 and $257 during the nine months ended September 30, 2024 and 2023, respectively.</w:t>
      </w:r>
    </w:p>
    <w:p>
      <w:pPr>
        <w:spacing w:after="0" w:line="1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its Employee Stock Ownership Plan (the “ESOP”) within the meaning of Internal Revenue Code Section 4975(e)(7) and invests solely in common stock of the Company.</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Upon establishment of the ESOP,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pacing w:after="0" w:line="187"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Sheets over time. The Company records compensation expense related to the shares released, equal to the number of shares released from the suspense account multiplied by the average market value of the Company’s stock during the period.</w:t>
      </w:r>
    </w:p>
    <w:p>
      <w:pPr>
        <w:spacing w:after="0" w:line="183"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related to the ESOP of $93 and $81 during the three months ended September 30, 2024 and 2023, respectively, and $269 and $245 during the nine months ended September 30, 2024 and 2023, respectively.</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Through September 30, 2024, and December 31, 2023, the Company had released and allocated 170,205 ESOP shares to participants, with a remainder of 69,795 ESOP shares in suspense at September 30, 2024, and December 31, 2023. Using the Company’s quarter-end market price of $15.68 per share, the fair value of the unearned ESOP shares was $1,094 at September 30, 2024.</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2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NI Holdings has a $3,000 line of credit with Wells Fargo Bank, N.A. The terms of the line of credit include a floating interest rate of 2.50% above the daily simple secured overnight financing rate. There were no outstanding amounts during the nine months ended September 30, 2024, or the year ended December 31, 2023. This line of credit is scheduled to expire on December 13, 2024.</w:t>
      </w:r>
    </w:p>
    <w:p>
      <w:pPr>
        <w:spacing w:after="0" w:line="388" w:lineRule="exact"/>
        <w:rPr>
          <w:sz w:val="20"/>
          <w:szCs w:val="20"/>
          <w:color w:val="auto"/>
        </w:rPr>
      </w:pPr>
    </w:p>
    <w:p>
      <w:pPr>
        <w:ind w:left="540" w:hanging="532"/>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8"/>
          <w:szCs w:val="18"/>
          <w:color w:val="auto"/>
        </w:rPr>
        <w:t>Due to the Battle Creek demutualization, the Company established a net valuation allowance of $346 against their deferred income tax asset established for net operating loss carryforwards.</w:t>
      </w:r>
    </w:p>
    <w:p>
      <w:pPr>
        <w:spacing w:after="0" w:line="162" w:lineRule="exact"/>
        <w:rPr>
          <w:sz w:val="20"/>
          <w:szCs w:val="20"/>
          <w:color w:val="auto"/>
        </w:rPr>
      </w:pPr>
    </w:p>
    <w:p>
      <w:pPr>
        <w:ind w:left="20" w:right="420"/>
        <w:spacing w:after="0" w:line="266" w:lineRule="auto"/>
        <w:rPr>
          <w:sz w:val="20"/>
          <w:szCs w:val="20"/>
          <w:color w:val="auto"/>
        </w:rPr>
      </w:pPr>
      <w:r>
        <w:rPr>
          <w:rFonts w:ascii="Times New Roman" w:cs="Times New Roman" w:eastAsia="Times New Roman" w:hAnsi="Times New Roman"/>
          <w:sz w:val="18"/>
          <w:szCs w:val="18"/>
          <w:color w:val="auto"/>
        </w:rPr>
        <w:t>At September 30, 2024, and December 31, 2023, we had no unrecognized income tax benefits, no accrued interest and penalties, and no significant uncertain income tax positions. No interest and penalties were recognized during the nine-month period ended September 30, 2024, or the year ended December 31, 2023.</w:t>
      </w:r>
    </w:p>
    <w:p>
      <w:pPr>
        <w:spacing w:after="0" w:line="176"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Federal income taxes were allocated to discontinued operations at a 21.1% effective tax rate at the date of sale. Our effective tax rate for continuing operations for the nine months ended September 30, 2024, was 12.0% which was impacted by the $346 valuation allowance on net operating loss carryforwards established as a result of the Battle Creek demutualization. The effective tax rate, including the loss on the sale of Westminster, was 32.0% for the nine months ended September 30, 2024.</w:t>
      </w:r>
    </w:p>
    <w:p>
      <w:pPr>
        <w:spacing w:after="0" w:line="392" w:lineRule="exact"/>
        <w:rPr>
          <w:sz w:val="20"/>
          <w:szCs w:val="20"/>
          <w:color w:val="auto"/>
        </w:rPr>
      </w:pPr>
    </w:p>
    <w:p>
      <w:pPr>
        <w:ind w:left="540" w:hanging="532"/>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ind w:left="20"/>
        <w:spacing w:after="0" w:line="261"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2028,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2029. In addition, Nodak Insurance leases server equipment under a non-cancellable finance lease expiring in 2026.</w:t>
      </w:r>
    </w:p>
    <w:p>
      <w:pPr>
        <w:spacing w:after="0" w:line="18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Effective for the year ended December 31, 2022, the Company adopted the updated guidance for leases. See Part II, Item 8, Note 2 “Recent Accounting Pronouncements” section of the 2023 Annual Report for additional information. We determine whether a contract is or contains a lease at the inception of the contract. A contract will be deemed to be or contain a lease if the contract conveys the right to control and directs the use of identified property or equipment for a period of time in exchange for consideration. We generally must also have the right to obtain substantially all of the economic benefits from the use of the property and equipment. Lease assets and liabilities are recognized at the lease commencement date based on the present value of lease payments over the lease term. To determine the present value of lease payments not yet paid, we estimate incremental borrowing rates based on the floating interest rate on our Line of Credit with Wells Fargo Bank, N.A. at the lease commencement date, as rates are not implicitly stated in most leases. Lease liabilities are included in accrued expenses and other liabilities and right-of-use assets are included in other assets in the Consolidated Balance Sheets.</w:t>
      </w:r>
    </w:p>
    <w:p>
      <w:pPr>
        <w:spacing w:after="0" w:line="17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expenses of $121 and $98 related to these leases during the three months ended September 30, 2024 and 2023, respectively, and $365 and $293 during the nine months ended September 30, 2024 and 2023.</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information regarding the Company’s leases are as follows: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300" w:type="dxa"/>
            <w:vAlign w:val="bottom"/>
          </w:tcPr>
          <w:p>
            <w:pPr>
              <w:spacing w:after="0"/>
              <w:rPr>
                <w:sz w:val="24"/>
                <w:szCs w:val="24"/>
                <w:color w:val="auto"/>
              </w:rPr>
            </w:pPr>
          </w:p>
        </w:tc>
        <w:tc>
          <w:tcPr>
            <w:tcW w:w="2880" w:type="dxa"/>
            <w:vAlign w:val="bottom"/>
            <w:gridSpan w:val="7"/>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30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r>
      <w:tr>
        <w:trPr>
          <w:trHeight w:val="238"/>
        </w:trPr>
        <w:tc>
          <w:tcPr>
            <w:tcW w:w="5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20" w:type="dxa"/>
            <w:vAlign w:val="bottom"/>
            <w:gridSpan w:val="6"/>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Ended September 30,</w:t>
            </w:r>
          </w:p>
        </w:tc>
        <w:tc>
          <w:tcPr>
            <w:tcW w:w="300" w:type="dxa"/>
            <w:vAlign w:val="bottom"/>
          </w:tcPr>
          <w:p>
            <w:pPr>
              <w:spacing w:after="0"/>
              <w:rPr>
                <w:sz w:val="20"/>
                <w:szCs w:val="2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r>
      <w:tr>
        <w:trPr>
          <w:trHeight w:val="21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3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Finance lease cost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5300" w:type="dxa"/>
            <w:vAlign w:val="bottom"/>
            <w:tcBorders>
              <w:bottom w:val="single" w:sz="8" w:color="CCEEFF"/>
            </w:tcBorders>
          </w:tcPr>
          <w:p>
            <w:pPr>
              <w:ind w:left="740"/>
              <w:spacing w:after="0"/>
              <w:rPr>
                <w:sz w:val="20"/>
                <w:szCs w:val="20"/>
                <w:color w:val="auto"/>
              </w:rPr>
            </w:pPr>
            <w:r>
              <w:rPr>
                <w:rFonts w:ascii="Times New Roman" w:cs="Times New Roman" w:eastAsia="Times New Roman" w:hAnsi="Times New Roman"/>
                <w:sz w:val="18"/>
                <w:szCs w:val="18"/>
                <w:color w:val="auto"/>
              </w:rPr>
              <w:t>Total lease cost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4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tcPr>
          <w:p>
            <w:pPr>
              <w:spacing w:after="0"/>
              <w:rPr>
                <w:sz w:val="22"/>
                <w:szCs w:val="22"/>
                <w:color w:val="auto"/>
              </w:rPr>
            </w:pPr>
          </w:p>
        </w:tc>
      </w:tr>
      <w:tr>
        <w:trPr>
          <w:trHeight w:val="197"/>
        </w:trPr>
        <w:tc>
          <w:tcPr>
            <w:tcW w:w="5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information on leases:</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300" w:type="dxa"/>
            <w:vAlign w:val="bottom"/>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color w:val="auto"/>
              </w:rPr>
              <w:t>Cash payments included in operating cash flows from operating</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c>
          <w:tcPr>
            <w:tcW w:w="3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198"/>
        </w:trPr>
        <w:tc>
          <w:tcPr>
            <w:tcW w:w="53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Cash payments included in operating cash flows from finance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Cash payments included in financing cash flows from finance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5300" w:type="dxa"/>
            <w:vAlign w:val="bottom"/>
          </w:tcPr>
          <w:p>
            <w:pPr>
              <w:ind w:left="3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operating lease</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w:t>
            </w:r>
          </w:p>
        </w:tc>
      </w:tr>
      <w:tr>
        <w:trPr>
          <w:trHeight w:val="198"/>
        </w:trPr>
        <w:tc>
          <w:tcPr>
            <w:tcW w:w="530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Right-of-use assets obtained in exchange for new finance lease</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5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liabilities</w:t>
            </w:r>
          </w:p>
        </w:tc>
        <w:tc>
          <w:tcPr>
            <w:tcW w:w="2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Weighted average discount rate – operating leases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53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discount rate – finance leases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operating leases</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4.7 years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5.6 years</w:t>
            </w:r>
          </w:p>
        </w:tc>
        <w:tc>
          <w:tcPr>
            <w:tcW w:w="300" w:type="dxa"/>
            <w:vAlign w:val="bottom"/>
          </w:tcPr>
          <w:p>
            <w:pPr>
              <w:spacing w:after="0"/>
              <w:rPr>
                <w:sz w:val="18"/>
                <w:szCs w:val="18"/>
                <w:color w:val="auto"/>
              </w:rPr>
            </w:pPr>
          </w:p>
        </w:tc>
        <w:tc>
          <w:tcPr>
            <w:tcW w:w="13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4.7 years</w:t>
            </w:r>
          </w:p>
        </w:tc>
        <w:tc>
          <w:tcPr>
            <w:tcW w:w="4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5.6 years</w:t>
            </w:r>
          </w:p>
        </w:tc>
      </w:tr>
      <w:tr>
        <w:trPr>
          <w:trHeight w:val="216"/>
        </w:trPr>
        <w:tc>
          <w:tcPr>
            <w:tcW w:w="5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remaining lease term in years – finance leases</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 years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2.1 years</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contractual maturities of the Company’s operating leases for each of the five years in the period ending December 31, 2028, and thereafter, reconciled to the Company’s operating lease liability at September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3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68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(three months remaining)</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w:t>
            </w:r>
          </w:p>
        </w:tc>
      </w:tr>
      <w:tr>
        <w:trPr>
          <w:trHeight w:val="216"/>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401</w:t>
            </w:r>
          </w:p>
        </w:tc>
        <w:tc>
          <w:tcPr>
            <w:tcW w:w="5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r>
      <w:tr>
        <w:trPr>
          <w:trHeight w:val="216"/>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w:t>
            </w:r>
          </w:p>
        </w:tc>
        <w:tc>
          <w:tcPr>
            <w:tcW w:w="5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w:t>
            </w:r>
          </w:p>
        </w:tc>
      </w:tr>
      <w:tr>
        <w:trPr>
          <w:trHeight w:val="230"/>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w:t>
            </w:r>
          </w:p>
        </w:tc>
      </w:tr>
      <w:tr>
        <w:trPr>
          <w:trHeight w:val="209"/>
        </w:trPr>
        <w:tc>
          <w:tcPr>
            <w:tcW w:w="6800" w:type="dxa"/>
            <w:vAlign w:val="bottom"/>
            <w:tcBorders>
              <w:top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present value adjustment</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w:t>
            </w:r>
          </w:p>
        </w:tc>
        <w:tc>
          <w:tcPr>
            <w:tcW w:w="5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w:t>
            </w:r>
          </w:p>
        </w:tc>
      </w:tr>
      <w:tr>
        <w:trPr>
          <w:trHeight w:val="223"/>
        </w:trPr>
        <w:tc>
          <w:tcPr>
            <w:tcW w:w="680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Lease liability at September 30, 2024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5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540" w:hanging="532"/>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229" w:lineRule="exact"/>
        <w:rPr>
          <w:sz w:val="20"/>
          <w:szCs w:val="20"/>
          <w:color w:val="auto"/>
        </w:rPr>
      </w:pPr>
    </w:p>
    <w:p>
      <w:pPr>
        <w:ind w:left="20" w:right="140"/>
        <w:spacing w:after="0" w:line="261" w:lineRule="auto"/>
        <w:rPr>
          <w:sz w:val="20"/>
          <w:szCs w:val="20"/>
          <w:color w:val="auto"/>
        </w:rPr>
      </w:pPr>
      <w:r>
        <w:rPr>
          <w:rFonts w:ascii="Times New Roman" w:cs="Times New Roman" w:eastAsia="Times New Roman" w:hAnsi="Times New Roman"/>
          <w:sz w:val="18"/>
          <w:szCs w:val="18"/>
          <w:color w:val="auto"/>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 Contingent liabilities arising from litigation, income taxes, and other matters are not considered to be material to our financial position.</w:t>
      </w: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16.</w:t>
            </w:r>
          </w:p>
        </w:tc>
        <w:tc>
          <w:tcPr>
            <w:tcW w:w="80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Common and Preferred Stock</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were as follows: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5"/>
        </w:trPr>
        <w:tc>
          <w:tcPr>
            <w:tcW w:w="44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40" w:type="dxa"/>
            <w:vAlign w:val="bottom"/>
            <w:tcBorders>
              <w:bottom w:val="single" w:sz="8" w:color="CCEEFF"/>
            </w:tcBorders>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8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96"/>
              </w:rPr>
              <w:t>20,599,908</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21,076,255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4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Treasury shares repurchased through stock repurchase authorization</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(548,549)</w:t>
            </w:r>
          </w:p>
        </w:tc>
      </w:tr>
      <w:tr>
        <w:trPr>
          <w:trHeight w:val="229"/>
        </w:trPr>
        <w:tc>
          <w:tcPr>
            <w:tcW w:w="84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treasury shares for vesting of restricted stock units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48,734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47,887</w:t>
            </w:r>
          </w:p>
        </w:tc>
        <w:tc>
          <w:tcPr>
            <w:tcW w:w="80" w:type="dxa"/>
            <w:vAlign w:val="bottom"/>
            <w:shd w:val="clear" w:color="auto" w:fill="CCEEFF"/>
          </w:tcPr>
          <w:p>
            <w:pPr>
              <w:spacing w:after="0"/>
              <w:rPr>
                <w:sz w:val="19"/>
                <w:szCs w:val="19"/>
                <w:color w:val="auto"/>
              </w:rPr>
            </w:pPr>
          </w:p>
        </w:tc>
      </w:tr>
      <w:tr>
        <w:trPr>
          <w:trHeight w:val="223"/>
        </w:trPr>
        <w:tc>
          <w:tcPr>
            <w:tcW w:w="8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Shares outstanding, end of period</w:t>
            </w:r>
          </w:p>
        </w:tc>
        <w:tc>
          <w:tcPr>
            <w:tcW w:w="124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20,648,642</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20,575,593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The net loss per diluted common share for the three- and nine-month periods ended September 30, 2024, excluded the weighted average effects of 134,644 and 125,054 shares, respectively, of stock awards since the impacts of these potential shares of common stock were anti-dilutive. The net loss per diluted common share for the nine-month period ended September 30, 2023, excluded the weighted average effects of 68,380 shares of stock awards since the impacts of these potential shares of common stock were anti-dilutive.</w:t>
      </w:r>
    </w:p>
    <w:p>
      <w:pPr>
        <w:spacing w:after="0" w:line="18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nine months ended September 30, 2024, we did not repurchase any shares of our common stock. During the nine months ended September 30, 2023, we repurchased 548,549 shares of our common stock for $7,280, under our share repurchase authorization. Included in the cost of treasury stock acquired pursuant to common share repurchases is the 1% excise tax imposed on common share repurchase activity, net of common share issuances, as part of the Inflation Reduction Act of 2022. At September 30,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Consolidated Balance Sheets.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229"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Company’s Articles of Incorporation provide authority to issue up to five million shares of preferred stock. No preferred shares are issued or outstanding.</w:t>
      </w:r>
    </w:p>
    <w:p>
      <w:pPr>
        <w:spacing w:after="0" w:line="374"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Compensation</w:t>
      </w:r>
    </w:p>
    <w:p>
      <w:pPr>
        <w:spacing w:after="0" w:line="22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The NI Holdings, Inc. 2020 Stock and Incentive Plan (the “Plan”) is designed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are based on salary. RSUs granted prior to 2024 vest equally over a five-year period. Effective for executive grants in 2024, the RSUs vest equally over a three-year period. The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225" w:right="339" w:bottom="144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RSUs earned during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granted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RSUs earned during 2024</w:t>
      </w:r>
    </w:p>
    <w:p>
      <w:pPr>
        <w:ind w:left="140"/>
        <w:spacing w:after="0" w:line="201" w:lineRule="auto"/>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631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Units outstanding and unearned at September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44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8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22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115,360</w:t>
            </w:r>
          </w:p>
        </w:tc>
        <w:tc>
          <w:tcPr>
            <w:tcW w:w="220" w:type="dxa"/>
            <w:vAlign w:val="bottom"/>
            <w:gridSpan w:val="2"/>
          </w:tcPr>
          <w:p>
            <w:pPr>
              <w:spacing w:after="0"/>
              <w:rPr>
                <w:sz w:val="16"/>
                <w:szCs w:val="16"/>
                <w:color w:val="auto"/>
              </w:rPr>
            </w:pPr>
          </w:p>
        </w:tc>
        <w:tc>
          <w:tcPr>
            <w:tcW w:w="180" w:type="dxa"/>
            <w:vAlign w:val="bottom"/>
            <w:tcBorders>
              <w:top w:val="single" w:sz="8" w:color="auto"/>
            </w:tcBorders>
          </w:tcPr>
          <w:p>
            <w:pPr>
              <w:jc w:val="right"/>
              <w:ind w:right="13"/>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17.00</w:t>
            </w:r>
          </w:p>
        </w:tc>
        <w:tc>
          <w:tcPr>
            <w:tcW w:w="20" w:type="dxa"/>
            <w:vAlign w:val="bottom"/>
          </w:tcPr>
          <w:p>
            <w:pPr>
              <w:spacing w:after="0"/>
              <w:rPr>
                <w:sz w:val="16"/>
                <w:szCs w:val="16"/>
                <w:color w:val="auto"/>
              </w:rPr>
            </w:pPr>
          </w:p>
        </w:tc>
      </w:tr>
      <w:tr>
        <w:trPr>
          <w:trHeight w:val="216"/>
        </w:trPr>
        <w:tc>
          <w:tcPr>
            <w:tcW w:w="1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85,000</w:t>
            </w: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13.76</w:t>
            </w:r>
          </w:p>
        </w:tc>
      </w:tr>
      <w:tr>
        <w:trPr>
          <w:trHeight w:val="248"/>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(53,780)</w:t>
            </w:r>
          </w:p>
        </w:tc>
        <w:tc>
          <w:tcPr>
            <w:tcW w:w="1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16.32</w:t>
            </w:r>
          </w:p>
        </w:tc>
      </w:tr>
      <w:tr>
        <w:trPr>
          <w:trHeight w:val="209"/>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146,580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w:t>
            </w:r>
          </w:p>
        </w:tc>
      </w:tr>
      <w:tr>
        <w:trPr>
          <w:trHeight w:val="407"/>
        </w:trPr>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103,600</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14.45</w:t>
            </w:r>
          </w:p>
        </w:tc>
      </w:tr>
      <w:tr>
        <w:trPr>
          <w:trHeight w:val="234"/>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(69,420)</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14.82</w:t>
            </w:r>
          </w:p>
        </w:tc>
      </w:tr>
      <w:tr>
        <w:trPr>
          <w:trHeight w:val="270"/>
        </w:trPr>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(80,420)</w:t>
            </w:r>
          </w:p>
        </w:tc>
        <w:tc>
          <w:tcPr>
            <w:tcW w:w="180" w:type="dxa"/>
            <w:vAlign w:val="bottom"/>
          </w:tcPr>
          <w:p>
            <w:pPr>
              <w:spacing w:after="0"/>
              <w:rPr>
                <w:sz w:val="23"/>
                <w:szCs w:val="23"/>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15.19</w:t>
            </w:r>
          </w:p>
        </w:tc>
      </w:tr>
      <w:tr>
        <w:trPr>
          <w:trHeight w:val="223"/>
        </w:trPr>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100,340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14.95</w:t>
            </w: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20" w:space="720"/>
            <w:col w:w="3000"/>
          </w:cols>
          <w:pgMar w:left="320" w:top="225" w:right="339" w:bottom="1440" w:gutter="0" w:footer="0" w:header="0"/>
          <w:type w:val="continuous"/>
        </w:sectPr>
      </w:pPr>
    </w:p>
    <w:p>
      <w:pPr>
        <w:spacing w:after="0" w:line="38" w:lineRule="exact"/>
        <w:rPr>
          <w:sz w:val="20"/>
          <w:szCs w:val="20"/>
          <w:color w:val="auto"/>
        </w:rPr>
      </w:pPr>
    </w:p>
    <w:p>
      <w:pPr>
        <w:ind w:right="1540" w:firstLine="8"/>
        <w:spacing w:after="0" w:line="372" w:lineRule="auto"/>
        <w:tabs>
          <w:tab w:leader="none" w:pos="265" w:val="left"/>
        </w:tabs>
        <w:numPr>
          <w:ilvl w:val="0"/>
          <w:numId w:val="2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RSU forfeitures primarily related to the execution of the separation agreement with the former Chief Executive Officer. The following table shows the impact of RSU activity to the Company’s financial results: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 (benefit)</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(384)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860" w:type="dxa"/>
            <w:vAlign w:val="bottom"/>
          </w:tcPr>
          <w:p>
            <w:pPr>
              <w:spacing w:after="0"/>
              <w:rPr>
                <w:sz w:val="19"/>
                <w:szCs w:val="19"/>
                <w:color w:val="auto"/>
              </w:rPr>
            </w:pPr>
          </w:p>
        </w:tc>
        <w:tc>
          <w:tcPr>
            <w:tcW w:w="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5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RSU compensation expense (benefit), net of income taxes</w:t>
            </w: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At September 30, 2024, there was $782 of unrecognized compensation cost related to outstanding RSUs. That cost is expected to be recognized over a weighted-average period of 1.35 years.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Share Units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are based on salary and, prior to 2024, include a three-year adjusted book value cumulative growth target with threshold and stretch goals. Effective for grants made in 2024, the performance metric is calculated based on an adjusted return on equity over a three-year period, with annual resets.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ectPr>
          <w:pgSz w:w="11900" w:h="16838" w:orient="portrait"/>
          <w:cols w:equalWidth="0" w:num="1">
            <w:col w:w="11240"/>
          </w:cols>
          <w:pgMar w:left="320" w:top="225" w:right="339" w:bottom="1440" w:gutter="0" w:footer="0" w:header="0"/>
          <w:type w:val="continuous"/>
        </w:sect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8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8220" w:type="dxa"/>
            <w:vAlign w:val="bottom"/>
          </w:tcPr>
          <w:p>
            <w:pPr>
              <w:spacing w:after="0"/>
              <w:rPr>
                <w:sz w:val="20"/>
                <w:szCs w:val="20"/>
                <w:color w:val="auto"/>
              </w:rPr>
            </w:pPr>
          </w:p>
        </w:tc>
        <w:tc>
          <w:tcPr>
            <w:tcW w:w="14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8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09"/>
        </w:trPr>
        <w:tc>
          <w:tcPr>
            <w:tcW w:w="8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PSUs granted during 2023 (at target)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87,400</w:t>
            </w:r>
          </w:p>
        </w:tc>
        <w:tc>
          <w:tcPr>
            <w:tcW w:w="18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13.85</w:t>
            </w:r>
          </w:p>
        </w:tc>
      </w:tr>
      <w:tr>
        <w:trPr>
          <w:trHeight w:val="216"/>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PSUs earned during 2023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220" w:type="dxa"/>
            <w:vAlign w:val="bottom"/>
          </w:tcPr>
          <w:p>
            <w:pPr>
              <w:ind w:left="140"/>
              <w:spacing w:after="0" w:line="256" w:lineRule="exact"/>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(63,600)</w:t>
            </w:r>
          </w:p>
        </w:tc>
        <w:tc>
          <w:tcPr>
            <w:tcW w:w="180" w:type="dxa"/>
            <w:vAlign w:val="bottom"/>
          </w:tcPr>
          <w:p>
            <w:pPr>
              <w:spacing w:after="0"/>
              <w:rPr>
                <w:sz w:val="22"/>
                <w:szCs w:val="22"/>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14.26</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Forfeitures</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2023</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213,800</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16.53</w:t>
            </w:r>
          </w:p>
        </w:tc>
      </w:tr>
      <w:tr>
        <w:trPr>
          <w:trHeight w:val="210"/>
        </w:trPr>
        <w:tc>
          <w:tcPr>
            <w:tcW w:w="8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ind w:left="140"/>
        <w:spacing w:after="0"/>
        <w:rPr>
          <w:sz w:val="20"/>
          <w:szCs w:val="20"/>
          <w:color w:val="auto"/>
        </w:rPr>
      </w:pPr>
      <w:r>
        <w:rPr>
          <w:rFonts w:ascii="Times New Roman" w:cs="Times New Roman" w:eastAsia="Times New Roman" w:hAnsi="Times New Roman"/>
          <w:sz w:val="18"/>
          <w:szCs w:val="18"/>
          <w:color w:val="auto"/>
        </w:rPr>
        <w:t>PSUs granted during 2024 (at target)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PSUs earned during 2024</w:t>
      </w:r>
    </w:p>
    <w:p>
      <w:pPr>
        <w:ind w:left="140"/>
        <w:spacing w:after="0" w:line="192" w:lineRule="auto"/>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29"/>
          <w:szCs w:val="29"/>
          <w:color w:val="auto"/>
          <w:vertAlign w:val="superscript"/>
        </w:rPr>
        <w:t>(1)</w:t>
      </w:r>
    </w:p>
    <w:p>
      <w:pPr>
        <w:ind w:left="140"/>
        <w:spacing w:after="0" w:line="194" w:lineRule="auto"/>
        <w:rPr>
          <w:sz w:val="20"/>
          <w:szCs w:val="20"/>
          <w:color w:val="auto"/>
        </w:rPr>
      </w:pPr>
      <w:r>
        <w:rPr>
          <w:rFonts w:ascii="Times New Roman" w:cs="Times New Roman" w:eastAsia="Times New Roman" w:hAnsi="Times New Roman"/>
          <w:sz w:val="18"/>
          <w:szCs w:val="18"/>
          <w:color w:val="auto"/>
        </w:rPr>
        <w:t xml:space="preserve">Forfeitures </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Units outstanding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1900" w:type="dxa"/>
            <w:vAlign w:val="bottom"/>
            <w:gridSpan w:val="2"/>
          </w:tcPr>
          <w:p>
            <w:pPr>
              <w:jc w:val="right"/>
              <w:ind w:right="660"/>
              <w:spacing w:after="0" w:line="198" w:lineRule="exact"/>
              <w:rPr>
                <w:sz w:val="20"/>
                <w:szCs w:val="20"/>
                <w:color w:val="auto"/>
              </w:rPr>
            </w:pPr>
            <w:r>
              <w:rPr>
                <w:rFonts w:ascii="Times New Roman" w:cs="Times New Roman" w:eastAsia="Times New Roman" w:hAnsi="Times New Roman"/>
                <w:sz w:val="18"/>
                <w:szCs w:val="18"/>
                <w:color w:val="auto"/>
              </w:rPr>
              <w:t>79,800</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14.19</w:t>
            </w:r>
          </w:p>
        </w:tc>
      </w:tr>
      <w:tr>
        <w:trPr>
          <w:trHeight w:val="234"/>
        </w:trPr>
        <w:tc>
          <w:tcPr>
            <w:tcW w:w="19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(64,600)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w:t>
            </w:r>
          </w:p>
        </w:tc>
      </w:tr>
      <w:tr>
        <w:trPr>
          <w:trHeight w:val="270"/>
        </w:trPr>
        <w:tc>
          <w:tcPr>
            <w:tcW w:w="19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(104,800)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3"/>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124,200</w:t>
            </w:r>
          </w:p>
        </w:tc>
        <w:tc>
          <w:tcPr>
            <w:tcW w:w="6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-5213985</wp:posOffset>
            </wp:positionH>
            <wp:positionV relativeFrom="paragraph">
              <wp:posOffset>-650875</wp:posOffset>
            </wp:positionV>
            <wp:extent cx="71323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-5213985</wp:posOffset>
            </wp:positionH>
            <wp:positionV relativeFrom="paragraph">
              <wp:posOffset>-350520</wp:posOffset>
            </wp:positionV>
            <wp:extent cx="7132320"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7500" w:space="720"/>
            <w:col w:w="3020"/>
          </w:cols>
          <w:pgMar w:left="320" w:top="225" w:right="339" w:bottom="1440" w:gutter="0" w:footer="0" w:header="0"/>
          <w:type w:val="continuous"/>
        </w:sectPr>
      </w:pPr>
    </w:p>
    <w:p>
      <w:pPr>
        <w:ind w:left="220" w:hanging="212"/>
        <w:spacing w:after="0"/>
        <w:tabs>
          <w:tab w:leader="none" w:pos="220" w:val="left"/>
        </w:tabs>
        <w:numPr>
          <w:ilvl w:val="0"/>
          <w:numId w:val="2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Represents the change in PSUs issued based upon the attainment of performance goals established by the Company.</w:t>
      </w:r>
    </w:p>
    <w:p>
      <w:pPr>
        <w:spacing w:after="0" w:line="42" w:lineRule="exact"/>
        <w:rPr>
          <w:rFonts w:ascii="Times New Roman" w:cs="Times New Roman" w:eastAsia="Times New Roman" w:hAnsi="Times New Roman"/>
          <w:sz w:val="27"/>
          <w:szCs w:val="27"/>
          <w:color w:val="auto"/>
          <w:vertAlign w:val="superscript"/>
        </w:rPr>
      </w:pPr>
    </w:p>
    <w:p>
      <w:pPr>
        <w:ind w:left="220" w:hanging="212"/>
        <w:spacing w:after="0" w:line="194" w:lineRule="auto"/>
        <w:tabs>
          <w:tab w:leader="none" w:pos="220"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Represents PSU forfeitures primarily related to the execution of the separation agreement with the former Chief Executive Officer.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(230)</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 w:type="dxa"/>
            <w:vAlign w:val="bottom"/>
            <w:shd w:val="clear" w:color="auto" w:fill="CCEEFF"/>
          </w:tcPr>
          <w:p>
            <w:pPr>
              <w:spacing w:after="0"/>
              <w:rPr>
                <w:sz w:val="18"/>
                <w:szCs w:val="18"/>
                <w:color w:val="auto"/>
              </w:rPr>
            </w:pPr>
          </w:p>
        </w:tc>
      </w:tr>
      <w:tr>
        <w:trPr>
          <w:trHeight w:val="230"/>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860" w:type="dxa"/>
            <w:vAlign w:val="bottom"/>
          </w:tcPr>
          <w:p>
            <w:pPr>
              <w:spacing w:after="0"/>
              <w:rPr>
                <w:sz w:val="19"/>
                <w:szCs w:val="19"/>
                <w:color w:val="auto"/>
              </w:rPr>
            </w:pPr>
          </w:p>
        </w:tc>
        <w:tc>
          <w:tcPr>
            <w:tcW w:w="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52</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r>
      <w:tr>
        <w:trPr>
          <w:trHeight w:val="223"/>
        </w:trPr>
        <w:tc>
          <w:tcPr>
            <w:tcW w:w="55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PSU compensation expense, net of income taxes</w:t>
            </w:r>
          </w:p>
        </w:tc>
        <w:tc>
          <w:tcPr>
            <w:tcW w:w="8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we can reasonably forecast the financial performance of each PSU award grant. At the end of the performance period, we will reflect a performance adjustment, which may be either an increase or decrease from the initial target awards. The actual number of shares to be issued at the end of the performance period will range from 0% to 150% of the initial target awards. As of December 31, 2023, the previously recognized compensation expense related to the PSU awards granted during 2022 and 2021 was eliminated due to the Company's expectation that the threshold performance goal will not be met.</w:t>
      </w:r>
    </w:p>
    <w:p>
      <w:pPr>
        <w:spacing w:after="0" w:line="183"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At September 30, 2024, there was $796 of unrecognized compensation cost related to outstanding PSUs. That cost is expected to be recognized over a weighted-average period of 2.04 years.</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540" w:hanging="532"/>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Allowance for Expected Credit Losses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Premiums Receivable</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balances of premiums and agents’ balances receivable, net of the allowance for expected credit losses as of September 30, 2024, and the changes in the allowance for expected credit losses for the three and nine months ended September 30, 2024 for continuing and discontinued operations.</w:t>
      </w:r>
    </w:p>
    <w:p>
      <w:pPr>
        <w:sectPr>
          <w:pgSz w:w="11900" w:h="16838" w:orient="portrait"/>
          <w:cols w:equalWidth="0" w:num="1">
            <w:col w:w="11200"/>
          </w:cols>
          <w:pgMar w:left="320" w:top="22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Current period charge for expected credit losses Write-offs of uncollectible premiums receivable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27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8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As of and For the Three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7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Ended September 30, 2024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6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5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2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92,831</w:t>
            </w: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91,249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85,315</w:t>
            </w:r>
          </w:p>
        </w:tc>
        <w:tc>
          <w:tcPr>
            <w:tcW w:w="120" w:type="dxa"/>
            <w:vAlign w:val="bottom"/>
          </w:tcPr>
          <w:p>
            <w:pPr>
              <w:spacing w:after="0"/>
              <w:rPr>
                <w:sz w:val="24"/>
                <w:szCs w:val="24"/>
                <w:color w:val="auto"/>
              </w:rPr>
            </w:pP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87,621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3280" w:type="dxa"/>
            <w:vAlign w:val="bottom"/>
            <w:gridSpan w:val="6"/>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As of and For the Nine Months Ended</w:t>
            </w:r>
          </w:p>
        </w:tc>
        <w:tc>
          <w:tcPr>
            <w:tcW w:w="3180" w:type="dxa"/>
            <w:vAlign w:val="bottom"/>
            <w:gridSpan w:val="7"/>
          </w:tcPr>
          <w:p>
            <w:pPr>
              <w:ind w:left="8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2720" w:type="dxa"/>
            <w:vAlign w:val="bottom"/>
            <w:gridSpan w:val="4"/>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60" w:type="dxa"/>
            <w:vAlign w:val="bottom"/>
            <w:gridSpan w:val="6"/>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0" w:type="dxa"/>
            <w:vAlign w:val="bottom"/>
          </w:tcPr>
          <w:p>
            <w:pPr>
              <w:spacing w:after="0"/>
              <w:rPr>
                <w:sz w:val="1"/>
                <w:szCs w:val="1"/>
                <w:color w:val="auto"/>
              </w:rPr>
            </w:pPr>
          </w:p>
        </w:tc>
      </w:tr>
      <w:tr>
        <w:trPr>
          <w:trHeight w:val="187"/>
        </w:trPr>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6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2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56,154</w:t>
            </w: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85,315</w:t>
            </w:r>
          </w:p>
        </w:tc>
        <w:tc>
          <w:tcPr>
            <w:tcW w:w="124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87,621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-3385185</wp:posOffset>
            </wp:positionV>
            <wp:extent cx="7132320" cy="1460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-3076575</wp:posOffset>
            </wp:positionV>
            <wp:extent cx="7132320" cy="1543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-2785110</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-2493645</wp:posOffset>
            </wp:positionV>
            <wp:extent cx="7132320" cy="16319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-1070610</wp:posOffset>
            </wp:positionV>
            <wp:extent cx="7132320" cy="145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-762000</wp:posOffset>
            </wp:positionV>
            <wp:extent cx="7132320" cy="1543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-471170</wp:posOffset>
            </wp:positionV>
            <wp:extent cx="7132320" cy="1460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-179070</wp:posOffset>
            </wp:positionV>
            <wp:extent cx="7132320" cy="162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580"/>
          </w:cols>
          <w:pgMar w:left="320" w:top="225" w:right="379" w:bottom="1440" w:gutter="0" w:footer="0" w:header="0"/>
          <w:type w:val="continuous"/>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40" w:name="page41"/>
    <w:bookmarkEnd w:id="4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tbl>
      <w:tblPr>
        <w:tblLayout w:type="fixed"/>
        <w:tblInd w:w="4620" w:type="dxa"/>
        <w:tblCellMar>
          <w:top w:w="0" w:type="dxa"/>
          <w:left w:w="0" w:type="dxa"/>
          <w:bottom w:w="0" w:type="dxa"/>
          <w:right w:w="0" w:type="dxa"/>
        </w:tblCellMar>
      </w:tblPr>
      <w:tr>
        <w:trPr>
          <w:trHeight w:val="216"/>
        </w:trPr>
        <w:tc>
          <w:tcPr>
            <w:tcW w:w="3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w:t>
            </w:r>
          </w:p>
        </w:tc>
        <w:tc>
          <w:tcPr>
            <w:tcW w:w="3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and For the Three Months Ended</w:t>
            </w:r>
          </w:p>
        </w:tc>
      </w:tr>
      <w:tr>
        <w:trPr>
          <w:trHeight w:val="238"/>
        </w:trPr>
        <w:tc>
          <w:tcPr>
            <w:tcW w:w="34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Ended September 30, 2024</w:t>
            </w:r>
          </w:p>
        </w:tc>
        <w:tc>
          <w:tcPr>
            <w:tcW w:w="31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2023</w:t>
            </w:r>
          </w:p>
        </w:tc>
      </w:tr>
      <w:tr>
        <w:trPr>
          <w:trHeight w:val="187"/>
        </w:trPr>
        <w:tc>
          <w:tcPr>
            <w:tcW w:w="162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5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Borders>
              <w:top w:val="single" w:sz="8" w:color="auto"/>
            </w:tcBorders>
          </w:tcPr>
          <w:p>
            <w:pPr>
              <w:jc w:val="center"/>
              <w:ind w:right="5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540" w:type="dxa"/>
            <w:vAlign w:val="bottom"/>
            <w:tcBorders>
              <w:top w:val="single" w:sz="8" w:color="auto"/>
            </w:tcBorders>
          </w:tcPr>
          <w:p>
            <w:pPr>
              <w:spacing w:after="0"/>
              <w:rPr>
                <w:sz w:val="16"/>
                <w:szCs w:val="16"/>
                <w:color w:val="auto"/>
              </w:rPr>
            </w:pPr>
          </w:p>
        </w:tc>
      </w:tr>
      <w:tr>
        <w:trPr>
          <w:trHeight w:val="216"/>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Agents’ Balances</w:t>
            </w:r>
          </w:p>
        </w:tc>
        <w:tc>
          <w:tcPr>
            <w:tcW w:w="1540" w:type="dxa"/>
            <w:vAlign w:val="bottom"/>
          </w:tcPr>
          <w:p>
            <w:pPr>
              <w:spacing w:after="0"/>
              <w:rPr>
                <w:sz w:val="18"/>
                <w:szCs w:val="18"/>
                <w:color w:val="auto"/>
              </w:rPr>
            </w:pPr>
          </w:p>
        </w:tc>
      </w:tr>
      <w:tr>
        <w:trPr>
          <w:trHeight w:val="216"/>
        </w:trPr>
        <w:tc>
          <w:tcPr>
            <w:tcW w:w="16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1540" w:type="dxa"/>
            <w:vAlign w:val="bottom"/>
          </w:tcPr>
          <w:p>
            <w:pPr>
              <w:spacing w:after="0"/>
              <w:rPr>
                <w:sz w:val="18"/>
                <w:szCs w:val="18"/>
                <w:color w:val="auto"/>
              </w:rPr>
            </w:pPr>
          </w:p>
        </w:tc>
      </w:tr>
      <w:tr>
        <w:trPr>
          <w:trHeight w:val="216"/>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r>
      <w:tr>
        <w:trPr>
          <w:trHeight w:val="216"/>
        </w:trPr>
        <w:tc>
          <w:tcPr>
            <w:tcW w:w="16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7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Expected Credit</w:t>
            </w:r>
          </w:p>
        </w:tc>
      </w:tr>
      <w:tr>
        <w:trPr>
          <w:trHeight w:val="238"/>
        </w:trPr>
        <w:tc>
          <w:tcPr>
            <w:tcW w:w="16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5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Losses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5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Write-offs of uncollectible premiums receivable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balances disposed in sale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Discontinued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beginning of period</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period charge for expected credit losses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Write-offs of uncollectible premiums receivable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balances disposed in sale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15,697</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12,004</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120" w:type="dxa"/>
            <w:vAlign w:val="bottom"/>
          </w:tcPr>
          <w:p>
            <w:pPr>
              <w:spacing w:after="0"/>
              <w:rPr>
                <w:sz w:val="24"/>
                <w:szCs w:val="24"/>
                <w:color w:val="auto"/>
              </w:rPr>
            </w:pPr>
          </w:p>
        </w:tc>
        <w:tc>
          <w:tcPr>
            <w:tcW w:w="328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As of and For the Nine Months Ended</w:t>
            </w:r>
          </w:p>
        </w:tc>
        <w:tc>
          <w:tcPr>
            <w:tcW w:w="3180" w:type="dxa"/>
            <w:vAlign w:val="bottom"/>
            <w:gridSpan w:val="7"/>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As of and For the Nine Months Ended</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20" w:type="dxa"/>
            <w:vAlign w:val="bottom"/>
          </w:tcPr>
          <w:p>
            <w:pPr>
              <w:spacing w:after="0"/>
              <w:rPr>
                <w:sz w:val="16"/>
                <w:szCs w:val="16"/>
                <w:color w:val="auto"/>
              </w:rPr>
            </w:pPr>
          </w:p>
        </w:tc>
        <w:tc>
          <w:tcPr>
            <w:tcW w:w="148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Premiums and</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Agents’ Balances</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Receivable, Net of</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Receivable, Net of</w:t>
            </w: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120" w:type="dxa"/>
            <w:vAlign w:val="bottom"/>
          </w:tcPr>
          <w:p>
            <w:pPr>
              <w:spacing w:after="0"/>
              <w:rPr>
                <w:sz w:val="18"/>
                <w:szCs w:val="18"/>
                <w:color w:val="auto"/>
              </w:rPr>
            </w:pPr>
          </w:p>
        </w:tc>
        <w:tc>
          <w:tcPr>
            <w:tcW w:w="1280" w:type="dxa"/>
            <w:vAlign w:val="bottom"/>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Allowance for</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20" w:type="dxa"/>
            <w:vAlign w:val="bottom"/>
          </w:tcPr>
          <w:p>
            <w:pPr>
              <w:spacing w:after="0"/>
              <w:rPr>
                <w:sz w:val="18"/>
                <w:szCs w:val="18"/>
                <w:color w:val="auto"/>
              </w:rPr>
            </w:pPr>
          </w:p>
        </w:tc>
        <w:tc>
          <w:tcPr>
            <w:tcW w:w="12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Allowance for</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120" w:type="dxa"/>
            <w:vAlign w:val="bottom"/>
          </w:tcPr>
          <w:p>
            <w:pPr>
              <w:spacing w:after="0"/>
              <w:rPr>
                <w:sz w:val="18"/>
                <w:szCs w:val="18"/>
                <w:color w:val="auto"/>
              </w:rPr>
            </w:pPr>
          </w:p>
        </w:tc>
        <w:tc>
          <w:tcPr>
            <w:tcW w:w="16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16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2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Expected Credit</w:t>
            </w:r>
          </w:p>
        </w:tc>
        <w:tc>
          <w:tcPr>
            <w:tcW w:w="0" w:type="dxa"/>
            <w:vAlign w:val="bottom"/>
          </w:tcPr>
          <w:p>
            <w:pPr>
              <w:spacing w:after="0"/>
              <w:rPr>
                <w:sz w:val="1"/>
                <w:szCs w:val="1"/>
                <w:color w:val="auto"/>
              </w:rPr>
            </w:pPr>
          </w:p>
        </w:tc>
      </w:tr>
      <w:tr>
        <w:trPr>
          <w:trHeight w:val="238"/>
        </w:trPr>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17,904</w:t>
            </w: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14,827</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1"/>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16,030</w:t>
            </w:r>
          </w:p>
        </w:tc>
        <w:tc>
          <w:tcPr>
            <w:tcW w:w="120" w:type="dxa"/>
            <w:vAlign w:val="bottom"/>
          </w:tcPr>
          <w:p>
            <w:pPr>
              <w:spacing w:after="0"/>
              <w:rPr>
                <w:sz w:val="22"/>
                <w:szCs w:val="22"/>
                <w:color w:val="auto"/>
              </w:rPr>
            </w:pP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12,004</w:t>
            </w:r>
          </w:p>
        </w:tc>
        <w:tc>
          <w:tcPr>
            <w:tcW w:w="126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-3402330</wp:posOffset>
            </wp:positionV>
            <wp:extent cx="71323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-3110865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-2811145</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-1233805</wp:posOffset>
            </wp:positionV>
            <wp:extent cx="713232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-925195</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-633730</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-334010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720"/>
            <w:col w:w="6580"/>
          </w:cols>
          <w:pgMar w:left="320" w:top="225" w:right="379" w:bottom="1440" w:gutter="0" w:footer="0" w:header="0"/>
          <w:type w:val="continuous"/>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95"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7, 2024, we entered into a definitive agreement to sell our subsidiary, Westminster, to Scott Insurance Holdings, for a cash purchase price of</w:t>
      </w:r>
    </w:p>
    <w:p>
      <w:pPr>
        <w:spacing w:after="0" w:line="27" w:lineRule="exact"/>
        <w:rPr>
          <w:sz w:val="20"/>
          <w:szCs w:val="20"/>
          <w:color w:val="auto"/>
        </w:rPr>
      </w:pPr>
    </w:p>
    <w:p>
      <w:pPr>
        <w:ind w:right="220"/>
        <w:spacing w:after="0" w:line="255" w:lineRule="auto"/>
        <w:rPr>
          <w:sz w:val="20"/>
          <w:szCs w:val="20"/>
          <w:color w:val="auto"/>
        </w:rPr>
      </w:pPr>
      <w:r>
        <w:rPr>
          <w:rFonts w:ascii="Times New Roman" w:cs="Times New Roman" w:eastAsia="Times New Roman" w:hAnsi="Times New Roman"/>
          <w:sz w:val="18"/>
          <w:szCs w:val="18"/>
          <w:color w:val="auto"/>
        </w:rPr>
        <w:t>$10,500, as well as a $1,772 post-closing adjustment pursuant to the purchase agreement, for a net amount of $12,272. The sale closed on June 30, 2024, and we reported an after-tax loss on the sale of discontinued operations of $11,148. For additional information see Part I, Item 1, Note 2 “Basis of Presentation and Accounting Policies” of this Form 10-Q.</w:t>
      </w:r>
    </w:p>
    <w:p>
      <w:pPr>
        <w:spacing w:after="0" w:line="18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assets and liabilities associated with discontinued operations prior to the closing of the sale have been presented separately in our Consolidated Balance Sheets. The Company’s Consolidated Statements of Cash Flows presents operating, investing, and financing cash flows of the discontinued operations separately. The major assets and liability categories were as follows as of the dates indicated: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1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Reinsurance premiums receivable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(815)</w:t>
            </w: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1100" w:type="dxa"/>
            <w:vAlign w:val="bottom"/>
            <w:tcBorders>
              <w:bottom w:val="single" w:sz="8" w:color="CCEEFF"/>
            </w:tcBorders>
          </w:tcPr>
          <w:p>
            <w:pPr>
              <w:spacing w:after="0"/>
              <w:rPr>
                <w:sz w:val="22"/>
                <w:szCs w:val="22"/>
                <w:color w:val="auto"/>
              </w:rPr>
            </w:pPr>
          </w:p>
        </w:tc>
        <w:tc>
          <w:tcPr>
            <w:tcW w:w="3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CCEEFF"/>
            </w:tcBorders>
          </w:tcPr>
          <w:p>
            <w:pPr>
              <w:spacing w:after="0"/>
              <w:rPr>
                <w:sz w:val="22"/>
                <w:szCs w:val="22"/>
                <w:color w:val="auto"/>
              </w:rPr>
            </w:pPr>
          </w:p>
        </w:tc>
        <w:tc>
          <w:tcPr>
            <w:tcW w:w="5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162,457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Unearned premiums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payable (receivable)</w:t>
            </w: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liabilities of discontinued operations</w:t>
            </w:r>
          </w:p>
        </w:tc>
        <w:tc>
          <w:tcPr>
            <w:tcW w:w="1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Summary operating results of discontinued operations were as follows for the periods indicated:</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80" w:type="dxa"/>
            <w:vAlign w:val="bottom"/>
            <w:gridSpan w:val="6"/>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3360" w:type="dxa"/>
            <w:vAlign w:val="bottom"/>
            <w:gridSpan w:val="7"/>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1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premiums earned</w:t>
            </w:r>
          </w:p>
        </w:tc>
        <w:tc>
          <w:tcPr>
            <w:tcW w:w="110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14,352</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31,056</w:t>
            </w:r>
          </w:p>
        </w:tc>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Fee and other income</w:t>
            </w: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investment income</w:t>
            </w:r>
          </w:p>
        </w:tc>
        <w:tc>
          <w:tcPr>
            <w:tcW w:w="1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629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1,419</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(260)</w:t>
            </w: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1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14,719</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32,605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1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10,407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23,506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3,839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1,364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expenses</w:t>
            </w:r>
          </w:p>
        </w:tc>
        <w:tc>
          <w:tcPr>
            <w:tcW w:w="1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15,610</w:t>
            </w: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34,522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100" w:type="dxa"/>
            <w:vAlign w:val="bottom"/>
          </w:tcPr>
          <w:p>
            <w:pPr>
              <w:spacing w:after="0"/>
              <w:rPr>
                <w:sz w:val="18"/>
                <w:szCs w:val="18"/>
                <w:color w:val="auto"/>
              </w:rPr>
            </w:pPr>
          </w:p>
        </w:tc>
        <w:tc>
          <w:tcPr>
            <w:tcW w:w="5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(1,917)</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(15,843)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(384)</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(405)</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(3,363)</w:t>
            </w: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Borders>
              <w:top w:val="single" w:sz="8" w:color="auto"/>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60" w:type="dxa"/>
            <w:vAlign w:val="bottom"/>
            <w:tcBorders>
              <w:bottom w:val="single" w:sz="8" w:color="CCEEFF"/>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(12,480</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Loss per common share from discontinued operations:</w:t>
            </w: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100" w:type="dxa"/>
            <w:vAlign w:val="bottom"/>
            <w:shd w:val="clear" w:color="auto" w:fill="CCEEFF"/>
          </w:tcPr>
          <w:p>
            <w:pPr>
              <w:jc w:val="right"/>
              <w:ind w:right="9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(0.02)</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(0.07)</w:t>
            </w:r>
          </w:p>
        </w:tc>
        <w:tc>
          <w:tcPr>
            <w:tcW w:w="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100" w:type="dxa"/>
            <w:vAlign w:val="bottom"/>
          </w:tcPr>
          <w:p>
            <w:pPr>
              <w:jc w:val="right"/>
              <w:ind w:right="9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940" w:type="dxa"/>
            <w:vAlign w:val="bottom"/>
          </w:tcPr>
          <w:p>
            <w:pPr>
              <w:jc w:val="right"/>
              <w:ind w:right="7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(0.02</w:t>
            </w:r>
          </w:p>
        </w:tc>
        <w:tc>
          <w:tcPr>
            <w:tcW w:w="1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line="1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42" w:name="page43"/>
    <w:bookmarkEnd w:id="4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311"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have five reportable operating segments of our continuing operations, which consist of Private Passenger Auto, Non-Standard Auto, Home and Farm, Crop, and All Other (which primarily consists of commercial, assumed reinsurance, and our excess liability business). Prior to the sale of Westminster on June 30, 2024, we also reported a Commercial segment that consisted primarily of Westminster’s balances and results. Subsequent to the sale, Westminster is reported as part of discontinued operations, which is not included in our segment information. The commercial business that remains a part of our continuing operations has been included in the All Other segment for the current and prior periods presented. We operate only in the U.S., and no single customer or agent provides 10 percent or more of our revenues. The following tables provide available information of these segments for the three- and nine-month periods ended September 30, 2024 and 2023.</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we combine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Consolidated Statement of Operations or Consolidated Balance Sheets to our operating segments. Those line items include net investment income, net investment gains, fee and other income excluding Non-Standard Auto, and income tax expense (benefit) within the Unaudited Consolidated Statement of Operations. For the Consolidated Balance Sheets, those items include cash and investments, property and equipment, other assets, accrued expenses and other liabilities, income taxes recoverable or payable, and shareholders’ equity.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5" w:right="41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540"/>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26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Crop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23,069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26,092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1,880</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(1,369)</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(2,613)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r>
      <w:tr>
        <w:trPr>
          <w:trHeight w:val="21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22,612</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23,001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15,300</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20,504</w:t>
            </w:r>
          </w:p>
        </w:tc>
        <w:tc>
          <w:tcPr>
            <w:tcW w:w="180" w:type="dxa"/>
            <w:vAlign w:val="bottom"/>
          </w:tcPr>
          <w:p>
            <w:pPr>
              <w:spacing w:after="0"/>
              <w:rPr>
                <w:sz w:val="18"/>
                <w:szCs w:val="18"/>
                <w:color w:val="auto"/>
              </w:rPr>
            </w:pPr>
          </w:p>
        </w:tc>
        <w:tc>
          <w:tcPr>
            <w:tcW w:w="10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23,248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7,588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69,692</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617</w:t>
            </w: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(1,230)</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(1,225)</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(5,209)</w:t>
            </w:r>
          </w:p>
        </w:tc>
      </w:tr>
      <w:tr>
        <w:trPr>
          <w:trHeight w:val="209"/>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0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7,470</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10,327</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7,618</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27,340</w:t>
            </w:r>
          </w:p>
        </w:tc>
      </w:tr>
      <w:tr>
        <w:trPr>
          <w:trHeight w:val="209"/>
        </w:trPr>
        <w:tc>
          <w:tcPr>
            <w:tcW w:w="3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281</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491</w:t>
            </w:r>
          </w:p>
        </w:tc>
      </w:tr>
      <w:tr>
        <w:trPr>
          <w:trHeight w:val="209"/>
        </w:trPr>
        <w:tc>
          <w:tcPr>
            <w:tcW w:w="3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jc w:val="right"/>
        <w:ind w:right="7300"/>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7" w:lineRule="exact"/>
        <w:rPr>
          <w:sz w:val="20"/>
          <w:szCs w:val="20"/>
          <w:color w:val="auto"/>
        </w:rPr>
      </w:pPr>
    </w:p>
    <w:p>
      <w:pPr>
        <w:jc w:val="right"/>
        <w:ind w:right="732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2,811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2,412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(3,456)</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(2,705)</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ind w:left="520" w:hanging="514"/>
        <w:spacing w:after="0"/>
        <w:tabs>
          <w:tab w:leader="none" w:pos="5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(2,705)</w:t>
      </w:r>
    </w:p>
    <w:p>
      <w:pPr>
        <w:spacing w:after="0" w:line="36" w:lineRule="exact"/>
        <w:rPr>
          <w:sz w:val="20"/>
          <w:szCs w:val="20"/>
          <w:color w:val="auto"/>
        </w:rPr>
      </w:pPr>
    </w:p>
    <w:p>
      <w:pPr>
        <w:sectPr>
          <w:pgSz w:w="11900" w:h="16838" w:orient="portrait"/>
          <w:cols w:equalWidth="0" w:num="2">
            <w:col w:w="9420" w:space="720"/>
            <w:col w:w="11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CCEEFF"/>
            </w:tcBorders>
            <w:shd w:val="clear" w:color="auto" w:fill="CCEEFF"/>
          </w:tcPr>
          <w:p>
            <w:pPr>
              <w:spacing w:after="0"/>
              <w:rPr>
                <w:sz w:val="20"/>
                <w:szCs w:val="20"/>
                <w:color w:val="auto"/>
              </w:rPr>
            </w:pPr>
          </w:p>
        </w:tc>
        <w:tc>
          <w:tcPr>
            <w:tcW w:w="560" w:type="dxa"/>
            <w:vAlign w:val="bottom"/>
            <w:tcBorders>
              <w:top w:val="single" w:sz="8" w:color="CCEEFF"/>
            </w:tcBorders>
            <w:shd w:val="clear" w:color="auto" w:fill="CCEEFF"/>
          </w:tcPr>
          <w:p>
            <w:pPr>
              <w:spacing w:after="0"/>
              <w:rPr>
                <w:sz w:val="20"/>
                <w:szCs w:val="20"/>
                <w:color w:val="auto"/>
              </w:rPr>
            </w:pPr>
          </w:p>
        </w:tc>
        <w:tc>
          <w:tcPr>
            <w:tcW w:w="90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8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89.1%</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44.9%</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134.0%</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126.2%</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73.3%</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111.0%</w:t>
            </w:r>
          </w:p>
        </w:tc>
      </w:tr>
      <w:tr>
        <w:trPr>
          <w:trHeight w:val="216"/>
        </w:trPr>
        <w:tc>
          <w:tcPr>
            <w:tcW w:w="3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September 30, 2024:</w:t>
            </w: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26,863</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12,076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11,043</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32,751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85,315</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6,636</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9,279</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9,620</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786</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27,471</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2,142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3,648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3,532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14,321</w:t>
            </w:r>
          </w:p>
        </w:tc>
      </w:tr>
      <w:tr>
        <w:trPr>
          <w:trHeight w:val="198"/>
        </w:trPr>
        <w:tc>
          <w:tcPr>
            <w:tcW w:w="36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6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19,605</w:t>
            </w:r>
          </w:p>
        </w:tc>
        <w:tc>
          <w:tcPr>
            <w:tcW w:w="40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19,605</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34,777</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73,447</w:t>
            </w:r>
          </w:p>
        </w:tc>
        <w:tc>
          <w:tcPr>
            <w:tcW w:w="38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23,947</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16,493</w:t>
            </w:r>
          </w:p>
        </w:tc>
        <w:tc>
          <w:tcPr>
            <w:tcW w:w="400" w:type="dxa"/>
            <w:vAlign w:val="bottom"/>
          </w:tcPr>
          <w:p>
            <w:pPr>
              <w:spacing w:after="0"/>
              <w:rPr>
                <w:sz w:val="18"/>
                <w:szCs w:val="18"/>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10,405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159,069</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38,309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28,725</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54,409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8,614</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6,823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136,880</w:t>
            </w:r>
          </w:p>
        </w:tc>
      </w:tr>
      <w:tr>
        <w:trPr>
          <w:trHeight w:val="345"/>
        </w:trPr>
        <w:tc>
          <w:tcPr>
            <w:tcW w:w="36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41</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September 30, 2023</w:t>
            </w: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6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Crop</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21,334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2,045</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(2,341)</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(7,329)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(11,227)</w:t>
            </w:r>
          </w:p>
        </w:tc>
      </w:tr>
      <w:tr>
        <w:trPr>
          <w:trHeight w:val="209"/>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21,235</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21,231</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21,309</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16,148</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18,838</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14,611</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53,863</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725</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455</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(1,431)</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18,838</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2,393</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23,261</w:t>
            </w:r>
          </w:p>
        </w:tc>
        <w:tc>
          <w:tcPr>
            <w:tcW w:w="10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6,126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8,719</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6,207</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23,853</w:t>
            </w:r>
          </w:p>
        </w:tc>
      </w:tr>
      <w:tr>
        <w:trPr>
          <w:trHeight w:val="210"/>
        </w:trPr>
        <w:tc>
          <w:tcPr>
            <w:tcW w:w="3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(6,326</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445</w:t>
            </w: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2,121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1,019</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805</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1" w:lineRule="exact"/>
        <w:rPr>
          <w:sz w:val="20"/>
          <w:szCs w:val="20"/>
          <w:color w:val="auto"/>
        </w:rPr>
      </w:pPr>
    </w:p>
    <w:p>
      <w:pPr>
        <w:ind w:left="720" w:hanging="714"/>
        <w:spacing w:after="0"/>
        <w:tabs>
          <w:tab w:leader="none" w:pos="7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738</w:t>
      </w:r>
    </w:p>
    <w:p>
      <w:pPr>
        <w:spacing w:after="0" w:line="27" w:lineRule="exact"/>
        <w:rPr>
          <w:sz w:val="20"/>
          <w:szCs w:val="20"/>
          <w:color w:val="auto"/>
        </w:rPr>
      </w:pPr>
    </w:p>
    <w:p>
      <w:pPr>
        <w:sectPr>
          <w:pgSz w:w="11900" w:h="16838" w:orient="portrait"/>
          <w:cols w:equalWidth="0" w:num="2">
            <w:col w:w="9420" w:space="720"/>
            <w:col w:w="11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600" w:type="dxa"/>
            <w:vAlign w:val="bottom"/>
            <w:tcBorders>
              <w:top w:val="single" w:sz="8" w:color="CCEEFF"/>
            </w:tcBorders>
            <w:shd w:val="clear" w:color="auto" w:fill="CCEEFF"/>
          </w:tcPr>
          <w:p>
            <w:pPr>
              <w:spacing w:after="0"/>
              <w:rPr>
                <w:sz w:val="20"/>
                <w:szCs w:val="20"/>
                <w:color w:val="auto"/>
              </w:rPr>
            </w:pPr>
          </w:p>
        </w:tc>
        <w:tc>
          <w:tcPr>
            <w:tcW w:w="520" w:type="dxa"/>
            <w:vAlign w:val="bottom"/>
            <w:tcBorders>
              <w:top w:val="single" w:sz="8" w:color="CCEEFF"/>
            </w:tcBorders>
            <w:shd w:val="clear" w:color="auto" w:fill="CCEEFF"/>
          </w:tcPr>
          <w:p>
            <w:pPr>
              <w:spacing w:after="0"/>
              <w:rPr>
                <w:sz w:val="20"/>
                <w:szCs w:val="20"/>
                <w:color w:val="auto"/>
              </w:rPr>
            </w:pPr>
          </w:p>
        </w:tc>
        <w:tc>
          <w:tcPr>
            <w:tcW w:w="940" w:type="dxa"/>
            <w:vAlign w:val="bottom"/>
            <w:tcBorders>
              <w:top w:val="single" w:sz="8" w:color="CCEEFF"/>
            </w:tcBorders>
            <w:shd w:val="clear" w:color="auto" w:fill="CCEEFF"/>
          </w:tcPr>
          <w:p>
            <w:pPr>
              <w:spacing w:after="0"/>
              <w:rPr>
                <w:sz w:val="20"/>
                <w:szCs w:val="20"/>
                <w:color w:val="auto"/>
              </w:rPr>
            </w:pPr>
          </w:p>
        </w:tc>
        <w:tc>
          <w:tcPr>
            <w:tcW w:w="32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CCEEFF"/>
            </w:tcBorders>
            <w:shd w:val="clear" w:color="auto" w:fill="CCEEFF"/>
          </w:tcPr>
          <w:p>
            <w:pPr>
              <w:spacing w:after="0"/>
              <w:rPr>
                <w:sz w:val="20"/>
                <w:szCs w:val="20"/>
                <w:color w:val="auto"/>
              </w:rPr>
            </w:pPr>
          </w:p>
        </w:tc>
        <w:tc>
          <w:tcPr>
            <w:tcW w:w="800" w:type="dxa"/>
            <w:vAlign w:val="bottom"/>
            <w:tcBorders>
              <w:top w:val="single" w:sz="8" w:color="CCEEFF"/>
            </w:tcBorders>
            <w:shd w:val="clear" w:color="auto" w:fill="CCEEFF"/>
          </w:tcPr>
          <w:p>
            <w:pPr>
              <w:spacing w:after="0"/>
              <w:rPr>
                <w:sz w:val="20"/>
                <w:szCs w:val="20"/>
                <w:color w:val="auto"/>
              </w:rPr>
            </w:pPr>
          </w:p>
        </w:tc>
        <w:tc>
          <w:tcPr>
            <w:tcW w:w="42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78.2%</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65.9%</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37.9%</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69.6%</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20.2%</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107.0%</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95.0%</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w:t>
            </w:r>
          </w:p>
        </w:tc>
      </w:tr>
      <w:tr>
        <w:trPr>
          <w:trHeight w:val="216"/>
        </w:trPr>
        <w:tc>
          <w:tcPr>
            <w:tcW w:w="3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Balances at September 30, 2023:</w:t>
            </w: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52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23,901</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15,854</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9,655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35,982</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2,229</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87,621</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5,744</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9,797</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7,973</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1,046</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25,540</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3,918</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4,676</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10,702</w:t>
            </w:r>
          </w:p>
        </w:tc>
      </w:tr>
      <w:tr>
        <w:trPr>
          <w:trHeight w:val="198"/>
        </w:trPr>
        <w:tc>
          <w:tcPr>
            <w:tcW w:w="360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Receivable from Federal Crop Insurance</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Corporation</w:t>
            </w:r>
          </w:p>
        </w:tc>
        <w:tc>
          <w:tcPr>
            <w:tcW w:w="5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14,479</w:t>
            </w:r>
          </w:p>
        </w:tc>
        <w:tc>
          <w:tcPr>
            <w:tcW w:w="42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14,479</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2,728</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2,728</w:t>
            </w:r>
          </w:p>
        </w:tc>
      </w:tr>
      <w:tr>
        <w:trPr>
          <w:trHeight w:val="216"/>
        </w:trPr>
        <w:tc>
          <w:tcPr>
            <w:tcW w:w="3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52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33,124</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59,663</w:t>
            </w:r>
          </w:p>
        </w:tc>
        <w:tc>
          <w:tcPr>
            <w:tcW w:w="42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24,489</w:t>
            </w:r>
          </w:p>
        </w:tc>
        <w:tc>
          <w:tcPr>
            <w:tcW w:w="400" w:type="dxa"/>
            <w:vAlign w:val="bottom"/>
          </w:tcPr>
          <w:p>
            <w:pPr>
              <w:spacing w:after="0"/>
              <w:rPr>
                <w:sz w:val="18"/>
                <w:szCs w:val="18"/>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16,614</w:t>
            </w:r>
          </w:p>
        </w:tc>
        <w:tc>
          <w:tcPr>
            <w:tcW w:w="42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142,448</w:t>
            </w:r>
          </w:p>
        </w:tc>
      </w:tr>
      <w:tr>
        <w:trPr>
          <w:trHeight w:val="216"/>
        </w:trPr>
        <w:tc>
          <w:tcPr>
            <w:tcW w:w="36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Unearned premiums</w:t>
            </w: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35,059</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31,072</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48,636</w:t>
            </w: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10,208</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6,113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131,088</w:t>
            </w:r>
          </w:p>
        </w:tc>
      </w:tr>
      <w:tr>
        <w:trPr>
          <w:trHeight w:val="560"/>
        </w:trPr>
        <w:tc>
          <w:tcPr>
            <w:tcW w:w="3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1"/>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80" w:type="dxa"/>
            <w:vAlign w:val="bottom"/>
          </w:tcPr>
          <w:p>
            <w:pPr>
              <w:spacing w:after="0"/>
              <w:rPr>
                <w:sz w:val="16"/>
                <w:szCs w:val="16"/>
                <w:color w:val="auto"/>
              </w:rPr>
            </w:pPr>
          </w:p>
        </w:tc>
        <w:tc>
          <w:tcPr>
            <w:tcW w:w="1260" w:type="dxa"/>
            <w:vAlign w:val="bottom"/>
            <w:gridSpan w:val="3"/>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80" w:type="dxa"/>
            <w:vAlign w:val="bottom"/>
          </w:tcPr>
          <w:p>
            <w:pPr>
              <w:spacing w:after="0"/>
              <w:rPr>
                <w:sz w:val="16"/>
                <w:szCs w:val="16"/>
                <w:color w:val="auto"/>
              </w:rPr>
            </w:pPr>
          </w:p>
        </w:tc>
        <w:tc>
          <w:tcPr>
            <w:tcW w:w="1140" w:type="dxa"/>
            <w:vAlign w:val="bottom"/>
            <w:gridSpan w:val="3"/>
          </w:tcPr>
          <w:p>
            <w:pPr>
              <w:jc w:val="right"/>
              <w:ind w:right="181"/>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Auto</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Farm</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80" w:type="dxa"/>
            <w:vAlign w:val="bottom"/>
          </w:tcPr>
          <w:p>
            <w:pPr>
              <w:spacing w:after="0"/>
              <w:rPr>
                <w:sz w:val="20"/>
                <w:szCs w:val="20"/>
                <w:color w:val="auto"/>
              </w:rPr>
            </w:pPr>
          </w:p>
        </w:tc>
        <w:tc>
          <w:tcPr>
            <w:tcW w:w="92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74,947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75,336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257,024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2,684</w:t>
            </w: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(3,415)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(8,519)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(874)</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(21,385)</w:t>
            </w:r>
          </w:p>
        </w:tc>
      </w:tr>
      <w:tr>
        <w:trPr>
          <w:trHeight w:val="210"/>
        </w:trPr>
        <w:tc>
          <w:tcPr>
            <w:tcW w:w="3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20,315</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9,273</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10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47,608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56,687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58,604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14,542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7,120</w:t>
            </w:r>
          </w:p>
        </w:tc>
        <w:tc>
          <w:tcPr>
            <w:tcW w:w="18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184,561</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886</w:t>
            </w: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(2,374)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(3,285)</w:t>
            </w:r>
          </w:p>
        </w:tc>
        <w:tc>
          <w:tcPr>
            <w:tcW w:w="1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(2,870)</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(10,845)</w:t>
            </w:r>
          </w:p>
        </w:tc>
      </w:tr>
      <w:tr>
        <w:trPr>
          <w:trHeight w:val="210"/>
        </w:trPr>
        <w:tc>
          <w:tcPr>
            <w:tcW w:w="35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5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63,721</w:t>
            </w:r>
          </w:p>
        </w:tc>
        <w:tc>
          <w:tcPr>
            <w:tcW w:w="100" w:type="dxa"/>
            <w:vAlign w:val="bottom"/>
            <w:shd w:val="clear" w:color="auto" w:fill="CCEEFF"/>
          </w:tcPr>
          <w:p>
            <w:pPr>
              <w:spacing w:after="0"/>
              <w:rPr>
                <w:sz w:val="18"/>
                <w:szCs w:val="18"/>
                <w:color w:val="auto"/>
              </w:rPr>
            </w:pPr>
          </w:p>
        </w:tc>
      </w:tr>
      <w:tr>
        <w:trPr>
          <w:trHeight w:val="209"/>
        </w:trPr>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21,327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30,892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21,561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3,107</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80,381</w:t>
            </w:r>
          </w:p>
        </w:tc>
      </w:tr>
      <w:tr>
        <w:trPr>
          <w:trHeight w:val="210"/>
        </w:trPr>
        <w:tc>
          <w:tcPr>
            <w:tcW w:w="35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(10,974</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4,877</w:t>
            </w:r>
          </w:p>
        </w:tc>
        <w:tc>
          <w:tcPr>
            <w:tcW w:w="2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w:t>
            </w:r>
          </w:p>
        </w:tc>
        <w:tc>
          <w:tcPr>
            <w:tcW w:w="2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1,590</w:t>
            </w:r>
          </w:p>
        </w:tc>
      </w:tr>
      <w:tr>
        <w:trPr>
          <w:trHeight w:val="210"/>
        </w:trPr>
        <w:tc>
          <w:tcPr>
            <w:tcW w:w="3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(11,875</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293"/>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13"/>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loss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8,089</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3,288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(3,693)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(3,248)</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343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34365" cy="8890"/>
                    </a:xfrm>
                    <a:prstGeom prst="rect">
                      <a:avLst/>
                    </a:prstGeom>
                    <a:noFill/>
                  </pic:spPr>
                </pic:pic>
              </a:graphicData>
            </a:graphic>
          </wp:anchor>
        </w:drawing>
      </w:r>
    </w:p>
    <w:p>
      <w:pPr>
        <w:spacing w:after="0" w:line="3" w:lineRule="exact"/>
        <w:rPr>
          <w:sz w:val="20"/>
          <w:szCs w:val="20"/>
          <w:color w:val="auto"/>
        </w:rPr>
      </w:pPr>
    </w:p>
    <w:p>
      <w:pPr>
        <w:ind w:left="527" w:hanging="527"/>
        <w:spacing w:after="0"/>
        <w:tabs>
          <w:tab w:leader="none" w:pos="52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(3,248)</w:t>
      </w:r>
    </w:p>
    <w:p>
      <w:pPr>
        <w:spacing w:after="0" w:line="36" w:lineRule="exact"/>
        <w:rPr>
          <w:sz w:val="20"/>
          <w:szCs w:val="20"/>
          <w:color w:val="auto"/>
        </w:rPr>
      </w:pPr>
    </w:p>
    <w:p>
      <w:pPr>
        <w:sectPr>
          <w:pgSz w:w="11900" w:h="16838" w:orient="portrait"/>
          <w:cols w:equalWidth="0" w:num="2">
            <w:col w:w="9413" w:space="720"/>
            <w:col w:w="1107"/>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8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6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67.4%</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75.9%</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84.2%</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58.8%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73.3%</w:t>
            </w:r>
          </w:p>
        </w:tc>
      </w:tr>
      <w:tr>
        <w:trPr>
          <w:trHeight w:val="216"/>
        </w:trPr>
        <w:tc>
          <w:tcPr>
            <w:tcW w:w="3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31.7%</w:t>
            </w:r>
          </w:p>
        </w:tc>
        <w:tc>
          <w:tcPr>
            <w:tcW w:w="14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41.3%</w:t>
            </w:r>
          </w:p>
        </w:tc>
        <w:tc>
          <w:tcPr>
            <w:tcW w:w="12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32.3%</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17.2%</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37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99.1%</w:t>
            </w:r>
          </w:p>
        </w:tc>
        <w:tc>
          <w:tcPr>
            <w:tcW w:w="14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117.2%</w:t>
            </w:r>
          </w:p>
        </w:tc>
        <w:tc>
          <w:tcPr>
            <w:tcW w:w="12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116.5%</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76.0%</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81.5%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r>
      <w:tr>
        <w:trPr>
          <w:trHeight w:val="560"/>
        </w:trPr>
        <w:tc>
          <w:tcPr>
            <w:tcW w:w="37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color w:val="auto"/>
              </w:rPr>
              <w:t>43</w:t>
            </w: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 2023</w:t>
            </w: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441"/>
              <w:spacing w:after="0" w:line="188" w:lineRule="exact"/>
              <w:rPr>
                <w:sz w:val="20"/>
                <w:szCs w:val="20"/>
                <w:color w:val="auto"/>
              </w:rPr>
            </w:pPr>
            <w:r>
              <w:rPr>
                <w:rFonts w:ascii="Times New Roman" w:cs="Times New Roman" w:eastAsia="Times New Roman" w:hAnsi="Times New Roman"/>
                <w:sz w:val="18"/>
                <w:szCs w:val="18"/>
                <w:b w:val="1"/>
                <w:bCs w:val="1"/>
                <w:color w:val="auto"/>
              </w:rPr>
              <w:t>Private</w:t>
            </w: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Non-Standard</w:t>
            </w:r>
          </w:p>
        </w:tc>
        <w:tc>
          <w:tcPr>
            <w:tcW w:w="1200" w:type="dxa"/>
            <w:vAlign w:val="bottom"/>
            <w:gridSpan w:val="3"/>
          </w:tcPr>
          <w:p>
            <w:pPr>
              <w:jc w:val="right"/>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Home and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3760" w:type="dxa"/>
            <w:vAlign w:val="bottom"/>
          </w:tcPr>
          <w:p>
            <w:pPr>
              <w:spacing w:after="0"/>
              <w:rPr>
                <w:sz w:val="20"/>
                <w:szCs w:val="20"/>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Passenger Auto</w:t>
            </w:r>
          </w:p>
        </w:tc>
        <w:tc>
          <w:tcPr>
            <w:tcW w:w="240" w:type="dxa"/>
            <w:vAlign w:val="bottom"/>
          </w:tcPr>
          <w:p>
            <w:pPr>
              <w:spacing w:after="0"/>
              <w:rPr>
                <w:sz w:val="20"/>
                <w:szCs w:val="20"/>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Auto</w:t>
            </w:r>
          </w:p>
        </w:tc>
        <w:tc>
          <w:tcPr>
            <w:tcW w:w="180" w:type="dxa"/>
            <w:vAlign w:val="bottom"/>
          </w:tcPr>
          <w:p>
            <w:pPr>
              <w:spacing w:after="0"/>
              <w:rPr>
                <w:sz w:val="20"/>
                <w:szCs w:val="20"/>
                <w:color w:val="auto"/>
              </w:rPr>
            </w:pPr>
          </w:p>
        </w:tc>
        <w:tc>
          <w:tcPr>
            <w:tcW w:w="10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Crop</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64,049</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69,077</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3,448</w:t>
            </w: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(2,995)</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(7,363)</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(12,735)</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(24,216)</w:t>
            </w:r>
          </w:p>
        </w:tc>
      </w:tr>
      <w:tr>
        <w:trPr>
          <w:trHeight w:val="210"/>
        </w:trPr>
        <w:tc>
          <w:tcPr>
            <w:tcW w:w="3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premiums earned</w:t>
            </w: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61,431</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63,754</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61,714</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218,124</w:t>
            </w:r>
          </w:p>
        </w:tc>
        <w:tc>
          <w:tcPr>
            <w:tcW w:w="100" w:type="dxa"/>
            <w:vAlign w:val="bottom"/>
          </w:tcPr>
          <w:p>
            <w:pPr>
              <w:spacing w:after="0"/>
              <w:rPr>
                <w:sz w:val="18"/>
                <w:szCs w:val="18"/>
                <w:color w:val="auto"/>
              </w:rPr>
            </w:pPr>
          </w:p>
        </w:tc>
      </w:tr>
      <w:tr>
        <w:trPr>
          <w:trHeight w:val="216"/>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20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50,227</w:t>
            </w:r>
          </w:p>
        </w:tc>
        <w:tc>
          <w:tcPr>
            <w:tcW w:w="240" w:type="dxa"/>
            <w:vAlign w:val="bottom"/>
          </w:tcPr>
          <w:p>
            <w:pPr>
              <w:spacing w:after="0"/>
              <w:rPr>
                <w:sz w:val="18"/>
                <w:szCs w:val="18"/>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50,015</w:t>
            </w:r>
          </w:p>
        </w:tc>
        <w:tc>
          <w:tcPr>
            <w:tcW w:w="1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42,548</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16,932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162,027</w:t>
            </w:r>
          </w:p>
        </w:tc>
      </w:tr>
      <w:tr>
        <w:trPr>
          <w:trHeight w:val="216"/>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558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882</w:t>
            </w: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20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(1,862)</w:t>
            </w:r>
          </w:p>
        </w:tc>
        <w:tc>
          <w:tcPr>
            <w:tcW w:w="20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(6,363)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(1,192)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(8,550)</w:t>
            </w:r>
          </w:p>
        </w:tc>
      </w:tr>
      <w:tr>
        <w:trPr>
          <w:trHeight w:val="210"/>
        </w:trPr>
        <w:tc>
          <w:tcPr>
            <w:tcW w:w="376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50,015</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37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10,337</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63,765</w:t>
            </w:r>
          </w:p>
        </w:tc>
        <w:tc>
          <w:tcPr>
            <w:tcW w:w="100" w:type="dxa"/>
            <w:vAlign w:val="bottom"/>
            <w:shd w:val="clear" w:color="auto" w:fill="CCEEFF"/>
          </w:tcPr>
          <w:p>
            <w:pPr>
              <w:spacing w:after="0"/>
              <w:rPr>
                <w:sz w:val="18"/>
                <w:szCs w:val="18"/>
                <w:color w:val="auto"/>
              </w:rPr>
            </w:pPr>
          </w:p>
        </w:tc>
      </w:tr>
      <w:tr>
        <w:trPr>
          <w:trHeight w:val="209"/>
        </w:trPr>
        <w:tc>
          <w:tcPr>
            <w:tcW w:w="3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18,406</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26,511</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18,672</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4,687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70,917</w:t>
            </w:r>
          </w:p>
        </w:tc>
      </w:tr>
      <w:tr>
        <w:trPr>
          <w:trHeight w:val="210"/>
        </w:trPr>
        <w:tc>
          <w:tcPr>
            <w:tcW w:w="37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gain (loss)</w:t>
            </w:r>
          </w:p>
        </w:tc>
        <w:tc>
          <w:tcPr>
            <w:tcW w:w="2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3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748</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r>
      <w:tr>
        <w:trPr>
          <w:trHeight w:val="210"/>
        </w:trPr>
        <w:tc>
          <w:tcPr>
            <w:tcW w:w="37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(12,024</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225"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jc w:val="right"/>
        <w:ind w:right="7300"/>
        <w:spacing w:after="0"/>
        <w:rPr>
          <w:sz w:val="20"/>
          <w:szCs w:val="20"/>
          <w:color w:val="auto"/>
        </w:rPr>
      </w:pPr>
      <w:r>
        <w:rPr>
          <w:rFonts w:ascii="Times New Roman" w:cs="Times New Roman" w:eastAsia="Times New Roman" w:hAnsi="Times New Roman"/>
          <w:sz w:val="18"/>
          <w:szCs w:val="18"/>
          <w:color w:val="auto"/>
        </w:rPr>
        <w:t>Net investment gains (losses)</w:t>
      </w:r>
    </w:p>
    <w:p>
      <w:pPr>
        <w:spacing w:after="0" w:line="18" w:lineRule="exact"/>
        <w:rPr>
          <w:sz w:val="20"/>
          <w:szCs w:val="20"/>
          <w:color w:val="auto"/>
        </w:rPr>
      </w:pPr>
    </w:p>
    <w:p>
      <w:pPr>
        <w:jc w:val="right"/>
        <w:ind w:right="732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jc w:val="right"/>
        <w:ind w:right="7320"/>
        <w:spacing w:after="0"/>
        <w:rPr>
          <w:sz w:val="20"/>
          <w:szCs w:val="20"/>
          <w:color w:val="auto"/>
        </w:rPr>
      </w:pPr>
      <w:r>
        <w:rPr>
          <w:rFonts w:ascii="Times New Roman" w:cs="Times New Roman" w:eastAsia="Times New Roman" w:hAnsi="Times New Roman"/>
          <w:sz w:val="18"/>
          <w:szCs w:val="18"/>
          <w:color w:val="auto"/>
        </w:rPr>
        <w:t>Income tax expense (benefit)</w:t>
      </w:r>
    </w:p>
    <w:p>
      <w:pPr>
        <w:spacing w:after="0" w:line="1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income attributable to NI 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5,735</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54</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62547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1" w:lineRule="exact"/>
        <w:rPr>
          <w:sz w:val="20"/>
          <w:szCs w:val="20"/>
          <w:color w:val="auto"/>
        </w:rPr>
      </w:pPr>
    </w:p>
    <w:p>
      <w:pPr>
        <w:ind w:left="720" w:hanging="714"/>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379</w:t>
      </w:r>
    </w:p>
    <w:p>
      <w:pPr>
        <w:spacing w:after="0" w:line="27" w:lineRule="exact"/>
        <w:rPr>
          <w:sz w:val="20"/>
          <w:szCs w:val="20"/>
          <w:color w:val="auto"/>
        </w:rPr>
      </w:pPr>
    </w:p>
    <w:p>
      <w:pPr>
        <w:sectPr>
          <w:pgSz w:w="11900" w:h="16838" w:orient="portrait"/>
          <w:cols w:equalWidth="0" w:num="2">
            <w:col w:w="9420" w:space="720"/>
            <w:col w:w="1100"/>
          </w:cols>
          <w:pgMar w:left="320" w:top="225"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3740" w:type="dxa"/>
            <w:vAlign w:val="bottom"/>
            <w:tcBorders>
              <w:top w:val="single" w:sz="8" w:color="CCEEFF"/>
            </w:tcBorders>
            <w:shd w:val="clear" w:color="auto" w:fill="CCEEFF"/>
          </w:tcPr>
          <w:p>
            <w:pPr>
              <w:spacing w:after="0"/>
              <w:rPr>
                <w:sz w:val="20"/>
                <w:szCs w:val="20"/>
                <w:color w:val="auto"/>
              </w:rPr>
            </w:pPr>
          </w:p>
        </w:tc>
        <w:tc>
          <w:tcPr>
            <w:tcW w:w="1500" w:type="dxa"/>
            <w:vAlign w:val="bottom"/>
            <w:tcBorders>
              <w:top w:val="single" w:sz="8" w:color="CCEEFF"/>
            </w:tcBorders>
            <w:shd w:val="clear" w:color="auto" w:fill="CCEEFF"/>
          </w:tcPr>
          <w:p>
            <w:pPr>
              <w:spacing w:after="0"/>
              <w:rPr>
                <w:sz w:val="20"/>
                <w:szCs w:val="20"/>
                <w:color w:val="auto"/>
              </w:rPr>
            </w:pPr>
          </w:p>
        </w:tc>
        <w:tc>
          <w:tcPr>
            <w:tcW w:w="144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CCEEFF"/>
            </w:tcBorders>
            <w:shd w:val="clear" w:color="auto" w:fill="CCEEFF"/>
          </w:tcPr>
          <w:p>
            <w:pPr>
              <w:spacing w:after="0"/>
              <w:rPr>
                <w:sz w:val="20"/>
                <w:szCs w:val="20"/>
                <w:color w:val="auto"/>
              </w:rPr>
            </w:pPr>
          </w:p>
        </w:tc>
        <w:tc>
          <w:tcPr>
            <w:tcW w:w="122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and loss adjustment expense ratio</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83.2%</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78.5%</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65.9%</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49.8%</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16.2%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37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Expense ratio</w:t>
            </w:r>
          </w:p>
        </w:tc>
        <w:tc>
          <w:tcPr>
            <w:tcW w:w="1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30.0%</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41.6%</w:t>
            </w:r>
          </w:p>
        </w:tc>
        <w:tc>
          <w:tcPr>
            <w:tcW w:w="12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30.3%</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21.0%</w:t>
            </w:r>
          </w:p>
        </w:tc>
        <w:tc>
          <w:tcPr>
            <w:tcW w:w="10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29.8%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37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113.2%</w:t>
            </w:r>
          </w:p>
        </w:tc>
        <w:tc>
          <w:tcPr>
            <w:tcW w:w="144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120.1%</w:t>
            </w:r>
          </w:p>
        </w:tc>
        <w:tc>
          <w:tcPr>
            <w:tcW w:w="120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96.2%</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70.8%</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103.3%</w:t>
            </w:r>
          </w:p>
        </w:tc>
      </w:tr>
      <w:tr>
        <w:trPr>
          <w:trHeight w:val="561"/>
        </w:trPr>
        <w:tc>
          <w:tcPr>
            <w:tcW w:w="37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44</w:t>
            </w:r>
          </w:p>
        </w:tc>
        <w:tc>
          <w:tcPr>
            <w:tcW w:w="1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5"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our operating results and financial condition than can be obtained from reading the unaudited consolidated financial statements alone. Unless otherwise noted, the information in the following discussion is being presented for our continuing operations. This discussion should be read in conjunction with the unaudited consolidated financial statements and the notes thereto included in Part I, Item 1, “Financial Statements.” Some of the information contained in this discussion and analysis or set forth elsewhere in this Form 10-Q constitutes forward-looking statements that involve risks and uncertainties. Please see “Forward-Looking Statements” included elsewhere in this Form 10-Q. Part I, Item 1A, “Risk Factors” included in our 2023 Annual Report should also be reviewed for a discussion of important factors that could cause actual results to differ materially from the results described, or implied by, the forward-looking statements contained herein.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Third Quarter Consolidated Results of Continuing Operations</w:t>
      </w:r>
    </w:p>
    <w:p>
      <w:pPr>
        <w:spacing w:after="0" w:line="229"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of $2,705, or $0.13 per share basic and diluted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premiums earned of $83,270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income of $2,811</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unfavorable prior year reserve development of $5,329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Underwriting loss of $9,170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Combined ratio of 111.0%</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flows of $3,204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Third Quarter Consolidated Financial Condition</w:t>
      </w:r>
    </w:p>
    <w:p>
      <w:pPr>
        <w:spacing w:after="0" w:line="229"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cash and investments of $373,403</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of $559,897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losses and loss adjustment expenses of $159,069</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liabilities of $318,526</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equity of $241,371</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49" w:right="3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Results of Continuing Operations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Our consolidated net loss from continuing operations was $2,705 for the three months ended September 30, 2024, compared to net income from continuing operations of $805 for the three months ended September 30, 2023. Our consolidated net loss from continuing operations was $3,248 for the nine months ended September 30, 2024, compared to net income from continuing operations of $43 for the nine months ended September 30, 2023.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The major components of revenues and net loss are shown below:</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gridSpan w:val="1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180" w:type="dxa"/>
            <w:vAlign w:val="bottom"/>
            <w:gridSpan w:val="7"/>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7"/>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80" w:type="dxa"/>
            <w:vAlign w:val="bottom"/>
            <w:gridSpan w:val="7"/>
          </w:tcPr>
          <w:p>
            <w:pPr>
              <w:jc w:val="right"/>
              <w:ind w:right="581"/>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20" w:type="dxa"/>
            <w:vAlign w:val="bottom"/>
            <w:tcBorders>
              <w:top w:val="single" w:sz="8" w:color="auto"/>
              <w:bottom w:val="single" w:sz="8" w:color="auto"/>
            </w:tcBorders>
            <w:gridSpan w:val="4"/>
          </w:tcPr>
          <w:p>
            <w:pPr>
              <w:jc w:val="right"/>
              <w:ind w:right="236"/>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83,270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76,418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218,124</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2,121</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w w:val="97"/>
              </w:rPr>
              <w:t>(955)</w:t>
            </w:r>
          </w:p>
        </w:tc>
        <w:tc>
          <w:tcPr>
            <w:tcW w:w="14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88,984</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251,290</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83,270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76,418</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218,124</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65,100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53,157</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154,359</w:t>
            </w:r>
          </w:p>
        </w:tc>
        <w:tc>
          <w:tcPr>
            <w:tcW w:w="0" w:type="dxa"/>
            <w:vAlign w:val="bottom"/>
          </w:tcPr>
          <w:p>
            <w:pPr>
              <w:spacing w:after="0"/>
              <w:rPr>
                <w:sz w:val="1"/>
                <w:szCs w:val="1"/>
                <w:color w:val="auto"/>
              </w:rPr>
            </w:pPr>
          </w:p>
        </w:tc>
      </w:tr>
      <w:tr>
        <w:trPr>
          <w:trHeight w:val="198"/>
        </w:trPr>
        <w:tc>
          <w:tcPr>
            <w:tcW w:w="6900" w:type="dxa"/>
            <w:vAlign w:val="bottom"/>
            <w:gridSpan w:val="5"/>
          </w:tcPr>
          <w:p>
            <w:pPr>
              <w:ind w:left="140"/>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acquisition costs and other underwriting and general</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27,340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23,853</w:t>
            </w:r>
          </w:p>
        </w:tc>
        <w:tc>
          <w:tcPr>
            <w:tcW w:w="140" w:type="dxa"/>
            <w:vAlign w:val="bottom"/>
          </w:tcPr>
          <w:p>
            <w:pPr>
              <w:spacing w:after="0"/>
              <w:rPr>
                <w:sz w:val="21"/>
                <w:szCs w:val="21"/>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80,381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70,917</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Underwriting loss</w:t>
            </w:r>
          </w:p>
        </w:tc>
        <w:tc>
          <w:tcPr>
            <w:tcW w:w="26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160" w:type="dxa"/>
            <w:vAlign w:val="bottom"/>
            <w:tcBorders>
              <w:top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(592</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220" w:type="dxa"/>
            <w:vAlign w:val="bottom"/>
            <w:tcBorders>
              <w:top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445</w:t>
            </w: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2,811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5"/>
          </w:tcPr>
          <w:p>
            <w:pPr>
              <w:jc w:val="right"/>
              <w:ind w:right="141"/>
              <w:spacing w:after="0"/>
              <w:rPr>
                <w:sz w:val="20"/>
                <w:szCs w:val="20"/>
                <w:color w:val="auto"/>
              </w:rPr>
            </w:pPr>
            <w:r>
              <w:rPr>
                <w:rFonts w:ascii="Times New Roman" w:cs="Times New Roman" w:eastAsia="Times New Roman" w:hAnsi="Times New Roman"/>
                <w:sz w:val="18"/>
                <w:szCs w:val="18"/>
                <w:color w:val="auto"/>
              </w:rPr>
              <w:t>2,121</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8,089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5,735</w:t>
            </w:r>
          </w:p>
        </w:tc>
        <w:tc>
          <w:tcPr>
            <w:tcW w:w="0" w:type="dxa"/>
            <w:vAlign w:val="bottom"/>
          </w:tcPr>
          <w:p>
            <w:pPr>
              <w:spacing w:after="0"/>
              <w:rPr>
                <w:sz w:val="1"/>
                <w:szCs w:val="1"/>
                <w:color w:val="auto"/>
              </w:rPr>
            </w:pPr>
          </w:p>
        </w:tc>
      </w:tr>
      <w:tr>
        <w:trPr>
          <w:trHeight w:val="22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2,412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w w:val="97"/>
              </w:rPr>
              <w:t>(955)</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0"/>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Income (loss) from continuing operations before income taxes</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(3,456)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220" w:type="dxa"/>
            <w:vAlign w:val="bottom"/>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214</w:t>
            </w:r>
          </w:p>
        </w:tc>
        <w:tc>
          <w:tcPr>
            <w:tcW w:w="14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(445)</w:t>
            </w: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5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income (loss) from continuing operations</w:t>
            </w: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220" w:type="dxa"/>
            <w:vAlign w:val="bottom"/>
            <w:gridSpan w:val="2"/>
          </w:tcPr>
          <w:p>
            <w:pPr>
              <w:jc w:val="right"/>
              <w:ind w:right="70"/>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Premiums Earned</w:t>
            </w: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540" w:type="dxa"/>
            <w:vAlign w:val="bottom"/>
          </w:tcPr>
          <w:p>
            <w:pPr>
              <w:spacing w:after="0"/>
              <w:rPr>
                <w:sz w:val="24"/>
                <w:szCs w:val="24"/>
                <w:color w:val="auto"/>
              </w:rPr>
            </w:pPr>
          </w:p>
        </w:tc>
        <w:tc>
          <w:tcPr>
            <w:tcW w:w="28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60" w:type="dxa"/>
            <w:vAlign w:val="bottom"/>
          </w:tcPr>
          <w:p>
            <w:pPr>
              <w:spacing w:after="0"/>
              <w:rPr>
                <w:sz w:val="24"/>
                <w:szCs w:val="24"/>
                <w:color w:val="auto"/>
              </w:rPr>
            </w:pPr>
          </w:p>
        </w:tc>
        <w:tc>
          <w:tcPr>
            <w:tcW w:w="2720" w:type="dxa"/>
            <w:vAlign w:val="bottom"/>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c>
          <w:tcPr>
            <w:tcW w:w="0" w:type="dxa"/>
            <w:vAlign w:val="bottom"/>
          </w:tcPr>
          <w:p>
            <w:pPr>
              <w:spacing w:after="0"/>
              <w:rPr>
                <w:sz w:val="1"/>
                <w:szCs w:val="1"/>
                <w:color w:val="auto"/>
              </w:rPr>
            </w:pPr>
          </w:p>
        </w:tc>
      </w:tr>
      <w:tr>
        <w:trPr>
          <w:trHeight w:val="223"/>
        </w:trPr>
        <w:tc>
          <w:tcPr>
            <w:tcW w:w="5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premium</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90,125</w:t>
            </w:r>
          </w:p>
        </w:tc>
        <w:tc>
          <w:tcPr>
            <w:tcW w:w="54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6"/>
              </w:rPr>
              <w:t>85,600</w:t>
            </w:r>
          </w:p>
        </w:tc>
        <w:tc>
          <w:tcPr>
            <w:tcW w:w="3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257,024</w:t>
            </w:r>
          </w:p>
        </w:tc>
        <w:tc>
          <w:tcPr>
            <w:tcW w:w="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238,892</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premium</w:t>
            </w:r>
          </w:p>
        </w:tc>
        <w:tc>
          <w:tcPr>
            <w:tcW w:w="2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1,880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3,448</w:t>
            </w:r>
          </w:p>
        </w:tc>
        <w:tc>
          <w:tcPr>
            <w:tcW w:w="0" w:type="dxa"/>
            <w:vAlign w:val="bottom"/>
          </w:tcPr>
          <w:p>
            <w:pPr>
              <w:spacing w:after="0"/>
              <w:rPr>
                <w:sz w:val="1"/>
                <w:szCs w:val="1"/>
                <w:color w:val="auto"/>
              </w:rPr>
            </w:pP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Ceded premium</w:t>
            </w:r>
          </w:p>
        </w:tc>
        <w:tc>
          <w:tcPr>
            <w:tcW w:w="260" w:type="dxa"/>
            <w:vAlign w:val="bottom"/>
          </w:tcPr>
          <w:p>
            <w:pPr>
              <w:spacing w:after="0"/>
              <w:rPr>
                <w:sz w:val="19"/>
                <w:szCs w:val="19"/>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(8,735)</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(11,227)</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(21,385)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(24,216)</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76,418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net premiums earned for the three months ended September 30, 2024, increased $6,852, or 9.0%, compared to the three months ended September 30, 2023. Net premiums earned for the nine months ended September 30, 2024, increased $20,199, or 9.3%, compared to the nine months ended September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384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00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22,612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21,235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67,185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61,431</w:t>
            </w: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23,001</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21,231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74,733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63,754</w:t>
            </w:r>
          </w:p>
        </w:tc>
      </w:tr>
      <w:tr>
        <w:trPr>
          <w:trHeight w:val="216"/>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23,479</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21,309</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66,817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61,714</w:t>
            </w:r>
          </w:p>
        </w:tc>
      </w:tr>
      <w:tr>
        <w:trPr>
          <w:trHeight w:val="216"/>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10,885</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9,746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20,315</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22,358</w:t>
            </w: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3,293</w:t>
            </w: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2,897</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9,273</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8,867</w:t>
            </w:r>
          </w:p>
        </w:tc>
      </w:tr>
      <w:tr>
        <w:trPr>
          <w:trHeight w:val="223"/>
        </w:trPr>
        <w:tc>
          <w:tcPr>
            <w:tcW w:w="38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17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218,124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38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Below are comments regarding net premiums earned by business segment:</w:t>
      </w:r>
    </w:p>
    <w:p>
      <w:pPr>
        <w:spacing w:after="0" w:line="221" w:lineRule="exact"/>
        <w:rPr>
          <w:sz w:val="20"/>
          <w:szCs w:val="20"/>
          <w:color w:val="auto"/>
        </w:rPr>
      </w:pPr>
    </w:p>
    <w:p>
      <w:pPr>
        <w:ind w:right="4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third quarter of 2024 increased $1,377, or 6.5%, compared to the same period in 2023.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premiums earned for the first nine months of 2024 increased $5,754, or 9.4% from the first nine months of 2023. Results were driven by new business growth in North Dakota as well as significant rate increases in North Dakota, South Dakota, and Nebraska, partially offset by lower new business and retention levels in South Dakota and Nebraska as a result of underwriting actions taken to improve profitability.</w:t>
      </w:r>
    </w:p>
    <w:p>
      <w:pPr>
        <w:spacing w:after="0" w:line="176"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third quarter of 2024 increased $1,770, or 8.4%, compared to the same period in 2023. Net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for the first nine months of 2024 increased $10,979, or 17.2% from the first nine months of 2023. Results were driven by prior period new business growth in Illinois and Arizona as well as significant rate increases in the Chicago market where our non-standard auto business is concentrated, partially offset by lower retention compared to prior year periods.</w:t>
      </w:r>
    </w:p>
    <w:p>
      <w:pPr>
        <w:spacing w:after="0" w:line="176"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third quarter of 2024 increased $2,170, or 10.2%, compared to the same period in 2023. Net premiums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earned for the first nine months of 2024 increased $5,103, or 8.3% from the first nine months of 2023. Results were driven by new business growth in North Dakota, rate increases, and increased insured property values, which were primarily the result of higher inflationary factors. These increases were partially offset by lower retention rates and new business levels in Nebraska and South Dakota as a result of underwriting actions taken to improve profitability.</w:t>
      </w:r>
    </w:p>
    <w:p>
      <w:pPr>
        <w:spacing w:after="0" w:line="179"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third quarter of 2024, increased $1,139, or 11.7%, compared to the same period in 2023. Net premiums earned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nine months of 2024 decreased $2,043, or 9.1% from the first nine months of 2023. The increase in the third quarter of 2024 was driven by the recognition during the prior year quarter of a reduction in the acres insured for the prior year. The year-to-date decrease was driven by lower commodity prices in the current year.</w:t>
      </w:r>
    </w:p>
    <w:p>
      <w:pPr>
        <w:spacing w:after="0" w:line="17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premiums earned for the third quarter of 2024, increased $396, or 13.7%, compared to the same period in 2023. Net premiums earned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first nine months of 2024 increased $406, or 4.6%, from the first nine months of 2023. Results were driven by rate and insured value increases for the commercial and excess lines of business, partially offset by the continued run-off of our participation in an assumed domestic and international reinsurance pool of business.</w:t>
      </w:r>
    </w:p>
    <w:p>
      <w:pPr>
        <w:sectPr>
          <w:pgSz w:w="11900" w:h="16838" w:orient="portrait"/>
          <w:cols w:equalWidth="0" w:num="1">
            <w:col w:w="11240"/>
          </w:cols>
          <w:pgMar w:left="320" w:top="553" w:right="339" w:bottom="144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6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9"/>
                <w:szCs w:val="19"/>
                <w:color w:val="auto"/>
              </w:rPr>
            </w:pPr>
          </w:p>
        </w:tc>
      </w:tr>
      <w:tr>
        <w:trPr>
          <w:trHeight w:val="4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69,692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53,863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184,561</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162,027</w:t>
            </w: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725</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882</w:t>
            </w:r>
          </w:p>
        </w:tc>
      </w:tr>
      <w:tr>
        <w:trPr>
          <w:trHeight w:val="248"/>
        </w:trPr>
        <w:tc>
          <w:tcPr>
            <w:tcW w:w="2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(5,209)</w:t>
            </w:r>
          </w:p>
        </w:tc>
        <w:tc>
          <w:tcPr>
            <w:tcW w:w="26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(1,431)</w:t>
            </w:r>
          </w:p>
        </w:tc>
        <w:tc>
          <w:tcPr>
            <w:tcW w:w="2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(10,845)</w:t>
            </w:r>
          </w:p>
        </w:tc>
        <w:tc>
          <w:tcPr>
            <w:tcW w:w="26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(8,550)</w:t>
            </w:r>
          </w:p>
        </w:tc>
      </w:tr>
      <w:tr>
        <w:trPr>
          <w:trHeight w:val="223"/>
        </w:trPr>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-745490</wp:posOffset>
            </wp:positionV>
            <wp:extent cx="713232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-462280</wp:posOffset>
            </wp:positionV>
            <wp:extent cx="7132320" cy="1371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-179070</wp:posOffset>
            </wp:positionV>
            <wp:extent cx="7132320" cy="162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20" w:space="720"/>
            <w:col w:w="5700"/>
          </w:cols>
          <w:pgMar w:left="320" w:top="553" w:right="339" w:bottom="1440" w:gutter="0" w:footer="0" w:header="0"/>
          <w:type w:val="continuous"/>
        </w:sectPr>
      </w:pPr>
    </w:p>
    <w:p>
      <w:pPr>
        <w:spacing w:after="0" w:line="214"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net losses and loss adjustment expenses for the three months ended September 30, 2024, increased $11,943, or 22.5%, compared to the three months ended September 30, 2023. Our net losses and loss adjustment expenses for the nine months ended September 30, 2024, increased $20,243, or 13.1%, compared to the nine months ended September 30,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14,070</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16,603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45,292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51,094</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20,504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18,838</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56,687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50,015</w:t>
            </w:r>
          </w:p>
        </w:tc>
      </w:tr>
      <w:tr>
        <w:trPr>
          <w:trHeight w:val="216"/>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22,023</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14,052</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56,230</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40,686</w:t>
            </w:r>
          </w:p>
        </w:tc>
      </w:tr>
      <w:tr>
        <w:trPr>
          <w:trHeight w:val="216"/>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6,190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3,690</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11,944</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11,127</w:t>
            </w:r>
          </w:p>
        </w:tc>
      </w:tr>
      <w:tr>
        <w:trPr>
          <w:trHeight w:val="230"/>
        </w:trPr>
        <w:tc>
          <w:tcPr>
            <w:tcW w:w="4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2,313</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4,449</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w:t>
            </w:r>
          </w:p>
        </w:tc>
      </w:tr>
      <w:tr>
        <w:trPr>
          <w:trHeight w:val="223"/>
        </w:trPr>
        <w:tc>
          <w:tcPr>
            <w:tcW w:w="45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65,100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174,602</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4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53" w:right="339" w:bottom="1440" w:gutter="0" w:footer="0" w:header="0"/>
          <w:type w:val="continuous"/>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ratio:</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67.4%</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83.2%</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89.1%</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88.7%</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75.9%</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w:t>
            </w: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84.2%</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56.9%</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37.9%</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58.8%</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70.2%</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(0.9%)</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48.0%</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23"/>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loss and loss adjustment expenses ratio</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58"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Private Passenger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decreased 16.0 percentage points and 15.8 percentage points in the three-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nine-month periods ended September 30, 2024, respectively, compared to the same periods in 2023. The decrease in the third quarter of 2024 was driven by improved loss frequency in Nebraska and South Dakota during the current year quarter. The year-to-date decrease was driven by the improved loss frequency in the current year quarter as well as lower levels of weather-related losses in the current year due to the mild winter in the Midwest compared to elevated winter weather-related losses in the prior year. Both periods were positively affected by earned premium growth.</w:t>
      </w:r>
    </w:p>
    <w:p>
      <w:pPr>
        <w:spacing w:after="0" w:line="179"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Non-Standard Auto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0.4 percentage points in the three-month period ended September 30,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same period in 2023. Although the year-over-year ratios were relatively consistent, the current year quarter was impacted by unfavorable prior year reserve development related to elevated bodily injury losses. The net loss and loss adjustment expense ratio decreased 2.6 percentage points in the nine-month period ended September 30, 2024, compared to the same period in 2023. This decrease was primarily driven by earned premium growth resulting from new business growth and significant rate increases.</w:t>
      </w:r>
    </w:p>
    <w:p>
      <w:pPr>
        <w:spacing w:after="0" w:line="179"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Home and Farm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27.9 percentage points and 18.3 percentage points in the three- and nine-month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periods ended September 30, 2024, respectively, compared to the same periods in 2023. These increases in net loss and loss adjustment expense ratios were driven by higher non-catastrophe weather-related losses in North Dakota and Nebraska during 2024 compared to the prior year partially offset by earned premium growth in the current year.</w:t>
      </w:r>
    </w:p>
    <w:p>
      <w:pPr>
        <w:spacing w:after="0" w:line="176" w:lineRule="exact"/>
        <w:rPr>
          <w:sz w:val="20"/>
          <w:szCs w:val="20"/>
          <w:color w:val="auto"/>
        </w:rPr>
      </w:pPr>
    </w:p>
    <w:p>
      <w:pPr>
        <w:ind w:right="4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Crop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19.0 percentage points and 9.0 percentage points in the three- and nine-month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respectively, compared to the same periods in 2023. These increases were driven by slightly less favorable crop growing conditions compared to the prior year.</w:t>
      </w:r>
    </w:p>
    <w:p>
      <w:pPr>
        <w:spacing w:after="0" w:line="171"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All Other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net loss and loss adjustment expense ratio increased 71.1 percentage points and 31.8 percentage points in the three- and nine-month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2024, compared to the same period in 2023. These increases were driven by elevated large loss experience compared to the prior year. The negative loss and loss adjustment expense ratio for the third quarter of 2023 was the result of an inter-segment reclassification of a large loss during the quarter.</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and General Expenses and Expense Ratio</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5"/>
        </w:trPr>
        <w:tc>
          <w:tcPr>
            <w:tcW w:w="554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17,616</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16,523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53,723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48,311</w:t>
            </w:r>
          </w:p>
        </w:tc>
        <w:tc>
          <w:tcPr>
            <w:tcW w:w="80" w:type="dxa"/>
            <w:vAlign w:val="bottom"/>
          </w:tcPr>
          <w:p>
            <w:pPr>
              <w:spacing w:after="0"/>
              <w:rPr>
                <w:sz w:val="18"/>
                <w:szCs w:val="18"/>
                <w:color w:val="auto"/>
              </w:rPr>
            </w:pPr>
          </w:p>
        </w:tc>
      </w:tr>
      <w:tr>
        <w:trPr>
          <w:trHeight w:val="229"/>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9,724</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7,330</w:t>
            </w: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26,658</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22,606</w:t>
            </w:r>
          </w:p>
        </w:tc>
      </w:tr>
      <w:tr>
        <w:trPr>
          <w:trHeight w:val="263"/>
        </w:trPr>
        <w:tc>
          <w:tcPr>
            <w:tcW w:w="55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27,340</w:t>
            </w:r>
          </w:p>
        </w:tc>
        <w:tc>
          <w:tcPr>
            <w:tcW w:w="2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23,853</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80,381</w:t>
            </w:r>
          </w:p>
        </w:tc>
        <w:tc>
          <w:tcPr>
            <w:tcW w:w="2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70,917</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260" w:type="dxa"/>
            <w:vAlign w:val="bottom"/>
          </w:tcPr>
          <w:p>
            <w:pPr>
              <w:spacing w:after="0"/>
              <w:rPr>
                <w:sz w:val="21"/>
                <w:szCs w:val="21"/>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w:t>
            </w:r>
          </w:p>
        </w:tc>
        <w:tc>
          <w:tcPr>
            <w:tcW w:w="80" w:type="dxa"/>
            <w:vAlign w:val="bottom"/>
          </w:tcPr>
          <w:p>
            <w:pPr>
              <w:spacing w:after="0"/>
              <w:rPr>
                <w:sz w:val="21"/>
                <w:szCs w:val="21"/>
                <w:color w:val="auto"/>
              </w:rPr>
            </w:pPr>
          </w:p>
        </w:tc>
      </w:tr>
      <w:tr>
        <w:trPr>
          <w:trHeight w:val="20"/>
        </w:trPr>
        <w:tc>
          <w:tcPr>
            <w:tcW w:w="5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increased 1.6 percentage points and 1.2 percentage points in the three-and nine-month periods ended September 30, 2024, respectively, compared to the same periods in 2023. The increase in the amortization of deferred policy acquisition costs is due to higher deferrable costs resulting from significant premium growth compared to the prior year, including significant growth in the Non-Standard Auto segment which generally pays higher agent commissions than our other segments. The increase in the other underwriting and general expenses is due to the costs incurred in the current quarter associated with the execution of the separation agreement with our former Chief Executive Officer.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3"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Gain (Loss) and Combined Ratio</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554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1,072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(1,494)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566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(8,069)</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(7,830)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(6,326)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(12,846)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(12,772)</w:t>
            </w: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60" w:type="dxa"/>
            <w:vAlign w:val="bottom"/>
          </w:tcPr>
          <w:p>
            <w:pPr>
              <w:spacing w:after="0"/>
              <w:rPr>
                <w:sz w:val="18"/>
                <w:szCs w:val="18"/>
                <w:color w:val="auto"/>
              </w:rPr>
            </w:pPr>
          </w:p>
        </w:tc>
        <w:tc>
          <w:tcPr>
            <w:tcW w:w="12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(6,162)</w:t>
            </w:r>
          </w:p>
        </w:tc>
        <w:tc>
          <w:tcPr>
            <w:tcW w:w="26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1,050</w:t>
            </w:r>
          </w:p>
        </w:tc>
        <w:tc>
          <w:tcPr>
            <w:tcW w:w="240" w:type="dxa"/>
            <w:vAlign w:val="bottom"/>
          </w:tcPr>
          <w:p>
            <w:pPr>
              <w:spacing w:after="0"/>
              <w:rPr>
                <w:sz w:val="18"/>
                <w:szCs w:val="18"/>
                <w:color w:val="auto"/>
              </w:rPr>
            </w:pPr>
          </w:p>
        </w:tc>
        <w:tc>
          <w:tcPr>
            <w:tcW w:w="11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(10,974)</w:t>
            </w:r>
          </w:p>
        </w:tc>
        <w:tc>
          <w:tcPr>
            <w:tcW w:w="260" w:type="dxa"/>
            <w:vAlign w:val="bottom"/>
          </w:tcPr>
          <w:p>
            <w:pPr>
              <w:spacing w:after="0"/>
              <w:rPr>
                <w:sz w:val="18"/>
                <w:szCs w:val="18"/>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2,356</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2,912</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4,083</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4,877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6,544</w:t>
            </w:r>
          </w:p>
        </w:tc>
      </w:tr>
      <w:tr>
        <w:trPr>
          <w:trHeight w:val="230"/>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tcPr>
          <w:p>
            <w:pPr>
              <w:spacing w:after="0"/>
              <w:rPr>
                <w:sz w:val="19"/>
                <w:szCs w:val="19"/>
                <w:color w:val="auto"/>
              </w:rPr>
            </w:pPr>
          </w:p>
        </w:tc>
        <w:tc>
          <w:tcPr>
            <w:tcW w:w="12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2,095</w:t>
            </w:r>
          </w:p>
        </w:tc>
        <w:tc>
          <w:tcPr>
            <w:tcW w:w="240" w:type="dxa"/>
            <w:vAlign w:val="bottom"/>
          </w:tcPr>
          <w:p>
            <w:pPr>
              <w:spacing w:after="0"/>
              <w:rPr>
                <w:sz w:val="19"/>
                <w:szCs w:val="19"/>
                <w:color w:val="auto"/>
              </w:rPr>
            </w:pPr>
          </w:p>
        </w:tc>
        <w:tc>
          <w:tcPr>
            <w:tcW w:w="11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1,717</w:t>
            </w:r>
          </w:p>
        </w:tc>
        <w:tc>
          <w:tcPr>
            <w:tcW w:w="260" w:type="dxa"/>
            <w:vAlign w:val="bottom"/>
          </w:tcPr>
          <w:p>
            <w:pPr>
              <w:spacing w:after="0"/>
              <w:rPr>
                <w:sz w:val="19"/>
                <w:szCs w:val="19"/>
                <w:color w:val="auto"/>
              </w:rPr>
            </w:pPr>
          </w:p>
        </w:tc>
        <w:tc>
          <w:tcPr>
            <w:tcW w:w="10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4,789</w:t>
            </w:r>
          </w:p>
        </w:tc>
      </w:tr>
      <w:tr>
        <w:trPr>
          <w:trHeight w:val="223"/>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underwriting loss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(9,170</w:t>
            </w:r>
          </w:p>
        </w:tc>
        <w:tc>
          <w:tcPr>
            <w:tcW w:w="280" w:type="dxa"/>
            <w:vAlign w:val="bottom"/>
            <w:tcBorders>
              <w:top w:val="single" w:sz="8" w:color="CCEEFF"/>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29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95.2%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99.1%</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134.0%</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117.2%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120.1%</w:t>
            </w:r>
          </w:p>
        </w:tc>
      </w:tr>
      <w:tr>
        <w:trPr>
          <w:trHeight w:val="216"/>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116.5%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r>
      <w:tr>
        <w:trPr>
          <w:trHeight w:val="216"/>
        </w:trPr>
        <w:tc>
          <w:tcPr>
            <w:tcW w:w="55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73.3%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76.0%</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70.8%</w:t>
            </w:r>
          </w:p>
        </w:tc>
      </w:tr>
      <w:tr>
        <w:trPr>
          <w:trHeight w:val="229"/>
        </w:trPr>
        <w:tc>
          <w:tcPr>
            <w:tcW w:w="5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81.5%</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r>
      <w:tr>
        <w:trPr>
          <w:trHeight w:val="223"/>
        </w:trPr>
        <w:tc>
          <w:tcPr>
            <w:tcW w:w="55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7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total underwriting loss increased $8,578 for the three-month period ended September 30, 2024, compared to the same period in 2023. The total underwriting loss increased $9,508 for the nine-month period ended September 30, 2024, compared to the same period in 2023. These results were driven by the factors discussed in the Loss and Loss Adjustment Expenses as well as the Underwriting and General Expenses and Expense Ratio sections above.</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overall combined ratio increased 10.2 percentage points in the three-month period ended September 30, 2024, compared to the same period in 2023. The overall combined ratio increased 3.7 percentage points in the nine-month period ended September 30, 2024, compared to the same period in 2023. These results were driven by the factors discussed in the Loss and Loss Adjustment Expenses as well as the Underwriting and General Expenses and Expense Ratio sections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and Other Income</w:t>
      </w:r>
    </w:p>
    <w:p>
      <w:pPr>
        <w:spacing w:after="0" w:line="229"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had fee and other income of $491 and $1,590 for the three and nine months ended September 30, 2024, respectively, compared to $445 and $1,196 for the three and nine months ended September 30, 2023, respectively. Fee income is largely attributable to the Non-Standard Auto segment and is a key component in measuring its profitability. Fee and other income on this business increased to $281 and $971 for the three and nine months ended September 30, 2024, respectively, from $278 and $748 for the three and nine months ended September 30, 2023, respectively, driven by growth in this segment.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following table shows our average cash and invested assets, net investment income, and return on average cash and invested assets for the reported periods for continuing operations: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452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0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376,594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367,614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331,170</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3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2,811</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2,121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8,089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5,735</w:t>
            </w:r>
          </w:p>
        </w:tc>
      </w:tr>
      <w:tr>
        <w:trPr>
          <w:trHeight w:val="216"/>
        </w:trPr>
        <w:tc>
          <w:tcPr>
            <w:tcW w:w="4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r>
      <w:tr>
        <w:trPr>
          <w:trHeight w:val="560"/>
        </w:trPr>
        <w:tc>
          <w:tcPr>
            <w:tcW w:w="45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52" w:name="page53"/>
    <w:bookmarkEnd w:id="52"/>
    <w:p>
      <w:pPr>
        <w:ind w:right="420"/>
        <w:spacing w:after="0" w:line="266" w:lineRule="auto"/>
        <w:rPr>
          <w:sz w:val="20"/>
          <w:szCs w:val="20"/>
          <w:color w:val="auto"/>
        </w:rPr>
      </w:pPr>
      <w:r>
        <w:rPr>
          <w:rFonts w:ascii="Times New Roman" w:cs="Times New Roman" w:eastAsia="Times New Roman" w:hAnsi="Times New Roman"/>
          <w:sz w:val="18"/>
          <w:szCs w:val="18"/>
          <w:color w:val="auto"/>
        </w:rPr>
        <w:t>Net investment income increased $690 for the three months ended September 30, 2024, compared to the three months ended September 30, 2023. Net investment income increased $2,354 for the nine months ended September 30, 2024, compared to the nine months ended September 30, 2023. These increases were primarily driven by the higher interest rate environment which resulted in higher reinvestment rates in our fixed income portfolio.</w:t>
      </w:r>
    </w:p>
    <w:p>
      <w:pPr>
        <w:spacing w:after="0" w:line="176"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Gross and net return on average cash and invested assets increased year-over-year, primarily driven by the favorable interest rate environment that resulted in significantly higher net investment income on an increased average balance of fixed income securities as well as cash and cash equivalents (measured at fair value). In addition, the increase in investments in high dividend yield equities resulted in relatively consistent year-over-year dividend income despite a reduction in the average equities balance (measured at fair value). The increase in average cash and invested assets was driven by changes in the fair value of fixed income securities due to the interest rate environment as well as higher operating cash flows during the first nine months of 2024.</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5540" w:type="dxa"/>
            <w:vAlign w:val="bottom"/>
          </w:tcPr>
          <w:p>
            <w:pPr>
              <w:spacing w:after="0"/>
              <w:rPr>
                <w:sz w:val="24"/>
                <w:szCs w:val="24"/>
                <w:color w:val="auto"/>
              </w:rPr>
            </w:pPr>
          </w:p>
        </w:tc>
        <w:tc>
          <w:tcPr>
            <w:tcW w:w="2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2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40" w:type="dxa"/>
            <w:vAlign w:val="bottom"/>
            <w:tcBorders>
              <w:bottom w:val="single" w:sz="8" w:color="CCEEFF"/>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210"/>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13,707</w:t>
            </w:r>
          </w:p>
        </w:tc>
        <w:tc>
          <w:tcPr>
            <w:tcW w:w="100" w:type="dxa"/>
            <w:vAlign w:val="bottom"/>
            <w:shd w:val="clear" w:color="auto" w:fill="CCEEFF"/>
          </w:tcPr>
          <w:p>
            <w:pPr>
              <w:spacing w:after="0"/>
              <w:rPr>
                <w:sz w:val="18"/>
                <w:szCs w:val="18"/>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credit impairment losses</w:t>
            </w:r>
          </w:p>
        </w:tc>
        <w:tc>
          <w:tcPr>
            <w:tcW w:w="82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(1,661)</w:t>
            </w:r>
          </w:p>
        </w:tc>
      </w:tr>
      <w:tr>
        <w:trPr>
          <w:trHeight w:val="210"/>
        </w:trPr>
        <w:tc>
          <w:tcPr>
            <w:tcW w:w="5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 (losses)</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820" w:type="dxa"/>
            <w:vAlign w:val="bottom"/>
          </w:tcPr>
          <w:p>
            <w:pPr>
              <w:spacing w:after="0"/>
              <w:rPr>
                <w:sz w:val="19"/>
                <w:szCs w:val="19"/>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8"/>
              </w:rPr>
              <w:t>2,367</w:t>
            </w:r>
          </w:p>
        </w:tc>
        <w:tc>
          <w:tcPr>
            <w:tcW w:w="260" w:type="dxa"/>
            <w:vAlign w:val="bottom"/>
          </w:tcPr>
          <w:p>
            <w:pPr>
              <w:spacing w:after="0"/>
              <w:rPr>
                <w:sz w:val="19"/>
                <w:szCs w:val="19"/>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(1,464)</w:t>
            </w:r>
          </w:p>
        </w:tc>
        <w:tc>
          <w:tcPr>
            <w:tcW w:w="24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3,325</w:t>
            </w:r>
          </w:p>
        </w:tc>
        <w:tc>
          <w:tcPr>
            <w:tcW w:w="2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(11,771)</w:t>
            </w:r>
          </w:p>
        </w:tc>
      </w:tr>
      <w:tr>
        <w:trPr>
          <w:trHeight w:val="223"/>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2,412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had net realized gains of $45 and losses of $37 for the three and nine months ended September 30, 2024, respectively, compared to net realized gains of $509 and $12,046 for the three and nine months ended September 30, 2023, respectively. The elevated net realized gains in the nine months ended September 30, 2023, were the result of a strategic liquidation of a portfolio of equity securities. The gross realized gains from the sale of these securities were largely offset by the elimination of the unrealized gain position of these securities. No credit impairment losses were reported during any of the periods presented.</w:t>
      </w:r>
    </w:p>
    <w:p>
      <w:pPr>
        <w:spacing w:after="0" w:line="183"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We experienced an increase of $2,367 and $3,325 in net unrealized gains on equity securities during the three and nine months ended September 30, 2024, respectively, attributable to overall favorable equity markets during the current quarter and year-to-date. We experienced a decrease in net unrealized gains on equity securities of $1,464 and $11,771 during the three and nine months ended September 30, 2023, respectively. The decrease in unrealized gains on equity securities during the nine months ended September 30, 2023, was driven by the equity portfolio liquidation noted above and the impact of changes in fair value attributable to equity market volatility.</w:t>
      </w:r>
    </w:p>
    <w:p>
      <w:pPr>
        <w:spacing w:after="0" w:line="183"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Our fixed income securities are classified as available for sale because we will, from time to time, make sales of securities that are not impaired, consistent with our investment goals and policies. The fixed income portion of the portfolio experienced net unrealized gains of $11,138 and $8,848 during the three and nine months ended September 30, 2024, respectively, compared to net unrealized losses of $8,718 and $5,741 during the three and nine months ended September 30, 2023, respectively. The changes were primarily the result of changes in U.S. interest rates. The change in the fair value of fixed income securities is not reflected in net income; rather it is reflected as a separate component (net of income taxes) of other comprehensive income.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had a pre-tax loss of $3,456 compared to a pre-tax income of $1,019 for the three months ended September 30, 2023. The year-over-year change was largely attributable to higher non-catastrophe weather-related losses for Home and Farm in the states of North Dakota and Nebraska, unfavorable prior year loss reserve development for Non-Standard Auto, and expenses incurred related to the separation agreement with our former Chief Executive Officer, partially offset by net earned premium growth, improved loss experience for Private Passenger Auto, and higher net investment income.</w:t>
      </w:r>
    </w:p>
    <w:p>
      <w:pPr>
        <w:spacing w:after="0" w:line="183"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we had a pre-tax loss of $3,693 compared to pre-tax income of $54 for the nine months ended September 30, 2023. The year-over-year change was largely attributable to higher non-catastrophe weather-related losses for Home and Farm in the states of North Dakota and Nebraska, unfavorable prior year loss reserve development for Non-Standard Auto, and expenses incurred related to the separation agreement with our former Chief Executive Officer, partially offset by net earned premium growth, improved loss experience for Private Passenger Auto, and higher net investment income.</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recorded an income tax benefit of $751 for the three months ended September 30, 2024, compared to an income tax expense of $214 for the three months ended September 30, 2023. Our effective tax rate for the third quarter of 2024 was 21.7% compared to an effective tax rate of 21.0% for the third quarter of 2023.</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recorded an income tax benefit of $445 for the nine months ended September 30, 2024, compared to income tax expense of $11 for the nine months ended September 30, 2023. Our effective tax rate for the first nine months of 2024 (excluding tax effects related to the loss on the sale of Westminster) was 12.0% compared to an effective tax rate of 20.4% for the first nine months of 2023. The effective tax rate for the first nine months of 2024 was impacted by a $346 valuation allowance on net operating loss carryforwards established as a result of the Battle Creek demutualization.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2024, we had a net loss before non-controlling interest of $2,705 compared to net income of $805 for the three months ended September 30, 2023. The year-over-year change was largely attributable to higher non-catastrophe weather-related losses for Home and Farm in the states of North Dakota and Nebraska, unfavorable prior year loss reserve development for Non-Standard Auto, and expenses incurred related to the separation agreement with our former Chief Executive Officer, partially offset by net earned premium growth, improved loss experience for Private Passenger Auto, and higher net investment income.</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2024, we had a net loss before non-controlling interest of $3,248 compared to net income of $43 for the nine months ended September 30, 2023. The year-over-year change was largely attributable to higher non-catastrophe weather-related losses for Home and Farm in the states of North Dakota and Nebraska, unfavorable prior year loss reserve development for Non-Standard Auto, and expenses incurred related to the separation agreement with our former Chief Executive Officer, partially offset by net earned premium growth, improved loss experience for Private Passenger Auto, and higher net investment income.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Return on Average Equity</w:t>
      </w:r>
    </w:p>
    <w:p>
      <w:pPr>
        <w:spacing w:after="0" w:line="22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2024, we had annualized return on average equity, after non-controlling interest, of (4.5)% compared to annualized return on average equity, after non-controlling interest, of 1.3% for the three months ended September 30, 2023.</w:t>
      </w:r>
    </w:p>
    <w:p>
      <w:pPr>
        <w:spacing w:after="0" w:line="162"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we had annualized return on average equity, after non-controlling interest, of (1.9)% compared to annualized return on average equity, after non-controlling interest, of 0.2% for the nine months ended September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equity, excluding non-controlling interest, for the period.</w:t>
      </w: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We are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2023 Annual Report. There have been no changes in our critical accounting policies from December 31, 2023.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expect to generate sufficient funds from our operations and maintain a high degree of liquidity in our investment portfolio to meet the demands of claim settlements and operating expenses for the foreseeable future. Our primary sources of funds are premium collections, investment earnings, and fixed income maturities.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change in cash and cash equivalents for continuing and discontinued operations for the nine months ended September 30, 2024 and 2023, were as follows:</w:t>
      </w:r>
    </w:p>
    <w:p>
      <w:pPr>
        <w:sectPr>
          <w:pgSz w:w="11900" w:h="16838" w:orient="portrait"/>
          <w:cols w:equalWidth="0" w:num="1">
            <w:col w:w="11240"/>
          </w:cols>
          <w:pgMar w:left="320" w:top="5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16,780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9,458</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(3,613)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(7,454)</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18,494</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20" w:space="720"/>
            <w:col w:w="2800"/>
          </w:cols>
          <w:pgMar w:left="320" w:top="549" w:right="339" w:bottom="1440" w:gutter="0" w:footer="0" w:header="0"/>
          <w:type w:val="continuous"/>
        </w:sectPr>
      </w:pPr>
    </w:p>
    <w:p>
      <w:pPr>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operating activities totaled $16,780 compared to $9,458 a year ago. This change was primarily driven by lower levels of loss and loss adjustment payments in the current year partially offset by higher levels of tax payments (net of refunds) in the current year.</w:t>
      </w:r>
    </w:p>
    <w:p>
      <w:pPr>
        <w:spacing w:after="0" w:line="17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provided by investing activities totaled $5,327 compared to net cash used of $2,021 a year ago. This change was primarily attributable to the proceeds from the sale of Westminster in the current year partially offset by an increase in net cash outflows for investment activities in the current year.</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net cash used by financing activities totaled $3,613 compared to $7,454 a year ago. This decrease in cash used was attributable to a reduction in share repurchases in the current year partially offset by the final pooling settlement between Nodak Insurance and Westminster.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holding company, a principal source of long-term liquidity will be dividend payments from our directly-owned subsidiaries.</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55" w:name="page56"/>
    <w:bookmarkEnd w:id="55"/>
    <w:p>
      <w:pPr>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investment gains), less any prior dividends paid during such twelve-month period. In addition, any insurance company other than a life insurance company may carry forward net income from the preceding two calendar years, not including realized investment gains, less any dividends actually paid during those two calendar years. Dividends in excess of this amount are considered “extraordinary” and are subject to the approval of the North Dakota Insurance Department.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There is no amount available for payment of dividends from Nodak Insurance to NI Holdings during 2024 without the prior approval of the North Dakota Insurance Department.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nine months ended September 30, 2024, or the year ended December 31, 2023.</w:t>
      </w:r>
    </w:p>
    <w:p>
      <w:pPr>
        <w:spacing w:after="0" w:line="18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NI Holdings during 2024 without the prior approval of the North Dakota Insurance Department is approximately $90 as of December 31, 2023. No dividends were declared or paid by Direct Auto during the nine months ended September 30, 2024, or the year ended December 31, 2023.</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was subject to the same dividend restrictions as Nodak Insurance. Westminster was sold on June 30, 2024. No dividends were declared or paid by Westminster to NI Holdings during the nine months ended September 30, 2024, or the year ended December 31, 2023. For additional information see Part I, Item 1, Note 19 “Discontinued Operations” of this Quarterly Report on Form 10-Q.</w:t>
      </w:r>
    </w:p>
    <w:p>
      <w:pPr>
        <w:spacing w:after="0" w:line="2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September 30, 2024, indicates there have been no material changes in the quantitative and qualitative disclosures from those in Part II, Item 7A, “Quantitative and Qualitative Disclosures About Market Risk” in our 2023 Annual Report.</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229"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Company’s Interim Chief Executive Officer and Chief Financial Officer have reviewed and evaluated the effectiveness of the Company’s disclosure controls and procedures (“DCPs”), as required by Rules 13a-15(b) and 15d-15(b) under the Exchange Act, as of the end of the period covered by this report. As a result of the material weakness in the Company's internal control over financial reporting ("ICFR") discussed below, the Interim Chief Executive Officer and Chief Financial Officer have concluded that the Company’s DCPs, as of the end of the period covered by this report, were not effective in ensuring information required to be disclosed in our periodic reports filed under the Exchange Act is recorded, processed, summarized and reported within the time periods specified in the rules and forms of the SEC, and that such material information is accumulated and communicated to the Chief Executive Officer and Chief Financial Officer to allow timely decisions regarding required disclosures. 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ICFR, such that there is a reasonable possibility that a material misstatement of the Company's annual or interim financial statements will not be prevented or detected on a timely basis.</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As previously disclosed in our Quarterly Report on Form 10-Q/A for the quarter ended June 30, 2024, the Company did not design and maintain effective controls over its accounting for intercompany reinsurance pooling activity. Specifically, it lacked an effectively designed internal control related to the evaluation of pooling payable/receivable balances, including when a pool member is sold. This material weakness resulted in a material error and the restatement of the Company's consolidated financial statements for the three- and six-month periods ended June 30, 2024. Additionally, this material weakness could result in misstatements of the aforementioned accounts or disclosures that would result in a material misstatement to the annual or interim consolidated financial statements that would not be prevented or detected.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Plan for Material Weakness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Upon identification of the material weakness, management developed a remediation plan, which included designing and implementing a new quarterly intercompany pooling reconciliation and review process to fully evaluate pooling payable/receivable balances in support of financial reporting for GAAP purposes. The material weakness will not be considered remediated until the remediation plan has been implemented and there has been sufficient time for the Company to conclude through testing that the controls are operating effectively. As the Company's management, under the oversight of the Audit Committee, continues to evaluate and improve the Company's ICFR, management may decide to take additional measures to address control deficiencies or determine to modify, or in appropriate circumstances not to complete, certain of the remediation measures identified. We can offer no assurance that these initiatives will ultimately have the intended effects.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Except for the identified material weakness above, 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8"/>
          <w:szCs w:val="18"/>
          <w:b w:val="1"/>
          <w:bCs w:val="1"/>
          <w:color w:val="auto"/>
        </w:rPr>
        <w:t>PART II.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from time to time, party to routine litigation incidental to the normal course of our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2023 Annual Report.</w:t>
      </w:r>
    </w:p>
    <w:p>
      <w:pPr>
        <w:spacing w:after="0" w:line="200" w:lineRule="exact"/>
        <w:rPr>
          <w:sz w:val="20"/>
          <w:szCs w:val="20"/>
          <w:color w:val="auto"/>
        </w:rPr>
      </w:pPr>
    </w:p>
    <w:p>
      <w:pPr>
        <w:spacing w:after="0" w:line="2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data, are in thousands.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22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w:t>
      </w:r>
    </w:p>
    <w:p>
      <w:pPr>
        <w:spacing w:after="0" w:line="176"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To date, the Company has used the net proceeds from the IPO to fund these share repurchases.</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162" w:lineRule="exact"/>
        <w:rPr>
          <w:sz w:val="20"/>
          <w:szCs w:val="20"/>
          <w:color w:val="auto"/>
        </w:rPr>
      </w:pPr>
    </w:p>
    <w:p>
      <w:pPr>
        <w:ind w:right="400"/>
        <w:spacing w:after="0" w:line="258"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During the year ended December 31, 2022, we completed the repurchase of 54,223 shares of our common stock for $734 under this authorization. During the year ended December 31, 2023, we repurchased an additional 548,549 shares of our common stock for $7,278, including the effect from applicable excise taxes. During the nine months ended September 30, 2024, we did not repurchase any shares of our common stock. At September 30, 2024, $2,052 remains available under this authorization.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September 30, 2024, is presented below:</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rPr>
              <w:t>Maximum Approximate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Dollar Value of Shares</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Shares Purchased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That May Yet Be</w:t>
            </w:r>
          </w:p>
        </w:tc>
      </w:tr>
      <w:tr>
        <w:trPr>
          <w:trHeight w:val="221"/>
        </w:trPr>
        <w:tc>
          <w:tcPr>
            <w:tcW w:w="3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Average Price</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Purchased Under the</w:t>
            </w:r>
          </w:p>
        </w:tc>
      </w:tr>
      <w:tr>
        <w:trPr>
          <w:trHeight w:val="216"/>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Shares</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Paid</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Announced Plans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3"/>
          </w:tcPr>
          <w:p>
            <w:pPr>
              <w:jc w:val="center"/>
              <w:ind w:right="200"/>
              <w:spacing w:after="0" w:line="216"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5"/>
                <w:szCs w:val="25"/>
                <w:color w:val="auto"/>
                <w:vertAlign w:val="superscript"/>
              </w:rPr>
              <w:t>(2)</w:t>
            </w:r>
          </w:p>
        </w:tc>
      </w:tr>
      <w:tr>
        <w:trPr>
          <w:trHeight w:val="270"/>
        </w:trPr>
        <w:tc>
          <w:tcPr>
            <w:tcW w:w="32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Period in 2024</w:t>
            </w:r>
          </w:p>
        </w:tc>
        <w:tc>
          <w:tcPr>
            <w:tcW w:w="15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9"/>
              </w:rPr>
              <w:t>Purchased</w:t>
            </w: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tcPr>
          <w:p>
            <w:pPr>
              <w:jc w:val="center"/>
              <w:ind w:left="210"/>
              <w:spacing w:after="0" w:line="270" w:lineRule="exact"/>
              <w:rPr>
                <w:sz w:val="20"/>
                <w:szCs w:val="20"/>
                <w:color w:val="auto"/>
              </w:rPr>
            </w:pPr>
            <w:r>
              <w:rPr>
                <w:rFonts w:ascii="Times New Roman" w:cs="Times New Roman" w:eastAsia="Times New Roman" w:hAnsi="Times New Roman"/>
                <w:sz w:val="18"/>
                <w:szCs w:val="18"/>
                <w:color w:val="auto"/>
                <w:w w:val="93"/>
              </w:rPr>
              <w:t xml:space="preserve">Per Share </w:t>
            </w:r>
            <w:r>
              <w:rPr>
                <w:rFonts w:ascii="Times New Roman" w:cs="Times New Roman" w:eastAsia="Times New Roman" w:hAnsi="Times New Roman"/>
                <w:sz w:val="29"/>
                <w:szCs w:val="29"/>
                <w:color w:val="auto"/>
                <w:w w:val="93"/>
                <w:vertAlign w:val="superscript"/>
              </w:rPr>
              <w:t>(3)</w:t>
            </w:r>
          </w:p>
        </w:tc>
        <w:tc>
          <w:tcPr>
            <w:tcW w:w="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60" w:type="dxa"/>
            <w:vAlign w:val="bottom"/>
          </w:tcPr>
          <w:p>
            <w:pPr>
              <w:jc w:val="center"/>
              <w:ind w:left="130"/>
              <w:spacing w:after="0" w:line="270" w:lineRule="exact"/>
              <w:rPr>
                <w:sz w:val="20"/>
                <w:szCs w:val="20"/>
                <w:color w:val="auto"/>
              </w:rPr>
            </w:pPr>
            <w:r>
              <w:rPr>
                <w:rFonts w:ascii="Times New Roman" w:cs="Times New Roman" w:eastAsia="Times New Roman" w:hAnsi="Times New Roman"/>
                <w:sz w:val="18"/>
                <w:szCs w:val="18"/>
                <w:color w:val="auto"/>
                <w:w w:val="95"/>
              </w:rPr>
              <w:t xml:space="preserve">or Programs </w:t>
            </w:r>
            <w:r>
              <w:rPr>
                <w:rFonts w:ascii="Times New Roman" w:cs="Times New Roman" w:eastAsia="Times New Roman" w:hAnsi="Times New Roman"/>
                <w:sz w:val="29"/>
                <w:szCs w:val="29"/>
                <w:color w:val="auto"/>
                <w:w w:val="95"/>
                <w:vertAlign w:val="superscript"/>
              </w:rPr>
              <w:t>(1)</w:t>
            </w: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7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(in thousands)</w:t>
            </w: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1-31, 2024</w:t>
            </w:r>
          </w:p>
        </w:tc>
        <w:tc>
          <w:tcPr>
            <w:tcW w:w="12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1-31, 2024</w:t>
            </w:r>
          </w:p>
        </w:tc>
        <w:tc>
          <w:tcPr>
            <w:tcW w:w="1540" w:type="dxa"/>
            <w:vAlign w:val="bottom"/>
          </w:tcPr>
          <w:p>
            <w:pPr>
              <w:spacing w:after="0"/>
              <w:rPr>
                <w:sz w:val="18"/>
                <w:szCs w:val="18"/>
                <w:color w:val="auto"/>
              </w:rPr>
            </w:pP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spacing w:after="0"/>
              <w:rPr>
                <w:sz w:val="18"/>
                <w:szCs w:val="18"/>
                <w:color w:val="auto"/>
              </w:rPr>
            </w:pPr>
          </w:p>
        </w:tc>
        <w:tc>
          <w:tcPr>
            <w:tcW w:w="20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tcPr>
          <w:p>
            <w:pPr>
              <w:spacing w:after="0"/>
              <w:rPr>
                <w:sz w:val="18"/>
                <w:szCs w:val="18"/>
                <w:color w:val="auto"/>
              </w:rPr>
            </w:pPr>
          </w:p>
        </w:tc>
      </w:tr>
      <w:tr>
        <w:trPr>
          <w:trHeight w:val="230"/>
        </w:trPr>
        <w:tc>
          <w:tcPr>
            <w:tcW w:w="3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1-30, 2024</w:t>
            </w:r>
          </w:p>
        </w:tc>
        <w:tc>
          <w:tcPr>
            <w:tcW w:w="154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spacing w:after="0"/>
              <w:rPr>
                <w:sz w:val="19"/>
                <w:szCs w:val="19"/>
                <w:color w:val="auto"/>
              </w:rPr>
            </w:pPr>
          </w:p>
        </w:tc>
        <w:tc>
          <w:tcPr>
            <w:tcW w:w="20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2,052</w:t>
            </w:r>
          </w:p>
        </w:tc>
        <w:tc>
          <w:tcPr>
            <w:tcW w:w="80" w:type="dxa"/>
            <w:vAlign w:val="bottom"/>
            <w:shd w:val="clear" w:color="auto" w:fill="CCEEFF"/>
          </w:tcPr>
          <w:p>
            <w:pPr>
              <w:spacing w:after="0"/>
              <w:rPr>
                <w:sz w:val="19"/>
                <w:szCs w:val="19"/>
                <w:color w:val="auto"/>
              </w:rPr>
            </w:pPr>
          </w:p>
        </w:tc>
      </w:tr>
      <w:tr>
        <w:trPr>
          <w:trHeight w:val="223"/>
        </w:trPr>
        <w:tc>
          <w:tcPr>
            <w:tcW w:w="3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1520" w:type="dxa"/>
            <w:vAlign w:val="bottom"/>
            <w:tcBorders>
              <w:top w:val="single" w:sz="8" w:color="auto"/>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5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right="740" w:hanging="328"/>
        <w:spacing w:after="0" w:line="195"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May 9, 2022, publicly announced share repurchase authorization of up to approximately $10,000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360" w:hanging="328"/>
        <w:spacing w:after="0" w:line="187"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Maximum dollar value of shares that may yet be purchased consist of up to approximately $2,052 under the May 9, 2022, publicly announced share repurchase authorization.</w:t>
      </w:r>
    </w:p>
    <w:p>
      <w:pPr>
        <w:spacing w:after="0" w:line="1" w:lineRule="exact"/>
        <w:rPr>
          <w:rFonts w:ascii="Times New Roman" w:cs="Times New Roman" w:eastAsia="Times New Roman" w:hAnsi="Times New Roman"/>
          <w:sz w:val="30"/>
          <w:szCs w:val="30"/>
          <w:color w:val="auto"/>
          <w:vertAlign w:val="superscript"/>
        </w:rPr>
      </w:pPr>
    </w:p>
    <w:p>
      <w:pPr>
        <w:ind w:left="660" w:right="300" w:hanging="328"/>
        <w:spacing w:after="0" w:line="187" w:lineRule="auto"/>
        <w:tabs>
          <w:tab w:leader="none" w:pos="660" w:val="left"/>
        </w:tabs>
        <w:numPr>
          <w:ilvl w:val="0"/>
          <w:numId w:val="3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Inflation Reduction Act of 2022 imposed a 1% excise tax on the net value of certain share repurchases made after December 31, 2022. All dollar amounts presented exclude such excise taxes, as applicable.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10b5-1 Trading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third quarter of 2024, none of our directors or executive officers (as defined in Rule 16a-1(f) under the Exchange Act)</w:t>
      </w:r>
    </w:p>
    <w:p>
      <w:pPr>
        <w:spacing w:after="0" w:line="27" w:lineRule="exact"/>
        <w:rPr>
          <w:sz w:val="20"/>
          <w:szCs w:val="20"/>
          <w:color w:val="auto"/>
        </w:rPr>
      </w:pPr>
    </w:p>
    <w:p>
      <w:pPr>
        <w:ind w:right="600"/>
        <w:spacing w:after="0" w:line="260" w:lineRule="auto"/>
        <w:rPr>
          <w:sz w:val="20"/>
          <w:szCs w:val="20"/>
          <w:color w:val="auto"/>
        </w:rPr>
      </w:pPr>
      <w:r>
        <w:rPr>
          <w:rFonts w:ascii="Times New Roman" w:cs="Times New Roman" w:eastAsia="Times New Roman" w:hAnsi="Times New Roman"/>
          <w:sz w:val="18"/>
          <w:szCs w:val="18"/>
          <w:color w:val="auto"/>
        </w:rPr>
        <w:t>adopted or terminated any “Rule 10b5-1 trading arrangement” or “non-Rule 10b5-1 trading arrangement” (as each term is defined in Item 408(a) of Regulation S-K).</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49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0"/>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9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8"/>
        </w:trPr>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9880" w:type="dxa"/>
            <w:vAlign w:val="bottom"/>
            <w:gridSpan w:val="8"/>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tcBorders>
          </w:tcPr>
          <w:p>
            <w:pPr>
              <w:ind w:left="260"/>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4"/>
                <w:szCs w:val="14"/>
                <w:color w:val="auto"/>
              </w:rPr>
            </w:pPr>
          </w:p>
        </w:tc>
        <w:tc>
          <w:tcPr>
            <w:tcW w:w="9880" w:type="dxa"/>
            <w:vAlign w:val="bottom"/>
            <w:tcBorders>
              <w:top w:val="single" w:sz="8" w:color="auto"/>
            </w:tcBorders>
            <w:gridSpan w:val="8"/>
          </w:tcPr>
          <w:p>
            <w:pPr>
              <w:spacing w:after="0" w:line="169"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Employment Agreement dated August 26, 2024, between the Company and Cindy L. Launer (incorporated by reference to Exhibit 10.1</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to the Company’s Current Report on Form 8-K/A (File No. 001-37973) filed August 26, 2024).</w:t>
              </w:r>
            </w:hyperlink>
          </w:p>
        </w:tc>
        <w:tc>
          <w:tcPr>
            <w:tcW w:w="2900" w:type="dxa"/>
            <w:vAlign w:val="bottom"/>
            <w:tcBorders>
              <w:top w:val="single" w:sz="8" w:color="0000EE"/>
            </w:tcBorders>
            <w:gridSpan w:val="5"/>
          </w:tcPr>
          <w:p>
            <w:pPr>
              <w:spacing w:after="0"/>
              <w:rPr>
                <w:sz w:val="17"/>
                <w:szCs w:val="17"/>
                <w:color w:val="auto"/>
              </w:rPr>
            </w:pPr>
          </w:p>
        </w:tc>
        <w:tc>
          <w:tcPr>
            <w:tcW w:w="120" w:type="dxa"/>
            <w:vAlign w:val="bottom"/>
          </w:tcPr>
          <w:p>
            <w:pPr>
              <w:spacing w:after="0"/>
              <w:rPr>
                <w:sz w:val="17"/>
                <w:szCs w:val="17"/>
                <w:color w:val="auto"/>
              </w:rPr>
            </w:pPr>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24"/>
                <w:szCs w:val="24"/>
                <w:color w:val="auto"/>
              </w:rPr>
            </w:pPr>
          </w:p>
        </w:tc>
        <w:tc>
          <w:tcPr>
            <w:tcW w:w="9880" w:type="dxa"/>
            <w:vAlign w:val="bottom"/>
            <w:gridSpan w:val="8"/>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Separation Agreement, dated September 16, 2024, between NI Holdings, Inc. and Michael J. Alexander (incorporated by reference to</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Exhibit 10.1 to the Company’s Current Report on Form 8-K (File No. 001-37973) filed September 19, 2024).</w:t>
              </w:r>
            </w:hyperlink>
          </w:p>
        </w:tc>
        <w:tc>
          <w:tcPr>
            <w:tcW w:w="280" w:type="dxa"/>
            <w:vAlign w:val="bottom"/>
            <w:gridSpan w:val="3"/>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96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26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r>
      <w:tr>
        <w:trPr>
          <w:trHeight w:val="412"/>
        </w:trPr>
        <w:tc>
          <w:tcPr>
            <w:tcW w:w="11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Rules 13a-14(a) and 15d-14(a) under the Securities Exchange Act of 1934, as</w:t>
            </w:r>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560" w:type="dxa"/>
            <w:vAlign w:val="bottom"/>
            <w:tcBorders>
              <w:top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320" w:type="dxa"/>
            <w:vAlign w:val="bottom"/>
            <w:gridSpan w:val="4"/>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8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60" w:right="180" w:hanging="1109"/>
        <w:spacing w:after="0" w:line="282" w:lineRule="auto"/>
        <w:tabs>
          <w:tab w:leader="none" w:pos="13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880" w:type="dxa"/>
            <w:vAlign w:val="bottom"/>
          </w:tcPr>
          <w:p>
            <w:pPr>
              <w:spacing w:after="0"/>
              <w:rPr>
                <w:sz w:val="20"/>
                <w:szCs w:val="20"/>
                <w:color w:val="auto"/>
              </w:rPr>
            </w:pP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20" w:right="3360" w:hanging="5269"/>
        <w:spacing w:after="0" w:line="657" w:lineRule="auto"/>
        <w:tabs>
          <w:tab w:leader="none" w:pos="136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0" w:name="page61"/>
    <w:bookmarkEnd w:id="60"/>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7, 2024.</w:t>
      </w:r>
    </w:p>
    <w:p>
      <w:pPr>
        <w:spacing w:after="0" w:line="3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Cindy L. Launer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Cindy L. Launer</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17145</wp:posOffset>
            </wp:positionV>
            <wp:extent cx="7054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00" w:lineRule="exact"/>
        <w:rPr>
          <w:sz w:val="20"/>
          <w:szCs w:val="20"/>
          <w:color w:val="auto"/>
        </w:rPr>
      </w:pPr>
    </w:p>
    <w:p>
      <w:pPr>
        <w:spacing w:after="0" w:line="33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40"/>
          </w:cols>
          <w:pgMar w:left="320" w:top="553" w:right="1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Cindy L. Launer, certify that:</w:t>
      </w:r>
    </w:p>
    <w:p>
      <w:pPr>
        <w:spacing w:after="0" w:line="225"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7, 2024</w:t>
            </w: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Cindy L. Launer</w:t>
            </w:r>
          </w:p>
        </w:tc>
        <w:tc>
          <w:tcPr>
            <w:tcW w:w="1300" w:type="dxa"/>
            <w:vAlign w:val="bottom"/>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7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Cindy L. Launer</w:t>
            </w:r>
          </w:p>
        </w:tc>
        <w:tc>
          <w:tcPr>
            <w:tcW w:w="1300" w:type="dxa"/>
            <w:vAlign w:val="bottom"/>
          </w:tcPr>
          <w:p>
            <w:pPr>
              <w:spacing w:after="0"/>
              <w:rPr>
                <w:sz w:val="16"/>
                <w:szCs w:val="16"/>
                <w:color w:val="auto"/>
              </w:rPr>
            </w:pPr>
          </w:p>
        </w:tc>
      </w:tr>
      <w:tr>
        <w:trPr>
          <w:trHeight w:val="214"/>
        </w:trPr>
        <w:tc>
          <w:tcPr>
            <w:tcW w:w="286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c>
          <w:tcPr>
            <w:tcW w:w="1300" w:type="dxa"/>
            <w:vAlign w:val="bottom"/>
          </w:tcPr>
          <w:p>
            <w:pPr>
              <w:spacing w:after="0"/>
              <w:rPr>
                <w:sz w:val="18"/>
                <w:szCs w:val="18"/>
                <w:color w:val="auto"/>
              </w:rPr>
            </w:pPr>
          </w:p>
        </w:tc>
      </w:tr>
      <w:tr>
        <w:trPr>
          <w:trHeight w:val="236"/>
        </w:trPr>
        <w:tc>
          <w:tcPr>
            <w:tcW w:w="286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560"/>
        </w:trPr>
        <w:tc>
          <w:tcPr>
            <w:tcW w:w="28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jc w:val="right"/>
              <w:ind w:right="4150"/>
              <w:spacing w:after="0"/>
              <w:rPr>
                <w:sz w:val="20"/>
                <w:szCs w:val="20"/>
                <w:color w:val="auto"/>
              </w:rPr>
            </w:pPr>
            <w:r>
              <w:rPr>
                <w:rFonts w:ascii="Times New Roman" w:cs="Times New Roman" w:eastAsia="Times New Roman" w:hAnsi="Times New Roman"/>
                <w:sz w:val="18"/>
                <w:szCs w:val="18"/>
                <w:color w:val="auto"/>
              </w:rPr>
              <w:t>59</w:t>
            </w: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22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225"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20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November 7, 2024</w:t>
            </w:r>
          </w:p>
        </w:tc>
        <w:tc>
          <w:tcPr>
            <w:tcW w:w="1940" w:type="dxa"/>
            <w:vAlign w:val="bottom"/>
          </w:tcPr>
          <w:p>
            <w:pPr>
              <w:spacing w:after="0"/>
              <w:rPr>
                <w:sz w:val="20"/>
                <w:szCs w:val="20"/>
                <w:color w:val="auto"/>
              </w:rPr>
            </w:pP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0"/>
                <w:szCs w:val="20"/>
                <w:color w:val="auto"/>
              </w:rPr>
            </w:pPr>
          </w:p>
        </w:tc>
      </w:tr>
      <w:tr>
        <w:trPr>
          <w:trHeight w:val="191"/>
        </w:trPr>
        <w:tc>
          <w:tcPr>
            <w:tcW w:w="47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47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47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344"/>
        </w:trPr>
        <w:tc>
          <w:tcPr>
            <w:tcW w:w="4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60</w:t>
            </w:r>
          </w:p>
        </w:tc>
        <w:tc>
          <w:tcPr>
            <w:tcW w:w="3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September 30, 2024, as filed with the Securities and Exchange Commission on the date hereof (the “Report”), we, Cindy L. Launer, Interim President and Chief Executive Officer, and Seth C. Daggett, Chief Financial Officer, of the Company, certify, pursuant to 18 U.S.C. Section 1350, as adopted pursuant to Section 906 of the Sarbanes-Oxley Act of 2002, that, to our knowledge:</w:t>
      </w:r>
    </w:p>
    <w:p>
      <w:pPr>
        <w:spacing w:after="0" w:line="180" w:lineRule="exact"/>
        <w:rPr>
          <w:sz w:val="20"/>
          <w:szCs w:val="20"/>
          <w:color w:val="auto"/>
        </w:rPr>
      </w:pPr>
    </w:p>
    <w:p>
      <w:pPr>
        <w:ind w:left="1300" w:hanging="644"/>
        <w:spacing w:after="0"/>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7, 2024</w:t>
            </w: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Cindy L. Launer</w:t>
            </w:r>
          </w:p>
        </w:tc>
        <w:tc>
          <w:tcPr>
            <w:tcW w:w="1300" w:type="dxa"/>
            <w:vAlign w:val="bottom"/>
          </w:tcPr>
          <w:p>
            <w:pPr>
              <w:spacing w:after="0"/>
              <w:rPr>
                <w:sz w:val="20"/>
                <w:szCs w:val="20"/>
                <w:color w:val="auto"/>
              </w:rPr>
            </w:pPr>
          </w:p>
        </w:tc>
      </w:tr>
      <w:tr>
        <w:trPr>
          <w:trHeight w:val="191"/>
        </w:trPr>
        <w:tc>
          <w:tcPr>
            <w:tcW w:w="2860" w:type="dxa"/>
            <w:vAlign w:val="bottom"/>
          </w:tcPr>
          <w:p>
            <w:pPr>
              <w:spacing w:after="0"/>
              <w:rPr>
                <w:sz w:val="16"/>
                <w:szCs w:val="16"/>
                <w:color w:val="auto"/>
              </w:rPr>
            </w:pPr>
          </w:p>
        </w:tc>
        <w:tc>
          <w:tcPr>
            <w:tcW w:w="7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Cindy L. Launer</w:t>
            </w:r>
          </w:p>
        </w:tc>
        <w:tc>
          <w:tcPr>
            <w:tcW w:w="1300" w:type="dxa"/>
            <w:vAlign w:val="bottom"/>
          </w:tcPr>
          <w:p>
            <w:pPr>
              <w:spacing w:after="0"/>
              <w:rPr>
                <w:sz w:val="16"/>
                <w:szCs w:val="16"/>
                <w:color w:val="auto"/>
              </w:rPr>
            </w:pPr>
          </w:p>
        </w:tc>
      </w:tr>
      <w:tr>
        <w:trPr>
          <w:trHeight w:val="214"/>
        </w:trPr>
        <w:tc>
          <w:tcPr>
            <w:tcW w:w="286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c>
          <w:tcPr>
            <w:tcW w:w="1300" w:type="dxa"/>
            <w:vAlign w:val="bottom"/>
          </w:tcPr>
          <w:p>
            <w:pPr>
              <w:spacing w:after="0"/>
              <w:rPr>
                <w:sz w:val="18"/>
                <w:szCs w:val="18"/>
                <w:color w:val="auto"/>
              </w:rPr>
            </w:pPr>
          </w:p>
        </w:tc>
      </w:tr>
      <w:tr>
        <w:trPr>
          <w:trHeight w:val="236"/>
        </w:trPr>
        <w:tc>
          <w:tcPr>
            <w:tcW w:w="286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648"/>
        </w:trPr>
        <w:tc>
          <w:tcPr>
            <w:tcW w:w="286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November 7, 2024</w:t>
            </w:r>
          </w:p>
        </w:tc>
        <w:tc>
          <w:tcPr>
            <w:tcW w:w="7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Seth C. Daggett</w:t>
            </w:r>
          </w:p>
        </w:tc>
        <w:tc>
          <w:tcPr>
            <w:tcW w:w="1300" w:type="dxa"/>
            <w:vAlign w:val="bottom"/>
          </w:tcPr>
          <w:p>
            <w:pPr>
              <w:spacing w:after="0"/>
              <w:rPr>
                <w:sz w:val="24"/>
                <w:szCs w:val="24"/>
                <w:color w:val="auto"/>
              </w:rPr>
            </w:pPr>
          </w:p>
        </w:tc>
      </w:tr>
      <w:tr>
        <w:trPr>
          <w:trHeight w:val="191"/>
        </w:trPr>
        <w:tc>
          <w:tcPr>
            <w:tcW w:w="2860" w:type="dxa"/>
            <w:vAlign w:val="bottom"/>
          </w:tcPr>
          <w:p>
            <w:pPr>
              <w:spacing w:after="0"/>
              <w:rPr>
                <w:sz w:val="16"/>
                <w:szCs w:val="16"/>
                <w:color w:val="auto"/>
              </w:rPr>
            </w:pPr>
          </w:p>
        </w:tc>
        <w:tc>
          <w:tcPr>
            <w:tcW w:w="70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1300" w:type="dxa"/>
            <w:vAlign w:val="bottom"/>
          </w:tcPr>
          <w:p>
            <w:pPr>
              <w:spacing w:after="0"/>
              <w:rPr>
                <w:sz w:val="16"/>
                <w:szCs w:val="16"/>
                <w:color w:val="auto"/>
              </w:rPr>
            </w:pPr>
          </w:p>
        </w:tc>
      </w:tr>
      <w:tr>
        <w:trPr>
          <w:trHeight w:val="214"/>
        </w:trPr>
        <w:tc>
          <w:tcPr>
            <w:tcW w:w="2860" w:type="dxa"/>
            <w:vAlign w:val="bottom"/>
          </w:tcPr>
          <w:p>
            <w:pPr>
              <w:spacing w:after="0"/>
              <w:rPr>
                <w:sz w:val="18"/>
                <w:szCs w:val="18"/>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300" w:type="dxa"/>
            <w:vAlign w:val="bottom"/>
          </w:tcPr>
          <w:p>
            <w:pPr>
              <w:spacing w:after="0"/>
              <w:rPr>
                <w:sz w:val="18"/>
                <w:szCs w:val="18"/>
                <w:color w:val="auto"/>
              </w:rPr>
            </w:pPr>
          </w:p>
        </w:tc>
      </w:tr>
      <w:tr>
        <w:trPr>
          <w:trHeight w:val="236"/>
        </w:trPr>
        <w:tc>
          <w:tcPr>
            <w:tcW w:w="2860" w:type="dxa"/>
            <w:vAlign w:val="bottom"/>
          </w:tcPr>
          <w:p>
            <w:pPr>
              <w:spacing w:after="0"/>
              <w:rPr>
                <w:sz w:val="20"/>
                <w:szCs w:val="20"/>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r>
      <w:tr>
        <w:trPr>
          <w:trHeight w:val="561"/>
        </w:trPr>
        <w:tc>
          <w:tcPr>
            <w:tcW w:w="286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ind w:left="2660"/>
              <w:spacing w:after="0"/>
              <w:rPr>
                <w:sz w:val="20"/>
                <w:szCs w:val="20"/>
                <w:color w:val="auto"/>
              </w:rPr>
            </w:pPr>
            <w:r>
              <w:rPr>
                <w:rFonts w:ascii="Times New Roman" w:cs="Times New Roman" w:eastAsia="Times New Roman" w:hAnsi="Times New Roman"/>
                <w:sz w:val="18"/>
                <w:szCs w:val="18"/>
                <w:color w:val="auto"/>
              </w:rPr>
              <w:t>61</w:t>
            </w:r>
          </w:p>
        </w:tc>
        <w:tc>
          <w:tcPr>
            <w:tcW w:w="13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2"/>
    </w:lvl>
  </w:abstractNum>
  <w:abstractNum w:abstractNumId="6">
    <w:nsid w:val="6763845E"/>
    <w:multiLevelType w:val="hybridMultilevel"/>
    <w:lvl w:ilvl="0">
      <w:lvlJc w:val="left"/>
      <w:lvlText w:val="%1."/>
      <w:numFmt w:val="decimal"/>
      <w:start w:val="3"/>
    </w:lvl>
  </w:abstractNum>
  <w:abstractNum w:abstractNumId="7">
    <w:nsid w:val="75A2A8D4"/>
    <w:multiLevelType w:val="hybridMultilevel"/>
    <w:lvl w:ilvl="0">
      <w:lvlJc w:val="left"/>
      <w:lvlText w:val="%1."/>
      <w:numFmt w:val="decimal"/>
      <w:start w:val="4"/>
    </w:lvl>
  </w:abstractNum>
  <w:abstractNum w:abstractNumId="8">
    <w:nsid w:val="8EDBDAB"/>
    <w:multiLevelType w:val="hybridMultilevel"/>
    <w:lvl w:ilvl="0">
      <w:lvlJc w:val="left"/>
      <w:lvlText w:val="%1."/>
      <w:numFmt w:val="decimal"/>
      <w:start w:val="5"/>
    </w:lvl>
  </w:abstractNum>
  <w:abstractNum w:abstractNumId="9">
    <w:nsid w:val="79838CB2"/>
    <w:multiLevelType w:val="hybridMultilevel"/>
    <w:lvl w:ilvl="0">
      <w:lvlJc w:val="left"/>
      <w:lvlText w:val="%1."/>
      <w:numFmt w:val="decimal"/>
      <w:start w:val="6"/>
    </w:lvl>
  </w:abstractNum>
  <w:abstractNum w:abstractNumId="10">
    <w:nsid w:val="4353D0CD"/>
    <w:multiLevelType w:val="hybridMultilevel"/>
    <w:lvl w:ilvl="0">
      <w:lvlJc w:val="left"/>
      <w:lvlText w:val="%1."/>
      <w:numFmt w:val="decimal"/>
      <w:start w:val="7"/>
    </w:lvl>
  </w:abstractNum>
  <w:abstractNum w:abstractNumId="11">
    <w:nsid w:val="B03E0C6"/>
    <w:multiLevelType w:val="hybridMultilevel"/>
    <w:lvl w:ilvl="0">
      <w:lvlJc w:val="left"/>
      <w:lvlText w:val="%1."/>
      <w:numFmt w:val="decimal"/>
      <w:start w:val="8"/>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decimal"/>
      <w:start w:val="10"/>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1."/>
      <w:numFmt w:val="decimal"/>
      <w:start w:val="11"/>
    </w:lvl>
  </w:abstractNum>
  <w:abstractNum w:abstractNumId="18">
    <w:nsid w:val="3A95F874"/>
    <w:multiLevelType w:val="hybridMultilevel"/>
    <w:lvl w:ilvl="0">
      <w:lvlJc w:val="left"/>
      <w:lvlText w:val="%1."/>
      <w:numFmt w:val="decimal"/>
      <w:start w:val="12"/>
    </w:lvl>
  </w:abstractNum>
  <w:abstractNum w:abstractNumId="19">
    <w:nsid w:val="8138641"/>
    <w:multiLevelType w:val="hybridMultilevel"/>
    <w:lvl w:ilvl="0">
      <w:lvlJc w:val="left"/>
      <w:lvlText w:val="%1."/>
      <w:numFmt w:val="decimal"/>
      <w:start w:val="13"/>
    </w:lvl>
  </w:abstractNum>
  <w:abstractNum w:abstractNumId="20">
    <w:nsid w:val="1E7FF521"/>
    <w:multiLevelType w:val="hybridMultilevel"/>
    <w:lvl w:ilvl="0">
      <w:lvlJc w:val="left"/>
      <w:lvlText w:val="%1."/>
      <w:numFmt w:val="decimal"/>
      <w:start w:val="14"/>
    </w:lvl>
  </w:abstractNum>
  <w:abstractNum w:abstractNumId="21">
    <w:nsid w:val="7C3DBD3D"/>
    <w:multiLevelType w:val="hybridMultilevel"/>
    <w:lvl w:ilvl="0">
      <w:lvlJc w:val="left"/>
      <w:lvlText w:val="%1."/>
      <w:numFmt w:val="decimal"/>
      <w:start w:val="15"/>
    </w:lvl>
  </w:abstractNum>
  <w:abstractNum w:abstractNumId="22">
    <w:nsid w:val="737B8DDC"/>
    <w:multiLevelType w:val="hybridMultilevel"/>
    <w:lvl w:ilvl="0">
      <w:lvlJc w:val="left"/>
      <w:lvlText w:val="%1."/>
      <w:numFmt w:val="decimal"/>
      <w:start w:val="17"/>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1"/>
    </w:lvl>
  </w:abstractNum>
  <w:abstractNum w:abstractNumId="25">
    <w:nsid w:val="4516DDE9"/>
    <w:multiLevelType w:val="hybridMultilevel"/>
    <w:lvl w:ilvl="0">
      <w:lvlJc w:val="left"/>
      <w:lvlText w:val="%1."/>
      <w:numFmt w:val="decimal"/>
      <w:start w:val="18"/>
    </w:lvl>
  </w:abstractNum>
  <w:abstractNum w:abstractNumId="26">
    <w:nsid w:val="3006C83E"/>
    <w:multiLevelType w:val="hybridMultilevel"/>
    <w:lvl w:ilvl="0">
      <w:lvlJc w:val="left"/>
      <w:lvlText w:val="%1."/>
      <w:numFmt w:val="decimal"/>
      <w:start w:val="19"/>
    </w:lvl>
  </w:abstractNum>
  <w:abstractNum w:abstractNumId="27">
    <w:nsid w:val="614FD4A1"/>
    <w:multiLevelType w:val="hybridMultilevel"/>
    <w:lvl w:ilvl="0">
      <w:lvlJc w:val="left"/>
      <w:lvlText w:val="%1."/>
      <w:numFmt w:val="decimal"/>
      <w:start w:val="20"/>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decimal"/>
      <w:start w:val="32"/>
    </w:lvl>
  </w:abstractNum>
  <w:abstractNum w:abstractNumId="36">
    <w:nsid w:val="2463B9EA"/>
    <w:multiLevelType w:val="hybridMultilevel"/>
    <w:lvl w:ilvl="0">
      <w:lvlJc w:val="left"/>
      <w:lvlText w:val="%1"/>
      <w:numFmt w:val="decimal"/>
      <w:start w:val="104"/>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1" Type="http://schemas.openxmlformats.org/officeDocument/2006/relationships/hyperlink" Target="https://www.sec.gov/Archives/edgar/data/1681206/000110465924092859/tm2422663d1_ex10-1.htm" TargetMode="External"/><Relationship Id="rId162" Type="http://schemas.openxmlformats.org/officeDocument/2006/relationships/hyperlink" Target="https://www.sec.gov/Archives/edgar/data/1681206/000117494724001087/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2024-11-07T15:34:22Z</dcterms:created>
  <dcterms:modified xsi:type="dcterms:W3CDTF">2024-11-07T15:34:22Z</dcterms:modified>
</cp:coreProperties>
</file>